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1F8C" w:rsidRPr="00AE29CE" w:rsidRDefault="00891F8C" w:rsidP="0005779E">
      <w:pPr>
        <w:pStyle w:val="NormalWeb"/>
        <w:spacing w:before="79" w:beforeAutospacing="0" w:after="0" w:afterAutospacing="0"/>
        <w:jc w:val="center"/>
        <w:textAlignment w:val="baseline"/>
        <w:rPr>
          <w:rFonts w:asciiTheme="minorHAnsi" w:eastAsia="MS PGothic" w:hAnsiTheme="minorHAnsi" w:cstheme="minorHAnsi"/>
          <w:b/>
          <w:bCs/>
          <w:color w:val="000000" w:themeColor="text1"/>
          <w:kern w:val="24"/>
        </w:rPr>
      </w:pPr>
      <w:bookmarkStart w:id="0" w:name="_GoBack"/>
      <w:bookmarkEnd w:id="0"/>
      <w:r w:rsidRPr="00AE29CE">
        <w:rPr>
          <w:rFonts w:asciiTheme="minorHAnsi" w:eastAsia="MS PGothic" w:hAnsiTheme="minorHAnsi" w:cstheme="minorHAnsi"/>
          <w:b/>
          <w:bCs/>
          <w:color w:val="000000" w:themeColor="text1"/>
          <w:kern w:val="24"/>
        </w:rPr>
        <w:t>Detention Clock</w:t>
      </w:r>
    </w:p>
    <w:p w:rsidR="00A41C28" w:rsidRDefault="00A41C28" w:rsidP="0005779E">
      <w:pPr>
        <w:pStyle w:val="NormalWeb"/>
        <w:spacing w:before="79" w:beforeAutospacing="0" w:after="0" w:afterAutospacing="0"/>
        <w:jc w:val="center"/>
        <w:textAlignment w:val="baseline"/>
        <w:rPr>
          <w:rFonts w:ascii="Arial" w:eastAsia="MS PGothic" w:hAnsi="Arial" w:cstheme="minorBidi"/>
          <w:b/>
          <w:bCs/>
          <w:color w:val="000000" w:themeColor="text1"/>
          <w:kern w:val="24"/>
          <w:u w:val="single"/>
        </w:rPr>
      </w:pPr>
    </w:p>
    <w:p w:rsidR="00A41C28" w:rsidRDefault="00A41C28" w:rsidP="0005779E">
      <w:pPr>
        <w:pStyle w:val="NormalWeb"/>
        <w:spacing w:before="79" w:beforeAutospacing="0" w:after="0" w:afterAutospacing="0"/>
        <w:jc w:val="center"/>
        <w:textAlignment w:val="baseline"/>
        <w:rPr>
          <w:rFonts w:ascii="Arial" w:eastAsia="MS PGothic" w:hAnsi="Arial" w:cstheme="minorBidi"/>
          <w:b/>
          <w:bCs/>
          <w:color w:val="000000" w:themeColor="text1"/>
          <w:kern w:val="24"/>
          <w:u w:val="single"/>
        </w:rPr>
      </w:pPr>
      <w:r w:rsidRPr="00A41C28">
        <w:rPr>
          <w:rFonts w:ascii="Arial" w:eastAsia="MS PGothic" w:hAnsi="Arial" w:cstheme="minorBidi"/>
          <w:b/>
          <w:bCs/>
          <w:noProof/>
          <w:color w:val="000000" w:themeColor="text1"/>
          <w:kern w:val="24"/>
          <w:u w:val="single"/>
        </w:rPr>
        <w:drawing>
          <wp:inline distT="0" distB="0" distL="0" distR="0">
            <wp:extent cx="2986922" cy="2238375"/>
            <wp:effectExtent l="0" t="0" r="4445" b="0"/>
            <wp:docPr id="1" name="Picture 1" descr="H:\Training Role\Lesson Plan writing PEQF project\Image of 24 hour clock f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raining Role\Lesson Plan writing PEQF project\Image of 24 hour clock fac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5418" cy="2244742"/>
                    </a:xfrm>
                    <a:prstGeom prst="rect">
                      <a:avLst/>
                    </a:prstGeom>
                    <a:noFill/>
                    <a:ln>
                      <a:noFill/>
                    </a:ln>
                  </pic:spPr>
                </pic:pic>
              </a:graphicData>
            </a:graphic>
          </wp:inline>
        </w:drawing>
      </w:r>
    </w:p>
    <w:p w:rsidR="00A41C28" w:rsidRDefault="00A41C28" w:rsidP="0005779E">
      <w:pPr>
        <w:pStyle w:val="NormalWeb"/>
        <w:spacing w:before="79" w:beforeAutospacing="0" w:after="0" w:afterAutospacing="0"/>
        <w:jc w:val="center"/>
        <w:textAlignment w:val="baseline"/>
        <w:rPr>
          <w:rFonts w:ascii="Arial" w:eastAsia="MS PGothic" w:hAnsi="Arial" w:cstheme="minorBidi"/>
          <w:b/>
          <w:bCs/>
          <w:color w:val="000000" w:themeColor="text1"/>
          <w:kern w:val="24"/>
          <w:u w:val="single"/>
        </w:rPr>
      </w:pPr>
    </w:p>
    <w:p w:rsidR="00A41C28" w:rsidRDefault="00A41C28" w:rsidP="0005779E">
      <w:pPr>
        <w:pStyle w:val="NormalWeb"/>
        <w:spacing w:before="79" w:beforeAutospacing="0" w:after="0" w:afterAutospacing="0"/>
        <w:jc w:val="center"/>
        <w:textAlignment w:val="baseline"/>
        <w:rPr>
          <w:rFonts w:ascii="Arial" w:eastAsia="MS PGothic" w:hAnsi="Arial" w:cstheme="minorBidi"/>
          <w:b/>
          <w:bCs/>
          <w:color w:val="000000" w:themeColor="text1"/>
          <w:kern w:val="24"/>
          <w:u w:val="single"/>
        </w:rPr>
      </w:pPr>
    </w:p>
    <w:p w:rsidR="00891F8C" w:rsidRPr="00AE29CE" w:rsidRDefault="00891F8C" w:rsidP="00891F8C">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AE29CE">
        <w:rPr>
          <w:rFonts w:asciiTheme="minorHAnsi" w:eastAsiaTheme="minorEastAsia" w:hAnsiTheme="minorHAnsi" w:cstheme="minorHAnsi"/>
          <w:color w:val="000000" w:themeColor="text1"/>
          <w:kern w:val="24"/>
          <w:sz w:val="22"/>
          <w:szCs w:val="22"/>
        </w:rPr>
        <w:t>Once a person has been arrested for an offence he</w:t>
      </w:r>
      <w:r w:rsidR="0005779E" w:rsidRPr="00AE29CE">
        <w:rPr>
          <w:rFonts w:asciiTheme="minorHAnsi" w:eastAsiaTheme="minorEastAsia" w:hAnsiTheme="minorHAnsi" w:cstheme="minorHAnsi"/>
          <w:color w:val="000000" w:themeColor="text1"/>
          <w:kern w:val="24"/>
          <w:sz w:val="22"/>
          <w:szCs w:val="22"/>
        </w:rPr>
        <w:t xml:space="preserve"> or she</w:t>
      </w:r>
      <w:r w:rsidRPr="00AE29CE">
        <w:rPr>
          <w:rFonts w:asciiTheme="minorHAnsi" w:eastAsiaTheme="minorEastAsia" w:hAnsiTheme="minorHAnsi" w:cstheme="minorHAnsi"/>
          <w:color w:val="000000" w:themeColor="text1"/>
          <w:kern w:val="24"/>
          <w:sz w:val="22"/>
          <w:szCs w:val="22"/>
        </w:rPr>
        <w:t xml:space="preserve"> will usually be taken to a police station. At the police station a custody officer will determine whether there is sufficient evidence to charge the suspect with the offence. </w:t>
      </w:r>
    </w:p>
    <w:p w:rsidR="0005779E" w:rsidRPr="00AE29CE" w:rsidRDefault="0005779E" w:rsidP="00891F8C">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891F8C" w:rsidRPr="00AE29CE" w:rsidRDefault="00891F8C" w:rsidP="00891F8C">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AE29CE">
        <w:rPr>
          <w:rFonts w:asciiTheme="minorHAnsi" w:eastAsiaTheme="minorEastAsia" w:hAnsiTheme="minorHAnsi" w:cstheme="minorHAnsi"/>
          <w:color w:val="000000" w:themeColor="text1"/>
          <w:kern w:val="24"/>
          <w:sz w:val="22"/>
          <w:szCs w:val="22"/>
        </w:rPr>
        <w:t xml:space="preserve">Under </w:t>
      </w:r>
      <w:hyperlink r:id="rId7" w:history="1">
        <w:r w:rsidRPr="00AE29CE">
          <w:rPr>
            <w:rStyle w:val="Hyperlink"/>
            <w:rFonts w:asciiTheme="minorHAnsi" w:eastAsiaTheme="minorEastAsia" w:hAnsiTheme="minorHAnsi" w:cstheme="minorHAnsi"/>
            <w:b/>
            <w:color w:val="000000" w:themeColor="text1"/>
            <w:kern w:val="24"/>
            <w:sz w:val="22"/>
            <w:szCs w:val="22"/>
            <w:u w:val="none"/>
          </w:rPr>
          <w:t xml:space="preserve">PACE 1984, </w:t>
        </w:r>
      </w:hyperlink>
      <w:r w:rsidRPr="00AE29CE">
        <w:rPr>
          <w:rFonts w:asciiTheme="minorHAnsi" w:eastAsiaTheme="minorEastAsia" w:hAnsiTheme="minorHAnsi" w:cstheme="minorHAnsi"/>
          <w:color w:val="000000" w:themeColor="text1"/>
          <w:kern w:val="24"/>
          <w:sz w:val="22"/>
          <w:szCs w:val="22"/>
        </w:rPr>
        <w:t xml:space="preserve">if the custody officer decides that there is insufficient evidence to charge, the person must be released unless the officer has reasonable grounds for believing that detention without charge is necessary to secure or preserve evidence or to obtain evidence by questioning. </w:t>
      </w:r>
    </w:p>
    <w:p w:rsidR="0005779E" w:rsidRPr="00AE29CE" w:rsidRDefault="0005779E" w:rsidP="00891F8C">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891F8C" w:rsidRPr="00AE29CE" w:rsidRDefault="00891F8C" w:rsidP="00891F8C">
      <w:pPr>
        <w:pStyle w:val="NormalWeb"/>
        <w:kinsoku w:val="0"/>
        <w:overflowPunct w:val="0"/>
        <w:spacing w:before="79" w:beforeAutospacing="0" w:after="0" w:afterAutospacing="0"/>
        <w:textAlignment w:val="baseline"/>
        <w:rPr>
          <w:rFonts w:asciiTheme="minorHAnsi" w:hAnsiTheme="minorHAnsi" w:cstheme="minorHAnsi"/>
          <w:color w:val="FF0000"/>
          <w:sz w:val="22"/>
          <w:szCs w:val="22"/>
        </w:rPr>
      </w:pPr>
      <w:r w:rsidRPr="00AE29CE">
        <w:rPr>
          <w:rFonts w:asciiTheme="minorHAnsi" w:eastAsiaTheme="minorEastAsia" w:hAnsiTheme="minorHAnsi" w:cstheme="minorHAnsi"/>
          <w:color w:val="000000" w:themeColor="text1"/>
          <w:kern w:val="24"/>
          <w:sz w:val="22"/>
          <w:szCs w:val="22"/>
        </w:rPr>
        <w:t xml:space="preserve">The maximum period of detention </w:t>
      </w:r>
      <w:r w:rsidRPr="00AE29CE">
        <w:rPr>
          <w:rFonts w:asciiTheme="minorHAnsi" w:eastAsiaTheme="minorEastAsia" w:hAnsiTheme="minorHAnsi" w:cstheme="minorHAnsi"/>
          <w:b/>
          <w:bCs/>
          <w:color w:val="0070C0"/>
          <w:kern w:val="24"/>
          <w:sz w:val="22"/>
          <w:szCs w:val="22"/>
        </w:rPr>
        <w:t>without charge</w:t>
      </w:r>
      <w:r w:rsidRPr="00AE29CE">
        <w:rPr>
          <w:rFonts w:asciiTheme="minorHAnsi" w:eastAsiaTheme="minorEastAsia" w:hAnsiTheme="minorHAnsi" w:cstheme="minorHAnsi"/>
          <w:color w:val="0070C0"/>
          <w:kern w:val="24"/>
          <w:sz w:val="22"/>
          <w:szCs w:val="22"/>
        </w:rPr>
        <w:t xml:space="preserve"> </w:t>
      </w:r>
      <w:r w:rsidRPr="00AE29CE">
        <w:rPr>
          <w:rFonts w:asciiTheme="minorHAnsi" w:eastAsiaTheme="minorEastAsia" w:hAnsiTheme="minorHAnsi" w:cstheme="minorHAnsi"/>
          <w:color w:val="000000" w:themeColor="text1"/>
          <w:kern w:val="24"/>
          <w:sz w:val="22"/>
          <w:szCs w:val="22"/>
        </w:rPr>
        <w:t xml:space="preserve">is generally </w:t>
      </w:r>
      <w:r w:rsidRPr="00AE29CE">
        <w:rPr>
          <w:rFonts w:asciiTheme="minorHAnsi" w:eastAsiaTheme="minorEastAsia" w:hAnsiTheme="minorHAnsi" w:cstheme="minorHAnsi"/>
          <w:b/>
          <w:bCs/>
          <w:color w:val="0070C0"/>
          <w:kern w:val="24"/>
          <w:sz w:val="22"/>
          <w:szCs w:val="22"/>
        </w:rPr>
        <w:t>24 hours from the relevant tim</w:t>
      </w:r>
      <w:r w:rsidR="0005779E" w:rsidRPr="00AE29CE">
        <w:rPr>
          <w:rFonts w:asciiTheme="minorHAnsi" w:eastAsiaTheme="minorEastAsia" w:hAnsiTheme="minorHAnsi" w:cstheme="minorHAnsi"/>
          <w:b/>
          <w:color w:val="0070C0"/>
          <w:kern w:val="24"/>
          <w:sz w:val="22"/>
          <w:szCs w:val="22"/>
        </w:rPr>
        <w:t>e</w:t>
      </w:r>
      <w:r w:rsidRPr="00AE29CE">
        <w:rPr>
          <w:rFonts w:asciiTheme="minorHAnsi" w:eastAsiaTheme="minorEastAsia" w:hAnsiTheme="minorHAnsi" w:cstheme="minorHAnsi"/>
          <w:color w:val="0070C0"/>
          <w:kern w:val="24"/>
          <w:sz w:val="22"/>
          <w:szCs w:val="22"/>
        </w:rPr>
        <w:t xml:space="preserve">. </w:t>
      </w:r>
    </w:p>
    <w:p w:rsidR="00891F8C" w:rsidRPr="00AE29CE" w:rsidRDefault="00891F8C" w:rsidP="00891F8C">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AE29CE">
        <w:rPr>
          <w:rFonts w:asciiTheme="minorHAnsi" w:eastAsiaTheme="minorEastAsia" w:hAnsiTheme="minorHAnsi" w:cstheme="minorHAnsi"/>
          <w:color w:val="000000" w:themeColor="text1"/>
          <w:kern w:val="24"/>
          <w:sz w:val="22"/>
          <w:szCs w:val="22"/>
        </w:rPr>
        <w:t xml:space="preserve">The definition of </w:t>
      </w:r>
      <w:r w:rsidRPr="00AE29CE">
        <w:rPr>
          <w:rFonts w:asciiTheme="minorHAnsi" w:eastAsiaTheme="minorEastAsia" w:hAnsiTheme="minorHAnsi" w:cstheme="minorHAnsi"/>
          <w:b/>
          <w:color w:val="0070C0"/>
          <w:kern w:val="24"/>
          <w:sz w:val="22"/>
          <w:szCs w:val="22"/>
        </w:rPr>
        <w:t>'relevant time'</w:t>
      </w:r>
      <w:r w:rsidRPr="00AE29CE">
        <w:rPr>
          <w:rFonts w:asciiTheme="minorHAnsi" w:eastAsiaTheme="minorEastAsia" w:hAnsiTheme="minorHAnsi" w:cstheme="minorHAnsi"/>
          <w:color w:val="0070C0"/>
          <w:kern w:val="24"/>
          <w:sz w:val="22"/>
          <w:szCs w:val="22"/>
        </w:rPr>
        <w:t xml:space="preserve"> </w:t>
      </w:r>
      <w:r w:rsidRPr="00AE29CE">
        <w:rPr>
          <w:rFonts w:asciiTheme="minorHAnsi" w:eastAsiaTheme="minorEastAsia" w:hAnsiTheme="minorHAnsi" w:cstheme="minorHAnsi"/>
          <w:color w:val="000000" w:themeColor="text1"/>
          <w:kern w:val="24"/>
          <w:sz w:val="22"/>
          <w:szCs w:val="22"/>
        </w:rPr>
        <w:t xml:space="preserve">is set out in </w:t>
      </w:r>
      <w:hyperlink r:id="rId8" w:history="1">
        <w:r w:rsidRPr="00AE29CE">
          <w:rPr>
            <w:rStyle w:val="Hyperlink"/>
            <w:rFonts w:asciiTheme="minorHAnsi" w:eastAsiaTheme="minorEastAsia" w:hAnsiTheme="minorHAnsi" w:cstheme="minorHAnsi"/>
            <w:b/>
            <w:color w:val="000000" w:themeColor="text1"/>
            <w:kern w:val="24"/>
            <w:sz w:val="22"/>
            <w:szCs w:val="22"/>
            <w:u w:val="none"/>
          </w:rPr>
          <w:t>PACE 1984</w:t>
        </w:r>
      </w:hyperlink>
      <w:r w:rsidRPr="00AE29CE">
        <w:rPr>
          <w:rFonts w:asciiTheme="minorHAnsi" w:eastAsiaTheme="minorEastAsia" w:hAnsiTheme="minorHAnsi" w:cstheme="minorHAnsi"/>
          <w:b/>
          <w:color w:val="000000" w:themeColor="text1"/>
          <w:kern w:val="24"/>
          <w:sz w:val="22"/>
          <w:szCs w:val="22"/>
        </w:rPr>
        <w:t>.</w:t>
      </w:r>
      <w:r w:rsidRPr="00AE29CE">
        <w:rPr>
          <w:rFonts w:asciiTheme="minorHAnsi" w:eastAsiaTheme="minorEastAsia" w:hAnsiTheme="minorHAnsi" w:cstheme="minorHAnsi"/>
          <w:color w:val="000000" w:themeColor="text1"/>
          <w:kern w:val="24"/>
          <w:sz w:val="22"/>
          <w:szCs w:val="22"/>
        </w:rPr>
        <w:t xml:space="preserve"> It generally means the time an arrested person arrives at the first police station he</w:t>
      </w:r>
      <w:r w:rsidR="0005779E" w:rsidRPr="00AE29CE">
        <w:rPr>
          <w:rFonts w:asciiTheme="minorHAnsi" w:eastAsiaTheme="minorEastAsia" w:hAnsiTheme="minorHAnsi" w:cstheme="minorHAnsi"/>
          <w:color w:val="000000" w:themeColor="text1"/>
          <w:kern w:val="24"/>
          <w:sz w:val="22"/>
          <w:szCs w:val="22"/>
        </w:rPr>
        <w:t xml:space="preserve"> or she</w:t>
      </w:r>
      <w:r w:rsidRPr="00AE29CE">
        <w:rPr>
          <w:rFonts w:asciiTheme="minorHAnsi" w:eastAsiaTheme="minorEastAsia" w:hAnsiTheme="minorHAnsi" w:cstheme="minorHAnsi"/>
          <w:color w:val="000000" w:themeColor="text1"/>
          <w:kern w:val="24"/>
          <w:sz w:val="22"/>
          <w:szCs w:val="22"/>
        </w:rPr>
        <w:t xml:space="preserve"> is taken to.</w:t>
      </w:r>
    </w:p>
    <w:p w:rsidR="0005779E" w:rsidRPr="00AE29CE" w:rsidRDefault="0005779E" w:rsidP="00891F8C">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891F8C" w:rsidRPr="00AE29CE" w:rsidRDefault="00891F8C" w:rsidP="00891F8C">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AE29CE">
        <w:rPr>
          <w:rFonts w:asciiTheme="minorHAnsi" w:eastAsiaTheme="minorEastAsia" w:hAnsiTheme="minorHAnsi" w:cstheme="minorHAnsi"/>
          <w:color w:val="000000" w:themeColor="text1"/>
          <w:kern w:val="24"/>
          <w:sz w:val="22"/>
          <w:szCs w:val="22"/>
        </w:rPr>
        <w:t xml:space="preserve">The period of detention without charge may be </w:t>
      </w:r>
      <w:r w:rsidRPr="00AE29CE">
        <w:rPr>
          <w:rFonts w:asciiTheme="minorHAnsi" w:eastAsiaTheme="minorEastAsia" w:hAnsiTheme="minorHAnsi" w:cstheme="minorHAnsi"/>
          <w:b/>
          <w:color w:val="0070C0"/>
          <w:kern w:val="24"/>
          <w:sz w:val="22"/>
          <w:szCs w:val="22"/>
        </w:rPr>
        <w:t>extended for up to a period of 36 hours from the relevant time.</w:t>
      </w:r>
      <w:r w:rsidRPr="00AE29CE">
        <w:rPr>
          <w:rFonts w:asciiTheme="minorHAnsi" w:eastAsiaTheme="minorEastAsia" w:hAnsiTheme="minorHAnsi" w:cstheme="minorHAnsi"/>
          <w:color w:val="000000" w:themeColor="text1"/>
          <w:kern w:val="24"/>
          <w:sz w:val="22"/>
          <w:szCs w:val="22"/>
        </w:rPr>
        <w:t xml:space="preserve"> The extension can only be granted if the requirements of </w:t>
      </w:r>
      <w:hyperlink r:id="rId9" w:history="1">
        <w:r w:rsidRPr="00AE29CE">
          <w:rPr>
            <w:rStyle w:val="Hyperlink"/>
            <w:rFonts w:asciiTheme="minorHAnsi" w:eastAsiaTheme="minorEastAsia" w:hAnsiTheme="minorHAnsi" w:cstheme="minorHAnsi"/>
            <w:b/>
            <w:color w:val="000000" w:themeColor="text1"/>
            <w:kern w:val="24"/>
            <w:sz w:val="22"/>
            <w:szCs w:val="22"/>
            <w:u w:val="none"/>
          </w:rPr>
          <w:t>PACE 1984</w:t>
        </w:r>
      </w:hyperlink>
      <w:r w:rsidRPr="00AE29CE">
        <w:rPr>
          <w:rFonts w:asciiTheme="minorHAnsi" w:eastAsiaTheme="minorEastAsia" w:hAnsiTheme="minorHAnsi" w:cstheme="minorHAnsi"/>
          <w:color w:val="000000" w:themeColor="text1"/>
          <w:kern w:val="24"/>
          <w:sz w:val="22"/>
          <w:szCs w:val="22"/>
        </w:rPr>
        <w:t xml:space="preserve"> are satisfied. </w:t>
      </w:r>
    </w:p>
    <w:p w:rsidR="00891F8C" w:rsidRPr="00AE29CE" w:rsidRDefault="00891F8C" w:rsidP="00891F8C">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AE29CE">
        <w:rPr>
          <w:rFonts w:asciiTheme="minorHAnsi" w:eastAsiaTheme="minorEastAsia" w:hAnsiTheme="minorHAnsi" w:cstheme="minorHAnsi"/>
          <w:color w:val="000000" w:themeColor="text1"/>
          <w:kern w:val="24"/>
          <w:sz w:val="22"/>
          <w:szCs w:val="22"/>
        </w:rPr>
        <w:t xml:space="preserve">Detention </w:t>
      </w:r>
      <w:r w:rsidRPr="00AE29CE">
        <w:rPr>
          <w:rFonts w:asciiTheme="minorHAnsi" w:eastAsiaTheme="minorEastAsia" w:hAnsiTheme="minorHAnsi" w:cstheme="minorHAnsi"/>
          <w:b/>
          <w:bCs/>
          <w:color w:val="0070C0"/>
          <w:kern w:val="24"/>
          <w:sz w:val="22"/>
          <w:szCs w:val="22"/>
        </w:rPr>
        <w:t xml:space="preserve">beyond 36 hours </w:t>
      </w:r>
      <w:r w:rsidRPr="00AE29CE">
        <w:rPr>
          <w:rFonts w:asciiTheme="minorHAnsi" w:eastAsiaTheme="minorEastAsia" w:hAnsiTheme="minorHAnsi" w:cstheme="minorHAnsi"/>
          <w:color w:val="000000" w:themeColor="text1"/>
          <w:kern w:val="24"/>
          <w:sz w:val="22"/>
          <w:szCs w:val="22"/>
        </w:rPr>
        <w:t xml:space="preserve">is only permitted under </w:t>
      </w:r>
      <w:hyperlink r:id="rId10" w:history="1">
        <w:r w:rsidRPr="00AE29CE">
          <w:rPr>
            <w:rStyle w:val="Hyperlink"/>
            <w:rFonts w:asciiTheme="minorHAnsi" w:eastAsiaTheme="minorEastAsia" w:hAnsiTheme="minorHAnsi" w:cstheme="minorHAnsi"/>
            <w:b/>
            <w:color w:val="000000" w:themeColor="text1"/>
            <w:kern w:val="24"/>
            <w:sz w:val="22"/>
            <w:szCs w:val="22"/>
            <w:u w:val="none"/>
          </w:rPr>
          <w:t>PACE 1984</w:t>
        </w:r>
      </w:hyperlink>
      <w:r w:rsidRPr="00AE29CE">
        <w:rPr>
          <w:rFonts w:asciiTheme="minorHAnsi" w:eastAsiaTheme="minorEastAsia" w:hAnsiTheme="minorHAnsi" w:cstheme="minorHAnsi"/>
          <w:color w:val="000000" w:themeColor="text1"/>
          <w:kern w:val="24"/>
          <w:sz w:val="22"/>
          <w:szCs w:val="22"/>
        </w:rPr>
        <w:t xml:space="preserve"> where a magistrates' court issues </w:t>
      </w:r>
      <w:r w:rsidRPr="00AE29CE">
        <w:rPr>
          <w:rFonts w:asciiTheme="minorHAnsi" w:eastAsiaTheme="minorEastAsia" w:hAnsiTheme="minorHAnsi" w:cstheme="minorHAnsi"/>
          <w:b/>
          <w:bCs/>
          <w:color w:val="0070C0"/>
          <w:kern w:val="24"/>
          <w:sz w:val="22"/>
          <w:szCs w:val="22"/>
        </w:rPr>
        <w:t>a warrant of further detention</w:t>
      </w:r>
      <w:r w:rsidRPr="00AE29CE">
        <w:rPr>
          <w:rFonts w:asciiTheme="minorHAnsi" w:eastAsiaTheme="minorEastAsia" w:hAnsiTheme="minorHAnsi" w:cstheme="minorHAnsi"/>
          <w:color w:val="0070C0"/>
          <w:kern w:val="24"/>
          <w:sz w:val="22"/>
          <w:szCs w:val="22"/>
        </w:rPr>
        <w:t xml:space="preserve">. </w:t>
      </w:r>
    </w:p>
    <w:p w:rsidR="0005779E" w:rsidRPr="00AE29CE" w:rsidRDefault="0005779E" w:rsidP="00891F8C">
      <w:pPr>
        <w:pStyle w:val="NormalWeb"/>
        <w:kinsoku w:val="0"/>
        <w:overflowPunct w:val="0"/>
        <w:spacing w:before="79" w:beforeAutospacing="0" w:after="0" w:afterAutospacing="0"/>
        <w:textAlignment w:val="baseline"/>
        <w:rPr>
          <w:rFonts w:asciiTheme="minorHAnsi" w:hAnsiTheme="minorHAnsi" w:cstheme="minorHAnsi"/>
          <w:sz w:val="22"/>
          <w:szCs w:val="22"/>
        </w:rPr>
      </w:pPr>
    </w:p>
    <w:p w:rsidR="00891F8C" w:rsidRPr="00AE29CE" w:rsidRDefault="00891F8C" w:rsidP="00891F8C">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AE29CE">
        <w:rPr>
          <w:rFonts w:asciiTheme="minorHAnsi" w:eastAsiaTheme="minorEastAsia" w:hAnsiTheme="minorHAnsi" w:cstheme="minorHAnsi"/>
          <w:color w:val="000000" w:themeColor="text1"/>
          <w:kern w:val="24"/>
          <w:sz w:val="22"/>
          <w:szCs w:val="22"/>
        </w:rPr>
        <w:t xml:space="preserve">The procedure and statutory requirements are governed by </w:t>
      </w:r>
      <w:hyperlink r:id="rId11" w:history="1">
        <w:r w:rsidRPr="00AE29CE">
          <w:rPr>
            <w:rStyle w:val="Hyperlink"/>
            <w:rFonts w:asciiTheme="minorHAnsi" w:eastAsiaTheme="minorEastAsia" w:hAnsiTheme="minorHAnsi" w:cstheme="minorHAnsi"/>
            <w:b/>
            <w:color w:val="000000" w:themeColor="text1"/>
            <w:kern w:val="24"/>
            <w:sz w:val="22"/>
            <w:szCs w:val="22"/>
            <w:u w:val="none"/>
          </w:rPr>
          <w:t>PACE 1984</w:t>
        </w:r>
      </w:hyperlink>
      <w:r w:rsidRPr="00AE29CE">
        <w:rPr>
          <w:rFonts w:asciiTheme="minorHAnsi" w:eastAsiaTheme="minorEastAsia" w:hAnsiTheme="minorHAnsi" w:cstheme="minorHAnsi"/>
          <w:b/>
          <w:color w:val="000000" w:themeColor="text1"/>
          <w:kern w:val="24"/>
          <w:sz w:val="22"/>
          <w:szCs w:val="22"/>
        </w:rPr>
        <w:t>.</w:t>
      </w:r>
      <w:r w:rsidRPr="00AE29CE">
        <w:rPr>
          <w:rFonts w:asciiTheme="minorHAnsi" w:eastAsiaTheme="minorEastAsia" w:hAnsiTheme="minorHAnsi" w:cstheme="minorHAnsi"/>
          <w:color w:val="000000" w:themeColor="text1"/>
          <w:kern w:val="24"/>
          <w:sz w:val="22"/>
          <w:szCs w:val="22"/>
        </w:rPr>
        <w:t xml:space="preserve"> </w:t>
      </w:r>
    </w:p>
    <w:p w:rsidR="00891F8C" w:rsidRPr="00AE29CE" w:rsidRDefault="00891F8C" w:rsidP="00891F8C">
      <w:pPr>
        <w:pStyle w:val="NormalWeb"/>
        <w:kinsoku w:val="0"/>
        <w:overflowPunct w:val="0"/>
        <w:spacing w:before="79" w:beforeAutospacing="0" w:after="0" w:afterAutospacing="0"/>
        <w:textAlignment w:val="baseline"/>
        <w:rPr>
          <w:rFonts w:asciiTheme="minorHAnsi" w:hAnsiTheme="minorHAnsi" w:cstheme="minorHAnsi"/>
          <w:color w:val="FF0000"/>
          <w:sz w:val="22"/>
          <w:szCs w:val="22"/>
        </w:rPr>
      </w:pPr>
      <w:r w:rsidRPr="00AE29CE">
        <w:rPr>
          <w:rFonts w:asciiTheme="minorHAnsi" w:eastAsiaTheme="minorEastAsia" w:hAnsiTheme="minorHAnsi" w:cstheme="minorHAnsi"/>
          <w:color w:val="000000" w:themeColor="text1"/>
          <w:kern w:val="24"/>
          <w:sz w:val="22"/>
          <w:szCs w:val="22"/>
        </w:rPr>
        <w:t xml:space="preserve">If the court grants the application, the warrant can be issued up to a maximum of </w:t>
      </w:r>
      <w:r w:rsidRPr="00AE29CE">
        <w:rPr>
          <w:rFonts w:asciiTheme="minorHAnsi" w:eastAsiaTheme="minorEastAsia" w:hAnsiTheme="minorHAnsi" w:cstheme="minorHAnsi"/>
          <w:b/>
          <w:color w:val="0070C0"/>
          <w:kern w:val="24"/>
          <w:sz w:val="22"/>
          <w:szCs w:val="22"/>
        </w:rPr>
        <w:t>36 hours</w:t>
      </w:r>
      <w:r w:rsidRPr="00AE29CE">
        <w:rPr>
          <w:rFonts w:asciiTheme="minorHAnsi" w:eastAsiaTheme="minorEastAsia" w:hAnsiTheme="minorHAnsi" w:cstheme="minorHAnsi"/>
          <w:color w:val="FF0000"/>
          <w:kern w:val="24"/>
          <w:sz w:val="22"/>
          <w:szCs w:val="22"/>
        </w:rPr>
        <w:t xml:space="preserve">. </w:t>
      </w:r>
      <w:r w:rsidRPr="00AE29CE">
        <w:rPr>
          <w:rFonts w:asciiTheme="minorHAnsi" w:eastAsiaTheme="minorEastAsia" w:hAnsiTheme="minorHAnsi" w:cstheme="minorHAnsi"/>
          <w:b/>
          <w:color w:val="0070C0"/>
          <w:kern w:val="24"/>
          <w:sz w:val="22"/>
          <w:szCs w:val="22"/>
        </w:rPr>
        <w:t xml:space="preserve">However, this is subject to an overall maximum period of detention without charge of </w:t>
      </w:r>
      <w:r w:rsidRPr="00AE29CE">
        <w:rPr>
          <w:rFonts w:asciiTheme="minorHAnsi" w:eastAsiaTheme="minorEastAsia" w:hAnsiTheme="minorHAnsi" w:cstheme="minorHAnsi"/>
          <w:b/>
          <w:bCs/>
          <w:color w:val="0070C0"/>
          <w:kern w:val="24"/>
          <w:sz w:val="22"/>
          <w:szCs w:val="22"/>
        </w:rPr>
        <w:t>96 hours from the relevant time.</w:t>
      </w:r>
    </w:p>
    <w:p w:rsidR="0071558A" w:rsidRDefault="0071558A"/>
    <w:sectPr w:rsidR="0071558A" w:rsidSect="00891F8C">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1F8C" w:rsidRDefault="00891F8C" w:rsidP="00891F8C">
      <w:pPr>
        <w:spacing w:after="0" w:line="240" w:lineRule="auto"/>
      </w:pPr>
      <w:r>
        <w:separator/>
      </w:r>
    </w:p>
  </w:endnote>
  <w:endnote w:type="continuationSeparator" w:id="0">
    <w:p w:rsidR="00891F8C" w:rsidRDefault="00891F8C" w:rsidP="00891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779E" w:rsidRDefault="00AE29CE" w:rsidP="00AE29CE">
    <w:pPr>
      <w:pStyle w:val="Footer"/>
      <w:rPr>
        <w:color w:val="000000"/>
        <w:sz w:val="17"/>
      </w:rPr>
    </w:pPr>
    <w:bookmarkStart w:id="3" w:name="TITUS1FooterEvenPages"/>
    <w:r>
      <w:rPr>
        <w:color w:val="000000"/>
        <w:sz w:val="17"/>
      </w:rPr>
      <w:t> </w:t>
    </w:r>
  </w:p>
  <w:bookmarkEnd w:id="3"/>
  <w:p w:rsidR="0005779E" w:rsidRDefault="0005779E" w:rsidP="0005779E">
    <w:pPr>
      <w:pStyle w:val="Footer"/>
    </w:pPr>
  </w:p>
  <w:p w:rsidR="00891F8C" w:rsidRDefault="00891F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F8C" w:rsidRDefault="00AE29CE" w:rsidP="00AE29CE">
    <w:pPr>
      <w:pStyle w:val="Footer"/>
      <w:rPr>
        <w:color w:val="000000"/>
        <w:sz w:val="17"/>
      </w:rPr>
    </w:pPr>
    <w:bookmarkStart w:id="4" w:name="TITUS1FooterPrimary"/>
    <w:r>
      <w:rPr>
        <w:color w:val="000000"/>
        <w:sz w:val="17"/>
      </w:rPr>
      <w:t> </w:t>
    </w:r>
  </w:p>
  <w:bookmarkEnd w:id="4"/>
  <w:p w:rsidR="00891F8C" w:rsidRDefault="00891F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29CE" w:rsidRDefault="00AE29CE" w:rsidP="00AE29CE">
    <w:pPr>
      <w:pStyle w:val="Footer"/>
      <w:rPr>
        <w:color w:val="000000"/>
        <w:sz w:val="17"/>
        <w:szCs w:val="20"/>
      </w:rPr>
    </w:pPr>
    <w:bookmarkStart w:id="6" w:name="TITUS1FooterFirstPage"/>
    <w:r w:rsidRPr="00AE29CE">
      <w:rPr>
        <w:color w:val="000000"/>
        <w:sz w:val="17"/>
        <w:szCs w:val="20"/>
      </w:rPr>
      <w:t> </w:t>
    </w:r>
  </w:p>
  <w:bookmarkEnd w:id="6"/>
  <w:p w:rsidR="00891F8C" w:rsidRPr="00AE29CE" w:rsidRDefault="00AE29CE">
    <w:pPr>
      <w:pStyle w:val="Footer"/>
      <w:rPr>
        <w:sz w:val="20"/>
        <w:szCs w:val="20"/>
      </w:rPr>
    </w:pPr>
    <w:r w:rsidRPr="00AE29CE">
      <w:rPr>
        <w:sz w:val="20"/>
        <w:szCs w:val="20"/>
      </w:rPr>
      <w:t>AJW54949</w:t>
    </w:r>
    <w:r w:rsidRPr="00AE29CE">
      <w:rPr>
        <w:sz w:val="20"/>
        <w:szCs w:val="20"/>
      </w:rPr>
      <w:ptab w:relativeTo="margin" w:alignment="center" w:leader="none"/>
    </w:r>
    <w:r w:rsidRPr="00AE29CE">
      <w:rPr>
        <w:sz w:val="20"/>
        <w:szCs w:val="20"/>
      </w:rPr>
      <w:t>Version 1.0</w:t>
    </w:r>
    <w:r w:rsidRPr="00AE29CE">
      <w:rPr>
        <w:sz w:val="20"/>
        <w:szCs w:val="20"/>
      </w:rPr>
      <w:ptab w:relativeTo="margin" w:alignment="right" w:leader="none"/>
    </w:r>
  </w:p>
  <w:p w:rsidR="00AE29CE" w:rsidRPr="00AE29CE" w:rsidRDefault="00AE29CE">
    <w:pPr>
      <w:pStyle w:val="Footer"/>
      <w:rPr>
        <w:sz w:val="20"/>
        <w:szCs w:val="20"/>
      </w:rPr>
    </w:pPr>
    <w:r w:rsidRPr="00AE29CE">
      <w:rPr>
        <w:sz w:val="20"/>
        <w:szCs w:val="20"/>
      </w:rP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1F8C" w:rsidRDefault="00891F8C" w:rsidP="00891F8C">
      <w:pPr>
        <w:spacing w:after="0" w:line="240" w:lineRule="auto"/>
      </w:pPr>
      <w:r>
        <w:separator/>
      </w:r>
    </w:p>
  </w:footnote>
  <w:footnote w:type="continuationSeparator" w:id="0">
    <w:p w:rsidR="00891F8C" w:rsidRDefault="00891F8C" w:rsidP="00891F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779E" w:rsidRDefault="00AE29CE" w:rsidP="00AE29CE">
    <w:pPr>
      <w:pStyle w:val="Header"/>
      <w:rPr>
        <w:color w:val="000000"/>
        <w:sz w:val="17"/>
      </w:rPr>
    </w:pPr>
    <w:bookmarkStart w:id="1" w:name="TITUS1HeaderEvenPages"/>
    <w:r>
      <w:rPr>
        <w:color w:val="000000"/>
        <w:sz w:val="17"/>
      </w:rPr>
      <w:t> </w:t>
    </w:r>
  </w:p>
  <w:bookmarkEnd w:id="1"/>
  <w:p w:rsidR="0005779E" w:rsidRDefault="0005779E" w:rsidP="0005779E">
    <w:pPr>
      <w:pStyle w:val="Header"/>
    </w:pPr>
  </w:p>
  <w:p w:rsidR="00891F8C" w:rsidRDefault="00891F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F8C" w:rsidRDefault="00AE29CE" w:rsidP="00AE29CE">
    <w:pPr>
      <w:pStyle w:val="Header"/>
      <w:rPr>
        <w:color w:val="000000"/>
        <w:sz w:val="17"/>
      </w:rPr>
    </w:pPr>
    <w:bookmarkStart w:id="2" w:name="TITUS1HeaderPrimary"/>
    <w:r>
      <w:rPr>
        <w:color w:val="000000"/>
        <w:sz w:val="17"/>
      </w:rPr>
      <w:t> </w:t>
    </w:r>
  </w:p>
  <w:bookmarkEnd w:id="2"/>
  <w:p w:rsidR="00891F8C" w:rsidRDefault="00891F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1F8C" w:rsidRDefault="00AE29CE" w:rsidP="00AE29CE">
    <w:pPr>
      <w:pStyle w:val="Header"/>
      <w:rPr>
        <w:color w:val="000000"/>
        <w:sz w:val="17"/>
      </w:rPr>
    </w:pPr>
    <w:bookmarkStart w:id="5" w:name="TITUS1HeaderFirstPage"/>
    <w:r>
      <w:rPr>
        <w:color w:val="000000"/>
        <w:sz w:val="17"/>
      </w:rPr>
      <w:t> </w:t>
    </w:r>
  </w:p>
  <w:bookmarkEnd w:id="5"/>
  <w:p w:rsidR="00891F8C" w:rsidRDefault="00891F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WdqI2CyVDyeCaDJlE3Jc9UMgswviLleg3f/QxkJiigB4+X58DBKl594NNPmG8i5lj9N8YhVCfa8jDW5zKDqbzw==" w:salt="MHTUsgxrsFlOln5GIZjO8Q=="/>
  <w:zoom w:percent="89"/>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F8C"/>
    <w:rsid w:val="0005779E"/>
    <w:rsid w:val="0071558A"/>
    <w:rsid w:val="007B1D8D"/>
    <w:rsid w:val="00891F8C"/>
    <w:rsid w:val="00A41C28"/>
    <w:rsid w:val="00AE29CE"/>
    <w:rsid w:val="00E64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5B646D11-0B83-4BAD-87ED-8B7640F77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1F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91F8C"/>
    <w:rPr>
      <w:color w:val="0000FF"/>
      <w:u w:val="single"/>
    </w:rPr>
  </w:style>
  <w:style w:type="paragraph" w:styleId="Header">
    <w:name w:val="header"/>
    <w:basedOn w:val="Normal"/>
    <w:link w:val="HeaderChar"/>
    <w:uiPriority w:val="99"/>
    <w:unhideWhenUsed/>
    <w:rsid w:val="00891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F8C"/>
  </w:style>
  <w:style w:type="paragraph" w:styleId="Footer">
    <w:name w:val="footer"/>
    <w:basedOn w:val="Normal"/>
    <w:link w:val="FooterChar"/>
    <w:uiPriority w:val="99"/>
    <w:unhideWhenUsed/>
    <w:rsid w:val="00891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F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8423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isnexis.com/uk/lexispsl/corporatecrime/document/391421/55KB-9471-F188-N193-00000-00/linkHandler.faces?psldocinfo=Arrest_and_detention_overview&amp;A=0.44085416541202715&amp;bct=A&amp;service=citation&amp;risb=&amp;langcountry=GB&amp;linkInfo=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xisnexis.com/uk/lexispsl/corporatecrime/document/391421/55KB-9471-F188-N193-00000-00/linkHandler.faces?psldocinfo=Arrest_and_detention_overview&amp;A=0.18492790467799924&amp;bct=A&amp;service=citation&amp;risb=&amp;langcountry=GB&amp;linkInfo=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exisnexis.com/uk/lexispsl/corporatecrime/document/391421/55KB-9471-F188-N193-00000-00/linkHandler.faces?psldocinfo=Arrest_and_detention_overview&amp;A=0.5113846335645472&amp;bct=A&amp;service=citation&amp;risb=&amp;langcountry=GB&amp;linkInfo=F"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lexisnexis.com/uk/lexispsl/corporatecrime/document/391421/55KB-9471-F188-N193-00000-00/linkHandler.faces?psldocinfo=Arrest_and_detention_overview&amp;A=0.9080344304978597&amp;bct=A&amp;service=citation&amp;risb=&amp;langcountry=GB&amp;linkInfo=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exisnexis.com/uk/lexispsl/corporatecrime/document/391421/55KB-9471-F188-N193-00000-00/linkHandler.faces?psldocinfo=Arrest_and_detention_overview&amp;A=0.7089031909777955&amp;bct=A&amp;service=citation&amp;risb=&amp;langcountry=GB&amp;linkInfo=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397</Words>
  <Characters>2264</Characters>
  <Application>Microsoft Office Word</Application>
  <DocSecurity>4</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2019-03-26T09:22:00Z</dcterms:created>
  <dcterms:modified xsi:type="dcterms:W3CDTF">2019-03-26T09:22:00Z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4198c3bf-b2ce-42b3-b838-d93d461bfb89</vt:lpwstr>
  </property>
  <property fmtid="{D5CDD505-2E9C-101B-9397-08002B2CF9AE}" pid="3" name="Classification">
    <vt:lpwstr>OFFICIAL</vt:lpwstr>
  </property>
  <property fmtid="{D5CDD505-2E9C-101B-9397-08002B2CF9AE}" pid="4" name="Visibility">
    <vt:lpwstr>NOT VISIBLE</vt:lpwstr>
  </property>
</Properties>
</file>