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32E4CFA3" w:rsidR="00563B58" w:rsidRPr="00270EEB" w:rsidRDefault="00830BDA" w:rsidP="00340E9A">
      <w:pPr>
        <w:ind w:right="237"/>
        <w:rPr>
          <w:sz w:val="24"/>
          <w:szCs w:val="24"/>
        </w:rPr>
      </w:pPr>
      <w:r>
        <w:rPr>
          <w:sz w:val="24"/>
          <w:szCs w:val="24"/>
        </w:rPr>
        <w:t>w</w:t>
      </w: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6D0553"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239B58BE" w14:textId="15E0AF4E" w:rsidR="00A83623" w:rsidRPr="00A83623" w:rsidRDefault="00A83623" w:rsidP="009E49DB">
      <w:pPr>
        <w:ind w:right="237"/>
        <w:jc w:val="both"/>
        <w:rPr>
          <w:rFonts w:asciiTheme="minorHAnsi" w:hAnsiTheme="minorHAnsi" w:cstheme="minorHAnsi"/>
          <w:sz w:val="24"/>
          <w:szCs w:val="24"/>
        </w:rPr>
      </w:pPr>
      <w:r w:rsidRPr="00A83623">
        <w:rPr>
          <w:rFonts w:asciiTheme="minorHAnsi" w:hAnsiTheme="minorHAnsi" w:cstheme="minorHAnsi"/>
          <w:sz w:val="24"/>
          <w:szCs w:val="24"/>
        </w:rPr>
        <w:t>The term strategy has been associated with the process of planning (Fishe</w:t>
      </w:r>
      <w:r w:rsidR="00430E0D">
        <w:rPr>
          <w:rFonts w:asciiTheme="minorHAnsi" w:hAnsiTheme="minorHAnsi" w:cstheme="minorHAnsi"/>
          <w:sz w:val="24"/>
          <w:szCs w:val="24"/>
        </w:rPr>
        <w:t>r</w:t>
      </w:r>
      <w:r w:rsidRPr="00A83623">
        <w:rPr>
          <w:rFonts w:asciiTheme="minorHAnsi" w:hAnsiTheme="minorHAnsi" w:cstheme="minorHAnsi"/>
          <w:sz w:val="24"/>
          <w:szCs w:val="24"/>
        </w:rPr>
        <w:t xml:space="preserve"> </w:t>
      </w:r>
      <w:r w:rsidR="00430E0D" w:rsidRPr="00430E0D">
        <w:rPr>
          <w:rFonts w:asciiTheme="minorHAnsi" w:hAnsiTheme="minorHAnsi" w:cstheme="minorHAnsi"/>
          <w:i/>
          <w:iCs/>
          <w:sz w:val="24"/>
          <w:szCs w:val="24"/>
        </w:rPr>
        <w:t>et al</w:t>
      </w:r>
      <w:r w:rsidR="00430E0D">
        <w:rPr>
          <w:rFonts w:asciiTheme="minorHAnsi" w:hAnsiTheme="minorHAnsi" w:cstheme="minorHAnsi"/>
          <w:i/>
          <w:iCs/>
          <w:sz w:val="24"/>
          <w:szCs w:val="24"/>
        </w:rPr>
        <w:t>.</w:t>
      </w:r>
      <w:r w:rsidR="00430E0D">
        <w:rPr>
          <w:rFonts w:asciiTheme="minorHAnsi" w:hAnsiTheme="minorHAnsi" w:cstheme="minorHAnsi"/>
          <w:sz w:val="24"/>
          <w:szCs w:val="24"/>
        </w:rPr>
        <w:t xml:space="preserve"> </w:t>
      </w:r>
      <w:r w:rsidRPr="00A83623">
        <w:rPr>
          <w:rFonts w:asciiTheme="minorHAnsi" w:hAnsiTheme="minorHAnsi" w:cstheme="minorHAnsi"/>
          <w:sz w:val="24"/>
          <w:szCs w:val="24"/>
        </w:rPr>
        <w:t>2020). University of Cambridge (2016) take this further as a 5P strategy of: plan, ploy, pattern, position, and perspective. This essay explores the Workforce Transformation 2018 strategy to provide the framework to promote the quality of the people in its employment (National Police Chiefs Council, 2018). Professionalisation has been described a means to publicly recognise occupations; specifically, with a degree in the field of employment (Hoyle</w:t>
      </w:r>
      <w:r w:rsidR="00F210A3">
        <w:rPr>
          <w:rFonts w:asciiTheme="minorHAnsi" w:hAnsiTheme="minorHAnsi" w:cstheme="minorHAnsi"/>
          <w:sz w:val="24"/>
          <w:szCs w:val="24"/>
        </w:rPr>
        <w:t xml:space="preserve">, </w:t>
      </w:r>
      <w:r w:rsidRPr="00A83623">
        <w:rPr>
          <w:rFonts w:asciiTheme="minorHAnsi" w:hAnsiTheme="minorHAnsi" w:cstheme="minorHAnsi"/>
          <w:sz w:val="24"/>
          <w:szCs w:val="24"/>
        </w:rPr>
        <w:t xml:space="preserve">2001). A review of this strategy is carried out when compared to historic failing of the police that could be deemed through the lack of professionalism. It will be demonstrated that through the strategic direction to professionalise the police through academic endeavours and the concept of critical thinking, as a probationer in my final year, I am developing as an officer, meeting the strategic role of the College of Police. It will be evidenced that my professional conduct may be questioned by the public by virtue of wearing the uniform; however, the </w:t>
      </w:r>
      <w:proofErr w:type="gramStart"/>
      <w:r w:rsidRPr="00A83623">
        <w:rPr>
          <w:rFonts w:asciiTheme="minorHAnsi" w:hAnsiTheme="minorHAnsi" w:cstheme="minorHAnsi"/>
          <w:sz w:val="24"/>
          <w:szCs w:val="24"/>
        </w:rPr>
        <w:t>manner in which</w:t>
      </w:r>
      <w:proofErr w:type="gramEnd"/>
      <w:r w:rsidRPr="00A83623">
        <w:rPr>
          <w:rFonts w:asciiTheme="minorHAnsi" w:hAnsiTheme="minorHAnsi" w:cstheme="minorHAnsi"/>
          <w:sz w:val="24"/>
          <w:szCs w:val="24"/>
        </w:rPr>
        <w:t xml:space="preserve"> I engage with the public meets the ethical and professional standards espoused by the College of Policing.</w:t>
      </w:r>
    </w:p>
    <w:p w14:paraId="160A95D4" w14:textId="77777777" w:rsidR="00A83623" w:rsidRPr="00A83623" w:rsidRDefault="00A83623" w:rsidP="009E49DB">
      <w:pPr>
        <w:ind w:right="237"/>
        <w:jc w:val="both"/>
        <w:rPr>
          <w:rFonts w:asciiTheme="minorHAnsi" w:hAnsiTheme="minorHAnsi" w:cstheme="minorHAnsi"/>
          <w:sz w:val="24"/>
          <w:szCs w:val="24"/>
        </w:rPr>
      </w:pPr>
    </w:p>
    <w:p w14:paraId="2F229872" w14:textId="2DF0FF3F" w:rsidR="00A83623" w:rsidRPr="00A83623" w:rsidRDefault="00A83623" w:rsidP="009E49DB">
      <w:pPr>
        <w:ind w:right="237"/>
        <w:jc w:val="both"/>
        <w:rPr>
          <w:rFonts w:asciiTheme="minorHAnsi" w:hAnsiTheme="minorHAnsi" w:cstheme="minorHAnsi"/>
          <w:sz w:val="24"/>
          <w:szCs w:val="24"/>
        </w:rPr>
      </w:pPr>
      <w:r w:rsidRPr="00A83623">
        <w:rPr>
          <w:rFonts w:asciiTheme="minorHAnsi" w:hAnsiTheme="minorHAnsi" w:cstheme="minorHAnsi"/>
          <w:sz w:val="24"/>
          <w:szCs w:val="24"/>
        </w:rPr>
        <w:t xml:space="preserve">The College of Policing, which replaced the National Policing Improvement Agency, has a broad range of duties including providing the requirements for the police services education, professional growth, and skill set (Williams and Gooch, 2015). By using its understanding of "what works", it seeks to become the professional body for policing and </w:t>
      </w:r>
      <w:r w:rsidRPr="00A83623">
        <w:rPr>
          <w:rFonts w:asciiTheme="minorHAnsi" w:hAnsiTheme="minorHAnsi" w:cstheme="minorHAnsi"/>
          <w:sz w:val="24"/>
          <w:szCs w:val="24"/>
        </w:rPr>
        <w:lastRenderedPageBreak/>
        <w:t>apply the knowledge gained to improve standards, reduce crime, and safeguard the public (Williams and Gooch, 2015</w:t>
      </w:r>
      <w:r w:rsidR="0031011A">
        <w:rPr>
          <w:rFonts w:asciiTheme="minorHAnsi" w:hAnsiTheme="minorHAnsi" w:cstheme="minorHAnsi"/>
          <w:sz w:val="24"/>
          <w:szCs w:val="24"/>
        </w:rPr>
        <w:t xml:space="preserve"> and</w:t>
      </w:r>
      <w:r w:rsidRPr="00A83623">
        <w:rPr>
          <w:rFonts w:asciiTheme="minorHAnsi" w:hAnsiTheme="minorHAnsi" w:cstheme="minorHAnsi"/>
          <w:sz w:val="24"/>
          <w:szCs w:val="24"/>
        </w:rPr>
        <w:t xml:space="preserve"> College of Policing, 2023). Furthermore, the College of Policing are accountable for establishing the standards to which policing in England and Wales must adhere to (HMICRFS, 2018) and oversee complex decision-making made each day within professional policing (College of Policing, 2014). In addition, the College of Policing state the values, beliefs, attitudes, and information define a person’s ethical behaviour (College of Policing, 2014) and identified the exemplary standards of behaviour for everyone who works in policing; The Code of Ethics (College of Policing, 2014). This suggests that at the strategic level of policing, policy is established to professionalise the officer in their duties. Moreover, that a professional force also acts in an ethical manner. </w:t>
      </w:r>
    </w:p>
    <w:p w14:paraId="5D3F0A41" w14:textId="77777777" w:rsidR="00A83623" w:rsidRPr="00A83623" w:rsidRDefault="00A83623" w:rsidP="009E49DB">
      <w:pPr>
        <w:ind w:right="237"/>
        <w:jc w:val="both"/>
        <w:rPr>
          <w:rFonts w:asciiTheme="minorHAnsi" w:hAnsiTheme="minorHAnsi" w:cstheme="minorHAnsi"/>
          <w:sz w:val="24"/>
          <w:szCs w:val="24"/>
        </w:rPr>
      </w:pPr>
    </w:p>
    <w:p w14:paraId="56794C55" w14:textId="4D94D721" w:rsidR="00A83623" w:rsidRPr="00A83623" w:rsidRDefault="00A83623" w:rsidP="009E49DB">
      <w:pPr>
        <w:ind w:right="237"/>
        <w:jc w:val="both"/>
        <w:rPr>
          <w:rFonts w:asciiTheme="minorHAnsi" w:hAnsiTheme="minorHAnsi" w:cstheme="minorHAnsi"/>
          <w:sz w:val="24"/>
          <w:szCs w:val="24"/>
        </w:rPr>
      </w:pPr>
      <w:r w:rsidRPr="00A83623">
        <w:rPr>
          <w:rFonts w:asciiTheme="minorHAnsi" w:hAnsiTheme="minorHAnsi" w:cstheme="minorHAnsi"/>
          <w:sz w:val="24"/>
          <w:szCs w:val="24"/>
        </w:rPr>
        <w:t>However, the College of Policing have been falling short and not reaching its maximum potential (Herbert and Marsh, 2022) with an "</w:t>
      </w:r>
      <w:r w:rsidRPr="0031011A">
        <w:rPr>
          <w:rFonts w:asciiTheme="minorHAnsi" w:hAnsiTheme="minorHAnsi" w:cstheme="minorHAnsi"/>
          <w:i/>
          <w:iCs/>
          <w:sz w:val="24"/>
          <w:szCs w:val="24"/>
        </w:rPr>
        <w:t>alarming lack of consistency across forces</w:t>
      </w:r>
      <w:r w:rsidRPr="00A83623">
        <w:rPr>
          <w:rFonts w:asciiTheme="minorHAnsi" w:hAnsiTheme="minorHAnsi" w:cstheme="minorHAnsi"/>
          <w:sz w:val="24"/>
          <w:szCs w:val="24"/>
        </w:rPr>
        <w:t xml:space="preserve">" (Home Affairs Committee, 2016). Furthermore, Home Affairs Committee, (2016) concur with HMICFRS that it is unacceptable that police forces in England and Wales are failing to implement the College of Policing's Code of Ethics. Macpherson (1999) states that Sir Paul </w:t>
      </w:r>
      <w:proofErr w:type="spellStart"/>
      <w:r w:rsidRPr="00A83623">
        <w:rPr>
          <w:rFonts w:asciiTheme="minorHAnsi" w:hAnsiTheme="minorHAnsi" w:cstheme="minorHAnsi"/>
          <w:sz w:val="24"/>
          <w:szCs w:val="24"/>
        </w:rPr>
        <w:t>Crondon</w:t>
      </w:r>
      <w:proofErr w:type="spellEnd"/>
      <w:r w:rsidRPr="00A83623">
        <w:rPr>
          <w:rFonts w:asciiTheme="minorHAnsi" w:hAnsiTheme="minorHAnsi" w:cstheme="minorHAnsi"/>
          <w:sz w:val="24"/>
          <w:szCs w:val="24"/>
        </w:rPr>
        <w:t xml:space="preserve">, Commissioner of the Metropolitan Police at the time, denied institutional racism was a part of the metropolitan Police, instead claiming it was </w:t>
      </w:r>
      <w:r w:rsidR="0031011A">
        <w:rPr>
          <w:rFonts w:asciiTheme="minorHAnsi" w:hAnsiTheme="minorHAnsi" w:cstheme="minorHAnsi"/>
          <w:sz w:val="24"/>
          <w:szCs w:val="24"/>
        </w:rPr>
        <w:t>“</w:t>
      </w:r>
      <w:r w:rsidRPr="0031011A">
        <w:rPr>
          <w:rFonts w:asciiTheme="minorHAnsi" w:hAnsiTheme="minorHAnsi" w:cstheme="minorHAnsi"/>
          <w:i/>
          <w:iCs/>
          <w:sz w:val="24"/>
          <w:szCs w:val="24"/>
        </w:rPr>
        <w:t>individual officers</w:t>
      </w:r>
      <w:r w:rsidRPr="00A83623">
        <w:rPr>
          <w:rFonts w:asciiTheme="minorHAnsi" w:hAnsiTheme="minorHAnsi" w:cstheme="minorHAnsi"/>
          <w:sz w:val="24"/>
          <w:szCs w:val="24"/>
        </w:rPr>
        <w:t xml:space="preserve">” who displayed racist tendencies by stereotyping. The Policing Vision 2015 and the College of Policing’s 5 Year Strategy states the Chief Constable of a force provide leadership and are to be held accountable for officers within the force who fall below what is expected of them (National Police Chiefs Council, 2015). Additionally, the Chief Constable should demonstrate a personal example of the Code of Ethics (College of Policing, 2014). In 2015, Commissioner of the Metropolitan Police Sir Paul </w:t>
      </w:r>
      <w:proofErr w:type="spellStart"/>
      <w:r w:rsidRPr="00A83623">
        <w:rPr>
          <w:rFonts w:asciiTheme="minorHAnsi" w:hAnsiTheme="minorHAnsi" w:cstheme="minorHAnsi"/>
          <w:sz w:val="24"/>
          <w:szCs w:val="24"/>
        </w:rPr>
        <w:t>Crondon</w:t>
      </w:r>
      <w:proofErr w:type="spellEnd"/>
      <w:r w:rsidRPr="00A83623">
        <w:rPr>
          <w:rFonts w:asciiTheme="minorHAnsi" w:hAnsiTheme="minorHAnsi" w:cstheme="minorHAnsi"/>
          <w:sz w:val="24"/>
          <w:szCs w:val="24"/>
        </w:rPr>
        <w:t xml:space="preserve">, caused controversy by claiming that most black people were muggers (Mills and Wards, 2015); Sir Paul </w:t>
      </w:r>
      <w:proofErr w:type="spellStart"/>
      <w:r w:rsidRPr="00A83623">
        <w:rPr>
          <w:rFonts w:asciiTheme="minorHAnsi" w:hAnsiTheme="minorHAnsi" w:cstheme="minorHAnsi"/>
          <w:sz w:val="24"/>
          <w:szCs w:val="24"/>
        </w:rPr>
        <w:t>Crondon</w:t>
      </w:r>
      <w:proofErr w:type="spellEnd"/>
      <w:r w:rsidRPr="00A83623">
        <w:rPr>
          <w:rFonts w:asciiTheme="minorHAnsi" w:hAnsiTheme="minorHAnsi" w:cstheme="minorHAnsi"/>
          <w:sz w:val="24"/>
          <w:szCs w:val="24"/>
        </w:rPr>
        <w:t xml:space="preserve"> remained Commissioner of the Metropolitan Police until 2000 (Perkins, 2001). This suggests that even in more recent times, racism has existed within the police. Sir Paul </w:t>
      </w:r>
      <w:proofErr w:type="spellStart"/>
      <w:r w:rsidRPr="00A83623">
        <w:rPr>
          <w:rFonts w:asciiTheme="minorHAnsi" w:hAnsiTheme="minorHAnsi" w:cstheme="minorHAnsi"/>
          <w:sz w:val="24"/>
          <w:szCs w:val="24"/>
        </w:rPr>
        <w:t>Crondon</w:t>
      </w:r>
      <w:proofErr w:type="spellEnd"/>
      <w:r w:rsidRPr="00A83623">
        <w:rPr>
          <w:rFonts w:asciiTheme="minorHAnsi" w:hAnsiTheme="minorHAnsi" w:cstheme="minorHAnsi"/>
          <w:sz w:val="24"/>
          <w:szCs w:val="24"/>
        </w:rPr>
        <w:t xml:space="preserve"> remained in his post for a further five years after making such a brazen and racist remark against black people within the communities he served. It could be argued that even at the strategic level, policy for vetting of officers is not conducted properly and /or are not being held accountable for their racist conduct. The Independent Office for Police Conduct (2021) claims they will hold forces accountable for any instances of racial discrimination and inequality in policing in England and Wales. However, The Independent Office for Police Conduct (2021) claim in 2019/20, during an investigation into allegations of discrimination only 2% were upheld. This could infer that the strategic targets for professionalism are not being met at all </w:t>
      </w:r>
      <w:r w:rsidR="003A0E35" w:rsidRPr="00A83623">
        <w:rPr>
          <w:rFonts w:asciiTheme="minorHAnsi" w:hAnsiTheme="minorHAnsi" w:cstheme="minorHAnsi"/>
          <w:sz w:val="24"/>
          <w:szCs w:val="24"/>
        </w:rPr>
        <w:t>levels</w:t>
      </w:r>
      <w:r w:rsidRPr="00A83623">
        <w:rPr>
          <w:rFonts w:asciiTheme="minorHAnsi" w:hAnsiTheme="minorHAnsi" w:cstheme="minorHAnsi"/>
          <w:sz w:val="24"/>
          <w:szCs w:val="24"/>
        </w:rPr>
        <w:t xml:space="preserve">; however, that where they are not being met, they are being challenged publicly which could drive professionalism forward in a positive manner. </w:t>
      </w:r>
    </w:p>
    <w:p w14:paraId="0672483A" w14:textId="77777777" w:rsidR="00A83623" w:rsidRPr="00A83623" w:rsidRDefault="00A83623" w:rsidP="009E49DB">
      <w:pPr>
        <w:ind w:right="237"/>
        <w:jc w:val="both"/>
        <w:rPr>
          <w:rFonts w:asciiTheme="minorHAnsi" w:hAnsiTheme="minorHAnsi" w:cstheme="minorHAnsi"/>
          <w:sz w:val="24"/>
          <w:szCs w:val="24"/>
        </w:rPr>
      </w:pPr>
    </w:p>
    <w:p w14:paraId="69498966" w14:textId="77777777" w:rsidR="00A83623" w:rsidRPr="00A83623" w:rsidRDefault="00A83623" w:rsidP="009E49DB">
      <w:pPr>
        <w:ind w:right="237"/>
        <w:jc w:val="both"/>
        <w:rPr>
          <w:rFonts w:asciiTheme="minorHAnsi" w:hAnsiTheme="minorHAnsi" w:cstheme="minorHAnsi"/>
          <w:sz w:val="24"/>
          <w:szCs w:val="24"/>
        </w:rPr>
      </w:pPr>
      <w:r w:rsidRPr="00A83623">
        <w:rPr>
          <w:rFonts w:asciiTheme="minorHAnsi" w:hAnsiTheme="minorHAnsi" w:cstheme="minorHAnsi"/>
          <w:sz w:val="24"/>
          <w:szCs w:val="24"/>
        </w:rPr>
        <w:t>The College of Policing (2014) instruct that officers have a duty to challenge, report, or take appropriate action when they have recognised unethical behaviour from a colleague with the Home Affairs Committee (2016) adding that ethical behaviour should be “</w:t>
      </w:r>
      <w:r w:rsidRPr="004C0630">
        <w:rPr>
          <w:rFonts w:asciiTheme="minorHAnsi" w:hAnsiTheme="minorHAnsi" w:cstheme="minorHAnsi"/>
          <w:i/>
          <w:iCs/>
          <w:sz w:val="24"/>
          <w:szCs w:val="24"/>
        </w:rPr>
        <w:t>instilled in the DNA of serving officers</w:t>
      </w:r>
      <w:r w:rsidRPr="00A83623">
        <w:rPr>
          <w:rFonts w:asciiTheme="minorHAnsi" w:hAnsiTheme="minorHAnsi" w:cstheme="minorHAnsi"/>
          <w:sz w:val="24"/>
          <w:szCs w:val="24"/>
        </w:rPr>
        <w:t>” and “</w:t>
      </w:r>
      <w:r w:rsidRPr="004C0630">
        <w:rPr>
          <w:rFonts w:asciiTheme="minorHAnsi" w:hAnsiTheme="minorHAnsi" w:cstheme="minorHAnsi"/>
          <w:i/>
          <w:iCs/>
          <w:sz w:val="24"/>
          <w:szCs w:val="24"/>
        </w:rPr>
        <w:t>embraced by Chief Constables and serving officers so that it becomes rooted in police culture, throughout the ranks</w:t>
      </w:r>
      <w:r w:rsidRPr="00A83623">
        <w:rPr>
          <w:rFonts w:asciiTheme="minorHAnsi" w:hAnsiTheme="minorHAnsi" w:cstheme="minorHAnsi"/>
          <w:sz w:val="24"/>
          <w:szCs w:val="24"/>
        </w:rPr>
        <w:t>”. Police culture is described as "</w:t>
      </w:r>
      <w:r w:rsidRPr="004C0630">
        <w:rPr>
          <w:rFonts w:asciiTheme="minorHAnsi" w:hAnsiTheme="minorHAnsi" w:cstheme="minorHAnsi"/>
          <w:i/>
          <w:iCs/>
          <w:sz w:val="24"/>
          <w:szCs w:val="24"/>
        </w:rPr>
        <w:t>the complex of shared values, beliefs, attitudes, expectations, and standards among police officers that can affect their professional practises and approach to policing</w:t>
      </w:r>
      <w:r w:rsidRPr="00A83623">
        <w:rPr>
          <w:rFonts w:asciiTheme="minorHAnsi" w:hAnsiTheme="minorHAnsi" w:cstheme="minorHAnsi"/>
          <w:sz w:val="24"/>
          <w:szCs w:val="24"/>
        </w:rPr>
        <w:t xml:space="preserve">" (Atkinson, 2017). The core values of the Code of Ethics are accountability, integrity, openness, fairness, leadership, respect, honesty, objectivity, and selflessness (College of Policing, </w:t>
      </w:r>
      <w:r w:rsidRPr="00A83623">
        <w:rPr>
          <w:rFonts w:asciiTheme="minorHAnsi" w:hAnsiTheme="minorHAnsi" w:cstheme="minorHAnsi"/>
          <w:sz w:val="24"/>
          <w:szCs w:val="24"/>
        </w:rPr>
        <w:lastRenderedPageBreak/>
        <w:t xml:space="preserve">2014). A challenge I face on a regular basis is members of the community challenging my personal ethics because of the uniform I wear. Honestly and integrity is an important value to policing (College of Policing, 2014) that reminds me that I must be open and truthful to the people that accuse me, or the </w:t>
      </w:r>
      <w:proofErr w:type="gramStart"/>
      <w:r w:rsidRPr="00A83623">
        <w:rPr>
          <w:rFonts w:asciiTheme="minorHAnsi" w:hAnsiTheme="minorHAnsi" w:cstheme="minorHAnsi"/>
          <w:sz w:val="24"/>
          <w:szCs w:val="24"/>
        </w:rPr>
        <w:t>police as a whole, of</w:t>
      </w:r>
      <w:proofErr w:type="gramEnd"/>
      <w:r w:rsidRPr="00A83623">
        <w:rPr>
          <w:rFonts w:asciiTheme="minorHAnsi" w:hAnsiTheme="minorHAnsi" w:cstheme="minorHAnsi"/>
          <w:sz w:val="24"/>
          <w:szCs w:val="24"/>
        </w:rPr>
        <w:t xml:space="preserve"> failing them or being racist. In these moments, I am open with them and explain that police officers before me may have harboured negative and unethical traits; however, I remind them that this is the first time that they have met me and I can only speak for myself when I say, that I personally do uphold the Code of Ethics as a core value and I will treat them with respect, protect them and that I will do my duty to the best of my ability. But I also request that respect is mutual with an aim or finding some common ground so that offender and/or victim, will begin to build a level of trust with me and help to provide them with a positive experience from the police service. </w:t>
      </w:r>
    </w:p>
    <w:p w14:paraId="4528EDF7" w14:textId="77777777" w:rsidR="00A83623" w:rsidRPr="00A83623" w:rsidRDefault="00A83623" w:rsidP="009E49DB">
      <w:pPr>
        <w:ind w:right="237"/>
        <w:jc w:val="both"/>
        <w:rPr>
          <w:rFonts w:asciiTheme="minorHAnsi" w:hAnsiTheme="minorHAnsi" w:cstheme="minorHAnsi"/>
          <w:sz w:val="24"/>
          <w:szCs w:val="24"/>
        </w:rPr>
      </w:pPr>
    </w:p>
    <w:p w14:paraId="4E3DE363" w14:textId="3EDB393D" w:rsidR="00A83623" w:rsidRPr="00A83623" w:rsidRDefault="00A83623" w:rsidP="009E49DB">
      <w:pPr>
        <w:ind w:right="237"/>
        <w:jc w:val="both"/>
        <w:rPr>
          <w:rFonts w:asciiTheme="minorHAnsi" w:hAnsiTheme="minorHAnsi" w:cstheme="minorHAnsi"/>
          <w:sz w:val="24"/>
          <w:szCs w:val="24"/>
        </w:rPr>
      </w:pPr>
      <w:r w:rsidRPr="00A83623">
        <w:rPr>
          <w:rFonts w:asciiTheme="minorHAnsi" w:hAnsiTheme="minorHAnsi" w:cstheme="minorHAnsi"/>
          <w:sz w:val="24"/>
          <w:szCs w:val="24"/>
        </w:rPr>
        <w:t>A wide range of coordinated national projects supporting the reform of the policing workforce, were formed by the College of Policing in collaboration with the National Police Chiefs' Council, creating the Workforce Transformation 2018 (College of Policing and</w:t>
      </w:r>
      <w:r w:rsidR="003A0E35">
        <w:rPr>
          <w:rFonts w:asciiTheme="minorHAnsi" w:hAnsiTheme="minorHAnsi" w:cstheme="minorHAnsi"/>
          <w:sz w:val="24"/>
          <w:szCs w:val="24"/>
        </w:rPr>
        <w:t xml:space="preserve"> </w:t>
      </w:r>
      <w:r w:rsidRPr="00A83623">
        <w:rPr>
          <w:rFonts w:asciiTheme="minorHAnsi" w:hAnsiTheme="minorHAnsi" w:cstheme="minorHAnsi"/>
          <w:sz w:val="24"/>
          <w:szCs w:val="24"/>
        </w:rPr>
        <w:t>National Police Chiefs’ Council, 2018). The Workforce Transformation 2018’s objective is to implement a range of specialised tactics to recruit first-rate new employees in the current competitive employment market which will aid in the fulfilment of the Policing Vision 2025 (Collage of Policing and the National Police Chiefs’ Council, 2018). In conjunction with the Workforce Transformation, the Policing Vison 2025 supports the professional development of police officers (Association of Police and Crime Commissioners and National Police Chiefs’ Council, 2015). 2018 saw the establishment of a brand-new degree apprenticeship entry route for newly recruited police officers who will be required to complete the Policing Education Qualifications Framework (PEQF) (Collage of Policing and the National Police Chiefs’ Council, 2018) which includes the Police Constable Degree Apprenticeship (PCDA) (College of Policing, 2020). This could suggest that a means of measuring professionalism is by academic ability or level of academic study. It is argued however, that an academic level of achievement may not have direct corelation to hands on day-to-day policing.</w:t>
      </w:r>
    </w:p>
    <w:p w14:paraId="374931D2" w14:textId="77777777" w:rsidR="00A83623" w:rsidRPr="00A83623" w:rsidRDefault="00A83623" w:rsidP="009E49DB">
      <w:pPr>
        <w:ind w:right="237"/>
        <w:jc w:val="both"/>
        <w:rPr>
          <w:rFonts w:asciiTheme="minorHAnsi" w:hAnsiTheme="minorHAnsi" w:cstheme="minorHAnsi"/>
          <w:sz w:val="24"/>
          <w:szCs w:val="24"/>
        </w:rPr>
      </w:pPr>
      <w:r w:rsidRPr="00A83623">
        <w:rPr>
          <w:rFonts w:asciiTheme="minorHAnsi" w:hAnsiTheme="minorHAnsi" w:cstheme="minorHAnsi"/>
          <w:sz w:val="24"/>
          <w:szCs w:val="24"/>
        </w:rPr>
        <w:t xml:space="preserve">However, for newly appointed officers, the PCDA is a foundation for professional training and academics. It is built on a contemporary curriculum that combines sound academic education with dynamic operational training (College of Policing, 2020). Completing the degree, officers will gain understanding of the subject and may promote development in the related fields (Patterson, 2022). Earning a degree involves more than just mastering a single field of study; critical thinking is a key part of studying a degree as it allows them to gain transferable skills to for the workplace, such as: solving issues, making plans, and innovate in the workplace (University of the Potomac, 2019). Critical thinking involves more than simply summarising what you've read or heard in lectures (University of Edinburgh, 2021). Burns and </w:t>
      </w:r>
      <w:proofErr w:type="spellStart"/>
      <w:r w:rsidRPr="00A83623">
        <w:rPr>
          <w:rFonts w:asciiTheme="minorHAnsi" w:hAnsiTheme="minorHAnsi" w:cstheme="minorHAnsi"/>
          <w:sz w:val="24"/>
          <w:szCs w:val="24"/>
        </w:rPr>
        <w:t>Sinfield</w:t>
      </w:r>
      <w:proofErr w:type="spellEnd"/>
      <w:r w:rsidRPr="00A83623">
        <w:rPr>
          <w:rFonts w:asciiTheme="minorHAnsi" w:hAnsiTheme="minorHAnsi" w:cstheme="minorHAnsi"/>
          <w:sz w:val="24"/>
          <w:szCs w:val="24"/>
        </w:rPr>
        <w:t xml:space="preserve"> (2016) define critical thinking as “</w:t>
      </w:r>
      <w:r w:rsidRPr="005D3CA9">
        <w:rPr>
          <w:rFonts w:asciiTheme="minorHAnsi" w:hAnsiTheme="minorHAnsi" w:cstheme="minorHAnsi"/>
          <w:i/>
          <w:iCs/>
          <w:sz w:val="24"/>
          <w:szCs w:val="24"/>
        </w:rPr>
        <w:t>the art of making clear, reasoned judgements based on interpreting, understanding, applying and synthesising evidence gathered from observation, reading and experimentation</w:t>
      </w:r>
      <w:r w:rsidRPr="00A83623">
        <w:rPr>
          <w:rFonts w:asciiTheme="minorHAnsi" w:hAnsiTheme="minorHAnsi" w:cstheme="minorHAnsi"/>
          <w:sz w:val="24"/>
          <w:szCs w:val="24"/>
        </w:rPr>
        <w:t xml:space="preserve">”. Professionalism is frequently seen as a desirable attribute among employees and managers (Sah, 2022). The two most important skills that businesses look for when hiring are critical thinking and professionalism (Larsen, 2022). The expectation of professionalism in policing, is in part, a key factor that promotes police authority as well as trust and respect towards police officers (Vespucci, 2022). Previously, degree level educations have proven to be a requirement for entering several particularly intellectual job markets (Oxbridge, 2020). This </w:t>
      </w:r>
      <w:r w:rsidRPr="00A83623">
        <w:rPr>
          <w:rFonts w:asciiTheme="minorHAnsi" w:hAnsiTheme="minorHAnsi" w:cstheme="minorHAnsi"/>
          <w:sz w:val="24"/>
          <w:szCs w:val="24"/>
        </w:rPr>
        <w:lastRenderedPageBreak/>
        <w:t>resonates with my professional development through my probation, now that near my third and final year of probation. I have found that my academic writing and critical thinking has improved as I have progressed through the PCDA. This has been a skill that has been extremely useful when dealing with victims and offenders. My academic writing has received praise from Sergeants, Inspectors and Detective Inspectors for the quality of my statements; in one incident, I wrote a victim statement where a victim was assaulted by her partner who was a High-Risk Domestic Abuse aggressor. The offender was ultimately sentenced to 6 years imprisonment and received a restraining order to further safeguard the victim. My critical thinking has assisted me during live incidents when faced with conflicting accounts and when incidents can change within a few seconds. In addition, critical thinking has largely helped me during suspect interviews as I am able to analyse and evaluate suspect accounts and challenge them on any discrepancies that I discover. This will often highlight a lack of truth telling which can lead the offender into tripping themselves up. It also allowed me to identify when someone is giving an honest account whether that be they are guilty of the offence they are being interview for or not. Moreover, it has helped me develop a questioning stance to the difference between opinions offered and facts presented.</w:t>
      </w:r>
    </w:p>
    <w:p w14:paraId="0E090B80" w14:textId="77777777" w:rsidR="00A83623" w:rsidRPr="00A83623" w:rsidRDefault="00A83623" w:rsidP="009E49DB">
      <w:pPr>
        <w:ind w:right="237"/>
        <w:jc w:val="both"/>
        <w:rPr>
          <w:rFonts w:asciiTheme="minorHAnsi" w:hAnsiTheme="minorHAnsi" w:cstheme="minorHAnsi"/>
          <w:sz w:val="24"/>
          <w:szCs w:val="24"/>
        </w:rPr>
      </w:pPr>
    </w:p>
    <w:p w14:paraId="0C0AE88C" w14:textId="77777777" w:rsidR="00A83623" w:rsidRPr="00A83623" w:rsidRDefault="00A83623" w:rsidP="009E49DB">
      <w:pPr>
        <w:ind w:right="237"/>
        <w:jc w:val="both"/>
        <w:rPr>
          <w:rFonts w:asciiTheme="minorHAnsi" w:hAnsiTheme="minorHAnsi" w:cstheme="minorHAnsi"/>
          <w:sz w:val="24"/>
          <w:szCs w:val="24"/>
        </w:rPr>
      </w:pPr>
      <w:r w:rsidRPr="00A83623">
        <w:rPr>
          <w:rFonts w:asciiTheme="minorHAnsi" w:hAnsiTheme="minorHAnsi" w:cstheme="minorHAnsi"/>
          <w:sz w:val="24"/>
          <w:szCs w:val="24"/>
        </w:rPr>
        <w:t xml:space="preserve">To conclude, Williams and Gooch (2015) infer that the College of Police provide the framework for professional growth, and the College of Policing (2023) strive to improve standards in the interest of the public.  Therefore, suggesting there is defined strategy to establish a professional framework. However, Herbert and Marsh (2022) suggest that the College of Policing are falling short of their strategic objective. Supported by the Home Affairs Committee (2016) that forces are not implementing the College of policing professionalising strategy.  However, it was argued that by measuring the effectiveness of the development of strategic professionalism publicly, forces are held accountable; therefore, striving to meet the strategic goals. </w:t>
      </w:r>
    </w:p>
    <w:p w14:paraId="3B855813" w14:textId="1987FB6F" w:rsidR="00FF7784" w:rsidRPr="00A83623" w:rsidRDefault="00A83623" w:rsidP="009E49DB">
      <w:pPr>
        <w:ind w:right="237"/>
        <w:jc w:val="both"/>
        <w:rPr>
          <w:rFonts w:asciiTheme="minorHAnsi" w:hAnsiTheme="minorHAnsi" w:cstheme="minorHAnsi"/>
          <w:sz w:val="24"/>
          <w:szCs w:val="24"/>
        </w:rPr>
      </w:pPr>
      <w:r w:rsidRPr="00A83623">
        <w:rPr>
          <w:rFonts w:asciiTheme="minorHAnsi" w:hAnsiTheme="minorHAnsi" w:cstheme="minorHAnsi"/>
          <w:sz w:val="24"/>
          <w:szCs w:val="24"/>
        </w:rPr>
        <w:t>As a member of the degree apprenticeship, I have embarked on journey that was deemed a route to professionalising the police force (College of Policing and the National Police Chiefs’ Council, 2018). Upon reflection, my professional written work has developed as a direct result of this strategic goal and evidenced by positive feedback from my line managers. Moreover, academic critical thinking has transitioned in my professional capacity, presenting as a more professional officer. Additionally, by studying the strategic goals and historic failures of the police I understand the public perception and confront it from a personal perspective; therefore, working to fulfil the role of a modern professional police officer.</w:t>
      </w:r>
    </w:p>
    <w:p w14:paraId="6CAC3913" w14:textId="53B6AD76" w:rsidR="00FF7784" w:rsidRPr="00270EEB" w:rsidRDefault="005D3CA9" w:rsidP="00340E9A">
      <w:pPr>
        <w:ind w:right="237"/>
        <w:jc w:val="both"/>
        <w:rPr>
          <w:sz w:val="24"/>
          <w:szCs w:val="24"/>
        </w:rPr>
      </w:pPr>
      <w:r w:rsidRPr="00BA5B0A">
        <w:rPr>
          <w:rFonts w:asciiTheme="minorHAnsi" w:hAnsiTheme="minorHAnsi" w:cstheme="minorHAnsi"/>
          <w:sz w:val="24"/>
          <w:szCs w:val="24"/>
          <w:u w:val="single"/>
        </w:rPr>
        <w:t>Word count 1926</w:t>
      </w: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Pr="00C011C2" w:rsidRDefault="00DF4CF5" w:rsidP="00DF4CF5">
            <w:pPr>
              <w:overflowPunct/>
              <w:autoSpaceDE/>
              <w:autoSpaceDN/>
              <w:adjustRightInd/>
              <w:textAlignment w:val="auto"/>
              <w:rPr>
                <w:rStyle w:val="normaltextrun"/>
                <w:sz w:val="18"/>
                <w:szCs w:val="18"/>
                <w:lang w:val="en-US"/>
              </w:rPr>
            </w:pPr>
          </w:p>
          <w:p w14:paraId="380BB684" w14:textId="60D5F5B2" w:rsidR="00650CE9" w:rsidRPr="00C011C2"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C011C2">
              <w:rPr>
                <w:rStyle w:val="normaltextrun"/>
                <w:rFonts w:ascii="Arial" w:hAnsi="Arial" w:cs="Arial"/>
                <w:color w:val="000000"/>
              </w:rPr>
              <w:t xml:space="preserve">Critically </w:t>
            </w:r>
            <w:r w:rsidR="0F840A10" w:rsidRPr="00C011C2">
              <w:rPr>
                <w:rStyle w:val="normaltextrun"/>
                <w:rFonts w:ascii="Arial" w:hAnsi="Arial" w:cs="Arial"/>
                <w:color w:val="000000"/>
              </w:rPr>
              <w:t>evaluate</w:t>
            </w:r>
            <w:r w:rsidR="0F840A10" w:rsidRPr="00C011C2">
              <w:rPr>
                <w:rStyle w:val="normaltextrun"/>
                <w:rFonts w:ascii="Arial" w:hAnsi="Arial" w:cs="Arial"/>
                <w:b/>
                <w:bCs/>
                <w:color w:val="000000"/>
              </w:rPr>
              <w:t xml:space="preserve"> </w:t>
            </w:r>
            <w:r w:rsidR="0F840A10" w:rsidRPr="00C011C2">
              <w:rPr>
                <w:rStyle w:val="normaltextrun"/>
                <w:rFonts w:ascii="Arial" w:hAnsi="Arial" w:cs="Arial"/>
                <w:color w:val="000000" w:themeColor="text1"/>
              </w:rPr>
              <w:t xml:space="preserve">your experience </w:t>
            </w:r>
            <w:r w:rsidR="1577BD43" w:rsidRPr="00C011C2">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Pr="00C011C2"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Pr="00C011C2"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C011C2">
              <w:rPr>
                <w:rStyle w:val="normaltextrun"/>
                <w:rFonts w:ascii="Arial" w:hAnsi="Arial" w:cs="Arial"/>
                <w:i/>
                <w:iCs/>
                <w:color w:val="000000" w:themeColor="text1"/>
              </w:rPr>
              <w:t>Consider the force policy on using social media for professional information and engagement purposes.</w:t>
            </w:r>
            <w:r w:rsidR="6783D1BC" w:rsidRPr="00C011C2">
              <w:rPr>
                <w:rStyle w:val="normaltextrun"/>
                <w:rFonts w:ascii="Arial" w:hAnsi="Arial" w:cs="Arial"/>
                <w:i/>
                <w:iCs/>
                <w:color w:val="000000" w:themeColor="text1"/>
              </w:rPr>
              <w:t xml:space="preserve"> </w:t>
            </w:r>
          </w:p>
          <w:p w14:paraId="332FF84F" w14:textId="1E99F963" w:rsidR="00650CE9" w:rsidRPr="00C011C2"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C011C2">
              <w:rPr>
                <w:rStyle w:val="normaltextrun"/>
                <w:rFonts w:ascii="Arial" w:hAnsi="Arial" w:cs="Arial"/>
                <w:i/>
                <w:iCs/>
                <w:color w:val="000000" w:themeColor="text1"/>
              </w:rPr>
              <w:t>What social media platforms are used by policing?</w:t>
            </w:r>
          </w:p>
          <w:p w14:paraId="0E1565B8" w14:textId="7F4200B4" w:rsidR="00650CE9" w:rsidRPr="00C011C2"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C011C2">
              <w:rPr>
                <w:rStyle w:val="normaltextrun"/>
                <w:rFonts w:ascii="Arial" w:hAnsi="Arial" w:cs="Arial"/>
                <w:i/>
                <w:iCs/>
                <w:color w:val="000000" w:themeColor="text1"/>
              </w:rPr>
              <w:t>What are the benefits and risks of using social media?</w:t>
            </w:r>
          </w:p>
          <w:p w14:paraId="63FF0BBF" w14:textId="203942E5" w:rsidR="00650CE9" w:rsidRPr="00C011C2"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Pr="00C011C2"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Pr="00C011C2"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00C011C2">
              <w:rPr>
                <w:rStyle w:val="eop"/>
                <w:rFonts w:ascii="Arial" w:hAnsi="Arial" w:cs="Arial"/>
                <w:color w:val="000000" w:themeColor="text1"/>
              </w:rPr>
              <w:t> </w:t>
            </w:r>
          </w:p>
          <w:p w14:paraId="69D258B8" w14:textId="18B1FDF0" w:rsidR="00650CE9" w:rsidRPr="00C011C2"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C011C2">
              <w:rPr>
                <w:rStyle w:val="normaltextrun"/>
                <w:rFonts w:ascii="Arial" w:hAnsi="Arial" w:cs="Arial"/>
                <w:color w:val="000000" w:themeColor="text1"/>
              </w:rPr>
              <w:t>2</w:t>
            </w:r>
            <w:r w:rsidR="70F9563B" w:rsidRPr="00C011C2">
              <w:rPr>
                <w:rStyle w:val="normaltextrun"/>
                <w:rFonts w:ascii="Arial" w:hAnsi="Arial" w:cs="Arial"/>
                <w:color w:val="000000" w:themeColor="text1"/>
              </w:rPr>
              <w:t>000</w:t>
            </w:r>
            <w:r w:rsidR="00650CE9" w:rsidRPr="00C011C2">
              <w:rPr>
                <w:rStyle w:val="normaltextrun"/>
                <w:rFonts w:ascii="Arial" w:hAnsi="Arial" w:cs="Arial"/>
                <w:color w:val="000000" w:themeColor="text1"/>
              </w:rPr>
              <w:t> words </w:t>
            </w:r>
            <w:r w:rsidR="00650CE9" w:rsidRPr="00C011C2">
              <w:rPr>
                <w:rStyle w:val="normaltextrun"/>
                <w:rFonts w:ascii="Arial" w:hAnsi="Arial" w:cs="Arial"/>
                <w:i/>
                <w:iCs/>
                <w:color w:val="000000" w:themeColor="text1"/>
              </w:rPr>
              <w:t>(+/- 10%: include your actual word count at the end of each section)</w:t>
            </w:r>
            <w:r w:rsidR="00650CE9" w:rsidRPr="00C011C2">
              <w:rPr>
                <w:rStyle w:val="eop"/>
                <w:rFonts w:ascii="Arial" w:hAnsi="Arial" w:cs="Arial"/>
                <w:color w:val="000000" w:themeColor="text1"/>
              </w:rPr>
              <w:t> </w:t>
            </w:r>
          </w:p>
          <w:p w14:paraId="306CE1D6" w14:textId="2A2C23EF" w:rsidR="008171E4" w:rsidRPr="00C011C2"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2313FF4" w14:textId="6F8C321A" w:rsidR="00A21F20" w:rsidRPr="00A21F20" w:rsidRDefault="00A21F20" w:rsidP="00A21F20">
      <w:pPr>
        <w:ind w:right="237"/>
        <w:jc w:val="both"/>
        <w:rPr>
          <w:rFonts w:asciiTheme="minorHAnsi" w:hAnsiTheme="minorHAnsi" w:cstheme="minorHAnsi"/>
          <w:sz w:val="24"/>
          <w:szCs w:val="24"/>
        </w:rPr>
      </w:pPr>
      <w:r w:rsidRPr="00A21F20">
        <w:rPr>
          <w:rFonts w:asciiTheme="minorHAnsi" w:hAnsiTheme="minorHAnsi" w:cstheme="minorHAnsi"/>
          <w:sz w:val="24"/>
          <w:szCs w:val="24"/>
        </w:rPr>
        <w:t>At the rudimentary level of understanding, social media is “</w:t>
      </w:r>
      <w:r w:rsidRPr="00A21F20">
        <w:rPr>
          <w:rFonts w:asciiTheme="minorHAnsi" w:hAnsiTheme="minorHAnsi" w:cstheme="minorHAnsi"/>
          <w:i/>
          <w:iCs/>
          <w:sz w:val="24"/>
          <w:szCs w:val="24"/>
        </w:rPr>
        <w:t>a collection of websites and applications designed to build and enhance online communities</w:t>
      </w:r>
      <w:r w:rsidRPr="00A21F20">
        <w:rPr>
          <w:rFonts w:asciiTheme="minorHAnsi" w:hAnsiTheme="minorHAnsi" w:cstheme="minorHAnsi"/>
          <w:sz w:val="24"/>
          <w:szCs w:val="24"/>
        </w:rPr>
        <w:t>” (Osborne‐Gowey, J, 2014), revolutionising how communities engage (</w:t>
      </w:r>
      <w:proofErr w:type="spellStart"/>
      <w:r w:rsidRPr="00A21F20">
        <w:rPr>
          <w:rFonts w:asciiTheme="minorHAnsi" w:hAnsiTheme="minorHAnsi" w:cstheme="minorHAnsi"/>
          <w:sz w:val="24"/>
          <w:szCs w:val="24"/>
        </w:rPr>
        <w:t>Baccarella</w:t>
      </w:r>
      <w:proofErr w:type="spellEnd"/>
      <w:r>
        <w:rPr>
          <w:rFonts w:asciiTheme="minorHAnsi" w:hAnsiTheme="minorHAnsi" w:cstheme="minorHAnsi"/>
          <w:sz w:val="24"/>
          <w:szCs w:val="24"/>
        </w:rPr>
        <w:t xml:space="preserve"> </w:t>
      </w:r>
      <w:r w:rsidRPr="00A21F20">
        <w:rPr>
          <w:rFonts w:asciiTheme="minorHAnsi" w:hAnsiTheme="minorHAnsi" w:cstheme="minorHAnsi"/>
          <w:sz w:val="24"/>
          <w:szCs w:val="24"/>
        </w:rPr>
        <w:t xml:space="preserve">et al. 2018). Community has a sense of identity (Centre </w:t>
      </w:r>
      <w:r w:rsidRPr="00A21F20">
        <w:rPr>
          <w:rFonts w:asciiTheme="minorHAnsi" w:hAnsiTheme="minorHAnsi" w:cstheme="minorHAnsi"/>
          <w:sz w:val="24"/>
          <w:szCs w:val="24"/>
        </w:rPr>
        <w:t>for</w:t>
      </w:r>
      <w:r w:rsidRPr="00A21F20">
        <w:rPr>
          <w:rFonts w:asciiTheme="minorHAnsi" w:hAnsiTheme="minorHAnsi" w:cstheme="minorHAnsi"/>
          <w:sz w:val="24"/>
          <w:szCs w:val="24"/>
        </w:rPr>
        <w:t xml:space="preserve"> Public Impact, 2023).</w:t>
      </w:r>
      <w:r>
        <w:rPr>
          <w:rFonts w:asciiTheme="minorHAnsi" w:hAnsiTheme="minorHAnsi" w:cstheme="minorHAnsi"/>
          <w:sz w:val="24"/>
          <w:szCs w:val="24"/>
        </w:rPr>
        <w:t xml:space="preserve"> </w:t>
      </w:r>
      <w:r w:rsidRPr="00A21F20">
        <w:rPr>
          <w:rFonts w:asciiTheme="minorHAnsi" w:hAnsiTheme="minorHAnsi" w:cstheme="minorHAnsi"/>
          <w:sz w:val="24"/>
          <w:szCs w:val="24"/>
        </w:rPr>
        <w:t xml:space="preserve">This essay is bounded by the community of Gwent in which I serve, an area of 600 square miles (Gwent Police, 2023). Informing has been described as a </w:t>
      </w:r>
      <w:r w:rsidRPr="00A21F20">
        <w:rPr>
          <w:rFonts w:asciiTheme="minorHAnsi" w:hAnsiTheme="minorHAnsi" w:cstheme="minorHAnsi"/>
          <w:sz w:val="24"/>
          <w:szCs w:val="24"/>
        </w:rPr>
        <w:t>one-way</w:t>
      </w:r>
      <w:r w:rsidRPr="00A21F20">
        <w:rPr>
          <w:rFonts w:asciiTheme="minorHAnsi" w:hAnsiTheme="minorHAnsi" w:cstheme="minorHAnsi"/>
          <w:sz w:val="24"/>
          <w:szCs w:val="24"/>
        </w:rPr>
        <w:t xml:space="preserve"> method of communication where engagement is a </w:t>
      </w:r>
      <w:r w:rsidRPr="00A21F20">
        <w:rPr>
          <w:rFonts w:asciiTheme="minorHAnsi" w:hAnsiTheme="minorHAnsi" w:cstheme="minorHAnsi"/>
          <w:sz w:val="24"/>
          <w:szCs w:val="24"/>
        </w:rPr>
        <w:t>two-way</w:t>
      </w:r>
      <w:r w:rsidRPr="00A21F20">
        <w:rPr>
          <w:rFonts w:asciiTheme="minorHAnsi" w:hAnsiTheme="minorHAnsi" w:cstheme="minorHAnsi"/>
          <w:sz w:val="24"/>
          <w:szCs w:val="24"/>
        </w:rPr>
        <w:t xml:space="preserve"> activity (London Borough of Hounslow, 2012). It will be demonstrated that as a national there is no overarching social media informing or engagement policy; however, Gwent police have developed a bespoke social media desk utilising Instagram, </w:t>
      </w:r>
      <w:proofErr w:type="gramStart"/>
      <w:r w:rsidRPr="00A21F20">
        <w:rPr>
          <w:rFonts w:asciiTheme="minorHAnsi" w:hAnsiTheme="minorHAnsi" w:cstheme="minorHAnsi"/>
          <w:sz w:val="24"/>
          <w:szCs w:val="24"/>
        </w:rPr>
        <w:t>Twitter</w:t>
      </w:r>
      <w:proofErr w:type="gramEnd"/>
      <w:r w:rsidRPr="00A21F20">
        <w:rPr>
          <w:rFonts w:asciiTheme="minorHAnsi" w:hAnsiTheme="minorHAnsi" w:cstheme="minorHAnsi"/>
          <w:sz w:val="24"/>
          <w:szCs w:val="24"/>
        </w:rPr>
        <w:t xml:space="preserve"> and Facebook (</w:t>
      </w:r>
      <w:proofErr w:type="spellStart"/>
      <w:r w:rsidRPr="00A21F20">
        <w:rPr>
          <w:rFonts w:asciiTheme="minorHAnsi" w:hAnsiTheme="minorHAnsi" w:cstheme="minorHAnsi"/>
          <w:sz w:val="24"/>
          <w:szCs w:val="24"/>
        </w:rPr>
        <w:t>Chown</w:t>
      </w:r>
      <w:proofErr w:type="spellEnd"/>
      <w:r w:rsidRPr="00A21F20">
        <w:rPr>
          <w:rFonts w:asciiTheme="minorHAnsi" w:hAnsiTheme="minorHAnsi" w:cstheme="minorHAnsi"/>
          <w:sz w:val="24"/>
          <w:szCs w:val="24"/>
        </w:rPr>
        <w:t xml:space="preserve">, 2019). I give a personal account of the use of social media in locating a missing child who is becoming embroiled in a crime network.  Furthermore, benefitting from the intelligence garnered from social media to engage with the public to find him and to appropriately sign post him to outside support agencies. It is also demonstrated that there are risks associated with the use of social media in terms of fake intelligence and negative public engagement. </w:t>
      </w:r>
    </w:p>
    <w:p w14:paraId="766F4C94" w14:textId="77777777" w:rsidR="00A21F20" w:rsidRPr="00A21F20" w:rsidRDefault="00A21F20" w:rsidP="00A21F20">
      <w:pPr>
        <w:ind w:right="237"/>
        <w:jc w:val="both"/>
        <w:rPr>
          <w:rFonts w:asciiTheme="minorHAnsi" w:hAnsiTheme="minorHAnsi" w:cstheme="minorHAnsi"/>
          <w:sz w:val="24"/>
          <w:szCs w:val="24"/>
        </w:rPr>
      </w:pPr>
    </w:p>
    <w:p w14:paraId="09E43AEA" w14:textId="77777777" w:rsidR="00A21F20" w:rsidRPr="00A21F20" w:rsidRDefault="00A21F20" w:rsidP="00A21F20">
      <w:pPr>
        <w:ind w:right="237"/>
        <w:jc w:val="both"/>
        <w:rPr>
          <w:rFonts w:asciiTheme="minorHAnsi" w:hAnsiTheme="minorHAnsi" w:cstheme="minorHAnsi"/>
          <w:sz w:val="24"/>
          <w:szCs w:val="24"/>
        </w:rPr>
      </w:pPr>
      <w:r w:rsidRPr="00A21F20">
        <w:rPr>
          <w:rFonts w:asciiTheme="minorHAnsi" w:hAnsiTheme="minorHAnsi" w:cstheme="minorHAnsi"/>
          <w:sz w:val="24"/>
          <w:szCs w:val="24"/>
        </w:rPr>
        <w:t xml:space="preserve">Boyd and Ellison (2007) define social media as a platform that enables people to build profiles inside a closed online network that can be either public or semi-public, compile a list of users with whom they have connections, and follow activities or personal topics of interests. Hart (2010) states growing at a rapid rate, social networking sites were among the most frequently accessed websites in 2008. Morrow (2014) claims Facebook paved the way for social media by means of fundamentally altering how people communicated online. Furthermore, Marrow (2014) adds users can share information with many people on Facebook which has transformed how quickly people around the world share vital news. </w:t>
      </w:r>
      <w:r w:rsidRPr="00A21F20">
        <w:rPr>
          <w:rFonts w:asciiTheme="minorHAnsi" w:hAnsiTheme="minorHAnsi" w:cstheme="minorHAnsi"/>
          <w:sz w:val="24"/>
          <w:szCs w:val="24"/>
        </w:rPr>
        <w:lastRenderedPageBreak/>
        <w:t>Due the increased use of social media, emergency services could not overlook the benefits social media could offer (Cabinet Office, 2012) and the potential when considering community engagement (College of Policing, 2013).</w:t>
      </w:r>
    </w:p>
    <w:p w14:paraId="13B4D450" w14:textId="189F346F" w:rsidR="00A21F20" w:rsidRPr="00A21F20" w:rsidRDefault="00A21F20" w:rsidP="00A21F20">
      <w:pPr>
        <w:ind w:right="237"/>
        <w:jc w:val="both"/>
        <w:rPr>
          <w:rFonts w:asciiTheme="minorHAnsi" w:hAnsiTheme="minorHAnsi" w:cstheme="minorHAnsi"/>
          <w:sz w:val="24"/>
          <w:szCs w:val="24"/>
        </w:rPr>
      </w:pPr>
      <w:proofErr w:type="spellStart"/>
      <w:r w:rsidRPr="00A21F20">
        <w:rPr>
          <w:rFonts w:asciiTheme="minorHAnsi" w:hAnsiTheme="minorHAnsi" w:cstheme="minorHAnsi"/>
          <w:sz w:val="24"/>
          <w:szCs w:val="24"/>
        </w:rPr>
        <w:t>Akhgar</w:t>
      </w:r>
      <w:proofErr w:type="spellEnd"/>
      <w:r w:rsidRPr="00A21F20">
        <w:rPr>
          <w:rFonts w:asciiTheme="minorHAnsi" w:hAnsiTheme="minorHAnsi" w:cstheme="minorHAnsi"/>
          <w:sz w:val="24"/>
          <w:szCs w:val="24"/>
        </w:rPr>
        <w:t xml:space="preserve">, </w:t>
      </w:r>
      <w:proofErr w:type="spellStart"/>
      <w:r w:rsidRPr="00A21F20">
        <w:rPr>
          <w:rFonts w:asciiTheme="minorHAnsi" w:hAnsiTheme="minorHAnsi" w:cstheme="minorHAnsi"/>
          <w:sz w:val="24"/>
          <w:szCs w:val="24"/>
        </w:rPr>
        <w:t>Bayerl</w:t>
      </w:r>
      <w:proofErr w:type="spellEnd"/>
      <w:r w:rsidRPr="00A21F20">
        <w:rPr>
          <w:rFonts w:asciiTheme="minorHAnsi" w:hAnsiTheme="minorHAnsi" w:cstheme="minorHAnsi"/>
          <w:sz w:val="24"/>
          <w:szCs w:val="24"/>
        </w:rPr>
        <w:t xml:space="preserve">, &amp; </w:t>
      </w:r>
      <w:proofErr w:type="spellStart"/>
      <w:r w:rsidRPr="00A21F20">
        <w:rPr>
          <w:rFonts w:asciiTheme="minorHAnsi" w:hAnsiTheme="minorHAnsi" w:cstheme="minorHAnsi"/>
          <w:sz w:val="24"/>
          <w:szCs w:val="24"/>
        </w:rPr>
        <w:t>Leventakis</w:t>
      </w:r>
      <w:proofErr w:type="spellEnd"/>
      <w:r w:rsidRPr="00A21F20">
        <w:rPr>
          <w:rFonts w:asciiTheme="minorHAnsi" w:hAnsiTheme="minorHAnsi" w:cstheme="minorHAnsi"/>
          <w:sz w:val="24"/>
          <w:szCs w:val="24"/>
        </w:rPr>
        <w:t xml:space="preserve"> (2019) indicates to improve crime rate and build better relationships with the communities they serve, police forces across the globe are using social media sites such as: Facebook, Twitter and YouTube and other such sites. Additionally, </w:t>
      </w:r>
      <w:proofErr w:type="spellStart"/>
      <w:r w:rsidRPr="00A21F20">
        <w:rPr>
          <w:rFonts w:asciiTheme="minorHAnsi" w:hAnsiTheme="minorHAnsi" w:cstheme="minorHAnsi"/>
          <w:sz w:val="24"/>
          <w:szCs w:val="24"/>
        </w:rPr>
        <w:t>Akhgar</w:t>
      </w:r>
      <w:proofErr w:type="spellEnd"/>
      <w:r w:rsidRPr="00A21F20">
        <w:rPr>
          <w:rFonts w:asciiTheme="minorHAnsi" w:hAnsiTheme="minorHAnsi" w:cstheme="minorHAnsi"/>
          <w:sz w:val="24"/>
          <w:szCs w:val="24"/>
        </w:rPr>
        <w:t xml:space="preserve">, </w:t>
      </w:r>
      <w:proofErr w:type="spellStart"/>
      <w:r w:rsidRPr="00A21F20">
        <w:rPr>
          <w:rFonts w:asciiTheme="minorHAnsi" w:hAnsiTheme="minorHAnsi" w:cstheme="minorHAnsi"/>
          <w:sz w:val="24"/>
          <w:szCs w:val="24"/>
        </w:rPr>
        <w:t>Bayerl</w:t>
      </w:r>
      <w:proofErr w:type="spellEnd"/>
      <w:r w:rsidRPr="00A21F20">
        <w:rPr>
          <w:rFonts w:asciiTheme="minorHAnsi" w:hAnsiTheme="minorHAnsi" w:cstheme="minorHAnsi"/>
          <w:sz w:val="24"/>
          <w:szCs w:val="24"/>
        </w:rPr>
        <w:t xml:space="preserve">, &amp; </w:t>
      </w:r>
      <w:proofErr w:type="spellStart"/>
      <w:r w:rsidRPr="00A21F20">
        <w:rPr>
          <w:rFonts w:asciiTheme="minorHAnsi" w:hAnsiTheme="minorHAnsi" w:cstheme="minorHAnsi"/>
          <w:sz w:val="24"/>
          <w:szCs w:val="24"/>
        </w:rPr>
        <w:t>Leventakis</w:t>
      </w:r>
      <w:proofErr w:type="spellEnd"/>
      <w:r w:rsidRPr="00A21F20">
        <w:rPr>
          <w:rFonts w:asciiTheme="minorHAnsi" w:hAnsiTheme="minorHAnsi" w:cstheme="minorHAnsi"/>
          <w:sz w:val="24"/>
          <w:szCs w:val="24"/>
        </w:rPr>
        <w:t xml:space="preserve"> (2019) infer modern policing is supported by intelligence and when social media is processed and analysed, it could provide a rich source of data that can be turned into “</w:t>
      </w:r>
      <w:r w:rsidRPr="00E273CE">
        <w:rPr>
          <w:rFonts w:asciiTheme="minorHAnsi" w:hAnsiTheme="minorHAnsi" w:cstheme="minorHAnsi"/>
          <w:i/>
          <w:iCs/>
          <w:sz w:val="24"/>
          <w:szCs w:val="24"/>
        </w:rPr>
        <w:t>actionable intelligence</w:t>
      </w:r>
      <w:r w:rsidRPr="00A21F20">
        <w:rPr>
          <w:rFonts w:asciiTheme="minorHAnsi" w:hAnsiTheme="minorHAnsi" w:cstheme="minorHAnsi"/>
          <w:sz w:val="24"/>
          <w:szCs w:val="24"/>
        </w:rPr>
        <w:t>”. This suggests that intelligence gathering through social media platforms could be beneficial to many aspects of modern-day policing. The College of Policing (2022) explain how intelligence received is graded by the 3x5x2 process to evaluate the credibility of the source, reliability of the information and the sharing conditions. Walsh and O’Conner (2019) state “</w:t>
      </w:r>
      <w:r w:rsidRPr="00E273CE">
        <w:rPr>
          <w:rFonts w:asciiTheme="minorHAnsi" w:hAnsiTheme="minorHAnsi" w:cstheme="minorHAnsi"/>
          <w:i/>
          <w:iCs/>
          <w:sz w:val="24"/>
          <w:szCs w:val="24"/>
        </w:rPr>
        <w:t>social media are indispensable tools of surveillance and intelligence gathering</w:t>
      </w:r>
      <w:r w:rsidRPr="00A21F20">
        <w:rPr>
          <w:rFonts w:asciiTheme="minorHAnsi" w:hAnsiTheme="minorHAnsi" w:cstheme="minorHAnsi"/>
          <w:sz w:val="24"/>
          <w:szCs w:val="24"/>
        </w:rPr>
        <w:t xml:space="preserve">”. Miller et al. (2016) argue that people providing information can do so from fake profiles. This could suggest that when considering the reliability of the source, a fake profile/identity could leave valuable intelligence as less credible. Arguably it could be suggested that the intelligence received could be type of such which could leave the informants personal safety at risk therefore, the informant will feel that a fake profile will ensure their identity is unknown and with no risk to their personal safety. In addition, less credible intelligence gathered via social media could present a risk of hindering police investigations and/or be inaccurate intelligence which could negatively affect the life of wrongly accused individuals. In addition to intelligence gathering, social media is especially pertinent for addressing the under-researched issues and can aid in the detection of criminal or antisocial activity (Fortin, Donne </w:t>
      </w:r>
      <w:r w:rsidR="00FB36EB">
        <w:rPr>
          <w:rFonts w:asciiTheme="minorHAnsi" w:hAnsiTheme="minorHAnsi" w:cstheme="minorHAnsi"/>
          <w:sz w:val="24"/>
          <w:szCs w:val="24"/>
        </w:rPr>
        <w:t>and</w:t>
      </w:r>
      <w:r w:rsidRPr="00A21F20">
        <w:rPr>
          <w:rFonts w:asciiTheme="minorHAnsi" w:hAnsiTheme="minorHAnsi" w:cstheme="minorHAnsi"/>
          <w:sz w:val="24"/>
          <w:szCs w:val="24"/>
        </w:rPr>
        <w:t xml:space="preserve"> Knop, 2021) and for providing the police with additional ways to interact with the public and receive and share information in addition to “</w:t>
      </w:r>
      <w:r w:rsidRPr="00FB36EB">
        <w:rPr>
          <w:rFonts w:asciiTheme="minorHAnsi" w:hAnsiTheme="minorHAnsi" w:cstheme="minorHAnsi"/>
          <w:i/>
          <w:iCs/>
          <w:sz w:val="24"/>
          <w:szCs w:val="24"/>
        </w:rPr>
        <w:t>appealing for witnesses or information or looking for missing persons</w:t>
      </w:r>
      <w:r w:rsidRPr="00A21F20">
        <w:rPr>
          <w:rFonts w:asciiTheme="minorHAnsi" w:hAnsiTheme="minorHAnsi" w:cstheme="minorHAnsi"/>
          <w:sz w:val="24"/>
          <w:szCs w:val="24"/>
        </w:rPr>
        <w:t>” (The Police Federation, 2014). However, The Police Federation (2014) explain that there is “</w:t>
      </w:r>
      <w:r w:rsidRPr="00FB36EB">
        <w:rPr>
          <w:rFonts w:asciiTheme="minorHAnsi" w:hAnsiTheme="minorHAnsi" w:cstheme="minorHAnsi"/>
          <w:i/>
          <w:iCs/>
          <w:sz w:val="24"/>
          <w:szCs w:val="24"/>
        </w:rPr>
        <w:t>no national strategy on police use of social media and every force is left to develop its own approach</w:t>
      </w:r>
      <w:r w:rsidRPr="00A21F20">
        <w:rPr>
          <w:rFonts w:asciiTheme="minorHAnsi" w:hAnsiTheme="minorHAnsi" w:cstheme="minorHAnsi"/>
          <w:sz w:val="24"/>
          <w:szCs w:val="24"/>
        </w:rPr>
        <w:t xml:space="preserve">”. It could be argued that to limit a national strategy permits innovative social media use driven by the demographics of individual forces. </w:t>
      </w:r>
    </w:p>
    <w:p w14:paraId="1B41C879" w14:textId="557B38D1" w:rsidR="00A21F20" w:rsidRPr="00A21F20" w:rsidRDefault="00A21F20" w:rsidP="00A21F20">
      <w:pPr>
        <w:ind w:right="237"/>
        <w:jc w:val="both"/>
        <w:rPr>
          <w:rFonts w:asciiTheme="minorHAnsi" w:hAnsiTheme="minorHAnsi" w:cstheme="minorHAnsi"/>
          <w:sz w:val="24"/>
          <w:szCs w:val="24"/>
        </w:rPr>
      </w:pPr>
      <w:r w:rsidRPr="00A21F20">
        <w:rPr>
          <w:rFonts w:asciiTheme="minorHAnsi" w:hAnsiTheme="minorHAnsi" w:cstheme="minorHAnsi"/>
          <w:sz w:val="24"/>
          <w:szCs w:val="24"/>
        </w:rPr>
        <w:t>Gwent Police have developed a force policy that will guide employees to utilise the use of social media insuring “</w:t>
      </w:r>
      <w:r w:rsidRPr="00FB36EB">
        <w:rPr>
          <w:rFonts w:asciiTheme="minorHAnsi" w:hAnsiTheme="minorHAnsi" w:cstheme="minorHAnsi"/>
          <w:i/>
          <w:iCs/>
          <w:sz w:val="24"/>
          <w:szCs w:val="24"/>
        </w:rPr>
        <w:t>social media works for us and not against and is used in a way that best represents our force, its values and commitment to public service</w:t>
      </w:r>
      <w:r w:rsidRPr="00A21F20">
        <w:rPr>
          <w:rFonts w:asciiTheme="minorHAnsi" w:hAnsiTheme="minorHAnsi" w:cstheme="minorHAnsi"/>
          <w:sz w:val="24"/>
          <w:szCs w:val="24"/>
        </w:rPr>
        <w:t>” (Noyes, 2022). Furthermore, Noyes (2022) claims the force policy has been reviewed to ensure it does not violate the Human Rights Act 1988 and will aid in the development of a receptive audience for occasions when Gwent Police must disseminate or request crucial information. Moreover, Noyes (2022) continues when unitised wisely, social media can be greatly beneficial when engaging with communities. However, Noyes (2022) warns members of Gwent Police against any form of interaction with any person(s) who make “</w:t>
      </w:r>
      <w:r w:rsidRPr="00FB36EB">
        <w:rPr>
          <w:rFonts w:asciiTheme="minorHAnsi" w:hAnsiTheme="minorHAnsi" w:cstheme="minorHAnsi"/>
          <w:i/>
          <w:iCs/>
          <w:sz w:val="24"/>
          <w:szCs w:val="24"/>
        </w:rPr>
        <w:t>aggressive and abusive</w:t>
      </w:r>
      <w:r w:rsidRPr="00A21F20">
        <w:rPr>
          <w:rFonts w:asciiTheme="minorHAnsi" w:hAnsiTheme="minorHAnsi" w:cstheme="minorHAnsi"/>
          <w:sz w:val="24"/>
          <w:szCs w:val="24"/>
        </w:rPr>
        <w:t>” posts and encourages employees to report any misuse of personal and use of the force social media. However, Innes et al. (2023) state that some forces found it difficult to keep up with new technical developments and that interactions between the public and the police are typically rare (Fernandez et al. 2017).</w:t>
      </w:r>
    </w:p>
    <w:p w14:paraId="45B48167" w14:textId="77777777" w:rsidR="00A21F20" w:rsidRPr="00A21F20" w:rsidRDefault="00A21F20" w:rsidP="00A21F20">
      <w:pPr>
        <w:ind w:right="237"/>
        <w:jc w:val="both"/>
        <w:rPr>
          <w:rFonts w:asciiTheme="minorHAnsi" w:hAnsiTheme="minorHAnsi" w:cstheme="minorHAnsi"/>
          <w:sz w:val="24"/>
          <w:szCs w:val="24"/>
        </w:rPr>
      </w:pPr>
      <w:r w:rsidRPr="00A21F20">
        <w:rPr>
          <w:rFonts w:asciiTheme="minorHAnsi" w:hAnsiTheme="minorHAnsi" w:cstheme="minorHAnsi"/>
          <w:sz w:val="24"/>
          <w:szCs w:val="24"/>
        </w:rPr>
        <w:t xml:space="preserve">When a person goes missing, a police officer will be allocated to take an initial missing person report </w:t>
      </w:r>
      <w:proofErr w:type="gramStart"/>
      <w:r w:rsidRPr="00A21F20">
        <w:rPr>
          <w:rFonts w:asciiTheme="minorHAnsi" w:hAnsiTheme="minorHAnsi" w:cstheme="minorHAnsi"/>
          <w:sz w:val="24"/>
          <w:szCs w:val="24"/>
        </w:rPr>
        <w:t>in order to</w:t>
      </w:r>
      <w:proofErr w:type="gramEnd"/>
      <w:r w:rsidRPr="00A21F20">
        <w:rPr>
          <w:rFonts w:asciiTheme="minorHAnsi" w:hAnsiTheme="minorHAnsi" w:cstheme="minorHAnsi"/>
          <w:sz w:val="24"/>
          <w:szCs w:val="24"/>
        </w:rPr>
        <w:t xml:space="preserve"> understand the level of risk posed to the person who is missing (Gwent Police, 2023a). As part of the missing person enquires, Gwent Police (2023b) </w:t>
      </w:r>
      <w:r w:rsidRPr="00A21F20">
        <w:rPr>
          <w:rFonts w:asciiTheme="minorHAnsi" w:hAnsiTheme="minorHAnsi" w:cstheme="minorHAnsi"/>
          <w:sz w:val="24"/>
          <w:szCs w:val="24"/>
        </w:rPr>
        <w:lastRenderedPageBreak/>
        <w:t>suggest that the person who has reported the individual missing, consider making an appeal for information on social media.</w:t>
      </w:r>
    </w:p>
    <w:p w14:paraId="38D53624" w14:textId="5672A119" w:rsidR="00A21F20" w:rsidRPr="00A21F20" w:rsidRDefault="00A21F20" w:rsidP="00A21F20">
      <w:pPr>
        <w:ind w:right="237"/>
        <w:jc w:val="both"/>
        <w:rPr>
          <w:rFonts w:asciiTheme="minorHAnsi" w:hAnsiTheme="minorHAnsi" w:cstheme="minorHAnsi"/>
          <w:sz w:val="24"/>
          <w:szCs w:val="24"/>
        </w:rPr>
      </w:pPr>
      <w:r w:rsidRPr="00A21F20">
        <w:rPr>
          <w:rFonts w:asciiTheme="minorHAnsi" w:hAnsiTheme="minorHAnsi" w:cstheme="minorHAnsi"/>
          <w:sz w:val="24"/>
          <w:szCs w:val="24"/>
        </w:rPr>
        <w:t xml:space="preserve">Throughout my probation period as a Police Constable, my colleagues and I have regularly dealt with a particular child who is reported as missing on a regular basis; as a result, I have come to know the child and his family on a professional level. The child is 12 years old and has grown up in a home whereby his stepfather is linked to drugs and is a domestic abuse aggressor towards the child’s mother. Furthermore, his stepfather was eventually sentenced to prison for being involved in the supply of class A drugs and the child had been witnessing many incidents including the cultivation and sale of drugs from within the family home. Walsh, et al. (2019) defines Adverse Childhood Experiences (ACEs) as various childhood experiences and exposure to events such as family death, a parent going to prison, domestic violence, and drugs. </w:t>
      </w:r>
      <w:proofErr w:type="spellStart"/>
      <w:r w:rsidRPr="00A21F20">
        <w:rPr>
          <w:rFonts w:asciiTheme="minorHAnsi" w:hAnsiTheme="minorHAnsi" w:cstheme="minorHAnsi"/>
          <w:sz w:val="24"/>
          <w:szCs w:val="24"/>
        </w:rPr>
        <w:t>Monnat</w:t>
      </w:r>
      <w:proofErr w:type="spellEnd"/>
      <w:r w:rsidRPr="00A21F20">
        <w:rPr>
          <w:rFonts w:asciiTheme="minorHAnsi" w:hAnsiTheme="minorHAnsi" w:cstheme="minorHAnsi"/>
          <w:sz w:val="24"/>
          <w:szCs w:val="24"/>
        </w:rPr>
        <w:t xml:space="preserve"> and Chandler (2015) suggest household dysfunction are also a contributing factor for ACEs whereas </w:t>
      </w:r>
      <w:proofErr w:type="spellStart"/>
      <w:r w:rsidRPr="00A21F20">
        <w:rPr>
          <w:rFonts w:asciiTheme="minorHAnsi" w:hAnsiTheme="minorHAnsi" w:cstheme="minorHAnsi"/>
          <w:sz w:val="24"/>
          <w:szCs w:val="24"/>
        </w:rPr>
        <w:t>Mersky</w:t>
      </w:r>
      <w:proofErr w:type="spellEnd"/>
      <w:r w:rsidRPr="00A21F20">
        <w:rPr>
          <w:rFonts w:asciiTheme="minorHAnsi" w:hAnsiTheme="minorHAnsi" w:cstheme="minorHAnsi"/>
          <w:sz w:val="24"/>
          <w:szCs w:val="24"/>
        </w:rPr>
        <w:t xml:space="preserve">, </w:t>
      </w:r>
      <w:proofErr w:type="spellStart"/>
      <w:r w:rsidRPr="00A21F20">
        <w:rPr>
          <w:rFonts w:asciiTheme="minorHAnsi" w:hAnsiTheme="minorHAnsi" w:cstheme="minorHAnsi"/>
          <w:sz w:val="24"/>
          <w:szCs w:val="24"/>
        </w:rPr>
        <w:t>Topitzes</w:t>
      </w:r>
      <w:proofErr w:type="spellEnd"/>
      <w:r w:rsidRPr="00A21F20">
        <w:rPr>
          <w:rFonts w:asciiTheme="minorHAnsi" w:hAnsiTheme="minorHAnsi" w:cstheme="minorHAnsi"/>
          <w:sz w:val="24"/>
          <w:szCs w:val="24"/>
        </w:rPr>
        <w:t xml:space="preserve"> and Reynolds (2013) explain ACEs to have a negative impact on adult life and is at risk to falling into criminal behaviour. When considering the regular missing child, it could be suggested that he has experienced multiple Adverse Childhood Experiences (ACEs) and as a result, could now be displaying criminal behaviour himself. </w:t>
      </w:r>
    </w:p>
    <w:p w14:paraId="668AE83B" w14:textId="77777777" w:rsidR="00A21F20" w:rsidRPr="00A21F20" w:rsidRDefault="00A21F20" w:rsidP="00A21F20">
      <w:pPr>
        <w:ind w:right="237"/>
        <w:jc w:val="both"/>
        <w:rPr>
          <w:rFonts w:asciiTheme="minorHAnsi" w:hAnsiTheme="minorHAnsi" w:cstheme="minorHAnsi"/>
          <w:sz w:val="24"/>
          <w:szCs w:val="24"/>
        </w:rPr>
      </w:pPr>
      <w:r w:rsidRPr="00A21F20">
        <w:rPr>
          <w:rFonts w:asciiTheme="minorHAnsi" w:hAnsiTheme="minorHAnsi" w:cstheme="minorHAnsi"/>
          <w:sz w:val="24"/>
          <w:szCs w:val="24"/>
        </w:rPr>
        <w:t xml:space="preserve">Each time the child has been reported missing, I have located him on many occasions, and I have utilised this time to try and find out why he runs away and to gain any relevant intelligence to assist with future incidents. At times when I have located him, he has run away and refused to engage with the police; especially when in company of others who are known to police for various reasons including drugs. Usually, if there is no intelligence on police systems suggesting the child is linked to these people, I will submit intelligence to assist with future investigations and safeguarding. On occasions he has been alone or with other children not known to the police, he has happily come with me, and I have returned him to his home address to the care of his mother. It could be suggested that as he runs away when with people who are known to police, the child himself is succumbing to peer pressure and engaging in criminal behaviour. When returning the child to family, I will always ask a series of questions to ascertain the reasons as to why the child has gone missing, locations visited and to ask if he has come to any harm or if there is anything he wishes to tell us. I will also ask these questions with an aim of gaining any further information and intelligence. However, the child will never disclose any specific details and he will never disclose where he has been or who he has been with. Due to information and intelligence that the force has previously received, I am aware that the child is linked to an Organised Crime Gang and is directly involved in running drugs and due to the conversations with the child and his mother, I have been able to submit my own intelligence from the little information that the child has provided to me; such as his recent actions of carrying a weapon for protection. </w:t>
      </w:r>
    </w:p>
    <w:p w14:paraId="79FC0183" w14:textId="77777777" w:rsidR="00A21F20" w:rsidRPr="00A21F20" w:rsidRDefault="00A21F20" w:rsidP="00A21F20">
      <w:pPr>
        <w:ind w:right="237"/>
        <w:jc w:val="both"/>
        <w:rPr>
          <w:rFonts w:asciiTheme="minorHAnsi" w:hAnsiTheme="minorHAnsi" w:cstheme="minorHAnsi"/>
          <w:sz w:val="24"/>
          <w:szCs w:val="24"/>
        </w:rPr>
      </w:pPr>
      <w:r w:rsidRPr="00A21F20">
        <w:rPr>
          <w:rFonts w:asciiTheme="minorHAnsi" w:hAnsiTheme="minorHAnsi" w:cstheme="minorHAnsi"/>
          <w:sz w:val="24"/>
          <w:szCs w:val="24"/>
        </w:rPr>
        <w:t xml:space="preserve">Due to vulnerabilities such as age (Gwent Police, 2023c) and links too drugs (Gwent Police, 2023d) the risk will typically be graded as high (Gwent Police, 2023c) which generates as immediate consideration to issue a social media appeal to generate information and awareness with the hopes of locating the child quickly (Gwent Police, 2023b). As suggested, social media can be a source of vital information when a person has been reported as missing (Gwent Police, 2023b) and in my use of police social media platforms when looking for the child, I have gained a wealth of information which as assisted in locating him and provided vital information in relations to his associates. In addition, the information and intelligence received on social media has assisted with arrests for various drug related </w:t>
      </w:r>
      <w:r w:rsidRPr="00A21F20">
        <w:rPr>
          <w:rFonts w:asciiTheme="minorHAnsi" w:hAnsiTheme="minorHAnsi" w:cstheme="minorHAnsi"/>
          <w:sz w:val="24"/>
          <w:szCs w:val="24"/>
        </w:rPr>
        <w:lastRenderedPageBreak/>
        <w:t>offences. Furthermore, information received has assisted in safeguarding the child and making relevant referrals to partner agencies to support the child going forward. Each time the child has gone missing, which could be several times a week, the family have typically agreed to a social media appeal and whilst vital information has been received during social media appeals, the public began to criticise the family and the police due to the number of times he would go missing. To protect the identity of the child, it is not appropriate for me to refer to comments made on social media threads by members of the public; however, the common denominator suggested poor treatment by family and police not doing enough to stop him from going missing. Coles and West (2016) describes the term "</w:t>
      </w:r>
      <w:r w:rsidRPr="006B4B84">
        <w:rPr>
          <w:rFonts w:asciiTheme="minorHAnsi" w:hAnsiTheme="minorHAnsi" w:cstheme="minorHAnsi"/>
          <w:i/>
          <w:iCs/>
          <w:sz w:val="24"/>
          <w:szCs w:val="24"/>
        </w:rPr>
        <w:t>trolling</w:t>
      </w:r>
      <w:r w:rsidRPr="00A21F20">
        <w:rPr>
          <w:rFonts w:asciiTheme="minorHAnsi" w:hAnsiTheme="minorHAnsi" w:cstheme="minorHAnsi"/>
          <w:sz w:val="24"/>
          <w:szCs w:val="24"/>
        </w:rPr>
        <w:t xml:space="preserve">" a specific kind of malicious online behaviour meant to sabotage interactions, enrage conversation partners, and provoke them into pointless arguments. Therefore, it could be suggested any person(s) commenting negatively on social media appeals, does so with an intention of spreading hate with an incentive if inciting others, causing upset to the </w:t>
      </w:r>
      <w:proofErr w:type="gramStart"/>
      <w:r w:rsidRPr="00A21F20">
        <w:rPr>
          <w:rFonts w:asciiTheme="minorHAnsi" w:hAnsiTheme="minorHAnsi" w:cstheme="minorHAnsi"/>
          <w:sz w:val="24"/>
          <w:szCs w:val="24"/>
        </w:rPr>
        <w:t>family</w:t>
      </w:r>
      <w:proofErr w:type="gramEnd"/>
      <w:r w:rsidRPr="00A21F20">
        <w:rPr>
          <w:rFonts w:asciiTheme="minorHAnsi" w:hAnsiTheme="minorHAnsi" w:cstheme="minorHAnsi"/>
          <w:sz w:val="24"/>
          <w:szCs w:val="24"/>
        </w:rPr>
        <w:t xml:space="preserve"> and discrediting the police. </w:t>
      </w:r>
    </w:p>
    <w:p w14:paraId="53D2F5E0" w14:textId="77777777" w:rsidR="00A21F20" w:rsidRPr="00A21F20" w:rsidRDefault="00A21F20" w:rsidP="00A21F20">
      <w:pPr>
        <w:ind w:right="237"/>
        <w:jc w:val="both"/>
        <w:rPr>
          <w:rFonts w:asciiTheme="minorHAnsi" w:hAnsiTheme="minorHAnsi" w:cstheme="minorHAnsi"/>
          <w:sz w:val="24"/>
          <w:szCs w:val="24"/>
        </w:rPr>
      </w:pPr>
    </w:p>
    <w:p w14:paraId="5F2F72CE" w14:textId="58562C4A" w:rsidR="00A21F20" w:rsidRPr="00A21F20" w:rsidRDefault="00A21F20" w:rsidP="00A21F20">
      <w:pPr>
        <w:ind w:right="237"/>
        <w:jc w:val="both"/>
        <w:rPr>
          <w:rFonts w:asciiTheme="minorHAnsi" w:hAnsiTheme="minorHAnsi" w:cstheme="minorHAnsi"/>
          <w:sz w:val="24"/>
          <w:szCs w:val="24"/>
        </w:rPr>
      </w:pPr>
      <w:r w:rsidRPr="00A21F20">
        <w:rPr>
          <w:rFonts w:asciiTheme="minorHAnsi" w:hAnsiTheme="minorHAnsi" w:cstheme="minorHAnsi"/>
          <w:sz w:val="24"/>
          <w:szCs w:val="24"/>
        </w:rPr>
        <w:t>To conclude, social media was defined as a platform where profiles are built and are in the public domain (Boyd and Ellison, 2017). Hart (2010) indicated that social network sites are the most frequently accessed where Facebook paved the way for modern means for online communication. The Cabinet Office (2012) signalled the benefits for forces to engage with social media. Social media sites such as: Facebook, Twitter and YouTube are being used by police forces across the globe and can provide a rich source of intelligence (</w:t>
      </w:r>
      <w:proofErr w:type="spellStart"/>
      <w:r w:rsidRPr="00A21F20">
        <w:rPr>
          <w:rFonts w:asciiTheme="minorHAnsi" w:hAnsiTheme="minorHAnsi" w:cstheme="minorHAnsi"/>
          <w:sz w:val="24"/>
          <w:szCs w:val="24"/>
        </w:rPr>
        <w:t>Akhgar</w:t>
      </w:r>
      <w:proofErr w:type="spellEnd"/>
      <w:r w:rsidRPr="00A21F20">
        <w:rPr>
          <w:rFonts w:asciiTheme="minorHAnsi" w:hAnsiTheme="minorHAnsi" w:cstheme="minorHAnsi"/>
          <w:sz w:val="24"/>
          <w:szCs w:val="24"/>
        </w:rPr>
        <w:t xml:space="preserve">, </w:t>
      </w:r>
      <w:proofErr w:type="spellStart"/>
      <w:r w:rsidRPr="00A21F20">
        <w:rPr>
          <w:rFonts w:asciiTheme="minorHAnsi" w:hAnsiTheme="minorHAnsi" w:cstheme="minorHAnsi"/>
          <w:sz w:val="24"/>
          <w:szCs w:val="24"/>
        </w:rPr>
        <w:t>Bayerl</w:t>
      </w:r>
      <w:proofErr w:type="spellEnd"/>
      <w:r w:rsidRPr="00A21F20">
        <w:rPr>
          <w:rFonts w:asciiTheme="minorHAnsi" w:hAnsiTheme="minorHAnsi" w:cstheme="minorHAnsi"/>
          <w:sz w:val="24"/>
          <w:szCs w:val="24"/>
        </w:rPr>
        <w:t xml:space="preserve">, </w:t>
      </w:r>
      <w:r w:rsidR="006B4B84">
        <w:rPr>
          <w:rFonts w:asciiTheme="minorHAnsi" w:hAnsiTheme="minorHAnsi" w:cstheme="minorHAnsi"/>
          <w:sz w:val="24"/>
          <w:szCs w:val="24"/>
        </w:rPr>
        <w:t>and</w:t>
      </w:r>
      <w:r w:rsidRPr="00A21F20">
        <w:rPr>
          <w:rFonts w:asciiTheme="minorHAnsi" w:hAnsiTheme="minorHAnsi" w:cstheme="minorHAnsi"/>
          <w:sz w:val="24"/>
          <w:szCs w:val="24"/>
        </w:rPr>
        <w:t xml:space="preserve"> </w:t>
      </w:r>
      <w:proofErr w:type="spellStart"/>
      <w:r w:rsidRPr="00A21F20">
        <w:rPr>
          <w:rFonts w:asciiTheme="minorHAnsi" w:hAnsiTheme="minorHAnsi" w:cstheme="minorHAnsi"/>
          <w:sz w:val="24"/>
          <w:szCs w:val="24"/>
        </w:rPr>
        <w:t>Leventakis</w:t>
      </w:r>
      <w:proofErr w:type="spellEnd"/>
      <w:r w:rsidRPr="00A21F20">
        <w:rPr>
          <w:rFonts w:asciiTheme="minorHAnsi" w:hAnsiTheme="minorHAnsi" w:cstheme="minorHAnsi"/>
          <w:sz w:val="24"/>
          <w:szCs w:val="24"/>
        </w:rPr>
        <w:t>, 2019). Arguably, a benefit for intelligence gathering but a risk where fake profiles could provide false intelligence (Miller et al. 2016). The Police Federation (2014) infer the lack of national social media strategy suggesting individual forces are free to establish their own.</w:t>
      </w:r>
    </w:p>
    <w:p w14:paraId="79C6F38B" w14:textId="3A544046" w:rsidR="00AA666E" w:rsidRDefault="00A21F20" w:rsidP="00A21F20">
      <w:pPr>
        <w:ind w:right="237"/>
        <w:jc w:val="both"/>
        <w:rPr>
          <w:rFonts w:asciiTheme="minorHAnsi" w:hAnsiTheme="minorHAnsi" w:cstheme="minorHAnsi"/>
          <w:sz w:val="24"/>
          <w:szCs w:val="24"/>
        </w:rPr>
      </w:pPr>
      <w:r w:rsidRPr="00A21F20">
        <w:rPr>
          <w:rFonts w:asciiTheme="minorHAnsi" w:hAnsiTheme="minorHAnsi" w:cstheme="minorHAnsi"/>
          <w:sz w:val="24"/>
          <w:szCs w:val="24"/>
        </w:rPr>
        <w:t>Gwent Police utilise: Facebook, Instagram and Twitter for information and engagement purposes. I have used social media directly to find a missing person, a policy set by Gwent Police (2023b). I located a missing child and was able to draw other intelligence and his links to further crimes via peer pressure. Furthermore, used this intelligence to refer him to partner agencies.  However, noting that trolling Coles and West (2016) at times hampers intelligence and is a risk, but the benefits of social media use within police is having a benefit.</w:t>
      </w:r>
    </w:p>
    <w:p w14:paraId="1BBA48DE" w14:textId="7A8B01ED" w:rsidR="00225BC5" w:rsidRPr="00225BC5" w:rsidRDefault="00225BC5" w:rsidP="00A21F20">
      <w:pPr>
        <w:ind w:right="237"/>
        <w:jc w:val="both"/>
        <w:rPr>
          <w:rFonts w:asciiTheme="minorHAnsi" w:hAnsiTheme="minorHAnsi" w:cstheme="minorHAnsi"/>
          <w:sz w:val="24"/>
          <w:szCs w:val="24"/>
          <w:u w:val="single"/>
        </w:rPr>
      </w:pPr>
      <w:r w:rsidRPr="00225BC5">
        <w:rPr>
          <w:rFonts w:asciiTheme="minorHAnsi" w:hAnsiTheme="minorHAnsi" w:cstheme="minorHAnsi"/>
          <w:sz w:val="24"/>
          <w:szCs w:val="24"/>
          <w:u w:val="single"/>
        </w:rPr>
        <w:t>Word count 2033</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C011C2">
              <w:rPr>
                <w:rStyle w:val="normaltextrun"/>
                <w:rFonts w:ascii="Arial" w:hAnsi="Arial" w:cs="Arial"/>
                <w:color w:val="000000"/>
              </w:rPr>
              <w:t xml:space="preserve">Critically </w:t>
            </w:r>
            <w:r w:rsidR="49CEAB54" w:rsidRPr="00C011C2">
              <w:rPr>
                <w:rStyle w:val="normaltextrun"/>
                <w:rFonts w:ascii="Arial" w:hAnsi="Arial" w:cs="Arial"/>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C011C2">
              <w:rPr>
                <w:rStyle w:val="normaltextrun"/>
                <w:rFonts w:ascii="Arial" w:hAnsi="Arial" w:cs="Arial"/>
                <w:color w:val="000000"/>
              </w:rPr>
              <w:t xml:space="preserve">Critically </w:t>
            </w:r>
            <w:r w:rsidR="5ECB28D1" w:rsidRPr="00C011C2">
              <w:rPr>
                <w:rStyle w:val="normaltextrun"/>
                <w:rFonts w:ascii="Arial" w:hAnsi="Arial" w:cs="Arial"/>
                <w:color w:val="000000"/>
              </w:rPr>
              <w:t>analyse</w:t>
            </w:r>
            <w:r w:rsidR="5ECB28D1" w:rsidRPr="00C011C2">
              <w:rPr>
                <w:rStyle w:val="normaltextrun"/>
                <w:rFonts w:ascii="Arial" w:hAnsi="Arial" w:cs="Arial"/>
                <w:b/>
                <w:bCs/>
                <w:color w:val="000000"/>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C011C2">
              <w:rPr>
                <w:rStyle w:val="normaltextrun"/>
                <w:rFonts w:ascii="Arial" w:hAnsi="Arial" w:cs="Arial"/>
                <w:color w:val="000000"/>
              </w:rPr>
              <w:t>2</w:t>
            </w:r>
            <w:r w:rsidR="1ACFDEE9" w:rsidRPr="00C011C2">
              <w:rPr>
                <w:rStyle w:val="normaltextrun"/>
                <w:rFonts w:ascii="Arial" w:hAnsi="Arial" w:cs="Arial"/>
                <w:color w:val="000000"/>
              </w:rPr>
              <w:t>000</w:t>
            </w:r>
            <w:r w:rsidR="798BE16A" w:rsidRPr="00C011C2">
              <w:rPr>
                <w:rStyle w:val="normaltextrun"/>
                <w:rFonts w:ascii="Arial" w:hAnsi="Arial" w:cs="Arial"/>
                <w:color w:val="0000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5046AF9B" w14:textId="77777777" w:rsidR="00225BC5" w:rsidRPr="00225BC5" w:rsidRDefault="00225BC5" w:rsidP="00225BC5">
      <w:pPr>
        <w:ind w:right="237"/>
        <w:jc w:val="both"/>
        <w:rPr>
          <w:rFonts w:asciiTheme="minorHAnsi" w:hAnsiTheme="minorHAnsi" w:cstheme="minorHAnsi"/>
          <w:sz w:val="24"/>
          <w:szCs w:val="24"/>
        </w:rPr>
      </w:pPr>
      <w:r w:rsidRPr="00225BC5">
        <w:rPr>
          <w:rFonts w:asciiTheme="minorHAnsi" w:hAnsiTheme="minorHAnsi" w:cstheme="minorHAnsi"/>
          <w:sz w:val="24"/>
          <w:szCs w:val="24"/>
        </w:rPr>
        <w:t>Furnell and Finlay (2022) define flexibility as “</w:t>
      </w:r>
      <w:r w:rsidRPr="00225BC5">
        <w:rPr>
          <w:rFonts w:asciiTheme="minorHAnsi" w:hAnsiTheme="minorHAnsi" w:cstheme="minorHAnsi"/>
          <w:i/>
          <w:iCs/>
          <w:sz w:val="24"/>
          <w:szCs w:val="24"/>
        </w:rPr>
        <w:t>adaptation depending on need and situation</w:t>
      </w:r>
      <w:r w:rsidRPr="00225BC5">
        <w:rPr>
          <w:rFonts w:asciiTheme="minorHAnsi" w:hAnsiTheme="minorHAnsi" w:cstheme="minorHAnsi"/>
          <w:sz w:val="24"/>
          <w:szCs w:val="24"/>
        </w:rPr>
        <w:t>”. Good and Sharma (2010) explain leader flexibility has been acknowledged by academics and professionals as a factor in determining a leader's emergence and effectiveness. A strategic leader is someone who can respond strategically to changes in the environment while remaining firm in the face of adversity (</w:t>
      </w:r>
      <w:proofErr w:type="spellStart"/>
      <w:r w:rsidRPr="00225BC5">
        <w:rPr>
          <w:rFonts w:asciiTheme="minorHAnsi" w:hAnsiTheme="minorHAnsi" w:cstheme="minorHAnsi"/>
          <w:sz w:val="24"/>
          <w:szCs w:val="24"/>
        </w:rPr>
        <w:t>Schoemaker</w:t>
      </w:r>
      <w:proofErr w:type="spellEnd"/>
      <w:r w:rsidRPr="00225BC5">
        <w:rPr>
          <w:rFonts w:asciiTheme="minorHAnsi" w:hAnsiTheme="minorHAnsi" w:cstheme="minorHAnsi"/>
          <w:sz w:val="24"/>
          <w:szCs w:val="24"/>
        </w:rPr>
        <w:t xml:space="preserve">, </w:t>
      </w:r>
      <w:proofErr w:type="spellStart"/>
      <w:r w:rsidRPr="00225BC5">
        <w:rPr>
          <w:rFonts w:asciiTheme="minorHAnsi" w:hAnsiTheme="minorHAnsi" w:cstheme="minorHAnsi"/>
          <w:sz w:val="24"/>
          <w:szCs w:val="24"/>
        </w:rPr>
        <w:t>Frupp</w:t>
      </w:r>
      <w:proofErr w:type="spellEnd"/>
      <w:r w:rsidRPr="00225BC5">
        <w:rPr>
          <w:rFonts w:asciiTheme="minorHAnsi" w:hAnsiTheme="minorHAnsi" w:cstheme="minorHAnsi"/>
          <w:sz w:val="24"/>
          <w:szCs w:val="24"/>
        </w:rPr>
        <w:t xml:space="preserve"> and Howland, 2021). Leadership styles within policing are described in two forms: transactional and transformational (Burns, 1978). This essay explores the roles of transactional and transformational leadership within policing, the negatives, and positives and where they can be employed. The leadership and leadership strategies discussed are bounded by academic review rather than direct police policy.  The models compared are linked to direct experiences that evidence a change in leadership approach with changing circumstances. However, it is caveated that as a police constable, leadership is by virtue of position and uniform in the eyes of the public in a given scenario.  The scenarios discussed highlight this perception and how leadership, and flexibility of leadership is required of a police officer at the lowest levels to reflect changing circumstances. </w:t>
      </w:r>
    </w:p>
    <w:p w14:paraId="42CBAB92" w14:textId="77777777" w:rsidR="00225BC5" w:rsidRPr="00225BC5" w:rsidRDefault="00225BC5" w:rsidP="00225BC5">
      <w:pPr>
        <w:ind w:right="237"/>
        <w:jc w:val="both"/>
        <w:rPr>
          <w:rFonts w:asciiTheme="minorHAnsi" w:hAnsiTheme="minorHAnsi" w:cstheme="minorHAnsi"/>
          <w:sz w:val="24"/>
          <w:szCs w:val="24"/>
        </w:rPr>
      </w:pPr>
      <w:r w:rsidRPr="00225BC5">
        <w:rPr>
          <w:rFonts w:asciiTheme="minorHAnsi" w:hAnsiTheme="minorHAnsi" w:cstheme="minorHAnsi"/>
          <w:sz w:val="24"/>
          <w:szCs w:val="24"/>
        </w:rPr>
        <w:tab/>
      </w:r>
    </w:p>
    <w:p w14:paraId="7FB63F41" w14:textId="69F5BCC7" w:rsidR="00225BC5" w:rsidRPr="00225BC5" w:rsidRDefault="00225BC5" w:rsidP="00225BC5">
      <w:pPr>
        <w:ind w:right="237"/>
        <w:jc w:val="both"/>
        <w:rPr>
          <w:rFonts w:asciiTheme="minorHAnsi" w:hAnsiTheme="minorHAnsi" w:cstheme="minorHAnsi"/>
          <w:sz w:val="24"/>
          <w:szCs w:val="24"/>
        </w:rPr>
      </w:pPr>
      <w:proofErr w:type="spellStart"/>
      <w:r w:rsidRPr="00225BC5">
        <w:rPr>
          <w:rFonts w:asciiTheme="minorHAnsi" w:hAnsiTheme="minorHAnsi" w:cstheme="minorHAnsi"/>
          <w:sz w:val="24"/>
          <w:szCs w:val="24"/>
        </w:rPr>
        <w:t>Fachrunnisa</w:t>
      </w:r>
      <w:proofErr w:type="spellEnd"/>
      <w:r w:rsidRPr="00225BC5">
        <w:rPr>
          <w:rFonts w:asciiTheme="minorHAnsi" w:hAnsiTheme="minorHAnsi" w:cstheme="minorHAnsi"/>
          <w:sz w:val="24"/>
          <w:szCs w:val="24"/>
        </w:rPr>
        <w:t xml:space="preserve"> et al. (2020) suggests for an organisation to accomplish its set goals, it must be able to adapt to changes in the dynamic environment. </w:t>
      </w:r>
      <w:proofErr w:type="spellStart"/>
      <w:r w:rsidRPr="00225BC5">
        <w:rPr>
          <w:rFonts w:asciiTheme="minorHAnsi" w:hAnsiTheme="minorHAnsi" w:cstheme="minorHAnsi"/>
          <w:sz w:val="24"/>
          <w:szCs w:val="24"/>
        </w:rPr>
        <w:t>Benzel</w:t>
      </w:r>
      <w:proofErr w:type="spellEnd"/>
      <w:r w:rsidRPr="00225BC5">
        <w:rPr>
          <w:rFonts w:asciiTheme="minorHAnsi" w:hAnsiTheme="minorHAnsi" w:cstheme="minorHAnsi"/>
          <w:sz w:val="24"/>
          <w:szCs w:val="24"/>
        </w:rPr>
        <w:t xml:space="preserve"> (2021) infers “</w:t>
      </w:r>
      <w:r w:rsidRPr="00225BC5">
        <w:rPr>
          <w:rFonts w:asciiTheme="minorHAnsi" w:hAnsiTheme="minorHAnsi" w:cstheme="minorHAnsi"/>
          <w:i/>
          <w:iCs/>
          <w:sz w:val="24"/>
          <w:szCs w:val="24"/>
        </w:rPr>
        <w:t>Leadership is the art of causing others to deliberately create a result that otherwise would not have happened</w:t>
      </w:r>
      <w:r w:rsidRPr="00225BC5">
        <w:rPr>
          <w:rFonts w:asciiTheme="minorHAnsi" w:hAnsiTheme="minorHAnsi" w:cstheme="minorHAnsi"/>
          <w:sz w:val="24"/>
          <w:szCs w:val="24"/>
        </w:rPr>
        <w:t>”</w:t>
      </w:r>
      <w:r>
        <w:rPr>
          <w:rFonts w:asciiTheme="minorHAnsi" w:hAnsiTheme="minorHAnsi" w:cstheme="minorHAnsi"/>
          <w:sz w:val="24"/>
          <w:szCs w:val="24"/>
        </w:rPr>
        <w:t>.</w:t>
      </w:r>
      <w:r w:rsidRPr="00225BC5">
        <w:rPr>
          <w:rFonts w:asciiTheme="minorHAnsi" w:hAnsiTheme="minorHAnsi" w:cstheme="minorHAnsi"/>
          <w:sz w:val="24"/>
          <w:szCs w:val="24"/>
        </w:rPr>
        <w:t xml:space="preserve"> Furthermore, </w:t>
      </w:r>
      <w:proofErr w:type="spellStart"/>
      <w:r w:rsidRPr="00225BC5">
        <w:rPr>
          <w:rFonts w:asciiTheme="minorHAnsi" w:hAnsiTheme="minorHAnsi" w:cstheme="minorHAnsi"/>
          <w:sz w:val="24"/>
          <w:szCs w:val="24"/>
        </w:rPr>
        <w:t>Weinbach</w:t>
      </w:r>
      <w:proofErr w:type="spellEnd"/>
      <w:r w:rsidRPr="00225BC5">
        <w:rPr>
          <w:rFonts w:asciiTheme="minorHAnsi" w:hAnsiTheme="minorHAnsi" w:cstheme="minorHAnsi"/>
          <w:sz w:val="24"/>
          <w:szCs w:val="24"/>
        </w:rPr>
        <w:t xml:space="preserve"> (1994) defines leadership as “</w:t>
      </w:r>
      <w:r w:rsidRPr="00225BC5">
        <w:rPr>
          <w:rFonts w:asciiTheme="minorHAnsi" w:hAnsiTheme="minorHAnsi" w:cstheme="minorHAnsi"/>
          <w:i/>
          <w:iCs/>
          <w:sz w:val="24"/>
          <w:szCs w:val="24"/>
        </w:rPr>
        <w:t>managerial activities that influence subordinates to strive willingly to attain the goals of the organization</w:t>
      </w:r>
      <w:r w:rsidRPr="00225BC5">
        <w:rPr>
          <w:rFonts w:asciiTheme="minorHAnsi" w:hAnsiTheme="minorHAnsi" w:cstheme="minorHAnsi"/>
          <w:sz w:val="24"/>
          <w:szCs w:val="24"/>
        </w:rPr>
        <w:t>”. Chartered Management Institute (2023) defines strategy as: “</w:t>
      </w:r>
      <w:r w:rsidRPr="00225BC5">
        <w:rPr>
          <w:rFonts w:asciiTheme="minorHAnsi" w:hAnsiTheme="minorHAnsi" w:cstheme="minorHAnsi"/>
          <w:i/>
          <w:iCs/>
          <w:sz w:val="24"/>
          <w:szCs w:val="24"/>
        </w:rPr>
        <w:t xml:space="preserve">the direction an organisation </w:t>
      </w:r>
      <w:r w:rsidRPr="00225BC5">
        <w:rPr>
          <w:rFonts w:asciiTheme="minorHAnsi" w:hAnsiTheme="minorHAnsi" w:cstheme="minorHAnsi"/>
          <w:i/>
          <w:iCs/>
          <w:sz w:val="24"/>
          <w:szCs w:val="24"/>
        </w:rPr>
        <w:lastRenderedPageBreak/>
        <w:t>takes with the aim of achieving future business success</w:t>
      </w:r>
      <w:r w:rsidRPr="00225BC5">
        <w:rPr>
          <w:rFonts w:asciiTheme="minorHAnsi" w:hAnsiTheme="minorHAnsi" w:cstheme="minorHAnsi"/>
          <w:sz w:val="24"/>
          <w:szCs w:val="24"/>
        </w:rPr>
        <w:t xml:space="preserve">”. In addition, Watkins (2007) explains a strategy will outline how individuals throughout an organisation should make decisions and use resources to achieve critical goals. However, Watkins (2007) states he has found in many leaders within organisations can struggle with strategy. </w:t>
      </w:r>
      <w:proofErr w:type="spellStart"/>
      <w:r w:rsidRPr="00225BC5">
        <w:rPr>
          <w:rFonts w:asciiTheme="minorHAnsi" w:hAnsiTheme="minorHAnsi" w:cstheme="minorHAnsi"/>
          <w:sz w:val="24"/>
          <w:szCs w:val="24"/>
        </w:rPr>
        <w:t>Samimi</w:t>
      </w:r>
      <w:proofErr w:type="spellEnd"/>
      <w:r w:rsidRPr="00225BC5">
        <w:rPr>
          <w:rFonts w:asciiTheme="minorHAnsi" w:hAnsiTheme="minorHAnsi" w:cstheme="minorHAnsi"/>
          <w:sz w:val="24"/>
          <w:szCs w:val="24"/>
        </w:rPr>
        <w:t xml:space="preserve"> et al. (2022) definition of strategic leadership is the performance of tasks by people at the top of an organisation, which encourage strategic outcomes for the company. Moreover, </w:t>
      </w:r>
      <w:proofErr w:type="spellStart"/>
      <w:r w:rsidRPr="00225BC5">
        <w:rPr>
          <w:rFonts w:asciiTheme="minorHAnsi" w:hAnsiTheme="minorHAnsi" w:cstheme="minorHAnsi"/>
          <w:sz w:val="24"/>
          <w:szCs w:val="24"/>
        </w:rPr>
        <w:t>Samimi</w:t>
      </w:r>
      <w:proofErr w:type="spellEnd"/>
      <w:r w:rsidRPr="00225BC5">
        <w:rPr>
          <w:rFonts w:asciiTheme="minorHAnsi" w:hAnsiTheme="minorHAnsi" w:cstheme="minorHAnsi"/>
          <w:sz w:val="24"/>
          <w:szCs w:val="24"/>
        </w:rPr>
        <w:t xml:space="preserve"> et al. (2022) describes there are several elements to strategic leadership: making strategic decisions, interacting with outside stakeholders, managing human resources, inspiring and persuading others, managing information, monitoring operations and administration, managing social and ethical issues, and handling competing demands. Reynolds (2022) explains that managers that exercise strategic leadership assist team members and an organisation in achieving long-term objectives by utilising their innovative problem-solving techniques and strategic vision. </w:t>
      </w:r>
    </w:p>
    <w:p w14:paraId="0DA5AB4F" w14:textId="77777777" w:rsidR="00225BC5" w:rsidRPr="00225BC5" w:rsidRDefault="00225BC5" w:rsidP="00225BC5">
      <w:pPr>
        <w:ind w:right="237"/>
        <w:jc w:val="both"/>
        <w:rPr>
          <w:rFonts w:asciiTheme="minorHAnsi" w:hAnsiTheme="minorHAnsi" w:cstheme="minorHAnsi"/>
          <w:sz w:val="24"/>
          <w:szCs w:val="24"/>
        </w:rPr>
      </w:pPr>
      <w:r w:rsidRPr="00225BC5">
        <w:rPr>
          <w:rFonts w:asciiTheme="minorHAnsi" w:hAnsiTheme="minorHAnsi" w:cstheme="minorHAnsi"/>
          <w:sz w:val="24"/>
          <w:szCs w:val="24"/>
        </w:rPr>
        <w:t>Vito, Higgins and Denney (2014) state it is crucial for police supervisors to exercise leadership within their role. Furthermore, Vito, Higgins and Denney (2014) claim it is useful to consider leadership in terms of a number of roles. Burns (1978) proposed two methods that police managers can use to exercise leadership: transactional leadership and transformational leadership.</w:t>
      </w:r>
    </w:p>
    <w:p w14:paraId="27A9B192" w14:textId="77777777" w:rsidR="00225BC5" w:rsidRPr="00225BC5" w:rsidRDefault="00225BC5" w:rsidP="00225BC5">
      <w:pPr>
        <w:ind w:right="237"/>
        <w:jc w:val="both"/>
        <w:rPr>
          <w:rFonts w:asciiTheme="minorHAnsi" w:hAnsiTheme="minorHAnsi" w:cstheme="minorHAnsi"/>
          <w:sz w:val="24"/>
          <w:szCs w:val="24"/>
        </w:rPr>
      </w:pPr>
      <w:r w:rsidRPr="00225BC5">
        <w:rPr>
          <w:rFonts w:asciiTheme="minorHAnsi" w:hAnsiTheme="minorHAnsi" w:cstheme="minorHAnsi"/>
          <w:sz w:val="24"/>
          <w:szCs w:val="24"/>
        </w:rPr>
        <w:t>Transactional leadership prioritises “</w:t>
      </w:r>
      <w:r w:rsidRPr="00225BC5">
        <w:rPr>
          <w:rFonts w:asciiTheme="minorHAnsi" w:hAnsiTheme="minorHAnsi" w:cstheme="minorHAnsi"/>
          <w:i/>
          <w:iCs/>
          <w:sz w:val="24"/>
          <w:szCs w:val="24"/>
        </w:rPr>
        <w:t>structure, order, and goal-oriented planning</w:t>
      </w:r>
      <w:r w:rsidRPr="00225BC5">
        <w:rPr>
          <w:rFonts w:asciiTheme="minorHAnsi" w:hAnsiTheme="minorHAnsi" w:cstheme="minorHAnsi"/>
          <w:sz w:val="24"/>
          <w:szCs w:val="24"/>
        </w:rPr>
        <w:t>” which sees managers frequently use a system of incentives to inspire their staff by setting clear guidelines to guide staff and to help determine effectiveness (Martins, 2022). Cherry (2022) explains when guidelines are followed and goals achieved, staff are rewarded; however, if staff do not achieve the goal set out, punishment possible. Martins (2022) adds that there are positives and negatives when using the transactional leadership model. Teams tend to be goal-focused with an aim of increasing motivation and productivity; however, to be attainable, the goals set tend to be short term and supervisors need to understand that not everyone is motivated in the same way (Martin, 2022). Moreover, Cherry (2022) infers transactional leaders are only concerned with “</w:t>
      </w:r>
      <w:r w:rsidRPr="00225BC5">
        <w:rPr>
          <w:rFonts w:asciiTheme="minorHAnsi" w:hAnsiTheme="minorHAnsi" w:cstheme="minorHAnsi"/>
          <w:i/>
          <w:iCs/>
          <w:sz w:val="24"/>
          <w:szCs w:val="24"/>
        </w:rPr>
        <w:t>maintain the status quo</w:t>
      </w:r>
      <w:r w:rsidRPr="00225BC5">
        <w:rPr>
          <w:rFonts w:asciiTheme="minorHAnsi" w:hAnsiTheme="minorHAnsi" w:cstheme="minorHAnsi"/>
          <w:sz w:val="24"/>
          <w:szCs w:val="24"/>
        </w:rPr>
        <w:t xml:space="preserve">” and direct staff by instruction. It could be suggested that to achieve set goals using the transactional leadership model, supervisors will need to constantly creative incentives, which could then further suggest the staff are incentive driven and not driven by the success of the organisation nor inspired to do more than instructed.  What’s more, it could also be suggested transactional leadership is merely focused on day today box ticking and not the overall success of the organisation. </w:t>
      </w:r>
    </w:p>
    <w:p w14:paraId="340DE689" w14:textId="13581342" w:rsidR="00225BC5" w:rsidRPr="00225BC5" w:rsidRDefault="00225BC5" w:rsidP="00225BC5">
      <w:pPr>
        <w:ind w:right="237"/>
        <w:jc w:val="both"/>
        <w:rPr>
          <w:rFonts w:asciiTheme="minorHAnsi" w:hAnsiTheme="minorHAnsi" w:cstheme="minorHAnsi"/>
          <w:sz w:val="24"/>
          <w:szCs w:val="24"/>
        </w:rPr>
      </w:pPr>
      <w:r w:rsidRPr="00225BC5">
        <w:rPr>
          <w:rFonts w:asciiTheme="minorHAnsi" w:hAnsiTheme="minorHAnsi" w:cstheme="minorHAnsi"/>
          <w:sz w:val="24"/>
          <w:szCs w:val="24"/>
        </w:rPr>
        <w:t>Transformational leadership as a leadership style which can be tailored to suit needs which “</w:t>
      </w:r>
      <w:r w:rsidRPr="00225BC5">
        <w:rPr>
          <w:rFonts w:asciiTheme="minorHAnsi" w:hAnsiTheme="minorHAnsi" w:cstheme="minorHAnsi"/>
          <w:i/>
          <w:iCs/>
          <w:sz w:val="24"/>
          <w:szCs w:val="24"/>
        </w:rPr>
        <w:t>empowers people to accomplish positive change through big vision, inspiration, and a call to action</w:t>
      </w:r>
      <w:r w:rsidRPr="00225BC5">
        <w:rPr>
          <w:rFonts w:asciiTheme="minorHAnsi" w:hAnsiTheme="minorHAnsi" w:cstheme="minorHAnsi"/>
          <w:sz w:val="24"/>
          <w:szCs w:val="24"/>
        </w:rPr>
        <w:t>” (Baker, 2023). Transformational leaders will have frequently had an optimistic outlook, share and encourage their goals and vision with followers (Cherry, 20202). Transformational leaders establish an environment within their organisations that promotes worker engagement, development of knowledge and transfer, and a desire to innovate in ways that increase the likelihood of achieving the goals (</w:t>
      </w:r>
      <w:proofErr w:type="spellStart"/>
      <w:r w:rsidRPr="00225BC5">
        <w:rPr>
          <w:rFonts w:asciiTheme="minorHAnsi" w:hAnsiTheme="minorHAnsi" w:cstheme="minorHAnsi"/>
          <w:sz w:val="24"/>
          <w:szCs w:val="24"/>
        </w:rPr>
        <w:t>Stazyk</w:t>
      </w:r>
      <w:proofErr w:type="spellEnd"/>
      <w:r w:rsidRPr="00225BC5">
        <w:rPr>
          <w:rFonts w:asciiTheme="minorHAnsi" w:hAnsiTheme="minorHAnsi" w:cstheme="minorHAnsi"/>
          <w:sz w:val="24"/>
          <w:szCs w:val="24"/>
        </w:rPr>
        <w:t xml:space="preserve"> and Davis, 2020). Transformational leaders put a strong emphasis on encouraging group members to support one another and provide the encouragement, direction, and motivation they need to put in a lot of effort, deliver quality work, and remain devoted to the group (Cherry, 2023) and influences employee voice through leaders (Duan et al. 2017). Furthermore, Cherry (2023) explains the main objectives of transformational leadership are to encourage group members' growth, foster loyalty, and build confidence in them. The main objectives </w:t>
      </w:r>
      <w:r w:rsidRPr="00225BC5">
        <w:rPr>
          <w:rFonts w:asciiTheme="minorHAnsi" w:hAnsiTheme="minorHAnsi" w:cstheme="minorHAnsi"/>
          <w:sz w:val="24"/>
          <w:szCs w:val="24"/>
        </w:rPr>
        <w:lastRenderedPageBreak/>
        <w:t>of transformational leadership are to encourage group members' growth and loyalty in addition to building confidence in themselves (Cherry, 2023) and increases staff members' sense of personal connection to the leader (Duan et al., 2017). When comparing transactional and transformational leadership with a policing prospective in mind, it could be suggested transformational leadership would be more favourable as policing could benefit more from long term results, but transactional leadership may offer short term results where required.</w:t>
      </w:r>
    </w:p>
    <w:p w14:paraId="1451EDF7" w14:textId="77777777" w:rsidR="00225BC5" w:rsidRPr="00225BC5" w:rsidRDefault="00225BC5" w:rsidP="00225BC5">
      <w:pPr>
        <w:ind w:right="237"/>
        <w:jc w:val="both"/>
        <w:rPr>
          <w:rFonts w:asciiTheme="minorHAnsi" w:hAnsiTheme="minorHAnsi" w:cstheme="minorHAnsi"/>
          <w:sz w:val="24"/>
          <w:szCs w:val="24"/>
        </w:rPr>
      </w:pPr>
      <w:r w:rsidRPr="00225BC5">
        <w:rPr>
          <w:rFonts w:asciiTheme="minorHAnsi" w:hAnsiTheme="minorHAnsi" w:cstheme="minorHAnsi"/>
          <w:sz w:val="24"/>
          <w:szCs w:val="24"/>
        </w:rPr>
        <w:t>Strategic leaders use “</w:t>
      </w:r>
      <w:r w:rsidRPr="00225BC5">
        <w:rPr>
          <w:rFonts w:asciiTheme="minorHAnsi" w:hAnsiTheme="minorHAnsi" w:cstheme="minorHAnsi"/>
          <w:i/>
          <w:iCs/>
          <w:sz w:val="24"/>
          <w:szCs w:val="24"/>
        </w:rPr>
        <w:t>problem-solving skills and strategic vision to help team members and an organization achieve long-term goals</w:t>
      </w:r>
      <w:r w:rsidRPr="00225BC5">
        <w:rPr>
          <w:rFonts w:asciiTheme="minorHAnsi" w:hAnsiTheme="minorHAnsi" w:cstheme="minorHAnsi"/>
          <w:sz w:val="24"/>
          <w:szCs w:val="24"/>
        </w:rPr>
        <w:t xml:space="preserve">” (Reynolds, 2022). As a Police Constable, the lowest rank within the police force, it could be implied that I would not be expected to be responsible for strategic leadership. However, The College of Policing (2014), state all those working within policing, adhere to the code of ethics to which ‘leadership’ is one of the nine principles. Moreover, it could be suggested that police officers face adversity daily and that they would require the ability to be flexible in their decision making and leadership style. Now I am in my third year of response policing, I have attended a wide range of operational situations which have required flexibility and quick thinking in quite often, hostile incidents. Throughout my three years on response, I have attended several sudden deaths whereby the family are on scene and look to me for guidance in what to do once their loved one has passed. Quite often it can be daunting to have police officers in attendance, and many are concerned as to why. I explain that we ate there to act on behalf of the coroner and that we are there to support them. I explain the process as to why I am there, what I need to do, and I can also advise them on what to do as many family members are unsure what happens when someone dies. However, when considering an incident which places me in a position of flexibility and changing circumstances, I reflect on an incident of a dog attack. I attended an incident of a dog attack whereby two people were injured. Initial reports stated that an 89-year-old female, female one, had sustained injuries to her leg and was bleeding heavily; in addition, a second victim, female two, had deep lacerations to her foot. A male had locked the dog, a Pitbull Staffordshire bull terrier cross, outside of the house and in the front garden which was not gated. This now paced members of the public at risk as well as attending officers. As I was allocated the incident first, I requested that firearms officers attend so that if the dog presented an immediate risk, consideration for the immediate destruction of the dog could be covered. Furthermore, I requested that the ambulance service attend due to the level of injury disclosed. I recognised that with firearms in attendance, they would initially lead the incident until the dog was no longer a risk. This would then allow me and other attending officers to gain entry to the address to provide aide to the victims inside as the ambulance service had refused to attend until the dog was no longer a risk and the level of injury had been passed to them. On attendance, I scanned the area for members of the public and was pleased that nobody was in the area. The dog was in the front garden barking at the front door before running around the garden and then outside.  The male inside the address began to shout out of the window as he passed us information about the injures to the victims. Upon hearing the commotion and seeing police in attendance, neighbours came out of their houses and members of the public came on to the street to see what was happening. Firearms officers were not on scene so I understood that these people would now look to me for leadership and direction. I shouted for the people watching to get back inside the house and as I had now raised my voice, the dog came running towards me and my colleague; I considered using my taser to immobilise the dog and/or cause pain. A taser </w:t>
      </w:r>
      <w:r w:rsidRPr="00225BC5">
        <w:rPr>
          <w:rFonts w:asciiTheme="minorHAnsi" w:hAnsiTheme="minorHAnsi" w:cstheme="minorHAnsi"/>
          <w:sz w:val="24"/>
          <w:szCs w:val="24"/>
        </w:rPr>
        <w:lastRenderedPageBreak/>
        <w:t xml:space="preserve">deploys an electrical current that momentarily interferes with the body's neuromuscular system and causes a sensation of acute pain, it is a less lethal weapon system intended to briefly incapacitate a person (College of Policing, 2013a). I also considered using my PAVA spray which is an “irritant spray evaluated and approved for use by the police service” (College of Policing, 2013b). I decided that my force issue baton as I had hoped that if I hit the dog, I would knock it unconscious or I could use it to hold in its mouth if it bites me or any other person. I was aware now that children were in the street watching. The dog has then run at me so I swung my baton as a warning to the dog. The dog has then made way back to the garden as firearms have arrived. Conscious of public perception, I shouted for people to go back inside so that if the dog was shot, they would not see the traumatic scene. As firearms officers had arrived, I remained between the dog and members of the public until the dog was placed in the cage of my police van. As soon as it was clear to do so, I ran into the address to administer aid to the victims. Female one had a portion of her leg missing, I asked her several questions about her heath, and she told me she had recently completed chemotherapy; other officers tended to female two. Female one was panicking and told me she thought she was going to die; she looked to me for help and reassurance; the ambulance service stated that there was an 8 hour wait. Due to female one’s age, injuries, and ailments, I requested the fire service attend with stretcher and with the considerations of them conveying the female to hospital. More firearms officers who were also medics attended and I stood back and let them stabilise the female so that she could be safely conveyed by the fire service. I then went to deal with the dog that was responsible for the injuries, I informed the male the address that I would be seizing the dog whilst the incident was investigated. </w:t>
      </w:r>
    </w:p>
    <w:p w14:paraId="16079B7B" w14:textId="77777777" w:rsidR="00225BC5" w:rsidRDefault="00225BC5" w:rsidP="00225BC5">
      <w:pPr>
        <w:ind w:right="237"/>
        <w:jc w:val="both"/>
        <w:rPr>
          <w:rFonts w:asciiTheme="minorHAnsi" w:hAnsiTheme="minorHAnsi" w:cstheme="minorHAnsi"/>
          <w:sz w:val="24"/>
          <w:szCs w:val="24"/>
        </w:rPr>
      </w:pPr>
    </w:p>
    <w:p w14:paraId="4E9085BF" w14:textId="26E9749F" w:rsidR="00025650" w:rsidRDefault="00225BC5" w:rsidP="00225BC5">
      <w:pPr>
        <w:ind w:right="237"/>
        <w:jc w:val="both"/>
        <w:rPr>
          <w:rFonts w:asciiTheme="minorHAnsi" w:hAnsiTheme="minorHAnsi" w:cstheme="minorHAnsi"/>
          <w:sz w:val="24"/>
          <w:szCs w:val="24"/>
        </w:rPr>
      </w:pPr>
      <w:r w:rsidRPr="00225BC5">
        <w:rPr>
          <w:rFonts w:asciiTheme="minorHAnsi" w:hAnsiTheme="minorHAnsi" w:cstheme="minorHAnsi"/>
          <w:sz w:val="24"/>
          <w:szCs w:val="24"/>
        </w:rPr>
        <w:t>In summary, adapting to changing situations is considered a definition of flexibility (</w:t>
      </w:r>
      <w:proofErr w:type="spellStart"/>
      <w:r w:rsidRPr="00225BC5">
        <w:rPr>
          <w:rFonts w:asciiTheme="minorHAnsi" w:hAnsiTheme="minorHAnsi" w:cstheme="minorHAnsi"/>
          <w:sz w:val="24"/>
          <w:szCs w:val="24"/>
        </w:rPr>
        <w:t>Fachrunnisa</w:t>
      </w:r>
      <w:proofErr w:type="spellEnd"/>
      <w:r w:rsidRPr="00225BC5">
        <w:rPr>
          <w:rFonts w:asciiTheme="minorHAnsi" w:hAnsiTheme="minorHAnsi" w:cstheme="minorHAnsi"/>
          <w:sz w:val="24"/>
          <w:szCs w:val="24"/>
        </w:rPr>
        <w:t xml:space="preserve"> et al. 2020), where flexibility in leadership determines the effectiveness of a leader (Sharma, 2010). </w:t>
      </w:r>
      <w:proofErr w:type="spellStart"/>
      <w:r w:rsidRPr="00225BC5">
        <w:rPr>
          <w:rFonts w:asciiTheme="minorHAnsi" w:hAnsiTheme="minorHAnsi" w:cstheme="minorHAnsi"/>
          <w:sz w:val="24"/>
          <w:szCs w:val="24"/>
        </w:rPr>
        <w:t>Schoemaker</w:t>
      </w:r>
      <w:proofErr w:type="spellEnd"/>
      <w:r w:rsidRPr="00225BC5">
        <w:rPr>
          <w:rFonts w:asciiTheme="minorHAnsi" w:hAnsiTheme="minorHAnsi" w:cstheme="minorHAnsi"/>
          <w:sz w:val="24"/>
          <w:szCs w:val="24"/>
        </w:rPr>
        <w:t xml:space="preserve">, </w:t>
      </w:r>
      <w:proofErr w:type="spellStart"/>
      <w:r w:rsidRPr="00225BC5">
        <w:rPr>
          <w:rFonts w:asciiTheme="minorHAnsi" w:hAnsiTheme="minorHAnsi" w:cstheme="minorHAnsi"/>
          <w:sz w:val="24"/>
          <w:szCs w:val="24"/>
        </w:rPr>
        <w:t>Frupp</w:t>
      </w:r>
      <w:proofErr w:type="spellEnd"/>
      <w:r w:rsidRPr="00225BC5">
        <w:rPr>
          <w:rFonts w:asciiTheme="minorHAnsi" w:hAnsiTheme="minorHAnsi" w:cstheme="minorHAnsi"/>
          <w:sz w:val="24"/>
          <w:szCs w:val="24"/>
        </w:rPr>
        <w:t xml:space="preserve"> and Howland (2021) argued that to be strategic leader, a level of responsiveness to an evolving environment is required. Strategy was argued as achieving success by organisational direction (Chartered Management Institute, 2023) allied with influence via leadership achieves set goals (</w:t>
      </w:r>
      <w:proofErr w:type="spellStart"/>
      <w:r w:rsidRPr="00225BC5">
        <w:rPr>
          <w:rFonts w:asciiTheme="minorHAnsi" w:hAnsiTheme="minorHAnsi" w:cstheme="minorHAnsi"/>
          <w:sz w:val="24"/>
          <w:szCs w:val="24"/>
        </w:rPr>
        <w:t>Weinbach</w:t>
      </w:r>
      <w:proofErr w:type="spellEnd"/>
      <w:r w:rsidRPr="00225BC5">
        <w:rPr>
          <w:rFonts w:asciiTheme="minorHAnsi" w:hAnsiTheme="minorHAnsi" w:cstheme="minorHAnsi"/>
          <w:sz w:val="24"/>
          <w:szCs w:val="24"/>
        </w:rPr>
        <w:t>, 1994). Direct police leadership models were not evaluated; however, Burns (1984) describes transactional and transformational leadership as models that should be adopted by police. It was described that transactional leadership is via rewards (Cherry, 2022) and transformational encourages team involvement (Duan et al. 2017). It has been my experience that flexibility in my leadership approach to situations is essential, but a transactional style is more suited to a police constable.  This is due to my leadership being evidenced by working directly with the public as a police constable has little leadership responsibility among peers. Engagement with an emerging situation such as a dog attack displayed my ability to adapt to controlling the scene, strategically thinking of the next steps of recovery of the victims, preventing further harm but also when to relinquish leadership when firearms officers arrive as the circumstances change.</w:t>
      </w:r>
    </w:p>
    <w:p w14:paraId="5D0C3301" w14:textId="0DFACCE3" w:rsidR="00225BC5" w:rsidRPr="00225BC5" w:rsidRDefault="00225BC5" w:rsidP="00225BC5">
      <w:pPr>
        <w:ind w:right="237"/>
        <w:jc w:val="both"/>
        <w:rPr>
          <w:rFonts w:asciiTheme="minorHAnsi" w:hAnsiTheme="minorHAnsi" w:cstheme="minorHAnsi"/>
          <w:sz w:val="24"/>
          <w:szCs w:val="24"/>
          <w:u w:val="single"/>
        </w:rPr>
      </w:pPr>
      <w:r w:rsidRPr="00225BC5">
        <w:rPr>
          <w:rFonts w:asciiTheme="minorHAnsi" w:hAnsiTheme="minorHAnsi" w:cstheme="minorHAnsi"/>
          <w:sz w:val="24"/>
          <w:szCs w:val="24"/>
          <w:u w:val="single"/>
        </w:rPr>
        <w:t>Word count 2124</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172D87">
              <w:rPr>
                <w:rStyle w:val="normaltextrun"/>
                <w:rFonts w:ascii="Arial" w:hAnsi="Arial" w:cs="Arial"/>
                <w:color w:val="000000"/>
              </w:rPr>
              <w:t xml:space="preserve">Critically </w:t>
            </w:r>
            <w:r w:rsidR="2F755FFD" w:rsidRPr="00172D87">
              <w:rPr>
                <w:rStyle w:val="normaltextrun"/>
                <w:rFonts w:ascii="Arial" w:hAnsi="Arial" w:cs="Arial"/>
                <w:color w:val="000000"/>
              </w:rPr>
              <w:t>reflect</w:t>
            </w:r>
            <w:r w:rsidR="2F755FFD" w:rsidRPr="00172D87">
              <w:rPr>
                <w:rStyle w:val="normaltextrun"/>
                <w:rFonts w:ascii="Arial" w:hAnsi="Arial" w:cs="Arial"/>
                <w:b/>
                <w:bCs/>
                <w:color w:val="000000"/>
              </w:rPr>
              <w:t xml:space="preserve"> </w:t>
            </w:r>
            <w:r w:rsidR="24F25AAB" w:rsidRPr="00172D87">
              <w:rPr>
                <w:rStyle w:val="normaltextrun"/>
                <w:rFonts w:ascii="Arial" w:hAnsi="Arial" w:cs="Arial"/>
                <w:color w:val="000000"/>
              </w:rPr>
              <w:t>up</w:t>
            </w:r>
            <w:r w:rsidR="2F755FFD" w:rsidRPr="00172D87">
              <w:rPr>
                <w:rStyle w:val="normaltextrun"/>
                <w:rFonts w:ascii="Arial" w:hAnsi="Arial" w:cs="Arial"/>
                <w:color w:val="000000" w:themeColor="text1"/>
              </w:rPr>
              <w:t>on</w:t>
            </w:r>
            <w:r w:rsidR="2F755FFD" w:rsidRPr="35AC8E37">
              <w:rPr>
                <w:rStyle w:val="normaltextrun"/>
                <w:rFonts w:ascii="Arial" w:hAnsi="Arial" w:cs="Arial"/>
                <w:color w:val="000000" w:themeColor="text1"/>
              </w:rPr>
              <w:t xml:space="preserve">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172D87">
              <w:rPr>
                <w:rStyle w:val="normaltextrun"/>
                <w:rFonts w:ascii="Arial" w:hAnsi="Arial" w:cs="Arial"/>
                <w:color w:val="000000"/>
              </w:rPr>
              <w:t>2</w:t>
            </w:r>
            <w:r w:rsidR="1AF3C369" w:rsidRPr="00172D87">
              <w:rPr>
                <w:rStyle w:val="normaltextrun"/>
                <w:rFonts w:ascii="Arial" w:hAnsi="Arial" w:cs="Arial"/>
                <w:color w:val="0000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34FE6D67" w14:textId="3A991AC9" w:rsidR="00051D44" w:rsidRPr="00051D44" w:rsidRDefault="00051D44" w:rsidP="00051D44">
      <w:pPr>
        <w:ind w:right="237"/>
        <w:jc w:val="both"/>
        <w:rPr>
          <w:rFonts w:asciiTheme="minorHAnsi" w:hAnsiTheme="minorHAnsi" w:cstheme="minorHAnsi"/>
          <w:sz w:val="24"/>
          <w:szCs w:val="24"/>
        </w:rPr>
      </w:pPr>
      <w:proofErr w:type="gramStart"/>
      <w:r w:rsidRPr="00051D44">
        <w:rPr>
          <w:rFonts w:asciiTheme="minorHAnsi" w:hAnsiTheme="minorHAnsi" w:cstheme="minorHAnsi"/>
          <w:sz w:val="24"/>
          <w:szCs w:val="24"/>
        </w:rPr>
        <w:t>In an attempt to</w:t>
      </w:r>
      <w:proofErr w:type="gramEnd"/>
      <w:r w:rsidRPr="00051D44">
        <w:rPr>
          <w:rFonts w:asciiTheme="minorHAnsi" w:hAnsiTheme="minorHAnsi" w:cstheme="minorHAnsi"/>
          <w:sz w:val="24"/>
          <w:szCs w:val="24"/>
        </w:rPr>
        <w:t xml:space="preserve"> professionalise the police, a three-year Degree in professional Policing Practice programme was developed (North Wales Police, 2020). The Police Constable Degree Apprenticeship (PCDA) entry route determines applicants as a probation officer from day one but must complete the degree to transition out of the probationary period (POLICE Be </w:t>
      </w:r>
      <w:r w:rsidRPr="00051D44">
        <w:rPr>
          <w:rFonts w:asciiTheme="minorHAnsi" w:hAnsiTheme="minorHAnsi" w:cstheme="minorHAnsi"/>
          <w:sz w:val="24"/>
          <w:szCs w:val="24"/>
        </w:rPr>
        <w:t>the</w:t>
      </w:r>
      <w:r w:rsidRPr="00051D44">
        <w:rPr>
          <w:rFonts w:asciiTheme="minorHAnsi" w:hAnsiTheme="minorHAnsi" w:cstheme="minorHAnsi"/>
          <w:sz w:val="24"/>
          <w:szCs w:val="24"/>
        </w:rPr>
        <w:t xml:space="preserve"> Difference, 2023). Miller (2020) concludes that mentoring and coaching are distinct. However, Stokes, </w:t>
      </w:r>
      <w:proofErr w:type="spellStart"/>
      <w:r w:rsidRPr="00051D44">
        <w:rPr>
          <w:rFonts w:asciiTheme="minorHAnsi" w:hAnsiTheme="minorHAnsi" w:cstheme="minorHAnsi"/>
          <w:sz w:val="24"/>
          <w:szCs w:val="24"/>
        </w:rPr>
        <w:t>Fatien</w:t>
      </w:r>
      <w:proofErr w:type="spellEnd"/>
      <w:r w:rsidRPr="00051D44">
        <w:rPr>
          <w:rFonts w:asciiTheme="minorHAnsi" w:hAnsiTheme="minorHAnsi" w:cstheme="minorHAnsi"/>
          <w:sz w:val="24"/>
          <w:szCs w:val="24"/>
        </w:rPr>
        <w:t xml:space="preserve"> </w:t>
      </w:r>
      <w:proofErr w:type="spellStart"/>
      <w:r w:rsidRPr="00051D44">
        <w:rPr>
          <w:rFonts w:asciiTheme="minorHAnsi" w:hAnsiTheme="minorHAnsi" w:cstheme="minorHAnsi"/>
          <w:sz w:val="24"/>
          <w:szCs w:val="24"/>
        </w:rPr>
        <w:t>Diochon</w:t>
      </w:r>
      <w:proofErr w:type="spellEnd"/>
      <w:r w:rsidRPr="00051D44">
        <w:rPr>
          <w:rFonts w:asciiTheme="minorHAnsi" w:hAnsiTheme="minorHAnsi" w:cstheme="minorHAnsi"/>
          <w:sz w:val="24"/>
          <w:szCs w:val="24"/>
        </w:rPr>
        <w:t>,</w:t>
      </w:r>
      <w:r>
        <w:rPr>
          <w:rFonts w:asciiTheme="minorHAnsi" w:hAnsiTheme="minorHAnsi" w:cstheme="minorHAnsi"/>
          <w:sz w:val="24"/>
          <w:szCs w:val="24"/>
        </w:rPr>
        <w:t xml:space="preserve"> </w:t>
      </w:r>
      <w:r w:rsidRPr="00051D44">
        <w:rPr>
          <w:rFonts w:asciiTheme="minorHAnsi" w:hAnsiTheme="minorHAnsi" w:cstheme="minorHAnsi"/>
          <w:sz w:val="24"/>
          <w:szCs w:val="24"/>
        </w:rPr>
        <w:t>and Otter,</w:t>
      </w:r>
      <w:r w:rsidR="008D4A93">
        <w:rPr>
          <w:rFonts w:asciiTheme="minorHAnsi" w:hAnsiTheme="minorHAnsi" w:cstheme="minorHAnsi"/>
          <w:sz w:val="24"/>
          <w:szCs w:val="24"/>
        </w:rPr>
        <w:t xml:space="preserve"> </w:t>
      </w:r>
      <w:r w:rsidRPr="00051D44">
        <w:rPr>
          <w:rFonts w:asciiTheme="minorHAnsi" w:hAnsiTheme="minorHAnsi" w:cstheme="minorHAnsi"/>
          <w:sz w:val="24"/>
          <w:szCs w:val="24"/>
        </w:rPr>
        <w:t>(2021) purport that it can be “</w:t>
      </w:r>
      <w:r w:rsidRPr="008D4A93">
        <w:rPr>
          <w:rFonts w:asciiTheme="minorHAnsi" w:hAnsiTheme="minorHAnsi" w:cstheme="minorHAnsi"/>
          <w:i/>
          <w:iCs/>
          <w:sz w:val="24"/>
          <w:szCs w:val="24"/>
        </w:rPr>
        <w:t>problematic</w:t>
      </w:r>
      <w:r w:rsidRPr="00051D44">
        <w:rPr>
          <w:rFonts w:asciiTheme="minorHAnsi" w:hAnsiTheme="minorHAnsi" w:cstheme="minorHAnsi"/>
          <w:sz w:val="24"/>
          <w:szCs w:val="24"/>
        </w:rPr>
        <w:t>” to differentiate between the two as they are concepts that are distinct but also intwined for a collective goal. Houston, (2019) suggests that goals are the basis for a plan to success. Coursera (2023) describe professional goals as a means of furthering a career and organisational strategy is key (Díaz,</w:t>
      </w:r>
      <w:r w:rsidR="008D4A93">
        <w:rPr>
          <w:rFonts w:asciiTheme="minorHAnsi" w:hAnsiTheme="minorHAnsi" w:cstheme="minorHAnsi"/>
          <w:sz w:val="24"/>
          <w:szCs w:val="24"/>
        </w:rPr>
        <w:t xml:space="preserve"> </w:t>
      </w:r>
      <w:r w:rsidRPr="00051D44">
        <w:rPr>
          <w:rFonts w:asciiTheme="minorHAnsi" w:hAnsiTheme="minorHAnsi" w:cstheme="minorHAnsi"/>
          <w:sz w:val="24"/>
          <w:szCs w:val="24"/>
        </w:rPr>
        <w:t>2021). This essay describes the negative effects that the coronavirus had on my development through lack of sufficient coaching and personal challenges with a mentor that lacked the enthusiasm to a probationer. However, there is evidence to describe how mentoring was key to my personal goals through direct engagement with my line manager and team that has been pivotal in my three-year probationary period.</w:t>
      </w:r>
    </w:p>
    <w:p w14:paraId="44091D99" w14:textId="77777777" w:rsidR="00051D44" w:rsidRPr="00051D44" w:rsidRDefault="00051D44" w:rsidP="00051D44">
      <w:pPr>
        <w:ind w:right="237"/>
        <w:jc w:val="both"/>
        <w:rPr>
          <w:rFonts w:asciiTheme="minorHAnsi" w:hAnsiTheme="minorHAnsi" w:cstheme="minorHAnsi"/>
          <w:sz w:val="24"/>
          <w:szCs w:val="24"/>
        </w:rPr>
      </w:pPr>
    </w:p>
    <w:p w14:paraId="2CC13F0A" w14:textId="77777777" w:rsidR="00051D44" w:rsidRPr="00051D44" w:rsidRDefault="00051D44" w:rsidP="00051D44">
      <w:pPr>
        <w:ind w:right="237"/>
        <w:jc w:val="both"/>
        <w:rPr>
          <w:rFonts w:asciiTheme="minorHAnsi" w:hAnsiTheme="minorHAnsi" w:cstheme="minorHAnsi"/>
          <w:sz w:val="24"/>
          <w:szCs w:val="24"/>
        </w:rPr>
      </w:pPr>
      <w:r w:rsidRPr="00051D44">
        <w:rPr>
          <w:rFonts w:asciiTheme="minorHAnsi" w:hAnsiTheme="minorHAnsi" w:cstheme="minorHAnsi"/>
          <w:sz w:val="24"/>
          <w:szCs w:val="24"/>
        </w:rPr>
        <w:t xml:space="preserve">Jacobs (2022) defines mentoring as a process where individuals can realise their potential through mentoring, which is a safe relationship that encourages learning and experimenting. Furthermore, Jacobs (2022) explains when both the mentor and the mentee acknowledge the importance of personal growth, a mentoring relationship is formed. Personalised learning is possible through mentoring for career advancement (Doyle, </w:t>
      </w:r>
      <w:proofErr w:type="spellStart"/>
      <w:r w:rsidRPr="00051D44">
        <w:rPr>
          <w:rFonts w:asciiTheme="minorHAnsi" w:hAnsiTheme="minorHAnsi" w:cstheme="minorHAnsi"/>
          <w:sz w:val="24"/>
          <w:szCs w:val="24"/>
        </w:rPr>
        <w:t>Lachter</w:t>
      </w:r>
      <w:proofErr w:type="spellEnd"/>
      <w:r w:rsidRPr="00051D44">
        <w:rPr>
          <w:rFonts w:asciiTheme="minorHAnsi" w:hAnsiTheme="minorHAnsi" w:cstheme="minorHAnsi"/>
          <w:sz w:val="24"/>
          <w:szCs w:val="24"/>
        </w:rPr>
        <w:t xml:space="preserve"> and Jacobs, 2019) and for a successful mentorship, trust and confidentiality is paramount (Jacobs, 2022). Without the supervision of a mentor, there is a risk that the mentee would either develop more slowly or not at all (Kowalski, 2019). Doyle, </w:t>
      </w:r>
      <w:proofErr w:type="spellStart"/>
      <w:r w:rsidRPr="00051D44">
        <w:rPr>
          <w:rFonts w:asciiTheme="minorHAnsi" w:hAnsiTheme="minorHAnsi" w:cstheme="minorHAnsi"/>
          <w:sz w:val="24"/>
          <w:szCs w:val="24"/>
        </w:rPr>
        <w:t>Lachter</w:t>
      </w:r>
      <w:proofErr w:type="spellEnd"/>
      <w:r w:rsidRPr="00051D44">
        <w:rPr>
          <w:rFonts w:asciiTheme="minorHAnsi" w:hAnsiTheme="minorHAnsi" w:cstheme="minorHAnsi"/>
          <w:sz w:val="24"/>
          <w:szCs w:val="24"/>
        </w:rPr>
        <w:t xml:space="preserve"> and </w:t>
      </w:r>
      <w:r w:rsidRPr="00051D44">
        <w:rPr>
          <w:rFonts w:asciiTheme="minorHAnsi" w:hAnsiTheme="minorHAnsi" w:cstheme="minorHAnsi"/>
          <w:sz w:val="24"/>
          <w:szCs w:val="24"/>
        </w:rPr>
        <w:lastRenderedPageBreak/>
        <w:t>Jacobs (2019) state mentoring will “</w:t>
      </w:r>
      <w:r w:rsidRPr="008D4A93">
        <w:rPr>
          <w:rFonts w:asciiTheme="minorHAnsi" w:hAnsiTheme="minorHAnsi" w:cstheme="minorHAnsi"/>
          <w:i/>
          <w:iCs/>
          <w:sz w:val="24"/>
          <w:szCs w:val="24"/>
        </w:rPr>
        <w:t>positively affect behaviour, attitude, motivation, job performance, organisational commitment, and career productivity and success</w:t>
      </w:r>
      <w:r w:rsidRPr="00051D44">
        <w:rPr>
          <w:rFonts w:asciiTheme="minorHAnsi" w:hAnsiTheme="minorHAnsi" w:cstheme="minorHAnsi"/>
          <w:sz w:val="24"/>
          <w:szCs w:val="24"/>
        </w:rPr>
        <w:t xml:space="preserve">”. </w:t>
      </w:r>
    </w:p>
    <w:p w14:paraId="0C9C2EEA" w14:textId="40BB636B" w:rsidR="00051D44" w:rsidRPr="00051D44" w:rsidRDefault="00051D44" w:rsidP="00051D44">
      <w:pPr>
        <w:ind w:right="237"/>
        <w:jc w:val="both"/>
        <w:rPr>
          <w:rFonts w:asciiTheme="minorHAnsi" w:hAnsiTheme="minorHAnsi" w:cstheme="minorHAnsi"/>
          <w:sz w:val="24"/>
          <w:szCs w:val="24"/>
        </w:rPr>
      </w:pPr>
      <w:r w:rsidRPr="00051D44">
        <w:rPr>
          <w:rFonts w:asciiTheme="minorHAnsi" w:hAnsiTheme="minorHAnsi" w:cstheme="minorHAnsi"/>
          <w:sz w:val="24"/>
          <w:szCs w:val="24"/>
        </w:rPr>
        <w:t xml:space="preserve">Stokes, </w:t>
      </w:r>
      <w:proofErr w:type="spellStart"/>
      <w:r w:rsidRPr="00051D44">
        <w:rPr>
          <w:rFonts w:asciiTheme="minorHAnsi" w:hAnsiTheme="minorHAnsi" w:cstheme="minorHAnsi"/>
          <w:sz w:val="24"/>
          <w:szCs w:val="24"/>
        </w:rPr>
        <w:t>Fatien</w:t>
      </w:r>
      <w:proofErr w:type="spellEnd"/>
      <w:r w:rsidRPr="00051D44">
        <w:rPr>
          <w:rFonts w:asciiTheme="minorHAnsi" w:hAnsiTheme="minorHAnsi" w:cstheme="minorHAnsi"/>
          <w:sz w:val="24"/>
          <w:szCs w:val="24"/>
        </w:rPr>
        <w:t xml:space="preserve"> </w:t>
      </w:r>
      <w:proofErr w:type="spellStart"/>
      <w:r w:rsidRPr="00051D44">
        <w:rPr>
          <w:rFonts w:asciiTheme="minorHAnsi" w:hAnsiTheme="minorHAnsi" w:cstheme="minorHAnsi"/>
          <w:sz w:val="24"/>
          <w:szCs w:val="24"/>
        </w:rPr>
        <w:t>Diochon</w:t>
      </w:r>
      <w:proofErr w:type="spellEnd"/>
      <w:r w:rsidRPr="00051D44">
        <w:rPr>
          <w:rFonts w:asciiTheme="minorHAnsi" w:hAnsiTheme="minorHAnsi" w:cstheme="minorHAnsi"/>
          <w:sz w:val="24"/>
          <w:szCs w:val="24"/>
        </w:rPr>
        <w:t xml:space="preserve"> and Otter (2021) argue that coaching is completely different and separate from mentoring. Coaching as a one-to-one process whereby behaviour can be adjusted based on reflection and feedback provided which will continue until the desired results are achieved (</w:t>
      </w:r>
      <w:proofErr w:type="spellStart"/>
      <w:r w:rsidRPr="00051D44">
        <w:rPr>
          <w:rFonts w:asciiTheme="minorHAnsi" w:hAnsiTheme="minorHAnsi" w:cstheme="minorHAnsi"/>
          <w:sz w:val="24"/>
          <w:szCs w:val="24"/>
        </w:rPr>
        <w:t>Champathes</w:t>
      </w:r>
      <w:proofErr w:type="spellEnd"/>
      <w:r w:rsidRPr="00051D44">
        <w:rPr>
          <w:rFonts w:asciiTheme="minorHAnsi" w:hAnsiTheme="minorHAnsi" w:cstheme="minorHAnsi"/>
          <w:sz w:val="24"/>
          <w:szCs w:val="24"/>
        </w:rPr>
        <w:t>, 2006</w:t>
      </w:r>
      <w:r w:rsidR="008D4A93">
        <w:rPr>
          <w:rFonts w:asciiTheme="minorHAnsi" w:hAnsiTheme="minorHAnsi" w:cstheme="minorHAnsi"/>
          <w:sz w:val="24"/>
          <w:szCs w:val="24"/>
        </w:rPr>
        <w:t xml:space="preserve"> and </w:t>
      </w:r>
      <w:r w:rsidRPr="00051D44">
        <w:rPr>
          <w:rFonts w:asciiTheme="minorHAnsi" w:hAnsiTheme="minorHAnsi" w:cstheme="minorHAnsi"/>
          <w:sz w:val="24"/>
          <w:szCs w:val="24"/>
        </w:rPr>
        <w:t>Smithers, 2011). Coaching is a useful technique for professional development (Kowalski, 2020) which improves overall organisational results (Jones, Woods, and Guillaume, 2016).</w:t>
      </w:r>
    </w:p>
    <w:p w14:paraId="5EC07709" w14:textId="77777777" w:rsidR="00051D44" w:rsidRPr="00051D44" w:rsidRDefault="00051D44" w:rsidP="00051D44">
      <w:pPr>
        <w:ind w:right="237"/>
        <w:jc w:val="both"/>
        <w:rPr>
          <w:rFonts w:asciiTheme="minorHAnsi" w:hAnsiTheme="minorHAnsi" w:cstheme="minorHAnsi"/>
          <w:sz w:val="24"/>
          <w:szCs w:val="24"/>
        </w:rPr>
      </w:pPr>
      <w:r w:rsidRPr="00051D44">
        <w:rPr>
          <w:rFonts w:asciiTheme="minorHAnsi" w:hAnsiTheme="minorHAnsi" w:cstheme="minorHAnsi"/>
          <w:sz w:val="24"/>
          <w:szCs w:val="24"/>
        </w:rPr>
        <w:t>When I completed my initial classroom police training, I was posted to the Professional Development Unit (PPU) and allocated a tutor to coach me through 10 weeks of practical training whereby I could apply what I had learnt whist continuing to learns and develop. Learning and development is defined as a systematic process used to improve an employee's skills, knowledge, and competencies for better performance at work (</w:t>
      </w:r>
      <w:proofErr w:type="spellStart"/>
      <w:r w:rsidRPr="00051D44">
        <w:rPr>
          <w:rFonts w:asciiTheme="minorHAnsi" w:hAnsiTheme="minorHAnsi" w:cstheme="minorHAnsi"/>
          <w:sz w:val="24"/>
          <w:szCs w:val="24"/>
        </w:rPr>
        <w:t>Vulpen</w:t>
      </w:r>
      <w:proofErr w:type="spellEnd"/>
      <w:r w:rsidRPr="00051D44">
        <w:rPr>
          <w:rFonts w:asciiTheme="minorHAnsi" w:hAnsiTheme="minorHAnsi" w:cstheme="minorHAnsi"/>
          <w:sz w:val="24"/>
          <w:szCs w:val="24"/>
        </w:rPr>
        <w:t xml:space="preserve">, 2023). Furthermore, </w:t>
      </w:r>
      <w:proofErr w:type="spellStart"/>
      <w:r w:rsidRPr="00051D44">
        <w:rPr>
          <w:rFonts w:asciiTheme="minorHAnsi" w:hAnsiTheme="minorHAnsi" w:cstheme="minorHAnsi"/>
          <w:sz w:val="24"/>
          <w:szCs w:val="24"/>
        </w:rPr>
        <w:t>Vulpen</w:t>
      </w:r>
      <w:proofErr w:type="spellEnd"/>
      <w:r w:rsidRPr="00051D44">
        <w:rPr>
          <w:rFonts w:asciiTheme="minorHAnsi" w:hAnsiTheme="minorHAnsi" w:cstheme="minorHAnsi"/>
          <w:sz w:val="24"/>
          <w:szCs w:val="24"/>
        </w:rPr>
        <w:t xml:space="preserve"> (2023) explains learning is primarily focused on the development of knowledge, skills, and attitudes; understanding is expanded and deepened in accordance with one's development objectives.</w:t>
      </w:r>
    </w:p>
    <w:p w14:paraId="18A37EAC" w14:textId="77777777" w:rsidR="00051D44" w:rsidRPr="00051D44" w:rsidRDefault="00051D44" w:rsidP="00051D44">
      <w:pPr>
        <w:ind w:right="237"/>
        <w:jc w:val="both"/>
        <w:rPr>
          <w:rFonts w:asciiTheme="minorHAnsi" w:hAnsiTheme="minorHAnsi" w:cstheme="minorHAnsi"/>
          <w:sz w:val="24"/>
          <w:szCs w:val="24"/>
        </w:rPr>
      </w:pPr>
      <w:r w:rsidRPr="00051D44">
        <w:rPr>
          <w:rFonts w:asciiTheme="minorHAnsi" w:hAnsiTheme="minorHAnsi" w:cstheme="minorHAnsi"/>
          <w:sz w:val="24"/>
          <w:szCs w:val="24"/>
        </w:rPr>
        <w:t xml:space="preserve">During my time in the PDU, I would also be expected to be graded as competent on pre-set multiple areas of policing, receive feedback, reflect in order to prepare for other such circumstances and consider other outcomes and eventualities. Furthermore, incidents I attended required evidence in order to be signed off, this would include: </w:t>
      </w:r>
      <w:proofErr w:type="spellStart"/>
      <w:r w:rsidRPr="00051D44">
        <w:rPr>
          <w:rFonts w:asciiTheme="minorHAnsi" w:hAnsiTheme="minorHAnsi" w:cstheme="minorHAnsi"/>
          <w:sz w:val="24"/>
          <w:szCs w:val="24"/>
        </w:rPr>
        <w:t>bodyworn</w:t>
      </w:r>
      <w:proofErr w:type="spellEnd"/>
      <w:r w:rsidRPr="00051D44">
        <w:rPr>
          <w:rFonts w:asciiTheme="minorHAnsi" w:hAnsiTheme="minorHAnsi" w:cstheme="minorHAnsi"/>
          <w:sz w:val="24"/>
          <w:szCs w:val="24"/>
        </w:rPr>
        <w:t xml:space="preserve"> footage, question and answer sessions with the tutor and completion of necessary paperwork on police systems. As </w:t>
      </w:r>
      <w:proofErr w:type="spellStart"/>
      <w:r w:rsidRPr="00051D44">
        <w:rPr>
          <w:rFonts w:asciiTheme="minorHAnsi" w:hAnsiTheme="minorHAnsi" w:cstheme="minorHAnsi"/>
          <w:sz w:val="24"/>
          <w:szCs w:val="24"/>
        </w:rPr>
        <w:t>Champathes</w:t>
      </w:r>
      <w:proofErr w:type="spellEnd"/>
      <w:r w:rsidRPr="00051D44">
        <w:rPr>
          <w:rFonts w:asciiTheme="minorHAnsi" w:hAnsiTheme="minorHAnsi" w:cstheme="minorHAnsi"/>
          <w:sz w:val="24"/>
          <w:szCs w:val="24"/>
        </w:rPr>
        <w:t xml:space="preserve"> (2006) and Smithers (2011) inferred, coaching is better suited as on-to-one coaching; however, I was placed with another student officer and coached on a two-to-one basis. I joined the police service at the height of the coronavirus, so this meant that there were restrictions in my training and my time I the PDU. To reduce the risk of infection, we were informed that that three officers could not be in the car at the same time for the entire 10 weeks coaching. This meant that the other student officer and I would have to take turns in going out in the car and attending incidents with the tutor. As there is no guarantee how long a police incident can take, one of us would often be left in the station for long periods of time and sometimes not leave the station for the entire day. Upon reflection, I believe that my time in the PDU was not filled to its full potential and potentially left me unready to join my shift as an independent officer. It could be suggested that due to the restrictions the coronavirus had on my time in the PDU meant that I was not trained to the full potential as the officers before me and officers that have joined after me. Furthermore, it could be suggested that due to my lack of coaching, exposure and experience, I may not have been able to perform to the best of my ability which could be detrimental to victims of crime and my peers as I joined my shift. </w:t>
      </w:r>
    </w:p>
    <w:p w14:paraId="533F3D43" w14:textId="77777777" w:rsidR="00051D44" w:rsidRPr="00051D44" w:rsidRDefault="00051D44" w:rsidP="00051D44">
      <w:pPr>
        <w:ind w:right="237"/>
        <w:jc w:val="both"/>
        <w:rPr>
          <w:rFonts w:asciiTheme="minorHAnsi" w:hAnsiTheme="minorHAnsi" w:cstheme="minorHAnsi"/>
          <w:sz w:val="24"/>
          <w:szCs w:val="24"/>
        </w:rPr>
      </w:pPr>
      <w:r w:rsidRPr="00051D44">
        <w:rPr>
          <w:rFonts w:asciiTheme="minorHAnsi" w:hAnsiTheme="minorHAnsi" w:cstheme="minorHAnsi"/>
          <w:sz w:val="24"/>
          <w:szCs w:val="24"/>
        </w:rPr>
        <w:t xml:space="preserve">At the time I joined my shift as an independent officer, I spoke to my direct line manager, my Sergeant, and expressed concerns that I had not been to many incidents and that I was a nervous going out in a police vehicle and attending incidents alone. My Sergeant told me that typically when a person leaves the PDU, they are allocated a mentor on shift to guide them through the first initial weeks. A colleague was allocated as a mentor, and we discussed areas of policing I did not feel confident and areas where I did feel confident. I disclosed that I was confident at things such as sudden deaths and conflict but wanted more experience with domestic abuse as I had interests in specialising within my force domestic violence team. For the first few days with my mentor, we attended a handful of various incidents; however, I soon realised that my mentor was not the proactive officer I </w:t>
      </w:r>
      <w:r w:rsidRPr="00051D44">
        <w:rPr>
          <w:rFonts w:asciiTheme="minorHAnsi" w:hAnsiTheme="minorHAnsi" w:cstheme="minorHAnsi"/>
          <w:sz w:val="24"/>
          <w:szCs w:val="24"/>
        </w:rPr>
        <w:lastRenderedPageBreak/>
        <w:t xml:space="preserve">wanted to be and found myself station bound just like I was in the PDU. As I am the kind of person who tends to take positive action when I am not satisfied with a situation, I adopted a new mentor myself and began to crew with him instead and after a few weeks, I soon gained the confidence to go out alone. When I consider my time being mentored, I recall initially feeling deflated and let down that I had been allocated an officer that, for whatever reasons, did not want to leave the station. I had concerns that it would take me longer to become a satisfactory officer and be able to hold my own against my peers. I am happy that I changed mentor as I believe it gave me the confidence to move forward as an independent officer within my force. </w:t>
      </w:r>
    </w:p>
    <w:p w14:paraId="3C1E16B2" w14:textId="77777777" w:rsidR="00051D44" w:rsidRPr="00051D44" w:rsidRDefault="00051D44" w:rsidP="00051D44">
      <w:pPr>
        <w:ind w:right="237"/>
        <w:jc w:val="both"/>
        <w:rPr>
          <w:rFonts w:asciiTheme="minorHAnsi" w:hAnsiTheme="minorHAnsi" w:cstheme="minorHAnsi"/>
          <w:sz w:val="24"/>
          <w:szCs w:val="24"/>
        </w:rPr>
      </w:pPr>
      <w:r w:rsidRPr="00051D44">
        <w:rPr>
          <w:rFonts w:asciiTheme="minorHAnsi" w:hAnsiTheme="minorHAnsi" w:cstheme="minorHAnsi"/>
          <w:sz w:val="24"/>
          <w:szCs w:val="24"/>
        </w:rPr>
        <w:t xml:space="preserve">Shortly after those initial weeks being mentored by my chosen colleague, he moved on to another department within the police force, so he was no longer </w:t>
      </w:r>
      <w:proofErr w:type="gramStart"/>
      <w:r w:rsidRPr="00051D44">
        <w:rPr>
          <w:rFonts w:asciiTheme="minorHAnsi" w:hAnsiTheme="minorHAnsi" w:cstheme="minorHAnsi"/>
          <w:sz w:val="24"/>
          <w:szCs w:val="24"/>
        </w:rPr>
        <w:t>in a position</w:t>
      </w:r>
      <w:proofErr w:type="gramEnd"/>
      <w:r w:rsidRPr="00051D44">
        <w:rPr>
          <w:rFonts w:asciiTheme="minorHAnsi" w:hAnsiTheme="minorHAnsi" w:cstheme="minorHAnsi"/>
          <w:sz w:val="24"/>
          <w:szCs w:val="24"/>
        </w:rPr>
        <w:t xml:space="preserve"> to mentor me. Typically, the mentorship period lasts a few weeks; however, I work with a good shift, and we all guide and help each other. Since my mentorship period ended nearly three years ago, there has been no further professional mentoring available to me. Typically, within the probation period, officers usually </w:t>
      </w:r>
      <w:proofErr w:type="gramStart"/>
      <w:r w:rsidRPr="00051D44">
        <w:rPr>
          <w:rFonts w:asciiTheme="minorHAnsi" w:hAnsiTheme="minorHAnsi" w:cstheme="minorHAnsi"/>
          <w:sz w:val="24"/>
          <w:szCs w:val="24"/>
        </w:rPr>
        <w:t>have the opportunity to</w:t>
      </w:r>
      <w:proofErr w:type="gramEnd"/>
      <w:r w:rsidRPr="00051D44">
        <w:rPr>
          <w:rFonts w:asciiTheme="minorHAnsi" w:hAnsiTheme="minorHAnsi" w:cstheme="minorHAnsi"/>
          <w:sz w:val="24"/>
          <w:szCs w:val="24"/>
        </w:rPr>
        <w:t xml:space="preserve"> have attachments with different departments within the force this can include the departments such as: domestic abuse, traffic, child protection and drugs. However, due to the coronavirus, all attachments were cancelled. The attachments have since resumed, but unfortunately, there is too much of a back log of officers wanting to go on the attachments and it is usually officers recently out of the PDU that get them. Reflecting on my three-year probationary period it is evident that I have not had the full experience that my peers before me or after me have had or will have. I have often considered my position within the police especially when contemplating specialising in different departments, I find that I want to stay as a response officer and have little interest in spending time with different teams due to lack of confidence to do so. It could be suggested that my reduced coaching in the PPU, lack of mentoring, and the coronavirus effecting the opportunity to broaden my view of the possibilities within the police, I am content to remain a response officer thus not reaching my full potential despite me discussing my interests early on with my mentor.  </w:t>
      </w:r>
    </w:p>
    <w:p w14:paraId="69597EF5" w14:textId="77777777" w:rsidR="00051D44" w:rsidRPr="00051D44" w:rsidRDefault="00051D44" w:rsidP="00051D44">
      <w:pPr>
        <w:ind w:right="237"/>
        <w:jc w:val="both"/>
        <w:rPr>
          <w:rFonts w:asciiTheme="minorHAnsi" w:hAnsiTheme="minorHAnsi" w:cstheme="minorHAnsi"/>
          <w:sz w:val="24"/>
          <w:szCs w:val="24"/>
        </w:rPr>
      </w:pPr>
      <w:r w:rsidRPr="00051D44">
        <w:rPr>
          <w:rFonts w:asciiTheme="minorHAnsi" w:hAnsiTheme="minorHAnsi" w:cstheme="minorHAnsi"/>
          <w:sz w:val="24"/>
          <w:szCs w:val="24"/>
        </w:rPr>
        <w:t xml:space="preserve">Although my professional coaching and mentoring has been restricted, I have experienced exemplary personal mentoring from my Sergeant regarding my mental health and supporting me through times I have found difficult. We have discussed challenges I have faced in my life along with traumatic incidents that I have attended as a police officer. Together, we have recognised that I struggle to ask for help or admit that I am in a low place so we have set personal goals which we have worked towards to help me with communication. This will include weekly catch ups and giving me the opportunity to work next to him on days I feel are particularly hard.  This may not seem particularly helpful to some, it is somethings that I have found that it has helped me feel comfortable, build trust, and feel supported.  </w:t>
      </w:r>
    </w:p>
    <w:p w14:paraId="2968641B" w14:textId="77777777" w:rsidR="00051D44" w:rsidRPr="00051D44" w:rsidRDefault="00051D44" w:rsidP="00051D44">
      <w:pPr>
        <w:ind w:right="237"/>
        <w:jc w:val="both"/>
        <w:rPr>
          <w:rFonts w:asciiTheme="minorHAnsi" w:hAnsiTheme="minorHAnsi" w:cstheme="minorHAnsi"/>
          <w:sz w:val="24"/>
          <w:szCs w:val="24"/>
        </w:rPr>
      </w:pPr>
    </w:p>
    <w:p w14:paraId="24D53740" w14:textId="197FDF52" w:rsidR="00051D44" w:rsidRPr="00051D44" w:rsidRDefault="00051D44" w:rsidP="00051D44">
      <w:pPr>
        <w:ind w:right="237"/>
        <w:jc w:val="both"/>
        <w:rPr>
          <w:rFonts w:asciiTheme="minorHAnsi" w:hAnsiTheme="minorHAnsi" w:cstheme="minorHAnsi"/>
          <w:sz w:val="24"/>
          <w:szCs w:val="24"/>
        </w:rPr>
      </w:pPr>
      <w:r w:rsidRPr="00051D44">
        <w:rPr>
          <w:rFonts w:asciiTheme="minorHAnsi" w:hAnsiTheme="minorHAnsi" w:cstheme="minorHAnsi"/>
          <w:sz w:val="24"/>
          <w:szCs w:val="24"/>
        </w:rPr>
        <w:t xml:space="preserve">In summary, mentoring can realise the potential of a person (Jacobs, 2022) where career advancement can be achieved through mentoring (Doyle, </w:t>
      </w:r>
      <w:proofErr w:type="spellStart"/>
      <w:r w:rsidRPr="00051D44">
        <w:rPr>
          <w:rFonts w:asciiTheme="minorHAnsi" w:hAnsiTheme="minorHAnsi" w:cstheme="minorHAnsi"/>
          <w:sz w:val="24"/>
          <w:szCs w:val="24"/>
        </w:rPr>
        <w:t>Lachter</w:t>
      </w:r>
      <w:proofErr w:type="spellEnd"/>
      <w:r w:rsidRPr="00051D44">
        <w:rPr>
          <w:rFonts w:asciiTheme="minorHAnsi" w:hAnsiTheme="minorHAnsi" w:cstheme="minorHAnsi"/>
          <w:sz w:val="24"/>
          <w:szCs w:val="24"/>
        </w:rPr>
        <w:t xml:space="preserve"> and Jacobs, 2019). Stokes, </w:t>
      </w:r>
      <w:proofErr w:type="spellStart"/>
      <w:r w:rsidRPr="00051D44">
        <w:rPr>
          <w:rFonts w:asciiTheme="minorHAnsi" w:hAnsiTheme="minorHAnsi" w:cstheme="minorHAnsi"/>
          <w:sz w:val="24"/>
          <w:szCs w:val="24"/>
        </w:rPr>
        <w:t>Fatien</w:t>
      </w:r>
      <w:r w:rsidR="008D4A93">
        <w:rPr>
          <w:rFonts w:asciiTheme="minorHAnsi" w:hAnsiTheme="minorHAnsi" w:cstheme="minorHAnsi"/>
          <w:sz w:val="24"/>
          <w:szCs w:val="24"/>
        </w:rPr>
        <w:t>-</w:t>
      </w:r>
      <w:r w:rsidRPr="00051D44">
        <w:rPr>
          <w:rFonts w:asciiTheme="minorHAnsi" w:hAnsiTheme="minorHAnsi" w:cstheme="minorHAnsi"/>
          <w:sz w:val="24"/>
          <w:szCs w:val="24"/>
        </w:rPr>
        <w:t>Diochon</w:t>
      </w:r>
      <w:proofErr w:type="spellEnd"/>
      <w:r w:rsidRPr="00051D44">
        <w:rPr>
          <w:rFonts w:asciiTheme="minorHAnsi" w:hAnsiTheme="minorHAnsi" w:cstheme="minorHAnsi"/>
          <w:sz w:val="24"/>
          <w:szCs w:val="24"/>
        </w:rPr>
        <w:t xml:space="preserve"> and Otter (2021) argued that mentoring and coaching are distinctly different. Coaching enables adjustment of behaviours through one-to-one interaction (</w:t>
      </w:r>
      <w:proofErr w:type="spellStart"/>
      <w:r w:rsidRPr="00051D44">
        <w:rPr>
          <w:rFonts w:asciiTheme="minorHAnsi" w:hAnsiTheme="minorHAnsi" w:cstheme="minorHAnsi"/>
          <w:sz w:val="24"/>
          <w:szCs w:val="24"/>
        </w:rPr>
        <w:t>Champathes</w:t>
      </w:r>
      <w:proofErr w:type="spellEnd"/>
      <w:r w:rsidRPr="00051D44">
        <w:rPr>
          <w:rFonts w:asciiTheme="minorHAnsi" w:hAnsiTheme="minorHAnsi" w:cstheme="minorHAnsi"/>
          <w:sz w:val="24"/>
          <w:szCs w:val="24"/>
        </w:rPr>
        <w:t>, 2006</w:t>
      </w:r>
      <w:r w:rsidR="008D4A93">
        <w:rPr>
          <w:rFonts w:asciiTheme="minorHAnsi" w:hAnsiTheme="minorHAnsi" w:cstheme="minorHAnsi"/>
          <w:sz w:val="24"/>
          <w:szCs w:val="24"/>
        </w:rPr>
        <w:t xml:space="preserve"> and</w:t>
      </w:r>
      <w:r w:rsidRPr="00051D44">
        <w:rPr>
          <w:rFonts w:asciiTheme="minorHAnsi" w:hAnsiTheme="minorHAnsi" w:cstheme="minorHAnsi"/>
          <w:sz w:val="24"/>
          <w:szCs w:val="24"/>
        </w:rPr>
        <w:t xml:space="preserve"> Smithers, 2011) and is a technique for development (Kowalski, 2020) and can assist in organisational goals (Jones, Woods, and Guillaume, 2016). Police coaching consists of a 10-week period post initial classroom work through a set programme of evidence-based competency and formally signed off. Feedback was mainly through face-</w:t>
      </w:r>
      <w:r w:rsidRPr="00051D44">
        <w:rPr>
          <w:rFonts w:asciiTheme="minorHAnsi" w:hAnsiTheme="minorHAnsi" w:cstheme="minorHAnsi"/>
          <w:sz w:val="24"/>
          <w:szCs w:val="24"/>
        </w:rPr>
        <w:lastRenderedPageBreak/>
        <w:t>to-face interaction and written confirmation of meeting the standard. However, my coaching was arguably hampered by the coronavirus and not having one-to-one coaching. Moreover, a coach that was possibly less driven than me made it difficult to gain the experience I required. Through initiative and engagement, I found a mentor that I could trust and that would help me develop as an officer. I believe that I did not receive the full complement of coaching, but good mentorship made up for this and is a developing picture where I communicate with my sergeant often and give him feedback on my feelings and receive feedback to develop.</w:t>
      </w:r>
    </w:p>
    <w:p w14:paraId="4C50E184" w14:textId="254CEA57" w:rsidR="00025650" w:rsidRPr="008D4A93" w:rsidRDefault="008D4A93" w:rsidP="00340E9A">
      <w:pPr>
        <w:ind w:right="237"/>
        <w:jc w:val="both"/>
        <w:rPr>
          <w:rFonts w:asciiTheme="minorHAnsi" w:hAnsiTheme="minorHAnsi" w:cstheme="minorHAnsi"/>
          <w:sz w:val="24"/>
          <w:szCs w:val="24"/>
          <w:u w:val="single"/>
        </w:rPr>
      </w:pPr>
      <w:r w:rsidRPr="008D4A93">
        <w:rPr>
          <w:rFonts w:asciiTheme="minorHAnsi" w:hAnsiTheme="minorHAnsi" w:cstheme="minorHAnsi"/>
          <w:sz w:val="24"/>
          <w:szCs w:val="24"/>
          <w:u w:val="single"/>
        </w:rPr>
        <w:t>Word count 1732</w:t>
      </w:r>
    </w:p>
    <w:p w14:paraId="592CAEBA" w14:textId="2C496F59" w:rsidR="000F7ECD" w:rsidRPr="00800042" w:rsidRDefault="000F7ECD" w:rsidP="00800042">
      <w:pPr>
        <w:ind w:right="237"/>
        <w:sectPr w:rsidR="000F7ECD" w:rsidRPr="00800042" w:rsidSect="0022001B">
          <w:pgSz w:w="11906" w:h="16838" w:code="9"/>
          <w:pgMar w:top="1440" w:right="1440" w:bottom="1440" w:left="1440" w:header="720" w:footer="720" w:gutter="0"/>
          <w:cols w:space="720"/>
          <w:docGrid w:linePitch="272"/>
        </w:sectPr>
      </w:pPr>
    </w:p>
    <w:p w14:paraId="2B4DA333" w14:textId="7201AD6F"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38F05671" w14:textId="444F28FE" w:rsidR="00E422B0" w:rsidRPr="00E422B0" w:rsidRDefault="000F7ECD" w:rsidP="00E422B0">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7310AEF" w14:textId="5E83EDB3" w:rsidR="00E422B0" w:rsidRPr="00E422B0" w:rsidRDefault="00E422B0" w:rsidP="00E422B0">
      <w:pPr>
        <w:pStyle w:val="Heading1"/>
        <w:rPr>
          <w:rFonts w:asciiTheme="minorHAnsi" w:hAnsiTheme="minorHAnsi" w:cstheme="minorHAnsi"/>
          <w:b w:val="0"/>
          <w:bCs/>
          <w:sz w:val="24"/>
          <w:szCs w:val="24"/>
        </w:rPr>
      </w:pPr>
      <w:proofErr w:type="spellStart"/>
      <w:r w:rsidRPr="00E422B0">
        <w:rPr>
          <w:rFonts w:asciiTheme="minorHAnsi" w:hAnsiTheme="minorHAnsi" w:cstheme="minorHAnsi"/>
          <w:b w:val="0"/>
          <w:bCs/>
          <w:sz w:val="24"/>
          <w:szCs w:val="24"/>
        </w:rPr>
        <w:t>Akhgar</w:t>
      </w:r>
      <w:proofErr w:type="spellEnd"/>
      <w:r w:rsidRPr="00E422B0">
        <w:rPr>
          <w:rFonts w:asciiTheme="minorHAnsi" w:hAnsiTheme="minorHAnsi" w:cstheme="minorHAnsi"/>
          <w:b w:val="0"/>
          <w:bCs/>
          <w:sz w:val="24"/>
          <w:szCs w:val="24"/>
        </w:rPr>
        <w:t xml:space="preserve">, B., </w:t>
      </w:r>
      <w:proofErr w:type="spellStart"/>
      <w:r w:rsidRPr="00E422B0">
        <w:rPr>
          <w:rFonts w:asciiTheme="minorHAnsi" w:hAnsiTheme="minorHAnsi" w:cstheme="minorHAnsi"/>
          <w:b w:val="0"/>
          <w:bCs/>
          <w:sz w:val="24"/>
          <w:szCs w:val="24"/>
        </w:rPr>
        <w:t>Bayerl</w:t>
      </w:r>
      <w:proofErr w:type="spellEnd"/>
      <w:r w:rsidRPr="00E422B0">
        <w:rPr>
          <w:rFonts w:asciiTheme="minorHAnsi" w:hAnsiTheme="minorHAnsi" w:cstheme="minorHAnsi"/>
          <w:b w:val="0"/>
          <w:bCs/>
          <w:sz w:val="24"/>
          <w:szCs w:val="24"/>
        </w:rPr>
        <w:t xml:space="preserve">, P.S. and </w:t>
      </w:r>
      <w:proofErr w:type="spellStart"/>
      <w:r w:rsidRPr="00E422B0">
        <w:rPr>
          <w:rFonts w:asciiTheme="minorHAnsi" w:hAnsiTheme="minorHAnsi" w:cstheme="minorHAnsi"/>
          <w:b w:val="0"/>
          <w:bCs/>
          <w:sz w:val="24"/>
          <w:szCs w:val="24"/>
        </w:rPr>
        <w:t>Leventakis</w:t>
      </w:r>
      <w:proofErr w:type="spellEnd"/>
      <w:r w:rsidRPr="00E422B0">
        <w:rPr>
          <w:rFonts w:asciiTheme="minorHAnsi" w:hAnsiTheme="minorHAnsi" w:cstheme="minorHAnsi"/>
          <w:b w:val="0"/>
          <w:bCs/>
          <w:sz w:val="24"/>
          <w:szCs w:val="24"/>
        </w:rPr>
        <w:t xml:space="preserve">, G. (2019) </w:t>
      </w:r>
      <w:r w:rsidRPr="00E422B0">
        <w:rPr>
          <w:rFonts w:asciiTheme="minorHAnsi" w:hAnsiTheme="minorHAnsi" w:cstheme="minorHAnsi"/>
          <w:b w:val="0"/>
          <w:bCs/>
          <w:i/>
          <w:iCs/>
          <w:sz w:val="24"/>
          <w:szCs w:val="24"/>
        </w:rPr>
        <w:t xml:space="preserve">Social Media Strategy in Policing </w:t>
      </w:r>
      <w:proofErr w:type="gramStart"/>
      <w:r w:rsidRPr="00E422B0">
        <w:rPr>
          <w:rFonts w:asciiTheme="minorHAnsi" w:hAnsiTheme="minorHAnsi" w:cstheme="minorHAnsi"/>
          <w:b w:val="0"/>
          <w:bCs/>
          <w:i/>
          <w:iCs/>
          <w:sz w:val="24"/>
          <w:szCs w:val="24"/>
        </w:rPr>
        <w:t>From</w:t>
      </w:r>
      <w:proofErr w:type="gramEnd"/>
      <w:r w:rsidRPr="00E422B0">
        <w:rPr>
          <w:rFonts w:asciiTheme="minorHAnsi" w:hAnsiTheme="minorHAnsi" w:cstheme="minorHAnsi"/>
          <w:b w:val="0"/>
          <w:bCs/>
          <w:i/>
          <w:iCs/>
          <w:sz w:val="24"/>
          <w:szCs w:val="24"/>
        </w:rPr>
        <w:t xml:space="preserve"> Cultural Intelligence to Community Policing</w:t>
      </w:r>
      <w:r w:rsidRPr="00E422B0">
        <w:rPr>
          <w:rFonts w:asciiTheme="minorHAnsi" w:hAnsiTheme="minorHAnsi" w:cstheme="minorHAnsi"/>
          <w:b w:val="0"/>
          <w:bCs/>
          <w:sz w:val="24"/>
          <w:szCs w:val="24"/>
        </w:rPr>
        <w:t xml:space="preserve">. 1st ed. 2019. Edited by B. </w:t>
      </w:r>
      <w:proofErr w:type="spellStart"/>
      <w:r w:rsidRPr="00E422B0">
        <w:rPr>
          <w:rFonts w:asciiTheme="minorHAnsi" w:hAnsiTheme="minorHAnsi" w:cstheme="minorHAnsi"/>
          <w:b w:val="0"/>
          <w:bCs/>
          <w:sz w:val="24"/>
          <w:szCs w:val="24"/>
        </w:rPr>
        <w:t>Akhgar</w:t>
      </w:r>
      <w:proofErr w:type="spellEnd"/>
      <w:r w:rsidRPr="00E422B0">
        <w:rPr>
          <w:rFonts w:asciiTheme="minorHAnsi" w:hAnsiTheme="minorHAnsi" w:cstheme="minorHAnsi"/>
          <w:b w:val="0"/>
          <w:bCs/>
          <w:sz w:val="24"/>
          <w:szCs w:val="24"/>
        </w:rPr>
        <w:t xml:space="preserve">, P.S. </w:t>
      </w:r>
      <w:proofErr w:type="spellStart"/>
      <w:r w:rsidRPr="00E422B0">
        <w:rPr>
          <w:rFonts w:asciiTheme="minorHAnsi" w:hAnsiTheme="minorHAnsi" w:cstheme="minorHAnsi"/>
          <w:b w:val="0"/>
          <w:bCs/>
          <w:sz w:val="24"/>
          <w:szCs w:val="24"/>
        </w:rPr>
        <w:t>Bayerl</w:t>
      </w:r>
      <w:proofErr w:type="spellEnd"/>
      <w:r w:rsidRPr="00E422B0">
        <w:rPr>
          <w:rFonts w:asciiTheme="minorHAnsi" w:hAnsiTheme="minorHAnsi" w:cstheme="minorHAnsi"/>
          <w:b w:val="0"/>
          <w:bCs/>
          <w:sz w:val="24"/>
          <w:szCs w:val="24"/>
        </w:rPr>
        <w:t xml:space="preserve">, and G. </w:t>
      </w:r>
      <w:proofErr w:type="spellStart"/>
      <w:r w:rsidRPr="00E422B0">
        <w:rPr>
          <w:rFonts w:asciiTheme="minorHAnsi" w:hAnsiTheme="minorHAnsi" w:cstheme="minorHAnsi"/>
          <w:b w:val="0"/>
          <w:bCs/>
          <w:sz w:val="24"/>
          <w:szCs w:val="24"/>
        </w:rPr>
        <w:t>Leventakis</w:t>
      </w:r>
      <w:proofErr w:type="spellEnd"/>
      <w:r w:rsidRPr="00E422B0">
        <w:rPr>
          <w:rFonts w:asciiTheme="minorHAnsi" w:hAnsiTheme="minorHAnsi" w:cstheme="minorHAnsi"/>
          <w:b w:val="0"/>
          <w:bCs/>
          <w:sz w:val="24"/>
          <w:szCs w:val="24"/>
        </w:rPr>
        <w:t xml:space="preserve">. Cham: Springer International Publishing. Available at: </w:t>
      </w:r>
      <w:hyperlink r:id="rId20" w:history="1">
        <w:r w:rsidRPr="005C70BF">
          <w:rPr>
            <w:rStyle w:val="Hyperlink"/>
            <w:rFonts w:asciiTheme="minorHAnsi" w:hAnsiTheme="minorHAnsi" w:cstheme="minorHAnsi"/>
            <w:b w:val="0"/>
            <w:bCs/>
            <w:sz w:val="24"/>
            <w:szCs w:val="24"/>
          </w:rPr>
          <w:t>https://doi.org/10.1007/978-3-030-22002-0</w:t>
        </w:r>
      </w:hyperlink>
      <w:r w:rsidRPr="00E422B0">
        <w:rPr>
          <w:rFonts w:asciiTheme="minorHAnsi" w:hAnsiTheme="minorHAnsi" w:cstheme="minorHAnsi"/>
          <w:b w:val="0"/>
          <w:bCs/>
          <w:sz w:val="24"/>
          <w:szCs w:val="24"/>
        </w:rPr>
        <w:t>.</w:t>
      </w:r>
      <w:r>
        <w:rPr>
          <w:rFonts w:asciiTheme="minorHAnsi" w:hAnsiTheme="minorHAnsi" w:cstheme="minorHAnsi"/>
          <w:b w:val="0"/>
          <w:bCs/>
          <w:sz w:val="24"/>
          <w:szCs w:val="24"/>
        </w:rPr>
        <w:t xml:space="preserve"> </w:t>
      </w:r>
    </w:p>
    <w:p w14:paraId="2F7D6385" w14:textId="2814CF53"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Atkinson, C. (2017) ‘</w:t>
      </w:r>
      <w:r w:rsidRPr="00E422B0">
        <w:rPr>
          <w:rFonts w:asciiTheme="minorHAnsi" w:hAnsiTheme="minorHAnsi" w:cstheme="minorHAnsi"/>
          <w:b w:val="0"/>
          <w:bCs/>
          <w:i/>
          <w:iCs/>
          <w:sz w:val="24"/>
          <w:szCs w:val="24"/>
        </w:rPr>
        <w:t>Patriarchy, gender, infantilisation: A cultural account of police intelligence work in Scotland</w:t>
      </w:r>
      <w:r w:rsidRPr="00E422B0">
        <w:rPr>
          <w:rFonts w:asciiTheme="minorHAnsi" w:hAnsiTheme="minorHAnsi" w:cstheme="minorHAnsi"/>
          <w:b w:val="0"/>
          <w:bCs/>
          <w:sz w:val="24"/>
          <w:szCs w:val="24"/>
        </w:rPr>
        <w:t xml:space="preserve">’, Australian &amp; New Zealand journal of criminology, 50(2), pp. 234–251. Available at: </w:t>
      </w:r>
      <w:hyperlink r:id="rId21" w:history="1">
        <w:r w:rsidRPr="005C70BF">
          <w:rPr>
            <w:rStyle w:val="Hyperlink"/>
            <w:rFonts w:asciiTheme="minorHAnsi" w:hAnsiTheme="minorHAnsi" w:cstheme="minorHAnsi"/>
            <w:b w:val="0"/>
            <w:bCs/>
            <w:sz w:val="24"/>
            <w:szCs w:val="24"/>
          </w:rPr>
          <w:t>https://doi.org/10.1177/0004865815626964</w:t>
        </w:r>
      </w:hyperlink>
      <w:r w:rsidRPr="00E422B0">
        <w:rPr>
          <w:rFonts w:asciiTheme="minorHAnsi" w:hAnsiTheme="minorHAnsi" w:cstheme="minorHAnsi"/>
          <w:b w:val="0"/>
          <w:bCs/>
          <w:sz w:val="24"/>
          <w:szCs w:val="24"/>
        </w:rPr>
        <w:t>.</w:t>
      </w:r>
      <w:r>
        <w:rPr>
          <w:rFonts w:asciiTheme="minorHAnsi" w:hAnsiTheme="minorHAnsi" w:cstheme="minorHAnsi"/>
          <w:b w:val="0"/>
          <w:bCs/>
          <w:sz w:val="24"/>
          <w:szCs w:val="24"/>
        </w:rPr>
        <w:t xml:space="preserve"> </w:t>
      </w:r>
    </w:p>
    <w:p w14:paraId="785F9FFB" w14:textId="77777777" w:rsidR="00E422B0" w:rsidRPr="00E422B0" w:rsidRDefault="00E422B0" w:rsidP="00E422B0">
      <w:pPr>
        <w:pStyle w:val="Heading1"/>
        <w:rPr>
          <w:rFonts w:asciiTheme="minorHAnsi" w:hAnsiTheme="minorHAnsi" w:cstheme="minorHAnsi"/>
          <w:b w:val="0"/>
          <w:bCs/>
          <w:sz w:val="24"/>
          <w:szCs w:val="24"/>
        </w:rPr>
      </w:pPr>
      <w:proofErr w:type="spellStart"/>
      <w:r w:rsidRPr="00E422B0">
        <w:rPr>
          <w:rFonts w:asciiTheme="minorHAnsi" w:hAnsiTheme="minorHAnsi" w:cstheme="minorHAnsi"/>
          <w:b w:val="0"/>
          <w:bCs/>
          <w:sz w:val="24"/>
          <w:szCs w:val="24"/>
        </w:rPr>
        <w:t>Baccarella</w:t>
      </w:r>
      <w:proofErr w:type="spellEnd"/>
      <w:r w:rsidRPr="00E422B0">
        <w:rPr>
          <w:rFonts w:asciiTheme="minorHAnsi" w:hAnsiTheme="minorHAnsi" w:cstheme="minorHAnsi"/>
          <w:b w:val="0"/>
          <w:bCs/>
          <w:sz w:val="24"/>
          <w:szCs w:val="24"/>
        </w:rPr>
        <w:t xml:space="preserve">, C.V. </w:t>
      </w:r>
      <w:r w:rsidRPr="00E422B0">
        <w:rPr>
          <w:rFonts w:asciiTheme="minorHAnsi" w:hAnsiTheme="minorHAnsi" w:cstheme="minorHAnsi"/>
          <w:b w:val="0"/>
          <w:bCs/>
          <w:i/>
          <w:iCs/>
          <w:sz w:val="24"/>
          <w:szCs w:val="24"/>
        </w:rPr>
        <w:t>et al</w:t>
      </w:r>
      <w:r w:rsidRPr="00E422B0">
        <w:rPr>
          <w:rFonts w:asciiTheme="minorHAnsi" w:hAnsiTheme="minorHAnsi" w:cstheme="minorHAnsi"/>
          <w:b w:val="0"/>
          <w:bCs/>
          <w:sz w:val="24"/>
          <w:szCs w:val="24"/>
        </w:rPr>
        <w:t>. (2018) ‘</w:t>
      </w:r>
      <w:proofErr w:type="gramStart"/>
      <w:r w:rsidRPr="00E422B0">
        <w:rPr>
          <w:rFonts w:asciiTheme="minorHAnsi" w:hAnsiTheme="minorHAnsi" w:cstheme="minorHAnsi"/>
          <w:b w:val="0"/>
          <w:bCs/>
          <w:i/>
          <w:iCs/>
          <w:sz w:val="24"/>
          <w:szCs w:val="24"/>
        </w:rPr>
        <w:t>Social media</w:t>
      </w:r>
      <w:proofErr w:type="gramEnd"/>
      <w:r w:rsidRPr="00E422B0">
        <w:rPr>
          <w:rFonts w:asciiTheme="minorHAnsi" w:hAnsiTheme="minorHAnsi" w:cstheme="minorHAnsi"/>
          <w:b w:val="0"/>
          <w:bCs/>
          <w:i/>
          <w:iCs/>
          <w:sz w:val="24"/>
          <w:szCs w:val="24"/>
        </w:rPr>
        <w:t>? It’s serious! Understanding the dark side of social media’</w:t>
      </w:r>
      <w:r w:rsidRPr="00E422B0">
        <w:rPr>
          <w:rFonts w:asciiTheme="minorHAnsi" w:hAnsiTheme="minorHAnsi" w:cstheme="minorHAnsi"/>
          <w:b w:val="0"/>
          <w:bCs/>
          <w:sz w:val="24"/>
          <w:szCs w:val="24"/>
        </w:rPr>
        <w:t xml:space="preserve">, European management journal, 36(4), pp. 431–438. Available at: </w:t>
      </w:r>
      <w:hyperlink r:id="rId22" w:history="1">
        <w:r w:rsidRPr="00E422B0">
          <w:rPr>
            <w:rStyle w:val="Hyperlink"/>
            <w:rFonts w:asciiTheme="minorHAnsi" w:hAnsiTheme="minorHAnsi" w:cstheme="minorHAnsi"/>
            <w:b w:val="0"/>
            <w:bCs/>
            <w:sz w:val="24"/>
            <w:szCs w:val="24"/>
          </w:rPr>
          <w:t>https://doi.org/10.1016/j.emj.2018.07.002</w:t>
        </w:r>
      </w:hyperlink>
      <w:r w:rsidRPr="00E422B0">
        <w:rPr>
          <w:rFonts w:asciiTheme="minorHAnsi" w:hAnsiTheme="minorHAnsi" w:cstheme="minorHAnsi"/>
          <w:b w:val="0"/>
          <w:bCs/>
          <w:sz w:val="24"/>
          <w:szCs w:val="24"/>
        </w:rPr>
        <w:t>.</w:t>
      </w:r>
      <w:r w:rsidRPr="00E422B0">
        <w:rPr>
          <w:rFonts w:asciiTheme="minorHAnsi" w:hAnsiTheme="minorHAnsi" w:cstheme="minorHAnsi"/>
          <w:b w:val="0"/>
          <w:bCs/>
          <w:sz w:val="24"/>
          <w:szCs w:val="24"/>
        </w:rPr>
        <w:t xml:space="preserve"> </w:t>
      </w:r>
    </w:p>
    <w:p w14:paraId="07896902" w14:textId="7E6783B3"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Baker, C. (2023) </w:t>
      </w:r>
      <w:r w:rsidRPr="00E422B0">
        <w:rPr>
          <w:rFonts w:asciiTheme="minorHAnsi" w:hAnsiTheme="minorHAnsi" w:cstheme="minorHAnsi"/>
          <w:b w:val="0"/>
          <w:bCs/>
          <w:i/>
          <w:iCs/>
          <w:sz w:val="24"/>
          <w:szCs w:val="24"/>
        </w:rPr>
        <w:t xml:space="preserve">What is transformational </w:t>
      </w:r>
      <w:proofErr w:type="gramStart"/>
      <w:r w:rsidRPr="00E422B0">
        <w:rPr>
          <w:rFonts w:asciiTheme="minorHAnsi" w:hAnsiTheme="minorHAnsi" w:cstheme="minorHAnsi"/>
          <w:b w:val="0"/>
          <w:bCs/>
          <w:i/>
          <w:iCs/>
          <w:sz w:val="24"/>
          <w:szCs w:val="24"/>
        </w:rPr>
        <w:t>leadership?,</w:t>
      </w:r>
      <w:proofErr w:type="gramEnd"/>
      <w:r w:rsidRPr="00E422B0">
        <w:rPr>
          <w:rFonts w:asciiTheme="minorHAnsi" w:hAnsiTheme="minorHAnsi" w:cstheme="minorHAnsi"/>
          <w:b w:val="0"/>
          <w:bCs/>
          <w:sz w:val="24"/>
          <w:szCs w:val="24"/>
        </w:rPr>
        <w:t xml:space="preserve"> Leaders.com. Available at: </w:t>
      </w:r>
      <w:hyperlink r:id="rId23" w:history="1">
        <w:r w:rsidRPr="005C70BF">
          <w:rPr>
            <w:rStyle w:val="Hyperlink"/>
            <w:rFonts w:asciiTheme="minorHAnsi" w:hAnsiTheme="minorHAnsi" w:cstheme="minorHAnsi"/>
            <w:b w:val="0"/>
            <w:bCs/>
            <w:sz w:val="24"/>
            <w:szCs w:val="24"/>
          </w:rPr>
          <w:t>https://leaders.com/articles/leadership/transformational-leadership/</w:t>
        </w:r>
      </w:hyperlink>
      <w:r>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(Accessed: 11 June 2023).</w:t>
      </w:r>
      <w:r>
        <w:rPr>
          <w:rFonts w:asciiTheme="minorHAnsi" w:hAnsiTheme="minorHAnsi" w:cstheme="minorHAnsi"/>
          <w:b w:val="0"/>
          <w:bCs/>
          <w:sz w:val="24"/>
          <w:szCs w:val="24"/>
        </w:rPr>
        <w:t xml:space="preserve"> </w:t>
      </w:r>
    </w:p>
    <w:p w14:paraId="3D8E18EA" w14:textId="1BB14FA8" w:rsidR="00E422B0" w:rsidRPr="00E422B0" w:rsidRDefault="00E422B0" w:rsidP="00E422B0">
      <w:pPr>
        <w:pStyle w:val="Heading1"/>
        <w:rPr>
          <w:rFonts w:asciiTheme="minorHAnsi" w:hAnsiTheme="minorHAnsi" w:cstheme="minorHAnsi"/>
          <w:b w:val="0"/>
          <w:bCs/>
          <w:sz w:val="24"/>
          <w:szCs w:val="24"/>
        </w:rPr>
      </w:pPr>
      <w:proofErr w:type="spellStart"/>
      <w:r w:rsidRPr="00E422B0">
        <w:rPr>
          <w:rFonts w:asciiTheme="minorHAnsi" w:hAnsiTheme="minorHAnsi" w:cstheme="minorHAnsi"/>
          <w:b w:val="0"/>
          <w:bCs/>
          <w:sz w:val="24"/>
          <w:szCs w:val="24"/>
        </w:rPr>
        <w:t>Benzel</w:t>
      </w:r>
      <w:proofErr w:type="spellEnd"/>
      <w:r w:rsidRPr="00E422B0">
        <w:rPr>
          <w:rFonts w:asciiTheme="minorHAnsi" w:hAnsiTheme="minorHAnsi" w:cstheme="minorHAnsi"/>
          <w:b w:val="0"/>
          <w:bCs/>
          <w:sz w:val="24"/>
          <w:szCs w:val="24"/>
        </w:rPr>
        <w:t>, E. (2021) ‘</w:t>
      </w:r>
      <w:r w:rsidRPr="00E422B0">
        <w:rPr>
          <w:rFonts w:asciiTheme="minorHAnsi" w:hAnsiTheme="minorHAnsi" w:cstheme="minorHAnsi"/>
          <w:b w:val="0"/>
          <w:bCs/>
          <w:i/>
          <w:iCs/>
          <w:sz w:val="24"/>
          <w:szCs w:val="24"/>
        </w:rPr>
        <w:t>Leadership</w:t>
      </w:r>
      <w:r w:rsidRPr="00E422B0">
        <w:rPr>
          <w:rFonts w:asciiTheme="minorHAnsi" w:hAnsiTheme="minorHAnsi" w:cstheme="minorHAnsi"/>
          <w:b w:val="0"/>
          <w:bCs/>
          <w:sz w:val="24"/>
          <w:szCs w:val="24"/>
        </w:rPr>
        <w:t xml:space="preserve">’, World neurosurgery, 152, p. xvii–. Available at: </w:t>
      </w:r>
      <w:hyperlink r:id="rId24" w:history="1">
        <w:r w:rsidRPr="005C70BF">
          <w:rPr>
            <w:rStyle w:val="Hyperlink"/>
            <w:rFonts w:asciiTheme="minorHAnsi" w:hAnsiTheme="minorHAnsi" w:cstheme="minorHAnsi"/>
            <w:b w:val="0"/>
            <w:bCs/>
            <w:sz w:val="24"/>
            <w:szCs w:val="24"/>
          </w:rPr>
          <w:t>https://doi.org/10.1016/j.wneu.2021.06.001</w:t>
        </w:r>
      </w:hyperlink>
      <w:r w:rsidRPr="00E422B0">
        <w:rPr>
          <w:rFonts w:asciiTheme="minorHAnsi" w:hAnsiTheme="minorHAnsi" w:cstheme="minorHAnsi"/>
          <w:b w:val="0"/>
          <w:bCs/>
          <w:sz w:val="24"/>
          <w:szCs w:val="24"/>
        </w:rPr>
        <w:t>.</w:t>
      </w:r>
      <w:r>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 xml:space="preserve">  </w:t>
      </w:r>
      <w:r>
        <w:rPr>
          <w:rFonts w:asciiTheme="minorHAnsi" w:hAnsiTheme="minorHAnsi" w:cstheme="minorHAnsi"/>
          <w:b w:val="0"/>
          <w:bCs/>
          <w:sz w:val="24"/>
          <w:szCs w:val="24"/>
        </w:rPr>
        <w:t xml:space="preserve"> </w:t>
      </w:r>
    </w:p>
    <w:p w14:paraId="0F5EA2C6" w14:textId="6876AAEF"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Boyd &amp; Ellison</w:t>
      </w:r>
      <w:r>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2007</w:t>
      </w:r>
      <w:r>
        <w:rPr>
          <w:rFonts w:asciiTheme="minorHAnsi" w:hAnsiTheme="minorHAnsi" w:cstheme="minorHAnsi"/>
          <w:b w:val="0"/>
          <w:bCs/>
          <w:sz w:val="24"/>
          <w:szCs w:val="24"/>
        </w:rPr>
        <w:t>)</w:t>
      </w:r>
      <w:r w:rsidRPr="00E422B0">
        <w:rPr>
          <w:rFonts w:asciiTheme="minorHAnsi" w:hAnsiTheme="minorHAnsi" w:cstheme="minorHAnsi"/>
          <w:b w:val="0"/>
          <w:bCs/>
          <w:sz w:val="24"/>
          <w:szCs w:val="24"/>
        </w:rPr>
        <w:t xml:space="preserve"> </w:t>
      </w:r>
      <w:r w:rsidRPr="00E422B0">
        <w:rPr>
          <w:rFonts w:asciiTheme="minorHAnsi" w:hAnsiTheme="minorHAnsi" w:cstheme="minorHAnsi"/>
          <w:b w:val="0"/>
          <w:bCs/>
          <w:i/>
          <w:iCs/>
          <w:sz w:val="24"/>
          <w:szCs w:val="24"/>
        </w:rPr>
        <w:t>Journal of Computer-Mediated Communication</w:t>
      </w:r>
      <w:r w:rsidRPr="00E422B0">
        <w:rPr>
          <w:rFonts w:asciiTheme="minorHAnsi" w:hAnsiTheme="minorHAnsi" w:cstheme="minorHAnsi"/>
          <w:b w:val="0"/>
          <w:bCs/>
          <w:sz w:val="24"/>
          <w:szCs w:val="24"/>
        </w:rPr>
        <w:t>, Volume 13, Issue 1, 1 October 2007, Pages 210–230, https://doi.org/10.1111/j.1083-6101.2007.00393.x</w:t>
      </w:r>
    </w:p>
    <w:p w14:paraId="3C9750A2" w14:textId="24C3A491"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Burns, J.M. (1978</w:t>
      </w:r>
      <w:r w:rsidRPr="00E422B0">
        <w:rPr>
          <w:rFonts w:asciiTheme="minorHAnsi" w:hAnsiTheme="minorHAnsi" w:cstheme="minorHAnsi"/>
          <w:b w:val="0"/>
          <w:bCs/>
          <w:i/>
          <w:iCs/>
          <w:sz w:val="24"/>
          <w:szCs w:val="24"/>
        </w:rPr>
        <w:t xml:space="preserve">) </w:t>
      </w:r>
      <w:proofErr w:type="gramStart"/>
      <w:r w:rsidRPr="00E422B0">
        <w:rPr>
          <w:rFonts w:asciiTheme="minorHAnsi" w:hAnsiTheme="minorHAnsi" w:cstheme="minorHAnsi"/>
          <w:b w:val="0"/>
          <w:bCs/>
          <w:i/>
          <w:iCs/>
          <w:sz w:val="24"/>
          <w:szCs w:val="24"/>
        </w:rPr>
        <w:t>Leadership </w:t>
      </w:r>
      <w:r w:rsidRPr="00E422B0">
        <w:rPr>
          <w:rFonts w:asciiTheme="minorHAnsi" w:hAnsiTheme="minorHAnsi" w:cstheme="minorHAnsi"/>
          <w:b w:val="0"/>
          <w:bCs/>
          <w:sz w:val="24"/>
          <w:szCs w:val="24"/>
        </w:rPr>
        <w:t>:</w:t>
      </w:r>
      <w:proofErr w:type="gramEnd"/>
      <w:r w:rsidRPr="00E422B0">
        <w:rPr>
          <w:rFonts w:asciiTheme="minorHAnsi" w:hAnsiTheme="minorHAnsi" w:cstheme="minorHAnsi"/>
          <w:b w:val="0"/>
          <w:bCs/>
          <w:sz w:val="24"/>
          <w:szCs w:val="24"/>
        </w:rPr>
        <w:t xml:space="preserve"> Burns, James Macgregor : Free download, borrow, and streaming, Internet Archive. Available at: </w:t>
      </w:r>
      <w:hyperlink r:id="rId25" w:history="1">
        <w:r w:rsidRPr="005C70BF">
          <w:rPr>
            <w:rStyle w:val="Hyperlink"/>
            <w:rFonts w:asciiTheme="minorHAnsi" w:hAnsiTheme="minorHAnsi" w:cstheme="minorHAnsi"/>
            <w:b w:val="0"/>
            <w:bCs/>
            <w:sz w:val="24"/>
            <w:szCs w:val="24"/>
          </w:rPr>
          <w:t>https://archive.org/details/leadership1978burn/page/n5/mode/2up</w:t>
        </w:r>
      </w:hyperlink>
      <w:r>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(Accessed: 09 June 2023).</w:t>
      </w:r>
      <w:r>
        <w:rPr>
          <w:rFonts w:asciiTheme="minorHAnsi" w:hAnsiTheme="minorHAnsi" w:cstheme="minorHAnsi"/>
          <w:b w:val="0"/>
          <w:bCs/>
          <w:sz w:val="24"/>
          <w:szCs w:val="24"/>
        </w:rPr>
        <w:t xml:space="preserve"> </w:t>
      </w:r>
    </w:p>
    <w:p w14:paraId="13FD345D" w14:textId="77777777"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Burns, T., &amp; </w:t>
      </w:r>
      <w:proofErr w:type="spellStart"/>
      <w:r w:rsidRPr="00E422B0">
        <w:rPr>
          <w:rFonts w:asciiTheme="minorHAnsi" w:hAnsiTheme="minorHAnsi" w:cstheme="minorHAnsi"/>
          <w:b w:val="0"/>
          <w:bCs/>
          <w:sz w:val="24"/>
          <w:szCs w:val="24"/>
        </w:rPr>
        <w:t>Sinfield</w:t>
      </w:r>
      <w:proofErr w:type="spellEnd"/>
      <w:r w:rsidRPr="00E422B0">
        <w:rPr>
          <w:rFonts w:asciiTheme="minorHAnsi" w:hAnsiTheme="minorHAnsi" w:cstheme="minorHAnsi"/>
          <w:b w:val="0"/>
          <w:bCs/>
          <w:sz w:val="24"/>
          <w:szCs w:val="24"/>
        </w:rPr>
        <w:t>, S. (2016) E</w:t>
      </w:r>
      <w:r w:rsidRPr="00E422B0">
        <w:rPr>
          <w:rFonts w:asciiTheme="minorHAnsi" w:hAnsiTheme="minorHAnsi" w:cstheme="minorHAnsi"/>
          <w:b w:val="0"/>
          <w:bCs/>
          <w:i/>
          <w:iCs/>
          <w:sz w:val="24"/>
          <w:szCs w:val="24"/>
        </w:rPr>
        <w:t>ssential Study Skills: The Complete Guide to Success at University (</w:t>
      </w:r>
      <w:r w:rsidRPr="00E422B0">
        <w:rPr>
          <w:rFonts w:asciiTheme="minorHAnsi" w:hAnsiTheme="minorHAnsi" w:cstheme="minorHAnsi"/>
          <w:b w:val="0"/>
          <w:bCs/>
          <w:sz w:val="24"/>
          <w:szCs w:val="24"/>
        </w:rPr>
        <w:t>4th ed.) London: SAGE, p94.</w:t>
      </w:r>
    </w:p>
    <w:p w14:paraId="73CEA1A2" w14:textId="1FDA0F1D"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Cabinet Office (2012) </w:t>
      </w:r>
      <w:r w:rsidRPr="00E422B0">
        <w:rPr>
          <w:rFonts w:asciiTheme="minorHAnsi" w:hAnsiTheme="minorHAnsi" w:cstheme="minorHAnsi"/>
          <w:b w:val="0"/>
          <w:bCs/>
          <w:i/>
          <w:iCs/>
          <w:sz w:val="24"/>
          <w:szCs w:val="24"/>
        </w:rPr>
        <w:t>Chapter 7 Communicating with the Public</w:t>
      </w:r>
      <w:r w:rsidRPr="00E422B0">
        <w:rPr>
          <w:rFonts w:asciiTheme="minorHAnsi" w:hAnsiTheme="minorHAnsi" w:cstheme="minorHAnsi"/>
          <w:b w:val="0"/>
          <w:bCs/>
          <w:sz w:val="24"/>
          <w:szCs w:val="24"/>
        </w:rPr>
        <w:t xml:space="preserve">, GOV.UK. Available at: </w:t>
      </w:r>
      <w:hyperlink r:id="rId26" w:history="1">
        <w:r w:rsidRPr="005C70BF">
          <w:rPr>
            <w:rStyle w:val="Hyperlink"/>
            <w:rFonts w:asciiTheme="minorHAnsi" w:hAnsiTheme="minorHAnsi" w:cstheme="minorHAnsi"/>
            <w:b w:val="0"/>
            <w:bCs/>
            <w:sz w:val="24"/>
            <w:szCs w:val="24"/>
          </w:rPr>
          <w:t>https://assets.publishing.service.gov.uk/government/uploads/system/uploads/attachment_</w:t>
        </w:r>
        <w:r w:rsidRPr="005C70BF">
          <w:rPr>
            <w:rStyle w:val="Hyperlink"/>
            <w:rFonts w:asciiTheme="minorHAnsi" w:hAnsiTheme="minorHAnsi" w:cstheme="minorHAnsi"/>
            <w:b w:val="0"/>
            <w:bCs/>
            <w:sz w:val="24"/>
            <w:szCs w:val="24"/>
          </w:rPr>
          <w:lastRenderedPageBreak/>
          <w:t>data/file/61030/Chapter-7-Communicating-with-the-Public_18042012.pdf</w:t>
        </w:r>
      </w:hyperlink>
      <w:r>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(Accessed: March 31, 2023).</w:t>
      </w:r>
    </w:p>
    <w:p w14:paraId="591BB97D" w14:textId="77777777"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Centre For Public Impact (2023) </w:t>
      </w:r>
      <w:r w:rsidRPr="00E422B0">
        <w:rPr>
          <w:rFonts w:asciiTheme="minorHAnsi" w:hAnsiTheme="minorHAnsi" w:cstheme="minorHAnsi"/>
          <w:b w:val="0"/>
          <w:bCs/>
          <w:i/>
          <w:iCs/>
          <w:sz w:val="24"/>
          <w:szCs w:val="24"/>
        </w:rPr>
        <w:t>What is ‘community’ and why is it important</w:t>
      </w:r>
      <w:r w:rsidRPr="00E422B0">
        <w:rPr>
          <w:rFonts w:asciiTheme="minorHAnsi" w:hAnsiTheme="minorHAnsi" w:cstheme="minorHAnsi"/>
          <w:b w:val="0"/>
          <w:bCs/>
          <w:sz w:val="24"/>
          <w:szCs w:val="24"/>
        </w:rPr>
        <w:t xml:space="preserve">?, Centre For Public Impact (CPI). Available at: </w:t>
      </w:r>
      <w:hyperlink r:id="rId27" w:history="1">
        <w:r w:rsidRPr="00E422B0">
          <w:rPr>
            <w:rStyle w:val="Hyperlink"/>
            <w:rFonts w:asciiTheme="minorHAnsi" w:hAnsiTheme="minorHAnsi" w:cstheme="minorHAnsi"/>
            <w:b w:val="0"/>
            <w:bCs/>
            <w:sz w:val="24"/>
            <w:szCs w:val="24"/>
          </w:rPr>
          <w:t>https://www.centreforpublicimpact.org/insights/what-is-community-and-why-is-it-important</w:t>
        </w:r>
      </w:hyperlink>
      <w:r w:rsidRPr="00E422B0">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(Accessed: 18 June 2023).</w:t>
      </w:r>
    </w:p>
    <w:p w14:paraId="17A7D125" w14:textId="4114598D" w:rsidR="00E422B0" w:rsidRPr="00E422B0" w:rsidRDefault="00E422B0" w:rsidP="00E422B0">
      <w:pPr>
        <w:pStyle w:val="Heading1"/>
        <w:rPr>
          <w:rFonts w:asciiTheme="minorHAnsi" w:hAnsiTheme="minorHAnsi" w:cstheme="minorHAnsi"/>
          <w:b w:val="0"/>
          <w:bCs/>
          <w:sz w:val="24"/>
          <w:szCs w:val="24"/>
        </w:rPr>
      </w:pPr>
      <w:proofErr w:type="spellStart"/>
      <w:r w:rsidRPr="00E422B0">
        <w:rPr>
          <w:rFonts w:asciiTheme="minorHAnsi" w:hAnsiTheme="minorHAnsi" w:cstheme="minorHAnsi"/>
          <w:b w:val="0"/>
          <w:bCs/>
          <w:sz w:val="24"/>
          <w:szCs w:val="24"/>
        </w:rPr>
        <w:t>Champathes</w:t>
      </w:r>
      <w:proofErr w:type="spellEnd"/>
      <w:r w:rsidRPr="00E422B0">
        <w:rPr>
          <w:rFonts w:asciiTheme="minorHAnsi" w:hAnsiTheme="minorHAnsi" w:cstheme="minorHAnsi"/>
          <w:b w:val="0"/>
          <w:bCs/>
          <w:sz w:val="24"/>
          <w:szCs w:val="24"/>
        </w:rPr>
        <w:t>, M.R. (2006) ‘</w:t>
      </w:r>
      <w:r w:rsidRPr="00E422B0">
        <w:rPr>
          <w:rFonts w:asciiTheme="minorHAnsi" w:hAnsiTheme="minorHAnsi" w:cstheme="minorHAnsi"/>
          <w:b w:val="0"/>
          <w:bCs/>
          <w:i/>
          <w:iCs/>
          <w:sz w:val="24"/>
          <w:szCs w:val="24"/>
        </w:rPr>
        <w:t>Coaching for performance improvement: the “COACH” model’</w:t>
      </w:r>
      <w:r w:rsidRPr="00E422B0">
        <w:rPr>
          <w:rFonts w:asciiTheme="minorHAnsi" w:hAnsiTheme="minorHAnsi" w:cstheme="minorHAnsi"/>
          <w:b w:val="0"/>
          <w:bCs/>
          <w:sz w:val="24"/>
          <w:szCs w:val="24"/>
        </w:rPr>
        <w:t xml:space="preserve">, Development and learning in organizations, 20(2), pp. 17–18. Available at: </w:t>
      </w:r>
      <w:hyperlink r:id="rId28" w:history="1">
        <w:r w:rsidRPr="005C70BF">
          <w:rPr>
            <w:rStyle w:val="Hyperlink"/>
            <w:rFonts w:asciiTheme="minorHAnsi" w:hAnsiTheme="minorHAnsi" w:cstheme="minorHAnsi"/>
            <w:b w:val="0"/>
            <w:bCs/>
            <w:sz w:val="24"/>
            <w:szCs w:val="24"/>
          </w:rPr>
          <w:t>https://doi.org/10.1108/14777280610645886</w:t>
        </w:r>
      </w:hyperlink>
      <w:r w:rsidRPr="00E422B0">
        <w:rPr>
          <w:rFonts w:asciiTheme="minorHAnsi" w:hAnsiTheme="minorHAnsi" w:cstheme="minorHAnsi"/>
          <w:b w:val="0"/>
          <w:bCs/>
          <w:sz w:val="24"/>
          <w:szCs w:val="24"/>
        </w:rPr>
        <w:t>.</w:t>
      </w:r>
      <w:r>
        <w:rPr>
          <w:rFonts w:asciiTheme="minorHAnsi" w:hAnsiTheme="minorHAnsi" w:cstheme="minorHAnsi"/>
          <w:b w:val="0"/>
          <w:bCs/>
          <w:sz w:val="24"/>
          <w:szCs w:val="24"/>
        </w:rPr>
        <w:t xml:space="preserve"> </w:t>
      </w:r>
    </w:p>
    <w:p w14:paraId="1C0F3F07" w14:textId="602225E7"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Chartered Management Institute (2023) </w:t>
      </w:r>
      <w:r w:rsidRPr="00E422B0">
        <w:rPr>
          <w:rFonts w:asciiTheme="minorHAnsi" w:hAnsiTheme="minorHAnsi" w:cstheme="minorHAnsi"/>
          <w:b w:val="0"/>
          <w:bCs/>
          <w:i/>
          <w:iCs/>
          <w:sz w:val="24"/>
          <w:szCs w:val="24"/>
        </w:rPr>
        <w:t>Developing strategy</w:t>
      </w:r>
      <w:r w:rsidRPr="00E422B0">
        <w:rPr>
          <w:rFonts w:asciiTheme="minorHAnsi" w:hAnsiTheme="minorHAnsi" w:cstheme="minorHAnsi"/>
          <w:b w:val="0"/>
          <w:bCs/>
          <w:sz w:val="24"/>
          <w:szCs w:val="24"/>
        </w:rPr>
        <w:t xml:space="preserve">, CMI. Available at: </w:t>
      </w:r>
      <w:hyperlink r:id="rId29" w:history="1">
        <w:r w:rsidRPr="005C70BF">
          <w:rPr>
            <w:rStyle w:val="Hyperlink"/>
            <w:rFonts w:asciiTheme="minorHAnsi" w:hAnsiTheme="minorHAnsi" w:cstheme="minorHAnsi"/>
            <w:b w:val="0"/>
            <w:bCs/>
            <w:sz w:val="24"/>
            <w:szCs w:val="24"/>
          </w:rPr>
          <w:t>https://www.managers.org.uk/knowledge-and-insights/resource/developing-strategy/</w:t>
        </w:r>
      </w:hyperlink>
      <w:r>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(Accessed: 09 June 2023).</w:t>
      </w:r>
    </w:p>
    <w:p w14:paraId="0FF1A711" w14:textId="05508AF0"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Cherry, K. (2022) </w:t>
      </w:r>
      <w:r w:rsidRPr="00E422B0">
        <w:rPr>
          <w:rFonts w:asciiTheme="minorHAnsi" w:hAnsiTheme="minorHAnsi" w:cstheme="minorHAnsi"/>
          <w:b w:val="0"/>
          <w:bCs/>
          <w:i/>
          <w:iCs/>
          <w:sz w:val="24"/>
          <w:szCs w:val="24"/>
        </w:rPr>
        <w:t>How a transactional leadership style works</w:t>
      </w:r>
      <w:r w:rsidRPr="00E422B0">
        <w:rPr>
          <w:rFonts w:asciiTheme="minorHAnsi" w:hAnsiTheme="minorHAnsi" w:cstheme="minorHAnsi"/>
          <w:b w:val="0"/>
          <w:bCs/>
          <w:sz w:val="24"/>
          <w:szCs w:val="24"/>
        </w:rPr>
        <w:t xml:space="preserve">, </w:t>
      </w:r>
      <w:proofErr w:type="spellStart"/>
      <w:r w:rsidRPr="00E422B0">
        <w:rPr>
          <w:rFonts w:asciiTheme="minorHAnsi" w:hAnsiTheme="minorHAnsi" w:cstheme="minorHAnsi"/>
          <w:b w:val="0"/>
          <w:bCs/>
          <w:sz w:val="24"/>
          <w:szCs w:val="24"/>
        </w:rPr>
        <w:t>Verywell</w:t>
      </w:r>
      <w:proofErr w:type="spellEnd"/>
      <w:r w:rsidRPr="00E422B0">
        <w:rPr>
          <w:rFonts w:asciiTheme="minorHAnsi" w:hAnsiTheme="minorHAnsi" w:cstheme="minorHAnsi"/>
          <w:b w:val="0"/>
          <w:bCs/>
          <w:sz w:val="24"/>
          <w:szCs w:val="24"/>
        </w:rPr>
        <w:t xml:space="preserve"> Mind. Available at: </w:t>
      </w:r>
      <w:hyperlink r:id="rId30" w:history="1">
        <w:r w:rsidRPr="005C70BF">
          <w:rPr>
            <w:rStyle w:val="Hyperlink"/>
            <w:rFonts w:asciiTheme="minorHAnsi" w:hAnsiTheme="minorHAnsi" w:cstheme="minorHAnsi"/>
            <w:b w:val="0"/>
            <w:bCs/>
            <w:sz w:val="24"/>
            <w:szCs w:val="24"/>
          </w:rPr>
          <w:t>https://www.verywellmind.com/what-is-transactional-leadership-2795317</w:t>
        </w:r>
      </w:hyperlink>
      <w:r>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(Accessed: 11 June 2023).</w:t>
      </w:r>
    </w:p>
    <w:p w14:paraId="44A30181" w14:textId="1C0C9525"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Cherry, K. (2023) </w:t>
      </w:r>
      <w:r w:rsidRPr="00E422B0">
        <w:rPr>
          <w:rFonts w:asciiTheme="minorHAnsi" w:hAnsiTheme="minorHAnsi" w:cstheme="minorHAnsi"/>
          <w:b w:val="0"/>
          <w:bCs/>
          <w:i/>
          <w:iCs/>
          <w:sz w:val="24"/>
          <w:szCs w:val="24"/>
        </w:rPr>
        <w:t xml:space="preserve">How do transformational leaders inspire and motivate </w:t>
      </w:r>
      <w:proofErr w:type="gramStart"/>
      <w:r w:rsidRPr="00E422B0">
        <w:rPr>
          <w:rFonts w:asciiTheme="minorHAnsi" w:hAnsiTheme="minorHAnsi" w:cstheme="minorHAnsi"/>
          <w:b w:val="0"/>
          <w:bCs/>
          <w:i/>
          <w:iCs/>
          <w:sz w:val="24"/>
          <w:szCs w:val="24"/>
        </w:rPr>
        <w:t>followers</w:t>
      </w:r>
      <w:r w:rsidRPr="00E422B0">
        <w:rPr>
          <w:rFonts w:asciiTheme="minorHAnsi" w:hAnsiTheme="minorHAnsi" w:cstheme="minorHAnsi"/>
          <w:b w:val="0"/>
          <w:bCs/>
          <w:sz w:val="24"/>
          <w:szCs w:val="24"/>
        </w:rPr>
        <w:t>?,</w:t>
      </w:r>
      <w:proofErr w:type="gramEnd"/>
      <w:r w:rsidRPr="00E422B0">
        <w:rPr>
          <w:rFonts w:asciiTheme="minorHAnsi" w:hAnsiTheme="minorHAnsi" w:cstheme="minorHAnsi"/>
          <w:b w:val="0"/>
          <w:bCs/>
          <w:sz w:val="24"/>
          <w:szCs w:val="24"/>
        </w:rPr>
        <w:t xml:space="preserve"> </w:t>
      </w:r>
      <w:proofErr w:type="spellStart"/>
      <w:r w:rsidRPr="00E422B0">
        <w:rPr>
          <w:rFonts w:asciiTheme="minorHAnsi" w:hAnsiTheme="minorHAnsi" w:cstheme="minorHAnsi"/>
          <w:b w:val="0"/>
          <w:bCs/>
          <w:sz w:val="24"/>
          <w:szCs w:val="24"/>
        </w:rPr>
        <w:t>Verywell</w:t>
      </w:r>
      <w:proofErr w:type="spellEnd"/>
      <w:r w:rsidRPr="00E422B0">
        <w:rPr>
          <w:rFonts w:asciiTheme="minorHAnsi" w:hAnsiTheme="minorHAnsi" w:cstheme="minorHAnsi"/>
          <w:b w:val="0"/>
          <w:bCs/>
          <w:sz w:val="24"/>
          <w:szCs w:val="24"/>
        </w:rPr>
        <w:t xml:space="preserve"> Mind. Available at: </w:t>
      </w:r>
      <w:hyperlink r:id="rId31" w:history="1">
        <w:r w:rsidRPr="005C70BF">
          <w:rPr>
            <w:rStyle w:val="Hyperlink"/>
            <w:rFonts w:asciiTheme="minorHAnsi" w:hAnsiTheme="minorHAnsi" w:cstheme="minorHAnsi"/>
            <w:b w:val="0"/>
            <w:bCs/>
            <w:sz w:val="24"/>
            <w:szCs w:val="24"/>
          </w:rPr>
          <w:t>https://www.verywellmind.com/what-is-transformational-leadership-2795313</w:t>
        </w:r>
      </w:hyperlink>
      <w:r>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(Accessed: 12 June 2023).</w:t>
      </w:r>
    </w:p>
    <w:p w14:paraId="3C7D92E5" w14:textId="77777777" w:rsidR="00E422B0" w:rsidRPr="00E422B0" w:rsidRDefault="00E422B0" w:rsidP="00E422B0">
      <w:pPr>
        <w:pStyle w:val="Heading1"/>
        <w:rPr>
          <w:rFonts w:asciiTheme="minorHAnsi" w:hAnsiTheme="minorHAnsi" w:cstheme="minorHAnsi"/>
          <w:b w:val="0"/>
          <w:bCs/>
          <w:sz w:val="24"/>
          <w:szCs w:val="24"/>
        </w:rPr>
      </w:pPr>
      <w:proofErr w:type="spellStart"/>
      <w:r w:rsidRPr="00E422B0">
        <w:rPr>
          <w:rFonts w:asciiTheme="minorHAnsi" w:hAnsiTheme="minorHAnsi" w:cstheme="minorHAnsi"/>
          <w:b w:val="0"/>
          <w:bCs/>
          <w:sz w:val="24"/>
          <w:szCs w:val="24"/>
        </w:rPr>
        <w:t>Chown</w:t>
      </w:r>
      <w:proofErr w:type="spellEnd"/>
      <w:r w:rsidRPr="00E422B0">
        <w:rPr>
          <w:rFonts w:asciiTheme="minorHAnsi" w:hAnsiTheme="minorHAnsi" w:cstheme="minorHAnsi"/>
          <w:b w:val="0"/>
          <w:bCs/>
          <w:sz w:val="24"/>
          <w:szCs w:val="24"/>
        </w:rPr>
        <w:t xml:space="preserve">, J. (2019) </w:t>
      </w:r>
      <w:r w:rsidRPr="00E422B0">
        <w:rPr>
          <w:rFonts w:asciiTheme="minorHAnsi" w:hAnsiTheme="minorHAnsi" w:cstheme="minorHAnsi"/>
          <w:b w:val="0"/>
          <w:bCs/>
          <w:i/>
          <w:iCs/>
          <w:sz w:val="24"/>
          <w:szCs w:val="24"/>
        </w:rPr>
        <w:t xml:space="preserve">Report crime to Gwent Police via Facebook and Twitter, </w:t>
      </w:r>
      <w:r w:rsidRPr="00E422B0">
        <w:rPr>
          <w:rFonts w:asciiTheme="minorHAnsi" w:hAnsiTheme="minorHAnsi" w:cstheme="minorHAnsi"/>
          <w:b w:val="0"/>
          <w:bCs/>
          <w:sz w:val="24"/>
          <w:szCs w:val="24"/>
        </w:rPr>
        <w:t xml:space="preserve">Abergavenny Chronicle. Available at: </w:t>
      </w:r>
      <w:hyperlink r:id="rId32" w:history="1">
        <w:r w:rsidRPr="00E422B0">
          <w:rPr>
            <w:rStyle w:val="Hyperlink"/>
            <w:rFonts w:asciiTheme="minorHAnsi" w:hAnsiTheme="minorHAnsi" w:cstheme="minorHAnsi"/>
            <w:b w:val="0"/>
            <w:bCs/>
            <w:sz w:val="24"/>
            <w:szCs w:val="24"/>
          </w:rPr>
          <w:t>https://www.abergavennychronicle.com/news/999/report-crime-to-gwent-police-via-facebook-and-twitter-74924</w:t>
        </w:r>
      </w:hyperlink>
      <w:r w:rsidRPr="00E422B0">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(Accessed: 18 June 2023).</w:t>
      </w:r>
    </w:p>
    <w:p w14:paraId="38793DA6" w14:textId="51A62291"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Coles, B.A. and West, M. (2016) ‘</w:t>
      </w:r>
      <w:r w:rsidRPr="00E422B0">
        <w:rPr>
          <w:rFonts w:asciiTheme="minorHAnsi" w:hAnsiTheme="minorHAnsi" w:cstheme="minorHAnsi"/>
          <w:b w:val="0"/>
          <w:bCs/>
          <w:i/>
          <w:iCs/>
          <w:sz w:val="24"/>
          <w:szCs w:val="24"/>
        </w:rPr>
        <w:t xml:space="preserve">Trolling the trolls: Online forum </w:t>
      </w:r>
      <w:proofErr w:type="gramStart"/>
      <w:r w:rsidRPr="00E422B0">
        <w:rPr>
          <w:rFonts w:asciiTheme="minorHAnsi" w:hAnsiTheme="minorHAnsi" w:cstheme="minorHAnsi"/>
          <w:b w:val="0"/>
          <w:bCs/>
          <w:i/>
          <w:iCs/>
          <w:sz w:val="24"/>
          <w:szCs w:val="24"/>
        </w:rPr>
        <w:t>users</w:t>
      </w:r>
      <w:proofErr w:type="gramEnd"/>
      <w:r w:rsidRPr="00E422B0">
        <w:rPr>
          <w:rFonts w:asciiTheme="minorHAnsi" w:hAnsiTheme="minorHAnsi" w:cstheme="minorHAnsi"/>
          <w:b w:val="0"/>
          <w:bCs/>
          <w:i/>
          <w:iCs/>
          <w:sz w:val="24"/>
          <w:szCs w:val="24"/>
        </w:rPr>
        <w:t xml:space="preserve"> constructions of the nature and properties of trolling’</w:t>
      </w:r>
      <w:r w:rsidRPr="00E422B0">
        <w:rPr>
          <w:rFonts w:asciiTheme="minorHAnsi" w:hAnsiTheme="minorHAnsi" w:cstheme="minorHAnsi"/>
          <w:b w:val="0"/>
          <w:bCs/>
          <w:sz w:val="24"/>
          <w:szCs w:val="24"/>
        </w:rPr>
        <w:t xml:space="preserve">, Computers in human </w:t>
      </w:r>
      <w:proofErr w:type="spellStart"/>
      <w:r w:rsidRPr="00E422B0">
        <w:rPr>
          <w:rFonts w:asciiTheme="minorHAnsi" w:hAnsiTheme="minorHAnsi" w:cstheme="minorHAnsi"/>
          <w:b w:val="0"/>
          <w:bCs/>
          <w:sz w:val="24"/>
          <w:szCs w:val="24"/>
        </w:rPr>
        <w:t>behavior</w:t>
      </w:r>
      <w:proofErr w:type="spellEnd"/>
      <w:r w:rsidRPr="00E422B0">
        <w:rPr>
          <w:rFonts w:asciiTheme="minorHAnsi" w:hAnsiTheme="minorHAnsi" w:cstheme="minorHAnsi"/>
          <w:b w:val="0"/>
          <w:bCs/>
          <w:sz w:val="24"/>
          <w:szCs w:val="24"/>
        </w:rPr>
        <w:t xml:space="preserve">, 60, pp. 233–244. Available at: </w:t>
      </w:r>
      <w:hyperlink r:id="rId33" w:history="1">
        <w:r w:rsidRPr="005C70BF">
          <w:rPr>
            <w:rStyle w:val="Hyperlink"/>
            <w:rFonts w:asciiTheme="minorHAnsi" w:hAnsiTheme="minorHAnsi" w:cstheme="minorHAnsi"/>
            <w:b w:val="0"/>
            <w:bCs/>
            <w:sz w:val="24"/>
            <w:szCs w:val="24"/>
          </w:rPr>
          <w:t>https://doi.org/10.1016/j.chb.2016.02.070</w:t>
        </w:r>
      </w:hyperlink>
      <w:r w:rsidRPr="00E422B0">
        <w:rPr>
          <w:rFonts w:asciiTheme="minorHAnsi" w:hAnsiTheme="minorHAnsi" w:cstheme="minorHAnsi"/>
          <w:b w:val="0"/>
          <w:bCs/>
          <w:sz w:val="24"/>
          <w:szCs w:val="24"/>
        </w:rPr>
        <w:t>.</w:t>
      </w:r>
      <w:r>
        <w:rPr>
          <w:rFonts w:asciiTheme="minorHAnsi" w:hAnsiTheme="minorHAnsi" w:cstheme="minorHAnsi"/>
          <w:b w:val="0"/>
          <w:bCs/>
          <w:sz w:val="24"/>
          <w:szCs w:val="24"/>
        </w:rPr>
        <w:t xml:space="preserve"> </w:t>
      </w:r>
    </w:p>
    <w:p w14:paraId="1E3ED6B5" w14:textId="0680828D"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College of Policing (2013) </w:t>
      </w:r>
      <w:r w:rsidRPr="00E422B0">
        <w:rPr>
          <w:rFonts w:asciiTheme="minorHAnsi" w:hAnsiTheme="minorHAnsi" w:cstheme="minorHAnsi"/>
          <w:b w:val="0"/>
          <w:bCs/>
          <w:i/>
          <w:iCs/>
          <w:sz w:val="24"/>
          <w:szCs w:val="24"/>
        </w:rPr>
        <w:t>Communication</w:t>
      </w:r>
      <w:r w:rsidRPr="00E422B0">
        <w:rPr>
          <w:rFonts w:asciiTheme="minorHAnsi" w:hAnsiTheme="minorHAnsi" w:cstheme="minorHAnsi"/>
          <w:b w:val="0"/>
          <w:bCs/>
          <w:sz w:val="24"/>
          <w:szCs w:val="24"/>
        </w:rPr>
        <w:t xml:space="preserve">, College of Policing. Available at: </w:t>
      </w:r>
      <w:hyperlink r:id="rId34" w:history="1">
        <w:r w:rsidRPr="005C70BF">
          <w:rPr>
            <w:rStyle w:val="Hyperlink"/>
            <w:rFonts w:asciiTheme="minorHAnsi" w:hAnsiTheme="minorHAnsi" w:cstheme="minorHAnsi"/>
            <w:b w:val="0"/>
            <w:bCs/>
            <w:sz w:val="24"/>
            <w:szCs w:val="24"/>
          </w:rPr>
          <w:t>https://www.college.police.uk/app/engagement-and-communication/communication#social-media-monitoring</w:t>
        </w:r>
      </w:hyperlink>
      <w:r>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(Accessed: March 31, 2023).</w:t>
      </w:r>
    </w:p>
    <w:p w14:paraId="6BBFA994" w14:textId="04B02C95"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College of Policing (2013a) </w:t>
      </w:r>
      <w:r w:rsidRPr="00E422B0">
        <w:rPr>
          <w:rFonts w:asciiTheme="minorHAnsi" w:hAnsiTheme="minorHAnsi" w:cstheme="minorHAnsi"/>
          <w:b w:val="0"/>
          <w:bCs/>
          <w:i/>
          <w:iCs/>
          <w:sz w:val="24"/>
          <w:szCs w:val="24"/>
        </w:rPr>
        <w:t>Conducted Energy Devices (TASER),</w:t>
      </w:r>
      <w:r w:rsidRPr="00E422B0">
        <w:rPr>
          <w:rFonts w:asciiTheme="minorHAnsi" w:hAnsiTheme="minorHAnsi" w:cstheme="minorHAnsi"/>
          <w:b w:val="0"/>
          <w:bCs/>
          <w:sz w:val="24"/>
          <w:szCs w:val="24"/>
        </w:rPr>
        <w:t xml:space="preserve"> College of Policing. Available at: </w:t>
      </w:r>
      <w:hyperlink r:id="rId35" w:history="1">
        <w:r w:rsidRPr="005C70BF">
          <w:rPr>
            <w:rStyle w:val="Hyperlink"/>
            <w:rFonts w:asciiTheme="minorHAnsi" w:hAnsiTheme="minorHAnsi" w:cstheme="minorHAnsi"/>
            <w:b w:val="0"/>
            <w:bCs/>
            <w:sz w:val="24"/>
            <w:szCs w:val="24"/>
          </w:rPr>
          <w:t>https://www.college.police.uk/app/armed-policing/conducted-energy-devices-taser</w:t>
        </w:r>
      </w:hyperlink>
      <w:r>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Accessed: 12 June 2023).</w:t>
      </w:r>
    </w:p>
    <w:p w14:paraId="32D98C13" w14:textId="421394E2"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College of Policing (2013b) </w:t>
      </w:r>
      <w:r w:rsidRPr="00E422B0">
        <w:rPr>
          <w:rFonts w:asciiTheme="minorHAnsi" w:hAnsiTheme="minorHAnsi" w:cstheme="minorHAnsi"/>
          <w:b w:val="0"/>
          <w:bCs/>
          <w:i/>
          <w:iCs/>
          <w:sz w:val="24"/>
          <w:szCs w:val="24"/>
        </w:rPr>
        <w:t>Weapons and equipment</w:t>
      </w:r>
      <w:r w:rsidRPr="00E422B0">
        <w:rPr>
          <w:rFonts w:asciiTheme="minorHAnsi" w:hAnsiTheme="minorHAnsi" w:cstheme="minorHAnsi"/>
          <w:b w:val="0"/>
          <w:bCs/>
          <w:sz w:val="24"/>
          <w:szCs w:val="24"/>
        </w:rPr>
        <w:t xml:space="preserve">, College of Policing. Available at: </w:t>
      </w:r>
      <w:hyperlink r:id="rId36" w:history="1">
        <w:r w:rsidRPr="005C70BF">
          <w:rPr>
            <w:rStyle w:val="Hyperlink"/>
            <w:rFonts w:asciiTheme="minorHAnsi" w:hAnsiTheme="minorHAnsi" w:cstheme="minorHAnsi"/>
            <w:b w:val="0"/>
            <w:bCs/>
            <w:sz w:val="24"/>
            <w:szCs w:val="24"/>
          </w:rPr>
          <w:t>https://www.college.police.uk/app/armed-policing/weapons-and-equipment#cspava-aerosols</w:t>
        </w:r>
      </w:hyperlink>
      <w:r>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(Accessed: 12 June 2023).</w:t>
      </w:r>
    </w:p>
    <w:p w14:paraId="5EDF91BD" w14:textId="612513A8"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College of Policing (2014) </w:t>
      </w:r>
      <w:r w:rsidRPr="00E422B0">
        <w:rPr>
          <w:rFonts w:asciiTheme="minorHAnsi" w:hAnsiTheme="minorHAnsi" w:cstheme="minorHAnsi"/>
          <w:b w:val="0"/>
          <w:bCs/>
          <w:i/>
          <w:iCs/>
          <w:sz w:val="24"/>
          <w:szCs w:val="24"/>
        </w:rPr>
        <w:t xml:space="preserve">Code of </w:t>
      </w:r>
      <w:r w:rsidRPr="00E422B0">
        <w:rPr>
          <w:rFonts w:asciiTheme="minorHAnsi" w:hAnsiTheme="minorHAnsi" w:cstheme="minorHAnsi"/>
          <w:b w:val="0"/>
          <w:bCs/>
          <w:i/>
          <w:iCs/>
          <w:sz w:val="24"/>
          <w:szCs w:val="24"/>
        </w:rPr>
        <w:t>Ethics</w:t>
      </w:r>
      <w:r w:rsidRPr="00E422B0">
        <w:rPr>
          <w:rFonts w:asciiTheme="minorHAnsi" w:hAnsiTheme="minorHAnsi" w:cstheme="minorHAnsi"/>
          <w:b w:val="0"/>
          <w:bCs/>
          <w:sz w:val="24"/>
          <w:szCs w:val="24"/>
        </w:rPr>
        <w:t>,</w:t>
      </w:r>
      <w:r w:rsidRPr="00E422B0">
        <w:rPr>
          <w:rFonts w:asciiTheme="minorHAnsi" w:hAnsiTheme="minorHAnsi" w:cstheme="minorHAnsi"/>
          <w:b w:val="0"/>
          <w:bCs/>
          <w:sz w:val="24"/>
          <w:szCs w:val="24"/>
        </w:rPr>
        <w:t xml:space="preserve"> College of </w:t>
      </w:r>
      <w:r w:rsidRPr="00E422B0">
        <w:rPr>
          <w:rFonts w:asciiTheme="minorHAnsi" w:hAnsiTheme="minorHAnsi" w:cstheme="minorHAnsi"/>
          <w:b w:val="0"/>
          <w:bCs/>
          <w:sz w:val="24"/>
          <w:szCs w:val="24"/>
        </w:rPr>
        <w:t>Policing.</w:t>
      </w:r>
      <w:r w:rsidRPr="00E422B0">
        <w:rPr>
          <w:rFonts w:asciiTheme="minorHAnsi" w:hAnsiTheme="minorHAnsi" w:cstheme="minorHAnsi"/>
          <w:b w:val="0"/>
          <w:bCs/>
          <w:sz w:val="24"/>
          <w:szCs w:val="24"/>
        </w:rPr>
        <w:t xml:space="preserve"> Available at: </w:t>
      </w:r>
      <w:hyperlink r:id="rId37" w:history="1">
        <w:r w:rsidRPr="005C70BF">
          <w:rPr>
            <w:rStyle w:val="Hyperlink"/>
            <w:rFonts w:asciiTheme="minorHAnsi" w:hAnsiTheme="minorHAnsi" w:cstheme="minorHAnsi"/>
            <w:b w:val="0"/>
            <w:bCs/>
            <w:sz w:val="24"/>
            <w:szCs w:val="24"/>
          </w:rPr>
          <w:t>https://assets.college.police.uk/s3fs-public/2021-02/code_of_ethics.pdf</w:t>
        </w:r>
      </w:hyperlink>
      <w:r w:rsidRPr="00E422B0">
        <w:rPr>
          <w:rFonts w:asciiTheme="minorHAnsi" w:hAnsiTheme="minorHAnsi" w:cstheme="minorHAnsi"/>
          <w:b w:val="0"/>
          <w:bCs/>
          <w:sz w:val="24"/>
          <w:szCs w:val="24"/>
        </w:rPr>
        <w:t xml:space="preserve"> (Accessed: 07 June 2023).</w:t>
      </w:r>
    </w:p>
    <w:p w14:paraId="6A95FD6B" w14:textId="28BB16E6"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lastRenderedPageBreak/>
        <w:t xml:space="preserve">College of Policing (2020) </w:t>
      </w:r>
      <w:r w:rsidRPr="00E422B0">
        <w:rPr>
          <w:rFonts w:asciiTheme="minorHAnsi" w:hAnsiTheme="minorHAnsi" w:cstheme="minorHAnsi"/>
          <w:b w:val="0"/>
          <w:bCs/>
          <w:i/>
          <w:iCs/>
          <w:sz w:val="24"/>
          <w:szCs w:val="24"/>
        </w:rPr>
        <w:t>Policing education qualifications framework</w:t>
      </w:r>
      <w:r w:rsidRPr="00E422B0">
        <w:rPr>
          <w:rFonts w:asciiTheme="minorHAnsi" w:hAnsiTheme="minorHAnsi" w:cstheme="minorHAnsi"/>
          <w:b w:val="0"/>
          <w:bCs/>
          <w:sz w:val="24"/>
          <w:szCs w:val="24"/>
        </w:rPr>
        <w:t xml:space="preserve"> (PEQF), College of Policing. Available at: </w:t>
      </w:r>
      <w:hyperlink r:id="rId38" w:history="1">
        <w:r w:rsidRPr="005C70BF">
          <w:rPr>
            <w:rStyle w:val="Hyperlink"/>
            <w:rFonts w:asciiTheme="minorHAnsi" w:hAnsiTheme="minorHAnsi" w:cstheme="minorHAnsi"/>
            <w:b w:val="0"/>
            <w:bCs/>
            <w:sz w:val="24"/>
            <w:szCs w:val="24"/>
          </w:rPr>
          <w:t>https://www.college.police.uk/career-learning/policing-education-qualifications-framework-peqf</w:t>
        </w:r>
      </w:hyperlink>
      <w:r>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(Accessed: February 19, 2023).</w:t>
      </w:r>
    </w:p>
    <w:p w14:paraId="1727F094" w14:textId="6D22506E"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College of Policing (2022) </w:t>
      </w:r>
      <w:r w:rsidRPr="00E422B0">
        <w:rPr>
          <w:rFonts w:asciiTheme="minorHAnsi" w:hAnsiTheme="minorHAnsi" w:cstheme="minorHAnsi"/>
          <w:b w:val="0"/>
          <w:bCs/>
          <w:i/>
          <w:iCs/>
          <w:sz w:val="24"/>
          <w:szCs w:val="24"/>
        </w:rPr>
        <w:t>Intelligence report</w:t>
      </w:r>
      <w:r w:rsidRPr="00E422B0">
        <w:rPr>
          <w:rFonts w:asciiTheme="minorHAnsi" w:hAnsiTheme="minorHAnsi" w:cstheme="minorHAnsi"/>
          <w:b w:val="0"/>
          <w:bCs/>
          <w:sz w:val="24"/>
          <w:szCs w:val="24"/>
        </w:rPr>
        <w:t xml:space="preserve">, College of Policing. Available at: </w:t>
      </w:r>
      <w:hyperlink r:id="rId39" w:history="1">
        <w:r w:rsidRPr="005C70BF">
          <w:rPr>
            <w:rStyle w:val="Hyperlink"/>
            <w:rFonts w:asciiTheme="minorHAnsi" w:hAnsiTheme="minorHAnsi" w:cstheme="minorHAnsi"/>
            <w:b w:val="0"/>
            <w:bCs/>
            <w:sz w:val="24"/>
            <w:szCs w:val="24"/>
          </w:rPr>
          <w:t>https://www.college.police.uk/app/intelligence-management/intelligence-report#intelligence-report</w:t>
        </w:r>
      </w:hyperlink>
      <w:r>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(Accessed: April 1, 2023).</w:t>
      </w:r>
    </w:p>
    <w:p w14:paraId="72451728" w14:textId="026A84CD"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College of Policing (2023) ‘</w:t>
      </w:r>
      <w:r w:rsidRPr="00E422B0">
        <w:rPr>
          <w:rFonts w:asciiTheme="minorHAnsi" w:hAnsiTheme="minorHAnsi" w:cstheme="minorHAnsi"/>
          <w:b w:val="0"/>
          <w:bCs/>
          <w:i/>
          <w:iCs/>
          <w:sz w:val="24"/>
          <w:szCs w:val="24"/>
        </w:rPr>
        <w:t>Working together’</w:t>
      </w:r>
      <w:r w:rsidRPr="00E422B0">
        <w:rPr>
          <w:rFonts w:asciiTheme="minorHAnsi" w:hAnsiTheme="minorHAnsi" w:cstheme="minorHAnsi"/>
          <w:b w:val="0"/>
          <w:bCs/>
          <w:sz w:val="24"/>
          <w:szCs w:val="24"/>
        </w:rPr>
        <w:t xml:space="preserve">. College of Policing, Available at: </w:t>
      </w:r>
      <w:hyperlink r:id="rId40" w:history="1">
        <w:r w:rsidRPr="005C70BF">
          <w:rPr>
            <w:rStyle w:val="Hyperlink"/>
            <w:rFonts w:asciiTheme="minorHAnsi" w:hAnsiTheme="minorHAnsi" w:cstheme="minorHAnsi"/>
            <w:b w:val="0"/>
            <w:bCs/>
            <w:sz w:val="24"/>
            <w:szCs w:val="24"/>
          </w:rPr>
          <w:t>https://www.college.police.uk/</w:t>
        </w:r>
      </w:hyperlink>
      <w:r>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Accessed: February 7, 2023</w:t>
      </w:r>
      <w:r>
        <w:rPr>
          <w:rFonts w:asciiTheme="minorHAnsi" w:hAnsiTheme="minorHAnsi" w:cstheme="minorHAnsi"/>
          <w:b w:val="0"/>
          <w:bCs/>
          <w:sz w:val="24"/>
          <w:szCs w:val="24"/>
        </w:rPr>
        <w:t>)</w:t>
      </w:r>
      <w:r w:rsidRPr="00E422B0">
        <w:rPr>
          <w:rFonts w:asciiTheme="minorHAnsi" w:hAnsiTheme="minorHAnsi" w:cstheme="minorHAnsi"/>
          <w:b w:val="0"/>
          <w:bCs/>
          <w:sz w:val="24"/>
          <w:szCs w:val="24"/>
        </w:rPr>
        <w:t xml:space="preserve">. </w:t>
      </w:r>
    </w:p>
    <w:p w14:paraId="5F965EFA" w14:textId="77777777"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Coursera (2023) </w:t>
      </w:r>
      <w:r w:rsidRPr="00E422B0">
        <w:rPr>
          <w:rFonts w:asciiTheme="minorHAnsi" w:hAnsiTheme="minorHAnsi" w:cstheme="minorHAnsi"/>
          <w:b w:val="0"/>
          <w:bCs/>
          <w:i/>
          <w:iCs/>
          <w:sz w:val="24"/>
          <w:szCs w:val="24"/>
        </w:rPr>
        <w:t>What are professional development goals? 10 examples + how to set them</w:t>
      </w:r>
      <w:r w:rsidRPr="00E422B0">
        <w:rPr>
          <w:rFonts w:asciiTheme="minorHAnsi" w:hAnsiTheme="minorHAnsi" w:cstheme="minorHAnsi"/>
          <w:b w:val="0"/>
          <w:bCs/>
          <w:sz w:val="24"/>
          <w:szCs w:val="24"/>
        </w:rPr>
        <w:t xml:space="preserve">, Coursera. Available at: </w:t>
      </w:r>
      <w:hyperlink r:id="rId41" w:history="1">
        <w:r w:rsidRPr="00E422B0">
          <w:rPr>
            <w:rStyle w:val="Hyperlink"/>
            <w:rFonts w:asciiTheme="minorHAnsi" w:hAnsiTheme="minorHAnsi" w:cstheme="minorHAnsi"/>
            <w:b w:val="0"/>
            <w:bCs/>
            <w:sz w:val="24"/>
            <w:szCs w:val="24"/>
          </w:rPr>
          <w:t>https://www.coursera.org/articles/professional-development-goals</w:t>
        </w:r>
      </w:hyperlink>
      <w:r w:rsidRPr="00E422B0">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(Accessed: 18 June 2023).</w:t>
      </w:r>
    </w:p>
    <w:p w14:paraId="26C689FE" w14:textId="77777777"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Díaz, D. (2021) </w:t>
      </w:r>
      <w:r w:rsidRPr="00E422B0">
        <w:rPr>
          <w:rFonts w:asciiTheme="minorHAnsi" w:hAnsiTheme="minorHAnsi" w:cstheme="minorHAnsi"/>
          <w:b w:val="0"/>
          <w:bCs/>
          <w:i/>
          <w:iCs/>
          <w:sz w:val="24"/>
          <w:szCs w:val="24"/>
        </w:rPr>
        <w:t xml:space="preserve">What is organisational strategy and why does it </w:t>
      </w:r>
      <w:proofErr w:type="gramStart"/>
      <w:r w:rsidRPr="00E422B0">
        <w:rPr>
          <w:rFonts w:asciiTheme="minorHAnsi" w:hAnsiTheme="minorHAnsi" w:cstheme="minorHAnsi"/>
          <w:b w:val="0"/>
          <w:bCs/>
          <w:i/>
          <w:iCs/>
          <w:sz w:val="24"/>
          <w:szCs w:val="24"/>
        </w:rPr>
        <w:t>matter?,</w:t>
      </w:r>
      <w:proofErr w:type="gramEnd"/>
      <w:r w:rsidRPr="00E422B0">
        <w:rPr>
          <w:rFonts w:asciiTheme="minorHAnsi" w:hAnsiTheme="minorHAnsi" w:cstheme="minorHAnsi"/>
          <w:b w:val="0"/>
          <w:bCs/>
          <w:sz w:val="24"/>
          <w:szCs w:val="24"/>
        </w:rPr>
        <w:t xml:space="preserve"> University of Lincoln. Available at: </w:t>
      </w:r>
      <w:hyperlink r:id="rId42" w:history="1">
        <w:r w:rsidRPr="00E422B0">
          <w:rPr>
            <w:rStyle w:val="Hyperlink"/>
            <w:rFonts w:asciiTheme="minorHAnsi" w:hAnsiTheme="minorHAnsi" w:cstheme="minorHAnsi"/>
            <w:b w:val="0"/>
            <w:bCs/>
            <w:sz w:val="24"/>
            <w:szCs w:val="24"/>
          </w:rPr>
          <w:t>https://online.lincoln.ac.uk/what-is-organisational-strategy-and-why-does-it-matter/</w:t>
        </w:r>
      </w:hyperlink>
      <w:r w:rsidRPr="00E422B0">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(Accessed: 18 June 2023).</w:t>
      </w:r>
    </w:p>
    <w:p w14:paraId="29A8A1B4" w14:textId="13B567E2"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Doyle, N.W., Gafni </w:t>
      </w:r>
      <w:proofErr w:type="spellStart"/>
      <w:r w:rsidRPr="00E422B0">
        <w:rPr>
          <w:rFonts w:asciiTheme="minorHAnsi" w:hAnsiTheme="minorHAnsi" w:cstheme="minorHAnsi"/>
          <w:b w:val="0"/>
          <w:bCs/>
          <w:sz w:val="24"/>
          <w:szCs w:val="24"/>
        </w:rPr>
        <w:t>Lachter</w:t>
      </w:r>
      <w:proofErr w:type="spellEnd"/>
      <w:r w:rsidRPr="00E422B0">
        <w:rPr>
          <w:rFonts w:asciiTheme="minorHAnsi" w:hAnsiTheme="minorHAnsi" w:cstheme="minorHAnsi"/>
          <w:b w:val="0"/>
          <w:bCs/>
          <w:sz w:val="24"/>
          <w:szCs w:val="24"/>
        </w:rPr>
        <w:t>, L. and Jacobs, K. (2019) ‘</w:t>
      </w:r>
      <w:r w:rsidRPr="00E422B0">
        <w:rPr>
          <w:rFonts w:asciiTheme="minorHAnsi" w:hAnsiTheme="minorHAnsi" w:cstheme="minorHAnsi"/>
          <w:b w:val="0"/>
          <w:bCs/>
          <w:i/>
          <w:iCs/>
          <w:sz w:val="24"/>
          <w:szCs w:val="24"/>
        </w:rPr>
        <w:t>Scoping review of mentoring research in the occupational therapy literature, 2002–2018’</w:t>
      </w:r>
      <w:r w:rsidRPr="00E422B0">
        <w:rPr>
          <w:rFonts w:asciiTheme="minorHAnsi" w:hAnsiTheme="minorHAnsi" w:cstheme="minorHAnsi"/>
          <w:b w:val="0"/>
          <w:bCs/>
          <w:sz w:val="24"/>
          <w:szCs w:val="24"/>
        </w:rPr>
        <w:t xml:space="preserve">, Australian occupational therapy journal, 66(5), pp. 541–551. Available at: </w:t>
      </w:r>
      <w:hyperlink r:id="rId43" w:history="1">
        <w:r w:rsidRPr="005C70BF">
          <w:rPr>
            <w:rStyle w:val="Hyperlink"/>
            <w:rFonts w:asciiTheme="minorHAnsi" w:hAnsiTheme="minorHAnsi" w:cstheme="minorHAnsi"/>
            <w:b w:val="0"/>
            <w:bCs/>
            <w:sz w:val="24"/>
            <w:szCs w:val="24"/>
          </w:rPr>
          <w:t>https://doi.org/10.1111/1440-1630.12579</w:t>
        </w:r>
      </w:hyperlink>
      <w:r w:rsidRPr="00E422B0">
        <w:rPr>
          <w:rFonts w:asciiTheme="minorHAnsi" w:hAnsiTheme="minorHAnsi" w:cstheme="minorHAnsi"/>
          <w:b w:val="0"/>
          <w:bCs/>
          <w:sz w:val="24"/>
          <w:szCs w:val="24"/>
        </w:rPr>
        <w:t>.</w:t>
      </w:r>
      <w:r>
        <w:rPr>
          <w:rFonts w:asciiTheme="minorHAnsi" w:hAnsiTheme="minorHAnsi" w:cstheme="minorHAnsi"/>
          <w:b w:val="0"/>
          <w:bCs/>
          <w:sz w:val="24"/>
          <w:szCs w:val="24"/>
        </w:rPr>
        <w:t xml:space="preserve"> </w:t>
      </w:r>
    </w:p>
    <w:p w14:paraId="4550345B" w14:textId="1B79D95D"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DUAN, J. et al. (2017) ‘</w:t>
      </w:r>
      <w:r w:rsidRPr="00E422B0">
        <w:rPr>
          <w:rFonts w:asciiTheme="minorHAnsi" w:hAnsiTheme="minorHAnsi" w:cstheme="minorHAnsi"/>
          <w:b w:val="0"/>
          <w:bCs/>
          <w:i/>
          <w:iCs/>
          <w:sz w:val="24"/>
          <w:szCs w:val="24"/>
        </w:rPr>
        <w:t xml:space="preserve">Transformational leadership and employee voice </w:t>
      </w:r>
      <w:proofErr w:type="spellStart"/>
      <w:r w:rsidRPr="00E422B0">
        <w:rPr>
          <w:rFonts w:asciiTheme="minorHAnsi" w:hAnsiTheme="minorHAnsi" w:cstheme="minorHAnsi"/>
          <w:b w:val="0"/>
          <w:bCs/>
          <w:i/>
          <w:iCs/>
          <w:sz w:val="24"/>
          <w:szCs w:val="24"/>
        </w:rPr>
        <w:t>behavior</w:t>
      </w:r>
      <w:proofErr w:type="spellEnd"/>
      <w:r w:rsidRPr="00E422B0">
        <w:rPr>
          <w:rFonts w:asciiTheme="minorHAnsi" w:hAnsiTheme="minorHAnsi" w:cstheme="minorHAnsi"/>
          <w:b w:val="0"/>
          <w:bCs/>
          <w:i/>
          <w:iCs/>
          <w:sz w:val="24"/>
          <w:szCs w:val="24"/>
        </w:rPr>
        <w:t>: A Pygmalion mechanism’</w:t>
      </w:r>
      <w:r w:rsidRPr="00E422B0">
        <w:rPr>
          <w:rFonts w:asciiTheme="minorHAnsi" w:hAnsiTheme="minorHAnsi" w:cstheme="minorHAnsi"/>
          <w:b w:val="0"/>
          <w:bCs/>
          <w:sz w:val="24"/>
          <w:szCs w:val="24"/>
        </w:rPr>
        <w:t xml:space="preserve">, Journal of organizational </w:t>
      </w:r>
      <w:proofErr w:type="spellStart"/>
      <w:r w:rsidRPr="00E422B0">
        <w:rPr>
          <w:rFonts w:asciiTheme="minorHAnsi" w:hAnsiTheme="minorHAnsi" w:cstheme="minorHAnsi"/>
          <w:b w:val="0"/>
          <w:bCs/>
          <w:sz w:val="24"/>
          <w:szCs w:val="24"/>
        </w:rPr>
        <w:t>behavior</w:t>
      </w:r>
      <w:proofErr w:type="spellEnd"/>
      <w:r w:rsidRPr="00E422B0">
        <w:rPr>
          <w:rFonts w:asciiTheme="minorHAnsi" w:hAnsiTheme="minorHAnsi" w:cstheme="minorHAnsi"/>
          <w:b w:val="0"/>
          <w:bCs/>
          <w:sz w:val="24"/>
          <w:szCs w:val="24"/>
        </w:rPr>
        <w:t xml:space="preserve">, 38(5), pp. 650–670. Available at: </w:t>
      </w:r>
      <w:hyperlink r:id="rId44" w:history="1">
        <w:r w:rsidRPr="005C70BF">
          <w:rPr>
            <w:rStyle w:val="Hyperlink"/>
            <w:rFonts w:asciiTheme="minorHAnsi" w:hAnsiTheme="minorHAnsi" w:cstheme="minorHAnsi"/>
            <w:b w:val="0"/>
            <w:bCs/>
            <w:sz w:val="24"/>
            <w:szCs w:val="24"/>
          </w:rPr>
          <w:t>https://doi.org/10.1002/job.2157</w:t>
        </w:r>
      </w:hyperlink>
      <w:r w:rsidRPr="00E422B0">
        <w:rPr>
          <w:rFonts w:asciiTheme="minorHAnsi" w:hAnsiTheme="minorHAnsi" w:cstheme="minorHAnsi"/>
          <w:b w:val="0"/>
          <w:bCs/>
          <w:sz w:val="24"/>
          <w:szCs w:val="24"/>
        </w:rPr>
        <w:t>.</w:t>
      </w:r>
      <w:r>
        <w:rPr>
          <w:rFonts w:asciiTheme="minorHAnsi" w:hAnsiTheme="minorHAnsi" w:cstheme="minorHAnsi"/>
          <w:b w:val="0"/>
          <w:bCs/>
          <w:sz w:val="24"/>
          <w:szCs w:val="24"/>
        </w:rPr>
        <w:t xml:space="preserve"> </w:t>
      </w:r>
    </w:p>
    <w:p w14:paraId="30F56937" w14:textId="6A86BFEF"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F. Vito, G., E. Higgins, G. and S. Denney, A. (2014) ‘</w:t>
      </w:r>
      <w:r w:rsidRPr="00E422B0">
        <w:rPr>
          <w:rFonts w:asciiTheme="minorHAnsi" w:hAnsiTheme="minorHAnsi" w:cstheme="minorHAnsi"/>
          <w:b w:val="0"/>
          <w:bCs/>
          <w:i/>
          <w:iCs/>
          <w:sz w:val="24"/>
          <w:szCs w:val="24"/>
        </w:rPr>
        <w:t>Transactional and transformational leadership: An examination of the leadership challenge model’</w:t>
      </w:r>
      <w:r w:rsidRPr="00E422B0">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Policing:</w:t>
      </w:r>
      <w:r w:rsidRPr="00E422B0">
        <w:rPr>
          <w:rFonts w:asciiTheme="minorHAnsi" w:hAnsiTheme="minorHAnsi" w:cstheme="minorHAnsi"/>
          <w:b w:val="0"/>
          <w:bCs/>
          <w:sz w:val="24"/>
          <w:szCs w:val="24"/>
        </w:rPr>
        <w:t xml:space="preserve"> an international journal of police strategies &amp; management, 37(4), pp. 809–822. Available at: </w:t>
      </w:r>
      <w:hyperlink r:id="rId45" w:history="1">
        <w:r w:rsidRPr="005C70BF">
          <w:rPr>
            <w:rStyle w:val="Hyperlink"/>
            <w:rFonts w:asciiTheme="minorHAnsi" w:hAnsiTheme="minorHAnsi" w:cstheme="minorHAnsi"/>
            <w:b w:val="0"/>
            <w:bCs/>
            <w:sz w:val="24"/>
            <w:szCs w:val="24"/>
          </w:rPr>
          <w:t>https://doi.org/10.1108/PIJPSM-01-2014-0008</w:t>
        </w:r>
      </w:hyperlink>
      <w:r w:rsidRPr="00E422B0">
        <w:rPr>
          <w:rFonts w:asciiTheme="minorHAnsi" w:hAnsiTheme="minorHAnsi" w:cstheme="minorHAnsi"/>
          <w:b w:val="0"/>
          <w:bCs/>
          <w:sz w:val="24"/>
          <w:szCs w:val="24"/>
        </w:rPr>
        <w:t>.</w:t>
      </w:r>
      <w:r>
        <w:rPr>
          <w:rFonts w:asciiTheme="minorHAnsi" w:hAnsiTheme="minorHAnsi" w:cstheme="minorHAnsi"/>
          <w:b w:val="0"/>
          <w:bCs/>
          <w:sz w:val="24"/>
          <w:szCs w:val="24"/>
        </w:rPr>
        <w:t xml:space="preserve"> </w:t>
      </w:r>
    </w:p>
    <w:p w14:paraId="51D23ADF" w14:textId="77777777" w:rsidR="00E422B0" w:rsidRPr="00E422B0" w:rsidRDefault="00E422B0" w:rsidP="00E422B0">
      <w:pPr>
        <w:pStyle w:val="Heading1"/>
        <w:rPr>
          <w:rFonts w:asciiTheme="minorHAnsi" w:hAnsiTheme="minorHAnsi" w:cstheme="minorHAnsi"/>
          <w:b w:val="0"/>
          <w:bCs/>
          <w:sz w:val="24"/>
          <w:szCs w:val="24"/>
        </w:rPr>
      </w:pPr>
      <w:proofErr w:type="spellStart"/>
      <w:r w:rsidRPr="00E422B0">
        <w:rPr>
          <w:rFonts w:asciiTheme="minorHAnsi" w:hAnsiTheme="minorHAnsi" w:cstheme="minorHAnsi"/>
          <w:b w:val="0"/>
          <w:bCs/>
          <w:sz w:val="24"/>
          <w:szCs w:val="24"/>
        </w:rPr>
        <w:t>Fachrunnisa</w:t>
      </w:r>
      <w:proofErr w:type="spellEnd"/>
      <w:r w:rsidRPr="00E422B0">
        <w:rPr>
          <w:rFonts w:asciiTheme="minorHAnsi" w:hAnsiTheme="minorHAnsi" w:cstheme="minorHAnsi"/>
          <w:b w:val="0"/>
          <w:bCs/>
          <w:sz w:val="24"/>
          <w:szCs w:val="24"/>
        </w:rPr>
        <w:t>, O. et al. (2020) ‘</w:t>
      </w:r>
      <w:r w:rsidRPr="00E422B0">
        <w:rPr>
          <w:rFonts w:asciiTheme="minorHAnsi" w:hAnsiTheme="minorHAnsi" w:cstheme="minorHAnsi"/>
          <w:b w:val="0"/>
          <w:bCs/>
          <w:i/>
          <w:iCs/>
          <w:sz w:val="24"/>
          <w:szCs w:val="24"/>
        </w:rPr>
        <w:t>Towards SMEs’ digital transformation: The role of agile leadership and strategic flexibility</w:t>
      </w:r>
      <w:r w:rsidRPr="00E422B0">
        <w:rPr>
          <w:rFonts w:asciiTheme="minorHAnsi" w:hAnsiTheme="minorHAnsi" w:cstheme="minorHAnsi"/>
          <w:b w:val="0"/>
          <w:bCs/>
          <w:sz w:val="24"/>
          <w:szCs w:val="24"/>
        </w:rPr>
        <w:t>’, Journal of small business strategy, 30(3), pp. 65–85.</w:t>
      </w:r>
    </w:p>
    <w:p w14:paraId="09295954" w14:textId="7221287D"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Fernandez, M., Dickinson, T. and Alani, H. (2017) </w:t>
      </w:r>
      <w:r w:rsidRPr="00E422B0">
        <w:rPr>
          <w:rFonts w:asciiTheme="minorHAnsi" w:hAnsiTheme="minorHAnsi" w:cstheme="minorHAnsi"/>
          <w:b w:val="0"/>
          <w:bCs/>
          <w:i/>
          <w:iCs/>
          <w:sz w:val="24"/>
          <w:szCs w:val="24"/>
        </w:rPr>
        <w:t xml:space="preserve">An analysis of UK policing engagement via social media - </w:t>
      </w:r>
      <w:proofErr w:type="spellStart"/>
      <w:r w:rsidRPr="00E422B0">
        <w:rPr>
          <w:rFonts w:asciiTheme="minorHAnsi" w:hAnsiTheme="minorHAnsi" w:cstheme="minorHAnsi"/>
          <w:b w:val="0"/>
          <w:bCs/>
          <w:i/>
          <w:iCs/>
          <w:sz w:val="24"/>
          <w:szCs w:val="24"/>
        </w:rPr>
        <w:t>researchgate</w:t>
      </w:r>
      <w:proofErr w:type="spellEnd"/>
      <w:r w:rsidRPr="00E422B0">
        <w:rPr>
          <w:rFonts w:asciiTheme="minorHAnsi" w:hAnsiTheme="minorHAnsi" w:cstheme="minorHAnsi"/>
          <w:b w:val="0"/>
          <w:bCs/>
          <w:i/>
          <w:iCs/>
          <w:sz w:val="24"/>
          <w:szCs w:val="24"/>
        </w:rPr>
        <w:t>,</w:t>
      </w:r>
      <w:r w:rsidRPr="00E422B0">
        <w:rPr>
          <w:rFonts w:asciiTheme="minorHAnsi" w:hAnsiTheme="minorHAnsi" w:cstheme="minorHAnsi"/>
          <w:b w:val="0"/>
          <w:bCs/>
          <w:sz w:val="24"/>
          <w:szCs w:val="24"/>
        </w:rPr>
        <w:t xml:space="preserve"> ResearchGate. Available at: </w:t>
      </w:r>
      <w:hyperlink r:id="rId46" w:history="1">
        <w:r w:rsidRPr="005C70BF">
          <w:rPr>
            <w:rStyle w:val="Hyperlink"/>
            <w:rFonts w:asciiTheme="minorHAnsi" w:hAnsiTheme="minorHAnsi" w:cstheme="minorHAnsi"/>
            <w:b w:val="0"/>
            <w:bCs/>
            <w:sz w:val="24"/>
            <w:szCs w:val="24"/>
          </w:rPr>
          <w:t>https://www.researchgate.net/publication/319453091_An_Analysis_of_UK_Policing_Engagement_via_Social_Media</w:t>
        </w:r>
      </w:hyperlink>
      <w:r>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(Accessed: April 27, 2023).</w:t>
      </w:r>
    </w:p>
    <w:p w14:paraId="1254969A" w14:textId="19261969"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Fisher, G. </w:t>
      </w:r>
      <w:r w:rsidRPr="00E422B0">
        <w:rPr>
          <w:rFonts w:asciiTheme="minorHAnsi" w:hAnsiTheme="minorHAnsi" w:cstheme="minorHAnsi"/>
          <w:b w:val="0"/>
          <w:bCs/>
          <w:i/>
          <w:iCs/>
          <w:sz w:val="24"/>
          <w:szCs w:val="24"/>
        </w:rPr>
        <w:t>et al</w:t>
      </w:r>
      <w:r w:rsidRPr="00E422B0">
        <w:rPr>
          <w:rFonts w:asciiTheme="minorHAnsi" w:hAnsiTheme="minorHAnsi" w:cstheme="minorHAnsi"/>
          <w:b w:val="0"/>
          <w:bCs/>
          <w:sz w:val="24"/>
          <w:szCs w:val="24"/>
        </w:rPr>
        <w:t xml:space="preserve">. (2020) </w:t>
      </w:r>
      <w:r w:rsidRPr="00E422B0">
        <w:rPr>
          <w:rFonts w:asciiTheme="minorHAnsi" w:hAnsiTheme="minorHAnsi" w:cstheme="minorHAnsi"/>
          <w:b w:val="0"/>
          <w:bCs/>
          <w:i/>
          <w:iCs/>
          <w:sz w:val="24"/>
          <w:szCs w:val="24"/>
        </w:rPr>
        <w:t>Strategy in 3</w:t>
      </w:r>
      <w:r w:rsidRPr="00E422B0">
        <w:rPr>
          <w:rFonts w:asciiTheme="minorHAnsi" w:hAnsiTheme="minorHAnsi" w:cstheme="minorHAnsi"/>
          <w:b w:val="0"/>
          <w:bCs/>
          <w:i/>
          <w:iCs/>
          <w:sz w:val="24"/>
          <w:szCs w:val="24"/>
        </w:rPr>
        <w:t>D:</w:t>
      </w:r>
      <w:r w:rsidRPr="00E422B0">
        <w:rPr>
          <w:rFonts w:asciiTheme="minorHAnsi" w:hAnsiTheme="minorHAnsi" w:cstheme="minorHAnsi"/>
          <w:b w:val="0"/>
          <w:bCs/>
          <w:i/>
          <w:iCs/>
          <w:sz w:val="24"/>
          <w:szCs w:val="24"/>
        </w:rPr>
        <w:t xml:space="preserve"> essential tools to diagnose, decide, and deliver</w:t>
      </w:r>
      <w:r w:rsidRPr="00E422B0">
        <w:rPr>
          <w:rFonts w:asciiTheme="minorHAnsi" w:hAnsiTheme="minorHAnsi" w:cstheme="minorHAnsi"/>
          <w:b w:val="0"/>
          <w:bCs/>
          <w:sz w:val="24"/>
          <w:szCs w:val="24"/>
        </w:rPr>
        <w:t>. New York, NY: Oxford University Press.</w:t>
      </w:r>
    </w:p>
    <w:p w14:paraId="5222566E" w14:textId="0D3FDDC3"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Fortin, F., </w:t>
      </w:r>
      <w:proofErr w:type="spellStart"/>
      <w:r w:rsidRPr="00E422B0">
        <w:rPr>
          <w:rFonts w:asciiTheme="minorHAnsi" w:hAnsiTheme="minorHAnsi" w:cstheme="minorHAnsi"/>
          <w:b w:val="0"/>
          <w:bCs/>
          <w:sz w:val="24"/>
          <w:szCs w:val="24"/>
        </w:rPr>
        <w:t>Delle</w:t>
      </w:r>
      <w:proofErr w:type="spellEnd"/>
      <w:r w:rsidRPr="00E422B0">
        <w:rPr>
          <w:rFonts w:asciiTheme="minorHAnsi" w:hAnsiTheme="minorHAnsi" w:cstheme="minorHAnsi"/>
          <w:b w:val="0"/>
          <w:bCs/>
          <w:sz w:val="24"/>
          <w:szCs w:val="24"/>
        </w:rPr>
        <w:t xml:space="preserve"> Donne, J., Knop, J. (2021</w:t>
      </w:r>
      <w:r w:rsidRPr="00E422B0">
        <w:rPr>
          <w:rFonts w:asciiTheme="minorHAnsi" w:hAnsiTheme="minorHAnsi" w:cstheme="minorHAnsi"/>
          <w:b w:val="0"/>
          <w:bCs/>
          <w:i/>
          <w:iCs/>
          <w:sz w:val="24"/>
          <w:szCs w:val="24"/>
        </w:rPr>
        <w:t xml:space="preserve">). The Use of </w:t>
      </w:r>
      <w:proofErr w:type="gramStart"/>
      <w:r w:rsidRPr="00E422B0">
        <w:rPr>
          <w:rFonts w:asciiTheme="minorHAnsi" w:hAnsiTheme="minorHAnsi" w:cstheme="minorHAnsi"/>
          <w:b w:val="0"/>
          <w:bCs/>
          <w:i/>
          <w:iCs/>
          <w:sz w:val="24"/>
          <w:szCs w:val="24"/>
        </w:rPr>
        <w:t>Social Media</w:t>
      </w:r>
      <w:proofErr w:type="gramEnd"/>
      <w:r w:rsidRPr="00E422B0">
        <w:rPr>
          <w:rFonts w:asciiTheme="minorHAnsi" w:hAnsiTheme="minorHAnsi" w:cstheme="minorHAnsi"/>
          <w:b w:val="0"/>
          <w:bCs/>
          <w:i/>
          <w:iCs/>
          <w:sz w:val="24"/>
          <w:szCs w:val="24"/>
        </w:rPr>
        <w:t xml:space="preserve"> in Intelligence and Its Impact on Police Work</w:t>
      </w:r>
      <w:r w:rsidRPr="00E422B0">
        <w:rPr>
          <w:rFonts w:asciiTheme="minorHAnsi" w:hAnsiTheme="minorHAnsi" w:cstheme="minorHAnsi"/>
          <w:b w:val="0"/>
          <w:bCs/>
          <w:sz w:val="24"/>
          <w:szCs w:val="24"/>
        </w:rPr>
        <w:t xml:space="preserve">. In: Nolan, J.J., </w:t>
      </w:r>
      <w:proofErr w:type="spellStart"/>
      <w:r w:rsidRPr="00E422B0">
        <w:rPr>
          <w:rFonts w:asciiTheme="minorHAnsi" w:hAnsiTheme="minorHAnsi" w:cstheme="minorHAnsi"/>
          <w:b w:val="0"/>
          <w:bCs/>
          <w:sz w:val="24"/>
          <w:szCs w:val="24"/>
        </w:rPr>
        <w:t>Crispino</w:t>
      </w:r>
      <w:proofErr w:type="spellEnd"/>
      <w:r w:rsidRPr="00E422B0">
        <w:rPr>
          <w:rFonts w:asciiTheme="minorHAnsi" w:hAnsiTheme="minorHAnsi" w:cstheme="minorHAnsi"/>
          <w:b w:val="0"/>
          <w:bCs/>
          <w:sz w:val="24"/>
          <w:szCs w:val="24"/>
        </w:rPr>
        <w:t>, F., Parsons, T. (eds) Policing in an Age of</w:t>
      </w:r>
      <w:r w:rsidR="005A20BF">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lastRenderedPageBreak/>
        <w:t xml:space="preserve">Reform. Palgrave's Critical Policing Studies. Palgrave Macmillan, Cham. </w:t>
      </w:r>
      <w:hyperlink r:id="rId47" w:history="1">
        <w:r w:rsidR="005A20BF" w:rsidRPr="005C70BF">
          <w:rPr>
            <w:rStyle w:val="Hyperlink"/>
            <w:rFonts w:asciiTheme="minorHAnsi" w:hAnsiTheme="minorHAnsi" w:cstheme="minorHAnsi"/>
            <w:b w:val="0"/>
            <w:bCs/>
            <w:sz w:val="24"/>
            <w:szCs w:val="24"/>
          </w:rPr>
          <w:t>https://doi.org/10.1007/978-3-030-56765-1_13</w:t>
        </w:r>
      </w:hyperlink>
      <w:r w:rsidR="005A20BF">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 xml:space="preserve"> </w:t>
      </w:r>
    </w:p>
    <w:p w14:paraId="0A5A948E" w14:textId="5DB48F78"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Furnell, C. and Finlay, F. (2022) ‘</w:t>
      </w:r>
      <w:r w:rsidRPr="005A20BF">
        <w:rPr>
          <w:rFonts w:asciiTheme="minorHAnsi" w:hAnsiTheme="minorHAnsi" w:cstheme="minorHAnsi"/>
          <w:b w:val="0"/>
          <w:bCs/>
          <w:i/>
          <w:iCs/>
          <w:sz w:val="24"/>
          <w:szCs w:val="24"/>
        </w:rPr>
        <w:t>Flexibility’, Archives of disease in childhood</w:t>
      </w:r>
      <w:r w:rsidRPr="00E422B0">
        <w:rPr>
          <w:rFonts w:asciiTheme="minorHAnsi" w:hAnsiTheme="minorHAnsi" w:cstheme="minorHAnsi"/>
          <w:b w:val="0"/>
          <w:bCs/>
          <w:sz w:val="24"/>
          <w:szCs w:val="24"/>
        </w:rPr>
        <w:t xml:space="preserve">. Education and practice edition, 107(2), pp. 94–94. Available at: </w:t>
      </w:r>
      <w:hyperlink r:id="rId48" w:history="1">
        <w:r w:rsidR="005A20BF" w:rsidRPr="005C70BF">
          <w:rPr>
            <w:rStyle w:val="Hyperlink"/>
            <w:rFonts w:asciiTheme="minorHAnsi" w:hAnsiTheme="minorHAnsi" w:cstheme="minorHAnsi"/>
            <w:b w:val="0"/>
            <w:bCs/>
            <w:sz w:val="24"/>
            <w:szCs w:val="24"/>
          </w:rPr>
          <w:t>https://doi.org/10.1136/archdischild-2021-322623</w:t>
        </w:r>
      </w:hyperlink>
      <w:r w:rsidRPr="00E422B0">
        <w:rPr>
          <w:rFonts w:asciiTheme="minorHAnsi" w:hAnsiTheme="minorHAnsi" w:cstheme="minorHAnsi"/>
          <w:b w:val="0"/>
          <w:bCs/>
          <w:sz w:val="24"/>
          <w:szCs w:val="24"/>
        </w:rPr>
        <w:t>.</w:t>
      </w:r>
      <w:r w:rsidR="005A20BF">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 xml:space="preserve"> </w:t>
      </w:r>
    </w:p>
    <w:p w14:paraId="5001AFDA" w14:textId="641407AD"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Good, D.J. and Sharma, G. (2010) ‘</w:t>
      </w:r>
      <w:r w:rsidRPr="005A20BF">
        <w:rPr>
          <w:rFonts w:asciiTheme="minorHAnsi" w:hAnsiTheme="minorHAnsi" w:cstheme="minorHAnsi"/>
          <w:b w:val="0"/>
          <w:bCs/>
          <w:i/>
          <w:iCs/>
          <w:sz w:val="24"/>
          <w:szCs w:val="24"/>
        </w:rPr>
        <w:t>A Little More Rigidity: Firming the Construct of Leader Flexibility’</w:t>
      </w:r>
      <w:r w:rsidRPr="00E422B0">
        <w:rPr>
          <w:rFonts w:asciiTheme="minorHAnsi" w:hAnsiTheme="minorHAnsi" w:cstheme="minorHAnsi"/>
          <w:b w:val="0"/>
          <w:bCs/>
          <w:sz w:val="24"/>
          <w:szCs w:val="24"/>
        </w:rPr>
        <w:t xml:space="preserve">, Journal of change management, 10(2), pp. 155–174. Available at: </w:t>
      </w:r>
      <w:hyperlink r:id="rId49" w:history="1">
        <w:r w:rsidR="009707CA" w:rsidRPr="005C70BF">
          <w:rPr>
            <w:rStyle w:val="Hyperlink"/>
            <w:rFonts w:asciiTheme="minorHAnsi" w:hAnsiTheme="minorHAnsi" w:cstheme="minorHAnsi"/>
            <w:b w:val="0"/>
            <w:bCs/>
            <w:sz w:val="24"/>
            <w:szCs w:val="24"/>
          </w:rPr>
          <w:t>https://doi.org/10.1080/14697011003795636</w:t>
        </w:r>
      </w:hyperlink>
      <w:r w:rsidRPr="00E422B0">
        <w:rPr>
          <w:rFonts w:asciiTheme="minorHAnsi" w:hAnsiTheme="minorHAnsi" w:cstheme="minorHAnsi"/>
          <w:b w:val="0"/>
          <w:bCs/>
          <w:sz w:val="24"/>
          <w:szCs w:val="24"/>
        </w:rPr>
        <w:t>.</w:t>
      </w:r>
      <w:r w:rsidR="009707CA">
        <w:rPr>
          <w:rFonts w:asciiTheme="minorHAnsi" w:hAnsiTheme="minorHAnsi" w:cstheme="minorHAnsi"/>
          <w:b w:val="0"/>
          <w:bCs/>
          <w:sz w:val="24"/>
          <w:szCs w:val="24"/>
        </w:rPr>
        <w:t xml:space="preserve"> </w:t>
      </w:r>
    </w:p>
    <w:p w14:paraId="6BC414BC" w14:textId="77777777"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Gwent Police (2023) </w:t>
      </w:r>
      <w:r w:rsidRPr="00E422B0">
        <w:rPr>
          <w:rFonts w:asciiTheme="minorHAnsi" w:hAnsiTheme="minorHAnsi" w:cstheme="minorHAnsi"/>
          <w:b w:val="0"/>
          <w:bCs/>
          <w:i/>
          <w:iCs/>
          <w:sz w:val="24"/>
          <w:szCs w:val="24"/>
        </w:rPr>
        <w:t xml:space="preserve">About Us, </w:t>
      </w:r>
      <w:r w:rsidRPr="00E422B0">
        <w:rPr>
          <w:rFonts w:asciiTheme="minorHAnsi" w:hAnsiTheme="minorHAnsi" w:cstheme="minorHAnsi"/>
          <w:b w:val="0"/>
          <w:bCs/>
          <w:sz w:val="24"/>
          <w:szCs w:val="24"/>
        </w:rPr>
        <w:t xml:space="preserve">Gwent Police. Available at: </w:t>
      </w:r>
      <w:hyperlink r:id="rId50" w:history="1">
        <w:r w:rsidRPr="00E422B0">
          <w:rPr>
            <w:rStyle w:val="Hyperlink"/>
            <w:rFonts w:asciiTheme="minorHAnsi" w:hAnsiTheme="minorHAnsi" w:cstheme="minorHAnsi"/>
            <w:b w:val="0"/>
            <w:bCs/>
            <w:sz w:val="24"/>
            <w:szCs w:val="24"/>
          </w:rPr>
          <w:t>https://www.gwent.police.uk/police-forces/gwent-police/areas/about-us/about-us/ride-along-scheme</w:t>
        </w:r>
      </w:hyperlink>
      <w:r w:rsidRPr="00E422B0">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(Accessed: 18 June 2023).</w:t>
      </w:r>
    </w:p>
    <w:p w14:paraId="5C5C68A1" w14:textId="604128A3"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Gwent Police (2023a) </w:t>
      </w:r>
      <w:r w:rsidRPr="009707CA">
        <w:rPr>
          <w:rFonts w:asciiTheme="minorHAnsi" w:hAnsiTheme="minorHAnsi" w:cstheme="minorHAnsi"/>
          <w:b w:val="0"/>
          <w:bCs/>
          <w:i/>
          <w:iCs/>
          <w:sz w:val="24"/>
          <w:szCs w:val="24"/>
        </w:rPr>
        <w:t>Missing persons</w:t>
      </w:r>
      <w:r w:rsidRPr="00E422B0">
        <w:rPr>
          <w:rFonts w:asciiTheme="minorHAnsi" w:hAnsiTheme="minorHAnsi" w:cstheme="minorHAnsi"/>
          <w:b w:val="0"/>
          <w:bCs/>
          <w:sz w:val="24"/>
          <w:szCs w:val="24"/>
        </w:rPr>
        <w:t xml:space="preserve"> </w:t>
      </w:r>
      <w:r w:rsidRPr="009707CA">
        <w:rPr>
          <w:rFonts w:asciiTheme="minorHAnsi" w:hAnsiTheme="minorHAnsi" w:cstheme="minorHAnsi"/>
          <w:b w:val="0"/>
          <w:bCs/>
          <w:i/>
          <w:iCs/>
          <w:sz w:val="24"/>
          <w:szCs w:val="24"/>
        </w:rPr>
        <w:t xml:space="preserve">| Gwent Police, </w:t>
      </w:r>
      <w:proofErr w:type="gramStart"/>
      <w:r w:rsidRPr="009707CA">
        <w:rPr>
          <w:rFonts w:asciiTheme="minorHAnsi" w:hAnsiTheme="minorHAnsi" w:cstheme="minorHAnsi"/>
          <w:b w:val="0"/>
          <w:bCs/>
          <w:i/>
          <w:iCs/>
          <w:sz w:val="24"/>
          <w:szCs w:val="24"/>
        </w:rPr>
        <w:t>What</w:t>
      </w:r>
      <w:proofErr w:type="gramEnd"/>
      <w:r w:rsidRPr="009707CA">
        <w:rPr>
          <w:rFonts w:asciiTheme="minorHAnsi" w:hAnsiTheme="minorHAnsi" w:cstheme="minorHAnsi"/>
          <w:b w:val="0"/>
          <w:bCs/>
          <w:i/>
          <w:iCs/>
          <w:sz w:val="24"/>
          <w:szCs w:val="24"/>
        </w:rPr>
        <w:t xml:space="preserve"> happens after you report a missing person</w:t>
      </w:r>
      <w:r w:rsidRPr="00E422B0">
        <w:rPr>
          <w:rFonts w:asciiTheme="minorHAnsi" w:hAnsiTheme="minorHAnsi" w:cstheme="minorHAnsi"/>
          <w:b w:val="0"/>
          <w:bCs/>
          <w:sz w:val="24"/>
          <w:szCs w:val="24"/>
        </w:rPr>
        <w:t xml:space="preserve">. Available at: </w:t>
      </w:r>
      <w:hyperlink r:id="rId51" w:history="1">
        <w:r w:rsidR="009707CA" w:rsidRPr="005C70BF">
          <w:rPr>
            <w:rStyle w:val="Hyperlink"/>
            <w:rFonts w:asciiTheme="minorHAnsi" w:hAnsiTheme="minorHAnsi" w:cstheme="minorHAnsi"/>
            <w:b w:val="0"/>
            <w:bCs/>
            <w:sz w:val="24"/>
            <w:szCs w:val="24"/>
          </w:rPr>
          <w:t>https://www.gwent.police.uk/advice/advice-and-information/missing-person/missing-persons/</w:t>
        </w:r>
      </w:hyperlink>
      <w:r w:rsidR="009707CA">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(Accessed: April 1, 2023).</w:t>
      </w:r>
    </w:p>
    <w:p w14:paraId="6026DDE6" w14:textId="30AF07EE"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Gwent Police (2023b</w:t>
      </w:r>
      <w:r w:rsidRPr="009707CA">
        <w:rPr>
          <w:rFonts w:asciiTheme="minorHAnsi" w:hAnsiTheme="minorHAnsi" w:cstheme="minorHAnsi"/>
          <w:b w:val="0"/>
          <w:bCs/>
          <w:i/>
          <w:iCs/>
          <w:sz w:val="24"/>
          <w:szCs w:val="24"/>
        </w:rPr>
        <w:t xml:space="preserve">) When a missing person returns | Gwent Police, </w:t>
      </w:r>
      <w:proofErr w:type="gramStart"/>
      <w:r w:rsidRPr="009707CA">
        <w:rPr>
          <w:rFonts w:asciiTheme="minorHAnsi" w:hAnsiTheme="minorHAnsi" w:cstheme="minorHAnsi"/>
          <w:b w:val="0"/>
          <w:bCs/>
          <w:i/>
          <w:iCs/>
          <w:sz w:val="24"/>
          <w:szCs w:val="24"/>
        </w:rPr>
        <w:t>What</w:t>
      </w:r>
      <w:proofErr w:type="gramEnd"/>
      <w:r w:rsidRPr="009707CA">
        <w:rPr>
          <w:rFonts w:asciiTheme="minorHAnsi" w:hAnsiTheme="minorHAnsi" w:cstheme="minorHAnsi"/>
          <w:b w:val="0"/>
          <w:bCs/>
          <w:i/>
          <w:iCs/>
          <w:sz w:val="24"/>
          <w:szCs w:val="24"/>
        </w:rPr>
        <w:t xml:space="preserve"> you can do to help find a missing person</w:t>
      </w:r>
      <w:r w:rsidRPr="00E422B0">
        <w:rPr>
          <w:rFonts w:asciiTheme="minorHAnsi" w:hAnsiTheme="minorHAnsi" w:cstheme="minorHAnsi"/>
          <w:b w:val="0"/>
          <w:bCs/>
          <w:sz w:val="24"/>
          <w:szCs w:val="24"/>
        </w:rPr>
        <w:t xml:space="preserve">. Available at: </w:t>
      </w:r>
      <w:hyperlink r:id="rId52" w:history="1">
        <w:r w:rsidR="009707CA" w:rsidRPr="005C70BF">
          <w:rPr>
            <w:rStyle w:val="Hyperlink"/>
            <w:rFonts w:asciiTheme="minorHAnsi" w:hAnsiTheme="minorHAnsi" w:cstheme="minorHAnsi"/>
            <w:b w:val="0"/>
            <w:bCs/>
            <w:sz w:val="24"/>
            <w:szCs w:val="24"/>
          </w:rPr>
          <w:t>https://www.gwent.police.uk/advice/advice-and-information/missing-person/missing-persons/when-missing-person-returns/</w:t>
        </w:r>
      </w:hyperlink>
      <w:r w:rsidR="009707CA">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 xml:space="preserve"> (Accessed: April 1, 2023).</w:t>
      </w:r>
    </w:p>
    <w:p w14:paraId="4E1BB298" w14:textId="0081C4D7"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Gwent Police (2023c) </w:t>
      </w:r>
      <w:r w:rsidRPr="009707CA">
        <w:rPr>
          <w:rFonts w:asciiTheme="minorHAnsi" w:hAnsiTheme="minorHAnsi" w:cstheme="minorHAnsi"/>
          <w:b w:val="0"/>
          <w:bCs/>
          <w:i/>
          <w:iCs/>
          <w:sz w:val="24"/>
          <w:szCs w:val="24"/>
        </w:rPr>
        <w:t>What to do when someone goes missing | Gwent police, Vulnerable people at risk of going missing</w:t>
      </w:r>
      <w:r w:rsidRPr="00E422B0">
        <w:rPr>
          <w:rFonts w:asciiTheme="minorHAnsi" w:hAnsiTheme="minorHAnsi" w:cstheme="minorHAnsi"/>
          <w:b w:val="0"/>
          <w:bCs/>
          <w:sz w:val="24"/>
          <w:szCs w:val="24"/>
        </w:rPr>
        <w:t xml:space="preserve">. Available at: </w:t>
      </w:r>
      <w:hyperlink r:id="rId53" w:history="1">
        <w:r w:rsidR="009707CA" w:rsidRPr="005C70BF">
          <w:rPr>
            <w:rStyle w:val="Hyperlink"/>
            <w:rFonts w:asciiTheme="minorHAnsi" w:hAnsiTheme="minorHAnsi" w:cstheme="minorHAnsi"/>
            <w:b w:val="0"/>
            <w:bCs/>
            <w:sz w:val="24"/>
            <w:szCs w:val="24"/>
          </w:rPr>
          <w:t>https://www.gwent.police.uk/advice/advice-and-information/missing-person/missing-persons/what-to-do-when-someone-goes-missing/</w:t>
        </w:r>
      </w:hyperlink>
      <w:r w:rsidR="009707CA">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 xml:space="preserve">(Accessed: April 27, 2023). </w:t>
      </w:r>
    </w:p>
    <w:p w14:paraId="179F5C98" w14:textId="67EFB7F9"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Gwent Police (2023d) </w:t>
      </w:r>
      <w:r w:rsidRPr="009707CA">
        <w:rPr>
          <w:rFonts w:asciiTheme="minorHAnsi" w:hAnsiTheme="minorHAnsi" w:cstheme="minorHAnsi"/>
          <w:b w:val="0"/>
          <w:bCs/>
          <w:i/>
          <w:iCs/>
          <w:sz w:val="24"/>
          <w:szCs w:val="24"/>
        </w:rPr>
        <w:t>County lines | Gwent police, County lines</w:t>
      </w:r>
      <w:r w:rsidRPr="00E422B0">
        <w:rPr>
          <w:rFonts w:asciiTheme="minorHAnsi" w:hAnsiTheme="minorHAnsi" w:cstheme="minorHAnsi"/>
          <w:b w:val="0"/>
          <w:bCs/>
          <w:sz w:val="24"/>
          <w:szCs w:val="24"/>
        </w:rPr>
        <w:t xml:space="preserve">. Available at: </w:t>
      </w:r>
      <w:hyperlink r:id="rId54" w:history="1">
        <w:r w:rsidR="00731FFA" w:rsidRPr="005C70BF">
          <w:rPr>
            <w:rStyle w:val="Hyperlink"/>
            <w:rFonts w:asciiTheme="minorHAnsi" w:hAnsiTheme="minorHAnsi" w:cstheme="minorHAnsi"/>
            <w:b w:val="0"/>
            <w:bCs/>
            <w:sz w:val="24"/>
            <w:szCs w:val="24"/>
          </w:rPr>
          <w:t>https://www.gwent.police.uk/advice/advice-and-information/cl/county-lines/</w:t>
        </w:r>
      </w:hyperlink>
      <w:r w:rsidR="00731FFA">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(Accessed: April 27, 2023).</w:t>
      </w:r>
    </w:p>
    <w:p w14:paraId="57AFF1DC" w14:textId="443A284C"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HART, M.J., </w:t>
      </w:r>
      <w:r w:rsidR="00731FFA">
        <w:rPr>
          <w:rFonts w:asciiTheme="minorHAnsi" w:hAnsiTheme="minorHAnsi" w:cstheme="minorHAnsi"/>
          <w:b w:val="0"/>
          <w:bCs/>
          <w:sz w:val="24"/>
          <w:szCs w:val="24"/>
        </w:rPr>
        <w:t>(</w:t>
      </w:r>
      <w:r w:rsidRPr="00E422B0">
        <w:rPr>
          <w:rFonts w:asciiTheme="minorHAnsi" w:hAnsiTheme="minorHAnsi" w:cstheme="minorHAnsi"/>
          <w:b w:val="0"/>
          <w:bCs/>
          <w:sz w:val="24"/>
          <w:szCs w:val="24"/>
        </w:rPr>
        <w:t>2010</w:t>
      </w:r>
      <w:r w:rsidR="00731FFA">
        <w:rPr>
          <w:rFonts w:asciiTheme="minorHAnsi" w:hAnsiTheme="minorHAnsi" w:cstheme="minorHAnsi"/>
          <w:b w:val="0"/>
          <w:bCs/>
          <w:sz w:val="24"/>
          <w:szCs w:val="24"/>
        </w:rPr>
        <w:t>)</w:t>
      </w:r>
      <w:r w:rsidRPr="00E422B0">
        <w:rPr>
          <w:rFonts w:asciiTheme="minorHAnsi" w:hAnsiTheme="minorHAnsi" w:cstheme="minorHAnsi"/>
          <w:b w:val="0"/>
          <w:bCs/>
          <w:sz w:val="24"/>
          <w:szCs w:val="24"/>
        </w:rPr>
        <w:t xml:space="preserve"> </w:t>
      </w:r>
      <w:r w:rsidRPr="00731FFA">
        <w:rPr>
          <w:rFonts w:asciiTheme="minorHAnsi" w:hAnsiTheme="minorHAnsi" w:cstheme="minorHAnsi"/>
          <w:b w:val="0"/>
          <w:bCs/>
          <w:i/>
          <w:iCs/>
          <w:sz w:val="24"/>
          <w:szCs w:val="24"/>
        </w:rPr>
        <w:t>A study on the motives of high school and undergraduate college students for using the social network site Facebook</w:t>
      </w:r>
      <w:r w:rsidRPr="00E422B0">
        <w:rPr>
          <w:rFonts w:asciiTheme="minorHAnsi" w:hAnsiTheme="minorHAnsi" w:cstheme="minorHAnsi"/>
          <w:b w:val="0"/>
          <w:bCs/>
          <w:sz w:val="24"/>
          <w:szCs w:val="24"/>
        </w:rPr>
        <w:t>, Liberty University</w:t>
      </w:r>
    </w:p>
    <w:p w14:paraId="13DE5912" w14:textId="6C61EBA0"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Herbert, N. and Mash, A. (2022)</w:t>
      </w:r>
      <w:r w:rsidRPr="00731FFA">
        <w:rPr>
          <w:rFonts w:asciiTheme="minorHAnsi" w:hAnsiTheme="minorHAnsi" w:cstheme="minorHAnsi"/>
          <w:b w:val="0"/>
          <w:bCs/>
          <w:i/>
          <w:iCs/>
          <w:sz w:val="24"/>
          <w:szCs w:val="24"/>
        </w:rPr>
        <w:t xml:space="preserve"> Fundamental Review of the College of Policing: Full Report, College of Policing</w:t>
      </w:r>
      <w:r w:rsidRPr="00E422B0">
        <w:rPr>
          <w:rFonts w:asciiTheme="minorHAnsi" w:hAnsiTheme="minorHAnsi" w:cstheme="minorHAnsi"/>
          <w:b w:val="0"/>
          <w:bCs/>
          <w:sz w:val="24"/>
          <w:szCs w:val="24"/>
        </w:rPr>
        <w:t xml:space="preserve">. Available at: </w:t>
      </w:r>
      <w:hyperlink r:id="rId55" w:history="1">
        <w:r w:rsidR="00731FFA" w:rsidRPr="005C70BF">
          <w:rPr>
            <w:rStyle w:val="Hyperlink"/>
            <w:rFonts w:asciiTheme="minorHAnsi" w:hAnsiTheme="minorHAnsi" w:cstheme="minorHAnsi"/>
            <w:b w:val="0"/>
            <w:bCs/>
            <w:sz w:val="24"/>
            <w:szCs w:val="24"/>
          </w:rPr>
          <w:t>https://assets.college.police.uk/s3fs-public/2022-02/Fundamental-review-of-the-College-of-Policing-full-report.pdf</w:t>
        </w:r>
      </w:hyperlink>
      <w:r w:rsidR="00731FFA">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 xml:space="preserve">(Accessed: February 7, 2023). </w:t>
      </w:r>
    </w:p>
    <w:p w14:paraId="540BBA57" w14:textId="6CD2631F"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HMICRFS (2018) </w:t>
      </w:r>
      <w:r w:rsidRPr="00731FFA">
        <w:rPr>
          <w:rFonts w:asciiTheme="minorHAnsi" w:hAnsiTheme="minorHAnsi" w:cstheme="minorHAnsi"/>
          <w:b w:val="0"/>
          <w:bCs/>
          <w:i/>
          <w:iCs/>
          <w:sz w:val="24"/>
          <w:szCs w:val="24"/>
        </w:rPr>
        <w:t>The College of Policing and the IOPC, His Majesty's Inspectorate of Constabulary and Fire &amp; Rescue Services (HMICFRS)</w:t>
      </w:r>
      <w:r w:rsidRPr="00E422B0">
        <w:rPr>
          <w:rFonts w:asciiTheme="minorHAnsi" w:hAnsiTheme="minorHAnsi" w:cstheme="minorHAnsi"/>
          <w:b w:val="0"/>
          <w:bCs/>
          <w:sz w:val="24"/>
          <w:szCs w:val="24"/>
        </w:rPr>
        <w:t xml:space="preserve"> – Home. Available at: </w:t>
      </w:r>
      <w:hyperlink r:id="rId56" w:history="1">
        <w:r w:rsidR="00731FFA" w:rsidRPr="005C70BF">
          <w:rPr>
            <w:rStyle w:val="Hyperlink"/>
            <w:rFonts w:asciiTheme="minorHAnsi" w:hAnsiTheme="minorHAnsi" w:cstheme="minorHAnsi"/>
            <w:b w:val="0"/>
            <w:bCs/>
            <w:sz w:val="24"/>
            <w:szCs w:val="24"/>
          </w:rPr>
          <w:t>https://www.justiceinspectorates.gov.uk/hmicfrs/police-forces/working-with-others/college-policing-ipcc/#</w:t>
        </w:r>
      </w:hyperlink>
      <w:r w:rsidR="00731FFA">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 xml:space="preserve">[Accessed: February 7, 2023]. </w:t>
      </w:r>
    </w:p>
    <w:p w14:paraId="60F87B4A" w14:textId="77777777"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Home Affairs Committee, (2016) </w:t>
      </w:r>
      <w:r w:rsidRPr="00731FFA">
        <w:rPr>
          <w:rFonts w:asciiTheme="minorHAnsi" w:hAnsiTheme="minorHAnsi" w:cstheme="minorHAnsi"/>
          <w:b w:val="0"/>
          <w:bCs/>
          <w:i/>
          <w:iCs/>
          <w:sz w:val="24"/>
          <w:szCs w:val="24"/>
        </w:rPr>
        <w:t>College of Policing: three years on: Government and College of Policing responses to the committee’s Fourth Report of Session 2016-2017</w:t>
      </w:r>
      <w:r w:rsidRPr="00E422B0">
        <w:rPr>
          <w:rFonts w:asciiTheme="minorHAnsi" w:hAnsiTheme="minorHAnsi" w:cstheme="minorHAnsi"/>
          <w:b w:val="0"/>
          <w:bCs/>
          <w:sz w:val="24"/>
          <w:szCs w:val="24"/>
        </w:rPr>
        <w:t>. House of Commons. Retrieved from UK Parliament.</w:t>
      </w:r>
    </w:p>
    <w:p w14:paraId="379E9E00" w14:textId="77777777"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Houston, E. (2019) </w:t>
      </w:r>
      <w:r w:rsidRPr="00E422B0">
        <w:rPr>
          <w:rFonts w:asciiTheme="minorHAnsi" w:hAnsiTheme="minorHAnsi" w:cstheme="minorHAnsi"/>
          <w:b w:val="0"/>
          <w:bCs/>
          <w:i/>
          <w:iCs/>
          <w:sz w:val="24"/>
          <w:szCs w:val="24"/>
        </w:rPr>
        <w:t>What is goal setting and how to do it well</w:t>
      </w:r>
      <w:r w:rsidRPr="00E422B0">
        <w:rPr>
          <w:rFonts w:asciiTheme="minorHAnsi" w:hAnsiTheme="minorHAnsi" w:cstheme="minorHAnsi"/>
          <w:b w:val="0"/>
          <w:bCs/>
          <w:sz w:val="24"/>
          <w:szCs w:val="24"/>
        </w:rPr>
        <w:t xml:space="preserve">, PositivePsychology.com. Available at: </w:t>
      </w:r>
      <w:hyperlink r:id="rId57" w:history="1">
        <w:r w:rsidRPr="00E422B0">
          <w:rPr>
            <w:rStyle w:val="Hyperlink"/>
            <w:rFonts w:asciiTheme="minorHAnsi" w:hAnsiTheme="minorHAnsi" w:cstheme="minorHAnsi"/>
            <w:b w:val="0"/>
            <w:bCs/>
            <w:sz w:val="24"/>
            <w:szCs w:val="24"/>
          </w:rPr>
          <w:t>https://positivepsychology.com/goal-setting/</w:t>
        </w:r>
      </w:hyperlink>
      <w:r w:rsidRPr="00E422B0">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(Accessed: 18 June 2023).</w:t>
      </w:r>
    </w:p>
    <w:p w14:paraId="5B2030DA" w14:textId="77777777"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Hoyle, E. (2001) </w:t>
      </w:r>
      <w:r w:rsidRPr="00E422B0">
        <w:rPr>
          <w:rFonts w:asciiTheme="minorHAnsi" w:hAnsiTheme="minorHAnsi" w:cstheme="minorHAnsi"/>
          <w:b w:val="0"/>
          <w:bCs/>
          <w:i/>
          <w:iCs/>
          <w:sz w:val="24"/>
          <w:szCs w:val="24"/>
        </w:rPr>
        <w:t>Professionalization, Professionalization - an overview</w:t>
      </w:r>
      <w:r w:rsidRPr="00E422B0">
        <w:rPr>
          <w:rFonts w:asciiTheme="minorHAnsi" w:hAnsiTheme="minorHAnsi" w:cstheme="minorHAnsi"/>
          <w:b w:val="0"/>
          <w:bCs/>
          <w:sz w:val="24"/>
          <w:szCs w:val="24"/>
        </w:rPr>
        <w:t xml:space="preserve"> | ScienceDirect Topics. Available at: </w:t>
      </w:r>
      <w:hyperlink r:id="rId58" w:history="1">
        <w:r w:rsidRPr="00E422B0">
          <w:rPr>
            <w:rStyle w:val="Hyperlink"/>
            <w:rFonts w:asciiTheme="minorHAnsi" w:hAnsiTheme="minorHAnsi" w:cstheme="minorHAnsi"/>
            <w:b w:val="0"/>
            <w:bCs/>
            <w:sz w:val="24"/>
            <w:szCs w:val="24"/>
          </w:rPr>
          <w:t>https://www.sciencedirect.com/topics/social-sciences/professionalization</w:t>
        </w:r>
      </w:hyperlink>
      <w:r w:rsidRPr="00E422B0">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(Accessed: 18 June 2023).</w:t>
      </w:r>
    </w:p>
    <w:p w14:paraId="7CFF06A4" w14:textId="4C514125"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Independent Office for Police Conduct (2021) </w:t>
      </w:r>
      <w:r w:rsidRPr="00731FFA">
        <w:rPr>
          <w:rFonts w:asciiTheme="minorHAnsi" w:hAnsiTheme="minorHAnsi" w:cstheme="minorHAnsi"/>
          <w:b w:val="0"/>
          <w:bCs/>
          <w:i/>
          <w:iCs/>
          <w:sz w:val="24"/>
          <w:szCs w:val="24"/>
        </w:rPr>
        <w:t xml:space="preserve">Update on IOPC Race Discrimination Work, Independent Office for Police Conduct. </w:t>
      </w:r>
      <w:r w:rsidRPr="00E422B0">
        <w:rPr>
          <w:rFonts w:asciiTheme="minorHAnsi" w:hAnsiTheme="minorHAnsi" w:cstheme="minorHAnsi"/>
          <w:b w:val="0"/>
          <w:bCs/>
          <w:sz w:val="24"/>
          <w:szCs w:val="24"/>
        </w:rPr>
        <w:t xml:space="preserve">Available at: </w:t>
      </w:r>
      <w:hyperlink r:id="rId59" w:history="1">
        <w:r w:rsidR="00731FFA" w:rsidRPr="005C70BF">
          <w:rPr>
            <w:rStyle w:val="Hyperlink"/>
            <w:rFonts w:asciiTheme="minorHAnsi" w:hAnsiTheme="minorHAnsi" w:cstheme="minorHAnsi"/>
            <w:b w:val="0"/>
            <w:bCs/>
            <w:sz w:val="24"/>
            <w:szCs w:val="24"/>
          </w:rPr>
          <w:t>https://www.policeconduct.gov.uk/news/update-iopc-race-discrimination-work</w:t>
        </w:r>
      </w:hyperlink>
      <w:r w:rsidR="00731FFA">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(Accessed: March 9, 2023).</w:t>
      </w:r>
    </w:p>
    <w:p w14:paraId="5EAEAD8C" w14:textId="5A950CB0"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Innes, M. et al. (2023) </w:t>
      </w:r>
      <w:r w:rsidRPr="00731FFA">
        <w:rPr>
          <w:rFonts w:asciiTheme="minorHAnsi" w:hAnsiTheme="minorHAnsi" w:cstheme="minorHAnsi"/>
          <w:b w:val="0"/>
          <w:bCs/>
          <w:i/>
          <w:iCs/>
          <w:sz w:val="24"/>
          <w:szCs w:val="24"/>
        </w:rPr>
        <w:t>Open Source Communications  Analytics Research [OSCAR]  Development Centre FINAL REPORT</w:t>
      </w:r>
      <w:r w:rsidRPr="00E422B0">
        <w:rPr>
          <w:rFonts w:asciiTheme="minorHAnsi" w:hAnsiTheme="minorHAnsi" w:cstheme="minorHAnsi"/>
          <w:b w:val="0"/>
          <w:bCs/>
          <w:sz w:val="24"/>
          <w:szCs w:val="24"/>
        </w:rPr>
        <w:t xml:space="preserve">  , Open Source Communications  Analytics Research [OSCAR]. Available at: </w:t>
      </w:r>
      <w:hyperlink r:id="rId60" w:history="1">
        <w:r w:rsidR="00731FFA" w:rsidRPr="005C70BF">
          <w:rPr>
            <w:rStyle w:val="Hyperlink"/>
            <w:rFonts w:asciiTheme="minorHAnsi" w:hAnsiTheme="minorHAnsi" w:cstheme="minorHAnsi"/>
            <w:b w:val="0"/>
            <w:bCs/>
            <w:sz w:val="24"/>
            <w:szCs w:val="24"/>
          </w:rPr>
          <w:t>https://static1.squarespace.com/static/51b06364e4b02de2f57fd72e/t/5d6fd50550163a000115da0d/1567610135262/OSCAR-Final-Report-Exec-Summary.pdf</w:t>
        </w:r>
      </w:hyperlink>
      <w:r w:rsidR="00731FFA">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(Accessed: April 27, 2023).</w:t>
      </w:r>
    </w:p>
    <w:p w14:paraId="6E44CA52" w14:textId="5766C409"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Jacobs, K. (2022) ‘</w:t>
      </w:r>
      <w:r w:rsidRPr="00731FFA">
        <w:rPr>
          <w:rFonts w:asciiTheme="minorHAnsi" w:hAnsiTheme="minorHAnsi" w:cstheme="minorHAnsi"/>
          <w:b w:val="0"/>
          <w:bCs/>
          <w:i/>
          <w:iCs/>
          <w:sz w:val="24"/>
          <w:szCs w:val="24"/>
        </w:rPr>
        <w:t>Mentoring</w:t>
      </w:r>
      <w:r w:rsidRPr="00E422B0">
        <w:rPr>
          <w:rFonts w:asciiTheme="minorHAnsi" w:hAnsiTheme="minorHAnsi" w:cstheme="minorHAnsi"/>
          <w:b w:val="0"/>
          <w:bCs/>
          <w:sz w:val="24"/>
          <w:szCs w:val="24"/>
        </w:rPr>
        <w:t xml:space="preserve">’, Work (Reading, Mass.), 72(2), pp. 385–386. Available at: </w:t>
      </w:r>
      <w:hyperlink r:id="rId61" w:history="1">
        <w:r w:rsidR="00731FFA" w:rsidRPr="005C70BF">
          <w:rPr>
            <w:rStyle w:val="Hyperlink"/>
            <w:rFonts w:asciiTheme="minorHAnsi" w:hAnsiTheme="minorHAnsi" w:cstheme="minorHAnsi"/>
            <w:b w:val="0"/>
            <w:bCs/>
            <w:sz w:val="24"/>
            <w:szCs w:val="24"/>
          </w:rPr>
          <w:t>https://doi.org/10.3233/WOR-223636</w:t>
        </w:r>
      </w:hyperlink>
      <w:r w:rsidRPr="00E422B0">
        <w:rPr>
          <w:rFonts w:asciiTheme="minorHAnsi" w:hAnsiTheme="minorHAnsi" w:cstheme="minorHAnsi"/>
          <w:b w:val="0"/>
          <w:bCs/>
          <w:sz w:val="24"/>
          <w:szCs w:val="24"/>
        </w:rPr>
        <w:t>.</w:t>
      </w:r>
      <w:r w:rsidR="00731FFA">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 xml:space="preserve"> </w:t>
      </w:r>
    </w:p>
    <w:p w14:paraId="60128C4C" w14:textId="0B9AABED"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Jones, R.J., Woods, S.A. and Guillaume, Y.R.F. (2016) ‘</w:t>
      </w:r>
      <w:r w:rsidRPr="00731FFA">
        <w:rPr>
          <w:rFonts w:asciiTheme="minorHAnsi" w:hAnsiTheme="minorHAnsi" w:cstheme="minorHAnsi"/>
          <w:b w:val="0"/>
          <w:bCs/>
          <w:i/>
          <w:iCs/>
          <w:sz w:val="24"/>
          <w:szCs w:val="24"/>
        </w:rPr>
        <w:t>The effectiveness of workplace coaching: A meta-analysis of learning and performance outcomes from coaching’</w:t>
      </w:r>
      <w:r w:rsidRPr="00E422B0">
        <w:rPr>
          <w:rFonts w:asciiTheme="minorHAnsi" w:hAnsiTheme="minorHAnsi" w:cstheme="minorHAnsi"/>
          <w:b w:val="0"/>
          <w:bCs/>
          <w:sz w:val="24"/>
          <w:szCs w:val="24"/>
        </w:rPr>
        <w:t xml:space="preserve">, Journal of occupational and organizational psychology, 89(2), pp. 249–277. Available at: </w:t>
      </w:r>
      <w:hyperlink r:id="rId62" w:history="1">
        <w:r w:rsidR="00731FFA" w:rsidRPr="005C70BF">
          <w:rPr>
            <w:rStyle w:val="Hyperlink"/>
            <w:rFonts w:asciiTheme="minorHAnsi" w:hAnsiTheme="minorHAnsi" w:cstheme="minorHAnsi"/>
            <w:b w:val="0"/>
            <w:bCs/>
            <w:sz w:val="24"/>
            <w:szCs w:val="24"/>
          </w:rPr>
          <w:t>https://doi.org/10.1111/joop.12119</w:t>
        </w:r>
      </w:hyperlink>
      <w:r w:rsidRPr="00E422B0">
        <w:rPr>
          <w:rFonts w:asciiTheme="minorHAnsi" w:hAnsiTheme="minorHAnsi" w:cstheme="minorHAnsi"/>
          <w:b w:val="0"/>
          <w:bCs/>
          <w:sz w:val="24"/>
          <w:szCs w:val="24"/>
        </w:rPr>
        <w:t>.</w:t>
      </w:r>
      <w:r w:rsidR="00731FFA">
        <w:rPr>
          <w:rFonts w:asciiTheme="minorHAnsi" w:hAnsiTheme="minorHAnsi" w:cstheme="minorHAnsi"/>
          <w:b w:val="0"/>
          <w:bCs/>
          <w:sz w:val="24"/>
          <w:szCs w:val="24"/>
        </w:rPr>
        <w:t xml:space="preserve"> </w:t>
      </w:r>
    </w:p>
    <w:p w14:paraId="429D17A6" w14:textId="42ECF332"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Kowalski, K. (2019) ‘</w:t>
      </w:r>
      <w:r w:rsidRPr="00731FFA">
        <w:rPr>
          <w:rFonts w:asciiTheme="minorHAnsi" w:hAnsiTheme="minorHAnsi" w:cstheme="minorHAnsi"/>
          <w:b w:val="0"/>
          <w:bCs/>
          <w:i/>
          <w:iCs/>
          <w:sz w:val="24"/>
          <w:szCs w:val="24"/>
        </w:rPr>
        <w:t>Mentoring’</w:t>
      </w:r>
      <w:r w:rsidRPr="00E422B0">
        <w:rPr>
          <w:rFonts w:asciiTheme="minorHAnsi" w:hAnsiTheme="minorHAnsi" w:cstheme="minorHAnsi"/>
          <w:b w:val="0"/>
          <w:bCs/>
          <w:sz w:val="24"/>
          <w:szCs w:val="24"/>
        </w:rPr>
        <w:t xml:space="preserve">, The Journal of continuing education in nursing, 50(12), pp. 540–541. Available at: </w:t>
      </w:r>
      <w:hyperlink r:id="rId63" w:history="1">
        <w:r w:rsidR="00731FFA" w:rsidRPr="005C70BF">
          <w:rPr>
            <w:rStyle w:val="Hyperlink"/>
            <w:rFonts w:asciiTheme="minorHAnsi" w:hAnsiTheme="minorHAnsi" w:cstheme="minorHAnsi"/>
            <w:b w:val="0"/>
            <w:bCs/>
            <w:sz w:val="24"/>
            <w:szCs w:val="24"/>
          </w:rPr>
          <w:t>https://doi.org/10.3928/00220124-20191115-04</w:t>
        </w:r>
      </w:hyperlink>
      <w:r w:rsidRPr="00E422B0">
        <w:rPr>
          <w:rFonts w:asciiTheme="minorHAnsi" w:hAnsiTheme="minorHAnsi" w:cstheme="minorHAnsi"/>
          <w:b w:val="0"/>
          <w:bCs/>
          <w:sz w:val="24"/>
          <w:szCs w:val="24"/>
        </w:rPr>
        <w:t>.</w:t>
      </w:r>
      <w:r w:rsidR="00731FFA">
        <w:rPr>
          <w:rFonts w:asciiTheme="minorHAnsi" w:hAnsiTheme="minorHAnsi" w:cstheme="minorHAnsi"/>
          <w:b w:val="0"/>
          <w:bCs/>
          <w:sz w:val="24"/>
          <w:szCs w:val="24"/>
        </w:rPr>
        <w:t xml:space="preserve"> </w:t>
      </w:r>
    </w:p>
    <w:p w14:paraId="1FA1258E" w14:textId="6FE153F7"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Kowalski, K. (2020) ‘</w:t>
      </w:r>
      <w:r w:rsidRPr="00731FFA">
        <w:rPr>
          <w:rFonts w:asciiTheme="minorHAnsi" w:hAnsiTheme="minorHAnsi" w:cstheme="minorHAnsi"/>
          <w:b w:val="0"/>
          <w:bCs/>
          <w:i/>
          <w:iCs/>
          <w:sz w:val="24"/>
          <w:szCs w:val="24"/>
        </w:rPr>
        <w:t>Coaching’</w:t>
      </w:r>
      <w:r w:rsidRPr="00E422B0">
        <w:rPr>
          <w:rFonts w:asciiTheme="minorHAnsi" w:hAnsiTheme="minorHAnsi" w:cstheme="minorHAnsi"/>
          <w:b w:val="0"/>
          <w:bCs/>
          <w:sz w:val="24"/>
          <w:szCs w:val="24"/>
        </w:rPr>
        <w:t xml:space="preserve">, The Journal of continuing education in nursing, 51(1), pp. 12–14. Available at: </w:t>
      </w:r>
      <w:hyperlink r:id="rId64" w:history="1">
        <w:r w:rsidR="00731FFA" w:rsidRPr="005C70BF">
          <w:rPr>
            <w:rStyle w:val="Hyperlink"/>
            <w:rFonts w:asciiTheme="minorHAnsi" w:hAnsiTheme="minorHAnsi" w:cstheme="minorHAnsi"/>
            <w:b w:val="0"/>
            <w:bCs/>
            <w:sz w:val="24"/>
            <w:szCs w:val="24"/>
          </w:rPr>
          <w:t>https://doi.org/10.3928/00220124-20191217-04</w:t>
        </w:r>
      </w:hyperlink>
      <w:r w:rsidRPr="00E422B0">
        <w:rPr>
          <w:rFonts w:asciiTheme="minorHAnsi" w:hAnsiTheme="minorHAnsi" w:cstheme="minorHAnsi"/>
          <w:b w:val="0"/>
          <w:bCs/>
          <w:sz w:val="24"/>
          <w:szCs w:val="24"/>
        </w:rPr>
        <w:t>.</w:t>
      </w:r>
      <w:r w:rsidR="00731FFA">
        <w:rPr>
          <w:rFonts w:asciiTheme="minorHAnsi" w:hAnsiTheme="minorHAnsi" w:cstheme="minorHAnsi"/>
          <w:b w:val="0"/>
          <w:bCs/>
          <w:sz w:val="24"/>
          <w:szCs w:val="24"/>
        </w:rPr>
        <w:t xml:space="preserve"> </w:t>
      </w:r>
    </w:p>
    <w:p w14:paraId="042A81CB" w14:textId="014DF04D"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Larsen, J. (2022) “</w:t>
      </w:r>
      <w:r w:rsidRPr="00731FFA">
        <w:rPr>
          <w:rFonts w:asciiTheme="minorHAnsi" w:hAnsiTheme="minorHAnsi" w:cstheme="minorHAnsi"/>
          <w:b w:val="0"/>
          <w:bCs/>
          <w:i/>
          <w:iCs/>
          <w:sz w:val="24"/>
          <w:szCs w:val="24"/>
        </w:rPr>
        <w:t>Critical thinking and professionalism: The two most essential competencies employers are seeking</w:t>
      </w:r>
      <w:r w:rsidRPr="00E422B0">
        <w:rPr>
          <w:rFonts w:asciiTheme="minorHAnsi" w:hAnsiTheme="minorHAnsi" w:cstheme="minorHAnsi"/>
          <w:b w:val="0"/>
          <w:bCs/>
          <w:sz w:val="24"/>
          <w:szCs w:val="24"/>
        </w:rPr>
        <w:t xml:space="preserve">”, 2:10 Consulting. Available at: </w:t>
      </w:r>
      <w:hyperlink r:id="rId65" w:history="1">
        <w:r w:rsidR="00731FFA" w:rsidRPr="005C70BF">
          <w:rPr>
            <w:rStyle w:val="Hyperlink"/>
            <w:rFonts w:asciiTheme="minorHAnsi" w:hAnsiTheme="minorHAnsi" w:cstheme="minorHAnsi"/>
            <w:b w:val="0"/>
            <w:bCs/>
            <w:sz w:val="24"/>
            <w:szCs w:val="24"/>
          </w:rPr>
          <w:t>https://www.210consulting.org/critical-thinkingproblem-solving-professionalismwork-ethic-two-essential-competencies-employers-looking-hiring/</w:t>
        </w:r>
      </w:hyperlink>
      <w:r w:rsidR="00731FFA">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(Accessed: February 19, 2023).</w:t>
      </w:r>
    </w:p>
    <w:p w14:paraId="6DC20DFA" w14:textId="05CBB209"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Mills, H. and Ward, S. (1995) </w:t>
      </w:r>
      <w:r w:rsidRPr="00731FFA">
        <w:rPr>
          <w:rFonts w:asciiTheme="minorHAnsi" w:hAnsiTheme="minorHAnsi" w:cstheme="minorHAnsi"/>
          <w:b w:val="0"/>
          <w:bCs/>
          <w:i/>
          <w:iCs/>
          <w:sz w:val="24"/>
          <w:szCs w:val="24"/>
        </w:rPr>
        <w:t>Condon resolute over 'black muggers'</w:t>
      </w:r>
      <w:r w:rsidRPr="00E422B0">
        <w:rPr>
          <w:rFonts w:asciiTheme="minorHAnsi" w:hAnsiTheme="minorHAnsi" w:cstheme="minorHAnsi"/>
          <w:b w:val="0"/>
          <w:bCs/>
          <w:sz w:val="24"/>
          <w:szCs w:val="24"/>
        </w:rPr>
        <w:t xml:space="preserve">, The Independent. Independent Digital News and Media. Available at: </w:t>
      </w:r>
      <w:hyperlink r:id="rId66" w:history="1">
        <w:r w:rsidR="00731FFA" w:rsidRPr="005C70BF">
          <w:rPr>
            <w:rStyle w:val="Hyperlink"/>
            <w:rFonts w:asciiTheme="minorHAnsi" w:hAnsiTheme="minorHAnsi" w:cstheme="minorHAnsi"/>
            <w:b w:val="0"/>
            <w:bCs/>
            <w:sz w:val="24"/>
            <w:szCs w:val="24"/>
          </w:rPr>
          <w:t>https://www.independent.co.uk/news/condon-resolute-over-black-muggers-1591018.html</w:t>
        </w:r>
      </w:hyperlink>
      <w:r w:rsidR="00731FFA">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(Accessed: February 10, 2023).</w:t>
      </w:r>
    </w:p>
    <w:p w14:paraId="489F29BA" w14:textId="77777777"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M. Williams and G. Gooch (2015) ‘</w:t>
      </w:r>
      <w:r w:rsidRPr="00731FFA">
        <w:rPr>
          <w:rFonts w:asciiTheme="minorHAnsi" w:hAnsiTheme="minorHAnsi" w:cstheme="minorHAnsi"/>
          <w:b w:val="0"/>
          <w:bCs/>
          <w:i/>
          <w:iCs/>
          <w:sz w:val="24"/>
          <w:szCs w:val="24"/>
        </w:rPr>
        <w:t>College of Policing’</w:t>
      </w:r>
      <w:r w:rsidRPr="00E422B0">
        <w:rPr>
          <w:rFonts w:asciiTheme="minorHAnsi" w:hAnsiTheme="minorHAnsi" w:cstheme="minorHAnsi"/>
          <w:b w:val="0"/>
          <w:bCs/>
          <w:sz w:val="24"/>
          <w:szCs w:val="24"/>
        </w:rPr>
        <w:t xml:space="preserve"> A Dictionary of Law Enforcement. 2nd </w:t>
      </w:r>
      <w:proofErr w:type="spellStart"/>
      <w:r w:rsidRPr="00E422B0">
        <w:rPr>
          <w:rFonts w:asciiTheme="minorHAnsi" w:hAnsiTheme="minorHAnsi" w:cstheme="minorHAnsi"/>
          <w:b w:val="0"/>
          <w:bCs/>
          <w:sz w:val="24"/>
          <w:szCs w:val="24"/>
        </w:rPr>
        <w:t>edn</w:t>
      </w:r>
      <w:proofErr w:type="spellEnd"/>
      <w:r w:rsidRPr="00E422B0">
        <w:rPr>
          <w:rFonts w:asciiTheme="minorHAnsi" w:hAnsiTheme="minorHAnsi" w:cstheme="minorHAnsi"/>
          <w:b w:val="0"/>
          <w:bCs/>
          <w:sz w:val="24"/>
          <w:szCs w:val="24"/>
        </w:rPr>
        <w:t xml:space="preserve">. Oxford University Press. </w:t>
      </w:r>
    </w:p>
    <w:p w14:paraId="1D10B2CB" w14:textId="254CF607"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Macpherson, W (1999) </w:t>
      </w:r>
      <w:r w:rsidRPr="00731FFA">
        <w:rPr>
          <w:rFonts w:asciiTheme="minorHAnsi" w:hAnsiTheme="minorHAnsi" w:cstheme="minorHAnsi"/>
          <w:b w:val="0"/>
          <w:bCs/>
          <w:i/>
          <w:iCs/>
          <w:sz w:val="24"/>
          <w:szCs w:val="24"/>
        </w:rPr>
        <w:t xml:space="preserve">The Stephen Lawrence Inquiry, </w:t>
      </w:r>
      <w:r w:rsidRPr="00E422B0">
        <w:rPr>
          <w:rFonts w:asciiTheme="minorHAnsi" w:hAnsiTheme="minorHAnsi" w:cstheme="minorHAnsi"/>
          <w:b w:val="0"/>
          <w:bCs/>
          <w:sz w:val="24"/>
          <w:szCs w:val="24"/>
        </w:rPr>
        <w:t xml:space="preserve">Home </w:t>
      </w:r>
      <w:r w:rsidR="00731FFA" w:rsidRPr="00E422B0">
        <w:rPr>
          <w:rFonts w:asciiTheme="minorHAnsi" w:hAnsiTheme="minorHAnsi" w:cstheme="minorHAnsi"/>
          <w:b w:val="0"/>
          <w:bCs/>
          <w:sz w:val="24"/>
          <w:szCs w:val="24"/>
        </w:rPr>
        <w:t>Office.</w:t>
      </w:r>
      <w:r w:rsidRPr="00E422B0">
        <w:rPr>
          <w:rFonts w:asciiTheme="minorHAnsi" w:hAnsiTheme="minorHAnsi" w:cstheme="minorHAnsi"/>
          <w:b w:val="0"/>
          <w:bCs/>
          <w:sz w:val="24"/>
          <w:szCs w:val="24"/>
        </w:rPr>
        <w:t xml:space="preserve"> Available at: </w:t>
      </w:r>
      <w:hyperlink r:id="rId67" w:history="1">
        <w:r w:rsidR="00731FFA" w:rsidRPr="005C70BF">
          <w:rPr>
            <w:rStyle w:val="Hyperlink"/>
            <w:rFonts w:asciiTheme="minorHAnsi" w:hAnsiTheme="minorHAnsi" w:cstheme="minorHAnsi"/>
            <w:b w:val="0"/>
            <w:bCs/>
            <w:sz w:val="24"/>
            <w:szCs w:val="24"/>
          </w:rPr>
          <w:t>https://assets.publishing.service.gov.uk/government/uploads/system/uploads/attachment_data/file/277111/4262.pdf</w:t>
        </w:r>
      </w:hyperlink>
      <w:r w:rsidR="00731FFA">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Accessed: February 10, 2023</w:t>
      </w:r>
      <w:r w:rsidR="00731FFA">
        <w:rPr>
          <w:rFonts w:asciiTheme="minorHAnsi" w:hAnsiTheme="minorHAnsi" w:cstheme="minorHAnsi"/>
          <w:b w:val="0"/>
          <w:bCs/>
          <w:sz w:val="24"/>
          <w:szCs w:val="24"/>
        </w:rPr>
        <w:t>)</w:t>
      </w:r>
      <w:r w:rsidR="00324166">
        <w:rPr>
          <w:rFonts w:asciiTheme="minorHAnsi" w:hAnsiTheme="minorHAnsi" w:cstheme="minorHAnsi"/>
          <w:b w:val="0"/>
          <w:bCs/>
          <w:sz w:val="24"/>
          <w:szCs w:val="24"/>
        </w:rPr>
        <w:t>.</w:t>
      </w:r>
    </w:p>
    <w:p w14:paraId="24A7D0A4" w14:textId="2DE93F20"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Martins, J. (2022) </w:t>
      </w:r>
      <w:r w:rsidRPr="00324166">
        <w:rPr>
          <w:rFonts w:asciiTheme="minorHAnsi" w:hAnsiTheme="minorHAnsi" w:cstheme="minorHAnsi"/>
          <w:b w:val="0"/>
          <w:bCs/>
          <w:i/>
          <w:iCs/>
          <w:sz w:val="24"/>
          <w:szCs w:val="24"/>
        </w:rPr>
        <w:t>Before you try transactional leadership, read this.,</w:t>
      </w:r>
      <w:r w:rsidRPr="00E422B0">
        <w:rPr>
          <w:rFonts w:asciiTheme="minorHAnsi" w:hAnsiTheme="minorHAnsi" w:cstheme="minorHAnsi"/>
          <w:b w:val="0"/>
          <w:bCs/>
          <w:sz w:val="24"/>
          <w:szCs w:val="24"/>
        </w:rPr>
        <w:t xml:space="preserve"> Asana. Available at: </w:t>
      </w:r>
      <w:hyperlink r:id="rId68" w:history="1">
        <w:r w:rsidR="00324166" w:rsidRPr="005C70BF">
          <w:rPr>
            <w:rStyle w:val="Hyperlink"/>
            <w:rFonts w:asciiTheme="minorHAnsi" w:hAnsiTheme="minorHAnsi" w:cstheme="minorHAnsi"/>
            <w:b w:val="0"/>
            <w:bCs/>
            <w:sz w:val="24"/>
            <w:szCs w:val="24"/>
          </w:rPr>
          <w:t>https://asana.com/resources/transactional-leadership</w:t>
        </w:r>
      </w:hyperlink>
      <w:r w:rsidR="00324166">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(Accessed: 07 June 2023).</w:t>
      </w:r>
    </w:p>
    <w:p w14:paraId="54FBF493" w14:textId="67CED6C1" w:rsidR="00E422B0" w:rsidRPr="00E422B0" w:rsidRDefault="00E422B0" w:rsidP="00E422B0">
      <w:pPr>
        <w:pStyle w:val="Heading1"/>
        <w:rPr>
          <w:rFonts w:asciiTheme="minorHAnsi" w:hAnsiTheme="minorHAnsi" w:cstheme="minorHAnsi"/>
          <w:b w:val="0"/>
          <w:bCs/>
          <w:sz w:val="24"/>
          <w:szCs w:val="24"/>
        </w:rPr>
      </w:pPr>
      <w:proofErr w:type="spellStart"/>
      <w:r w:rsidRPr="00E422B0">
        <w:rPr>
          <w:rFonts w:asciiTheme="minorHAnsi" w:hAnsiTheme="minorHAnsi" w:cstheme="minorHAnsi"/>
          <w:b w:val="0"/>
          <w:bCs/>
          <w:sz w:val="24"/>
          <w:szCs w:val="24"/>
        </w:rPr>
        <w:t>Mersky</w:t>
      </w:r>
      <w:proofErr w:type="spellEnd"/>
      <w:r w:rsidRPr="00E422B0">
        <w:rPr>
          <w:rFonts w:asciiTheme="minorHAnsi" w:hAnsiTheme="minorHAnsi" w:cstheme="minorHAnsi"/>
          <w:b w:val="0"/>
          <w:bCs/>
          <w:sz w:val="24"/>
          <w:szCs w:val="24"/>
        </w:rPr>
        <w:t xml:space="preserve">, J.., </w:t>
      </w:r>
      <w:proofErr w:type="spellStart"/>
      <w:r w:rsidRPr="00E422B0">
        <w:rPr>
          <w:rFonts w:asciiTheme="minorHAnsi" w:hAnsiTheme="minorHAnsi" w:cstheme="minorHAnsi"/>
          <w:b w:val="0"/>
          <w:bCs/>
          <w:sz w:val="24"/>
          <w:szCs w:val="24"/>
        </w:rPr>
        <w:t>Topitzes</w:t>
      </w:r>
      <w:proofErr w:type="spellEnd"/>
      <w:r w:rsidRPr="00E422B0">
        <w:rPr>
          <w:rFonts w:asciiTheme="minorHAnsi" w:hAnsiTheme="minorHAnsi" w:cstheme="minorHAnsi"/>
          <w:b w:val="0"/>
          <w:bCs/>
          <w:sz w:val="24"/>
          <w:szCs w:val="24"/>
        </w:rPr>
        <w:t xml:space="preserve">, J. and Reynolds, </w:t>
      </w:r>
      <w:proofErr w:type="gramStart"/>
      <w:r w:rsidRPr="00E422B0">
        <w:rPr>
          <w:rFonts w:asciiTheme="minorHAnsi" w:hAnsiTheme="minorHAnsi" w:cstheme="minorHAnsi"/>
          <w:b w:val="0"/>
          <w:bCs/>
          <w:sz w:val="24"/>
          <w:szCs w:val="24"/>
        </w:rPr>
        <w:t>A..</w:t>
      </w:r>
      <w:proofErr w:type="gramEnd"/>
      <w:r w:rsidRPr="00E422B0">
        <w:rPr>
          <w:rFonts w:asciiTheme="minorHAnsi" w:hAnsiTheme="minorHAnsi" w:cstheme="minorHAnsi"/>
          <w:b w:val="0"/>
          <w:bCs/>
          <w:sz w:val="24"/>
          <w:szCs w:val="24"/>
        </w:rPr>
        <w:t xml:space="preserve"> (2013) ‘</w:t>
      </w:r>
      <w:r w:rsidRPr="00324166">
        <w:rPr>
          <w:rFonts w:asciiTheme="minorHAnsi" w:hAnsiTheme="minorHAnsi" w:cstheme="minorHAnsi"/>
          <w:b w:val="0"/>
          <w:bCs/>
          <w:i/>
          <w:iCs/>
          <w:sz w:val="24"/>
          <w:szCs w:val="24"/>
        </w:rPr>
        <w:t xml:space="preserve">Impacts of adverse childhood experiences on health, mental health, and substance use in early adulthood: A cohort study of an urban, minority sample in the U.S’, </w:t>
      </w:r>
      <w:r w:rsidRPr="00324166">
        <w:rPr>
          <w:rFonts w:asciiTheme="minorHAnsi" w:hAnsiTheme="minorHAnsi" w:cstheme="minorHAnsi"/>
          <w:b w:val="0"/>
          <w:bCs/>
          <w:sz w:val="24"/>
          <w:szCs w:val="24"/>
        </w:rPr>
        <w:t>Child abuse &amp; neglect</w:t>
      </w:r>
      <w:r w:rsidRPr="00324166">
        <w:rPr>
          <w:rFonts w:asciiTheme="minorHAnsi" w:hAnsiTheme="minorHAnsi" w:cstheme="minorHAnsi"/>
          <w:b w:val="0"/>
          <w:bCs/>
          <w:i/>
          <w:iCs/>
          <w:sz w:val="24"/>
          <w:szCs w:val="24"/>
        </w:rPr>
        <w:t>,</w:t>
      </w:r>
      <w:r w:rsidRPr="00E422B0">
        <w:rPr>
          <w:rFonts w:asciiTheme="minorHAnsi" w:hAnsiTheme="minorHAnsi" w:cstheme="minorHAnsi"/>
          <w:b w:val="0"/>
          <w:bCs/>
          <w:sz w:val="24"/>
          <w:szCs w:val="24"/>
        </w:rPr>
        <w:t xml:space="preserve"> 37(11), pp. 917–925. Available at: </w:t>
      </w:r>
      <w:hyperlink r:id="rId69" w:history="1">
        <w:r w:rsidR="00324166" w:rsidRPr="005C70BF">
          <w:rPr>
            <w:rStyle w:val="Hyperlink"/>
            <w:rFonts w:asciiTheme="minorHAnsi" w:hAnsiTheme="minorHAnsi" w:cstheme="minorHAnsi"/>
            <w:b w:val="0"/>
            <w:bCs/>
            <w:sz w:val="24"/>
            <w:szCs w:val="24"/>
          </w:rPr>
          <w:t>https://doi.org/10.1016/j.chiabu.2013.07.011</w:t>
        </w:r>
      </w:hyperlink>
      <w:r w:rsidRPr="00E422B0">
        <w:rPr>
          <w:rFonts w:asciiTheme="minorHAnsi" w:hAnsiTheme="minorHAnsi" w:cstheme="minorHAnsi"/>
          <w:b w:val="0"/>
          <w:bCs/>
          <w:sz w:val="24"/>
          <w:szCs w:val="24"/>
        </w:rPr>
        <w:t>.</w:t>
      </w:r>
      <w:r w:rsidR="00324166">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 xml:space="preserve"> </w:t>
      </w:r>
    </w:p>
    <w:p w14:paraId="60E292CD" w14:textId="57BCB46D"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Miller, D. et al. (2016) </w:t>
      </w:r>
      <w:r w:rsidRPr="00324166">
        <w:rPr>
          <w:rFonts w:asciiTheme="minorHAnsi" w:hAnsiTheme="minorHAnsi" w:cstheme="minorHAnsi"/>
          <w:b w:val="0"/>
          <w:bCs/>
          <w:i/>
          <w:iCs/>
          <w:sz w:val="24"/>
          <w:szCs w:val="24"/>
        </w:rPr>
        <w:t>How the world changed social media</w:t>
      </w:r>
      <w:r w:rsidRPr="00E422B0">
        <w:rPr>
          <w:rFonts w:asciiTheme="minorHAnsi" w:hAnsiTheme="minorHAnsi" w:cstheme="minorHAnsi"/>
          <w:b w:val="0"/>
          <w:bCs/>
          <w:sz w:val="24"/>
          <w:szCs w:val="24"/>
        </w:rPr>
        <w:t xml:space="preserve">. Edited by J. Sinanan et al. London: UCL Press. Available at: </w:t>
      </w:r>
      <w:hyperlink r:id="rId70" w:history="1">
        <w:r w:rsidR="00324166" w:rsidRPr="005C70BF">
          <w:rPr>
            <w:rStyle w:val="Hyperlink"/>
            <w:rFonts w:asciiTheme="minorHAnsi" w:hAnsiTheme="minorHAnsi" w:cstheme="minorHAnsi"/>
            <w:b w:val="0"/>
            <w:bCs/>
            <w:sz w:val="24"/>
            <w:szCs w:val="24"/>
          </w:rPr>
          <w:t>https://doi.org/10.14324/111.9781910634493</w:t>
        </w:r>
      </w:hyperlink>
      <w:r w:rsidRPr="00E422B0">
        <w:rPr>
          <w:rFonts w:asciiTheme="minorHAnsi" w:hAnsiTheme="minorHAnsi" w:cstheme="minorHAnsi"/>
          <w:b w:val="0"/>
          <w:bCs/>
          <w:sz w:val="24"/>
          <w:szCs w:val="24"/>
        </w:rPr>
        <w:t>.</w:t>
      </w:r>
      <w:r w:rsidR="00324166">
        <w:rPr>
          <w:rFonts w:asciiTheme="minorHAnsi" w:hAnsiTheme="minorHAnsi" w:cstheme="minorHAnsi"/>
          <w:b w:val="0"/>
          <w:bCs/>
          <w:sz w:val="24"/>
          <w:szCs w:val="24"/>
        </w:rPr>
        <w:t xml:space="preserve"> </w:t>
      </w:r>
    </w:p>
    <w:p w14:paraId="6F26B5C9" w14:textId="77777777"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Miller, K. (2020) </w:t>
      </w:r>
      <w:r w:rsidRPr="00E422B0">
        <w:rPr>
          <w:rFonts w:asciiTheme="minorHAnsi" w:hAnsiTheme="minorHAnsi" w:cstheme="minorHAnsi"/>
          <w:b w:val="0"/>
          <w:bCs/>
          <w:i/>
          <w:iCs/>
          <w:sz w:val="24"/>
          <w:szCs w:val="24"/>
        </w:rPr>
        <w:t>How do coaching, mentoring, and counselling differ?</w:t>
      </w:r>
      <w:r w:rsidRPr="00E422B0">
        <w:rPr>
          <w:rFonts w:asciiTheme="minorHAnsi" w:hAnsiTheme="minorHAnsi" w:cstheme="minorHAnsi"/>
          <w:b w:val="0"/>
          <w:bCs/>
          <w:sz w:val="24"/>
          <w:szCs w:val="24"/>
        </w:rPr>
        <w:t xml:space="preserve">, PositivePsychology.com. Available at: </w:t>
      </w:r>
      <w:hyperlink r:id="rId71" w:history="1">
        <w:r w:rsidRPr="00E422B0">
          <w:rPr>
            <w:rStyle w:val="Hyperlink"/>
            <w:rFonts w:asciiTheme="minorHAnsi" w:hAnsiTheme="minorHAnsi" w:cstheme="minorHAnsi"/>
            <w:b w:val="0"/>
            <w:bCs/>
            <w:sz w:val="24"/>
            <w:szCs w:val="24"/>
          </w:rPr>
          <w:t>https://positivepsychology.com/coaching-mentoring-counseling/</w:t>
        </w:r>
      </w:hyperlink>
      <w:r w:rsidRPr="00E422B0">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(Accessed: 18 June 2023).</w:t>
      </w:r>
    </w:p>
    <w:p w14:paraId="3B18CEC4" w14:textId="0CBB5BA1" w:rsidR="00E422B0" w:rsidRPr="00E422B0" w:rsidRDefault="00E422B0" w:rsidP="00E422B0">
      <w:pPr>
        <w:pStyle w:val="Heading1"/>
        <w:rPr>
          <w:rFonts w:asciiTheme="minorHAnsi" w:hAnsiTheme="minorHAnsi" w:cstheme="minorHAnsi"/>
          <w:b w:val="0"/>
          <w:bCs/>
          <w:sz w:val="24"/>
          <w:szCs w:val="24"/>
        </w:rPr>
      </w:pPr>
      <w:proofErr w:type="spellStart"/>
      <w:r w:rsidRPr="00E422B0">
        <w:rPr>
          <w:rFonts w:asciiTheme="minorHAnsi" w:hAnsiTheme="minorHAnsi" w:cstheme="minorHAnsi"/>
          <w:b w:val="0"/>
          <w:bCs/>
          <w:sz w:val="24"/>
          <w:szCs w:val="24"/>
        </w:rPr>
        <w:t>Monnat</w:t>
      </w:r>
      <w:proofErr w:type="spellEnd"/>
      <w:r w:rsidRPr="00E422B0">
        <w:rPr>
          <w:rFonts w:asciiTheme="minorHAnsi" w:hAnsiTheme="minorHAnsi" w:cstheme="minorHAnsi"/>
          <w:b w:val="0"/>
          <w:bCs/>
          <w:sz w:val="24"/>
          <w:szCs w:val="24"/>
        </w:rPr>
        <w:t>, S.M. and Chandler, R.F. (2015) ‘</w:t>
      </w:r>
      <w:r w:rsidRPr="00324166">
        <w:rPr>
          <w:rFonts w:asciiTheme="minorHAnsi" w:hAnsiTheme="minorHAnsi" w:cstheme="minorHAnsi"/>
          <w:b w:val="0"/>
          <w:bCs/>
          <w:i/>
          <w:iCs/>
          <w:sz w:val="24"/>
          <w:szCs w:val="24"/>
        </w:rPr>
        <w:t>Long-Term Physical Health Consequences of Adverse Childhood Experiences’</w:t>
      </w:r>
      <w:r w:rsidRPr="00E422B0">
        <w:rPr>
          <w:rFonts w:asciiTheme="minorHAnsi" w:hAnsiTheme="minorHAnsi" w:cstheme="minorHAnsi"/>
          <w:b w:val="0"/>
          <w:bCs/>
          <w:sz w:val="24"/>
          <w:szCs w:val="24"/>
        </w:rPr>
        <w:t xml:space="preserve">, Sociological quarterly, 56(4), pp. 723–752. Available at: </w:t>
      </w:r>
      <w:hyperlink r:id="rId72" w:history="1">
        <w:r w:rsidR="00324166" w:rsidRPr="005C70BF">
          <w:rPr>
            <w:rStyle w:val="Hyperlink"/>
            <w:rFonts w:asciiTheme="minorHAnsi" w:hAnsiTheme="minorHAnsi" w:cstheme="minorHAnsi"/>
            <w:b w:val="0"/>
            <w:bCs/>
            <w:sz w:val="24"/>
            <w:szCs w:val="24"/>
          </w:rPr>
          <w:t>https://doi.org/10.1111/tsq.12107</w:t>
        </w:r>
      </w:hyperlink>
      <w:r w:rsidRPr="00E422B0">
        <w:rPr>
          <w:rFonts w:asciiTheme="minorHAnsi" w:hAnsiTheme="minorHAnsi" w:cstheme="minorHAnsi"/>
          <w:b w:val="0"/>
          <w:bCs/>
          <w:sz w:val="24"/>
          <w:szCs w:val="24"/>
        </w:rPr>
        <w:t>.</w:t>
      </w:r>
      <w:r w:rsidR="00324166">
        <w:rPr>
          <w:rFonts w:asciiTheme="minorHAnsi" w:hAnsiTheme="minorHAnsi" w:cstheme="minorHAnsi"/>
          <w:b w:val="0"/>
          <w:bCs/>
          <w:sz w:val="24"/>
          <w:szCs w:val="24"/>
        </w:rPr>
        <w:t xml:space="preserve"> </w:t>
      </w:r>
    </w:p>
    <w:p w14:paraId="41C0FAA9" w14:textId="0F3F443E"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Morrow, M. (2014) ‘</w:t>
      </w:r>
      <w:r w:rsidRPr="00324166">
        <w:rPr>
          <w:rFonts w:asciiTheme="minorHAnsi" w:hAnsiTheme="minorHAnsi" w:cstheme="minorHAnsi"/>
          <w:b w:val="0"/>
          <w:bCs/>
          <w:i/>
          <w:iCs/>
          <w:sz w:val="24"/>
          <w:szCs w:val="24"/>
        </w:rPr>
        <w:t>Social Media: Staying Connected’</w:t>
      </w:r>
      <w:r w:rsidRPr="00E422B0">
        <w:rPr>
          <w:rFonts w:asciiTheme="minorHAnsi" w:hAnsiTheme="minorHAnsi" w:cstheme="minorHAnsi"/>
          <w:b w:val="0"/>
          <w:bCs/>
          <w:sz w:val="24"/>
          <w:szCs w:val="24"/>
        </w:rPr>
        <w:t xml:space="preserve">, Nursing Science Quarterly. Los Angeles, CA: SAGE Publications, pp. 340–340. Available at: </w:t>
      </w:r>
      <w:hyperlink r:id="rId73" w:history="1">
        <w:r w:rsidR="00324166" w:rsidRPr="005C70BF">
          <w:rPr>
            <w:rStyle w:val="Hyperlink"/>
            <w:rFonts w:asciiTheme="minorHAnsi" w:hAnsiTheme="minorHAnsi" w:cstheme="minorHAnsi"/>
            <w:b w:val="0"/>
            <w:bCs/>
            <w:sz w:val="24"/>
            <w:szCs w:val="24"/>
          </w:rPr>
          <w:t>https://doi.org/10.1177/0894318414546423</w:t>
        </w:r>
      </w:hyperlink>
      <w:r w:rsidR="00324166">
        <w:rPr>
          <w:rFonts w:asciiTheme="minorHAnsi" w:hAnsiTheme="minorHAnsi" w:cstheme="minorHAnsi"/>
          <w:b w:val="0"/>
          <w:bCs/>
          <w:sz w:val="24"/>
          <w:szCs w:val="24"/>
        </w:rPr>
        <w:t xml:space="preserve"> </w:t>
      </w:r>
    </w:p>
    <w:p w14:paraId="235D0DD9" w14:textId="62936F89"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National Police Chiefs Council (2015) “</w:t>
      </w:r>
      <w:r w:rsidRPr="00324166">
        <w:rPr>
          <w:rFonts w:asciiTheme="minorHAnsi" w:hAnsiTheme="minorHAnsi" w:cstheme="minorHAnsi"/>
          <w:b w:val="0"/>
          <w:bCs/>
          <w:i/>
          <w:iCs/>
          <w:sz w:val="24"/>
          <w:szCs w:val="24"/>
        </w:rPr>
        <w:t>Policing Vision 2025</w:t>
      </w:r>
      <w:r w:rsidRPr="00E422B0">
        <w:rPr>
          <w:rFonts w:asciiTheme="minorHAnsi" w:hAnsiTheme="minorHAnsi" w:cstheme="minorHAnsi"/>
          <w:b w:val="0"/>
          <w:bCs/>
          <w:sz w:val="24"/>
          <w:szCs w:val="24"/>
        </w:rPr>
        <w:t xml:space="preserve">”, National Police Chiefs Council. Available at: </w:t>
      </w:r>
      <w:hyperlink r:id="rId74" w:history="1">
        <w:r w:rsidR="00324166" w:rsidRPr="005C70BF">
          <w:rPr>
            <w:rStyle w:val="Hyperlink"/>
            <w:rFonts w:asciiTheme="minorHAnsi" w:hAnsiTheme="minorHAnsi" w:cstheme="minorHAnsi"/>
            <w:b w:val="0"/>
            <w:bCs/>
            <w:sz w:val="24"/>
            <w:szCs w:val="24"/>
          </w:rPr>
          <w:t>https://www.npcc.police.uk/documents/Policing%20Vision.pdf</w:t>
        </w:r>
      </w:hyperlink>
      <w:r w:rsidR="00324166">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Accessed: February 10, 2023</w:t>
      </w:r>
      <w:r w:rsidR="00324166">
        <w:rPr>
          <w:rFonts w:asciiTheme="minorHAnsi" w:hAnsiTheme="minorHAnsi" w:cstheme="minorHAnsi"/>
          <w:b w:val="0"/>
          <w:bCs/>
          <w:sz w:val="24"/>
          <w:szCs w:val="24"/>
        </w:rPr>
        <w:t>)</w:t>
      </w:r>
      <w:r w:rsidRPr="00E422B0">
        <w:rPr>
          <w:rFonts w:asciiTheme="minorHAnsi" w:hAnsiTheme="minorHAnsi" w:cstheme="minorHAnsi"/>
          <w:b w:val="0"/>
          <w:bCs/>
          <w:sz w:val="24"/>
          <w:szCs w:val="24"/>
        </w:rPr>
        <w:t>.</w:t>
      </w:r>
      <w:r w:rsidR="00324166">
        <w:rPr>
          <w:rFonts w:asciiTheme="minorHAnsi" w:hAnsiTheme="minorHAnsi" w:cstheme="minorHAnsi"/>
          <w:b w:val="0"/>
          <w:bCs/>
          <w:sz w:val="24"/>
          <w:szCs w:val="24"/>
        </w:rPr>
        <w:t xml:space="preserve"> </w:t>
      </w:r>
    </w:p>
    <w:p w14:paraId="43E8F940" w14:textId="77777777"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National Police Chiefs Council (2018), ‘</w:t>
      </w:r>
      <w:r w:rsidRPr="00E422B0">
        <w:rPr>
          <w:rFonts w:asciiTheme="minorHAnsi" w:hAnsiTheme="minorHAnsi" w:cstheme="minorHAnsi"/>
          <w:b w:val="0"/>
          <w:bCs/>
          <w:i/>
          <w:iCs/>
          <w:sz w:val="24"/>
          <w:szCs w:val="24"/>
        </w:rPr>
        <w:t>Workforce Transformation in the Police Service’</w:t>
      </w:r>
      <w:r w:rsidRPr="00E422B0">
        <w:rPr>
          <w:rFonts w:asciiTheme="minorHAnsi" w:hAnsiTheme="minorHAnsi" w:cstheme="minorHAnsi"/>
          <w:b w:val="0"/>
          <w:bCs/>
          <w:sz w:val="24"/>
          <w:szCs w:val="24"/>
        </w:rPr>
        <w:t xml:space="preserve">, pp.4. Available at: </w:t>
      </w:r>
      <w:hyperlink r:id="rId75" w:history="1">
        <w:r w:rsidRPr="00E422B0">
          <w:rPr>
            <w:rStyle w:val="Hyperlink"/>
            <w:rFonts w:asciiTheme="minorHAnsi" w:hAnsiTheme="minorHAnsi" w:cstheme="minorHAnsi"/>
            <w:b w:val="0"/>
            <w:bCs/>
            <w:sz w:val="24"/>
            <w:szCs w:val="24"/>
          </w:rPr>
          <w:t>https://news.npcc.police.uk</w:t>
        </w:r>
      </w:hyperlink>
      <w:r w:rsidRPr="00E422B0">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 xml:space="preserve">(Accessed: 18 June 2023). </w:t>
      </w:r>
    </w:p>
    <w:p w14:paraId="5BAEE7A9" w14:textId="77777777"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North Wales Police (2020) </w:t>
      </w:r>
      <w:r w:rsidRPr="00E422B0">
        <w:rPr>
          <w:rFonts w:asciiTheme="minorHAnsi" w:hAnsiTheme="minorHAnsi" w:cstheme="minorHAnsi"/>
          <w:b w:val="0"/>
          <w:bCs/>
          <w:i/>
          <w:iCs/>
          <w:sz w:val="24"/>
          <w:szCs w:val="24"/>
        </w:rPr>
        <w:t>Managing police officers in their probationary period</w:t>
      </w:r>
      <w:r w:rsidRPr="00E422B0">
        <w:rPr>
          <w:rFonts w:asciiTheme="minorHAnsi" w:hAnsiTheme="minorHAnsi" w:cstheme="minorHAnsi"/>
          <w:b w:val="0"/>
          <w:bCs/>
          <w:sz w:val="24"/>
          <w:szCs w:val="24"/>
        </w:rPr>
        <w:t xml:space="preserve">, North Wales Police. Available at: </w:t>
      </w:r>
      <w:hyperlink r:id="rId76" w:history="1">
        <w:r w:rsidRPr="00E422B0">
          <w:rPr>
            <w:rStyle w:val="Hyperlink"/>
            <w:rFonts w:asciiTheme="minorHAnsi" w:hAnsiTheme="minorHAnsi" w:cstheme="minorHAnsi"/>
            <w:b w:val="0"/>
            <w:bCs/>
            <w:sz w:val="24"/>
            <w:szCs w:val="24"/>
          </w:rPr>
          <w:t>https://www.northwales.police.uk/SysSiteAssets/foi-</w:t>
        </w:r>
        <w:r w:rsidRPr="00E422B0">
          <w:rPr>
            <w:rStyle w:val="Hyperlink"/>
            <w:rFonts w:asciiTheme="minorHAnsi" w:hAnsiTheme="minorHAnsi" w:cstheme="minorHAnsi"/>
            <w:b w:val="0"/>
            <w:bCs/>
            <w:sz w:val="24"/>
            <w:szCs w:val="24"/>
          </w:rPr>
          <w:lastRenderedPageBreak/>
          <w:t>media/north-wales/policies/managing-police-officers-in-their-probationary-period-096v2.2.pdf</w:t>
        </w:r>
      </w:hyperlink>
      <w:r w:rsidRPr="00E422B0">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(Accessed: 18 June 2023).</w:t>
      </w:r>
    </w:p>
    <w:p w14:paraId="5FFA2F4F" w14:textId="77777777"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Osborne‐Gowey, J. (2014) ‘</w:t>
      </w:r>
      <w:r w:rsidRPr="00E422B0">
        <w:rPr>
          <w:rFonts w:asciiTheme="minorHAnsi" w:hAnsiTheme="minorHAnsi" w:cstheme="minorHAnsi"/>
          <w:b w:val="0"/>
          <w:bCs/>
          <w:i/>
          <w:iCs/>
          <w:sz w:val="24"/>
          <w:szCs w:val="24"/>
        </w:rPr>
        <w:t>What is Social Media’</w:t>
      </w:r>
      <w:r w:rsidRPr="00E422B0">
        <w:rPr>
          <w:rFonts w:asciiTheme="minorHAnsi" w:hAnsiTheme="minorHAnsi" w:cstheme="minorHAnsi"/>
          <w:b w:val="0"/>
          <w:bCs/>
          <w:sz w:val="24"/>
          <w:szCs w:val="24"/>
        </w:rPr>
        <w:t xml:space="preserve">, Fisheries, 39(2), pp. 55–55. Available at: </w:t>
      </w:r>
      <w:hyperlink r:id="rId77" w:history="1">
        <w:r w:rsidRPr="00E422B0">
          <w:rPr>
            <w:rStyle w:val="Hyperlink"/>
            <w:rFonts w:asciiTheme="minorHAnsi" w:hAnsiTheme="minorHAnsi" w:cstheme="minorHAnsi"/>
            <w:b w:val="0"/>
            <w:bCs/>
            <w:sz w:val="24"/>
            <w:szCs w:val="24"/>
          </w:rPr>
          <w:t>https://doi.org/10.1080/03632415.2014.876883</w:t>
        </w:r>
      </w:hyperlink>
      <w:r w:rsidRPr="00E422B0">
        <w:rPr>
          <w:rFonts w:asciiTheme="minorHAnsi" w:hAnsiTheme="minorHAnsi" w:cstheme="minorHAnsi"/>
          <w:b w:val="0"/>
          <w:bCs/>
          <w:sz w:val="24"/>
          <w:szCs w:val="24"/>
        </w:rPr>
        <w:t>.</w:t>
      </w:r>
      <w:r w:rsidRPr="00E422B0">
        <w:rPr>
          <w:rFonts w:asciiTheme="minorHAnsi" w:hAnsiTheme="minorHAnsi" w:cstheme="minorHAnsi"/>
          <w:b w:val="0"/>
          <w:bCs/>
          <w:sz w:val="24"/>
          <w:szCs w:val="24"/>
        </w:rPr>
        <w:t xml:space="preserve"> </w:t>
      </w:r>
    </w:p>
    <w:p w14:paraId="1BF5DFA4" w14:textId="79C0D5A1"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Oxbridge (2020) </w:t>
      </w:r>
      <w:r w:rsidRPr="00324166">
        <w:rPr>
          <w:rFonts w:asciiTheme="minorHAnsi" w:hAnsiTheme="minorHAnsi" w:cstheme="minorHAnsi"/>
          <w:b w:val="0"/>
          <w:bCs/>
          <w:i/>
          <w:iCs/>
          <w:sz w:val="24"/>
          <w:szCs w:val="24"/>
        </w:rPr>
        <w:t>The importance of a degree in today's working environment</w:t>
      </w:r>
      <w:r w:rsidRPr="00E422B0">
        <w:rPr>
          <w:rFonts w:asciiTheme="minorHAnsi" w:hAnsiTheme="minorHAnsi" w:cstheme="minorHAnsi"/>
          <w:b w:val="0"/>
          <w:bCs/>
          <w:sz w:val="24"/>
          <w:szCs w:val="24"/>
        </w:rPr>
        <w:t xml:space="preserve">, Oxbridge Personal Statements. Available at: </w:t>
      </w:r>
      <w:hyperlink r:id="rId78" w:history="1">
        <w:r w:rsidR="00324166" w:rsidRPr="005C70BF">
          <w:rPr>
            <w:rStyle w:val="Hyperlink"/>
            <w:rFonts w:asciiTheme="minorHAnsi" w:hAnsiTheme="minorHAnsi" w:cstheme="minorHAnsi"/>
            <w:b w:val="0"/>
            <w:bCs/>
            <w:sz w:val="24"/>
            <w:szCs w:val="24"/>
          </w:rPr>
          <w:t>https://www.oxbridgepersonalstatements.com/blog/the-importance-of-a-degree-in-todays-working-environment/</w:t>
        </w:r>
      </w:hyperlink>
      <w:r w:rsidR="00324166">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 xml:space="preserve">(Accessed: March 9, 2023). </w:t>
      </w:r>
    </w:p>
    <w:p w14:paraId="4291464F" w14:textId="50EE2A9D"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Patterson, B. (2022) </w:t>
      </w:r>
      <w:r w:rsidRPr="00324166">
        <w:rPr>
          <w:rFonts w:asciiTheme="minorHAnsi" w:hAnsiTheme="minorHAnsi" w:cstheme="minorHAnsi"/>
          <w:b w:val="0"/>
          <w:bCs/>
          <w:i/>
          <w:iCs/>
          <w:sz w:val="24"/>
          <w:szCs w:val="24"/>
        </w:rPr>
        <w:t>8 reasons why having a college degree is important</w:t>
      </w:r>
      <w:r w:rsidRPr="00E422B0">
        <w:rPr>
          <w:rFonts w:asciiTheme="minorHAnsi" w:hAnsiTheme="minorHAnsi" w:cstheme="minorHAnsi"/>
          <w:b w:val="0"/>
          <w:bCs/>
          <w:sz w:val="24"/>
          <w:szCs w:val="24"/>
        </w:rPr>
        <w:t xml:space="preserve">, Outlier. Outlier. Available at: </w:t>
      </w:r>
      <w:hyperlink r:id="rId79" w:history="1">
        <w:r w:rsidR="00324166" w:rsidRPr="005C70BF">
          <w:rPr>
            <w:rStyle w:val="Hyperlink"/>
            <w:rFonts w:asciiTheme="minorHAnsi" w:hAnsiTheme="minorHAnsi" w:cstheme="minorHAnsi"/>
            <w:b w:val="0"/>
            <w:bCs/>
            <w:sz w:val="24"/>
            <w:szCs w:val="24"/>
          </w:rPr>
          <w:t>https://articles.outlier.org/why-is-a-college-degree-important#section-why-is-it-important-to-have-a-college-degree</w:t>
        </w:r>
      </w:hyperlink>
      <w:r w:rsidR="00324166">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(Accessed: February 19, 2023).</w:t>
      </w:r>
    </w:p>
    <w:p w14:paraId="5A431339" w14:textId="7E0339EE" w:rsidR="00E422B0" w:rsidRPr="00E422B0" w:rsidRDefault="00324166"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Perkins,</w:t>
      </w:r>
      <w:r w:rsidR="00E422B0" w:rsidRPr="00E422B0">
        <w:rPr>
          <w:rFonts w:asciiTheme="minorHAnsi" w:hAnsiTheme="minorHAnsi" w:cstheme="minorHAnsi"/>
          <w:b w:val="0"/>
          <w:bCs/>
          <w:sz w:val="24"/>
          <w:szCs w:val="24"/>
        </w:rPr>
        <w:t xml:space="preserve"> A. (2001) </w:t>
      </w:r>
      <w:r w:rsidR="00E422B0" w:rsidRPr="00324166">
        <w:rPr>
          <w:rFonts w:asciiTheme="minorHAnsi" w:hAnsiTheme="minorHAnsi" w:cstheme="minorHAnsi"/>
          <w:b w:val="0"/>
          <w:bCs/>
          <w:i/>
          <w:iCs/>
          <w:sz w:val="24"/>
          <w:szCs w:val="24"/>
        </w:rPr>
        <w:t>The People's Peers</w:t>
      </w:r>
      <w:r w:rsidR="00E422B0" w:rsidRPr="00E422B0">
        <w:rPr>
          <w:rFonts w:asciiTheme="minorHAnsi" w:hAnsiTheme="minorHAnsi" w:cstheme="minorHAnsi"/>
          <w:b w:val="0"/>
          <w:bCs/>
          <w:sz w:val="24"/>
          <w:szCs w:val="24"/>
        </w:rPr>
        <w:t xml:space="preserve">, The Guardian. Guardian News and Media. Available at: </w:t>
      </w:r>
      <w:hyperlink r:id="rId80" w:history="1">
        <w:r w:rsidRPr="005C70BF">
          <w:rPr>
            <w:rStyle w:val="Hyperlink"/>
            <w:rFonts w:asciiTheme="minorHAnsi" w:hAnsiTheme="minorHAnsi" w:cstheme="minorHAnsi"/>
            <w:b w:val="0"/>
            <w:bCs/>
            <w:sz w:val="24"/>
            <w:szCs w:val="24"/>
          </w:rPr>
          <w:t>https://www.theguardian.com/politics/2001/apr/27/uk.Whitehall</w:t>
        </w:r>
      </w:hyperlink>
      <w:r>
        <w:rPr>
          <w:rFonts w:asciiTheme="minorHAnsi" w:hAnsiTheme="minorHAnsi" w:cstheme="minorHAnsi"/>
          <w:b w:val="0"/>
          <w:bCs/>
          <w:sz w:val="24"/>
          <w:szCs w:val="24"/>
        </w:rPr>
        <w:t xml:space="preserve"> </w:t>
      </w:r>
      <w:r w:rsidR="00E422B0" w:rsidRPr="00E422B0">
        <w:rPr>
          <w:rFonts w:asciiTheme="minorHAnsi" w:hAnsiTheme="minorHAnsi" w:cstheme="minorHAnsi"/>
          <w:b w:val="0"/>
          <w:bCs/>
          <w:sz w:val="24"/>
          <w:szCs w:val="24"/>
        </w:rPr>
        <w:t>(Accessed: February 10, 2023).</w:t>
      </w:r>
    </w:p>
    <w:p w14:paraId="5A455955" w14:textId="5CD251BA"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POLICE Be </w:t>
      </w:r>
      <w:proofErr w:type="gramStart"/>
      <w:r w:rsidRPr="00E422B0">
        <w:rPr>
          <w:rFonts w:asciiTheme="minorHAnsi" w:hAnsiTheme="minorHAnsi" w:cstheme="minorHAnsi"/>
          <w:b w:val="0"/>
          <w:bCs/>
          <w:sz w:val="24"/>
          <w:szCs w:val="24"/>
        </w:rPr>
        <w:t>The</w:t>
      </w:r>
      <w:proofErr w:type="gramEnd"/>
      <w:r w:rsidRPr="00E422B0">
        <w:rPr>
          <w:rFonts w:asciiTheme="minorHAnsi" w:hAnsiTheme="minorHAnsi" w:cstheme="minorHAnsi"/>
          <w:b w:val="0"/>
          <w:bCs/>
          <w:sz w:val="24"/>
          <w:szCs w:val="24"/>
        </w:rPr>
        <w:t xml:space="preserve"> Difference (2023) </w:t>
      </w:r>
      <w:r w:rsidRPr="00E422B0">
        <w:rPr>
          <w:rFonts w:asciiTheme="minorHAnsi" w:hAnsiTheme="minorHAnsi" w:cstheme="minorHAnsi"/>
          <w:b w:val="0"/>
          <w:bCs/>
          <w:i/>
          <w:iCs/>
          <w:sz w:val="24"/>
          <w:szCs w:val="24"/>
        </w:rPr>
        <w:t>Police apprenticeship and traditional entry</w:t>
      </w:r>
      <w:r w:rsidRPr="00E422B0">
        <w:rPr>
          <w:rFonts w:asciiTheme="minorHAnsi" w:hAnsiTheme="minorHAnsi" w:cstheme="minorHAnsi"/>
          <w:b w:val="0"/>
          <w:bCs/>
          <w:sz w:val="24"/>
          <w:szCs w:val="24"/>
        </w:rPr>
        <w:t xml:space="preserve">, POLICE Be The Difference. Available at: </w:t>
      </w:r>
      <w:hyperlink r:id="rId81" w:history="1">
        <w:r w:rsidRPr="00E422B0">
          <w:rPr>
            <w:rStyle w:val="Hyperlink"/>
            <w:rFonts w:asciiTheme="minorHAnsi" w:hAnsiTheme="minorHAnsi" w:cstheme="minorHAnsi"/>
            <w:b w:val="0"/>
            <w:bCs/>
            <w:sz w:val="24"/>
            <w:szCs w:val="24"/>
          </w:rPr>
          <w:t>https://www.joiningthepolice.co.uk/application-process/ways-in-to-policing/apprenticeship-pcda-entry-route</w:t>
        </w:r>
      </w:hyperlink>
      <w:r w:rsidRPr="00E422B0">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(Accessed: 18 June 2023).</w:t>
      </w:r>
    </w:p>
    <w:p w14:paraId="3180F3BD" w14:textId="6605898A"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Reynolds, P. (2022) </w:t>
      </w:r>
      <w:r w:rsidRPr="00324166">
        <w:rPr>
          <w:rFonts w:asciiTheme="minorHAnsi" w:hAnsiTheme="minorHAnsi" w:cstheme="minorHAnsi"/>
          <w:b w:val="0"/>
          <w:bCs/>
          <w:i/>
          <w:iCs/>
          <w:sz w:val="24"/>
          <w:szCs w:val="24"/>
        </w:rPr>
        <w:t>Strategic leadership</w:t>
      </w:r>
      <w:r w:rsidRPr="00E422B0">
        <w:rPr>
          <w:rFonts w:asciiTheme="minorHAnsi" w:hAnsiTheme="minorHAnsi" w:cstheme="minorHAnsi"/>
          <w:b w:val="0"/>
          <w:bCs/>
          <w:sz w:val="24"/>
          <w:szCs w:val="24"/>
        </w:rPr>
        <w:t xml:space="preserve"> - professional development: Harvard DCE, Professional Development | Harvard DCE. Available at: </w:t>
      </w:r>
      <w:hyperlink r:id="rId82" w:history="1">
        <w:r w:rsidR="00324166" w:rsidRPr="005C70BF">
          <w:rPr>
            <w:rStyle w:val="Hyperlink"/>
            <w:rFonts w:asciiTheme="minorHAnsi" w:hAnsiTheme="minorHAnsi" w:cstheme="minorHAnsi"/>
            <w:b w:val="0"/>
            <w:bCs/>
            <w:sz w:val="24"/>
            <w:szCs w:val="24"/>
          </w:rPr>
          <w:t>https://professional.dce.harvard.edu/blog/strategic-leadership/</w:t>
        </w:r>
      </w:hyperlink>
      <w:r w:rsidR="00324166">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(Accessed: 07 June 2023).</w:t>
      </w:r>
    </w:p>
    <w:p w14:paraId="3B1355AE" w14:textId="1022E7FA"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Sah, S. (2022) ‘</w:t>
      </w:r>
      <w:r w:rsidRPr="00324166">
        <w:rPr>
          <w:rFonts w:asciiTheme="minorHAnsi" w:hAnsiTheme="minorHAnsi" w:cstheme="minorHAnsi"/>
          <w:b w:val="0"/>
          <w:bCs/>
          <w:i/>
          <w:iCs/>
          <w:sz w:val="24"/>
          <w:szCs w:val="24"/>
        </w:rPr>
        <w:t>The Professionalism Paradox: A Sense of Professionalism Increases Vulnerability to Conflicts of Interest’</w:t>
      </w:r>
      <w:r w:rsidRPr="00E422B0">
        <w:rPr>
          <w:rFonts w:asciiTheme="minorHAnsi" w:hAnsiTheme="minorHAnsi" w:cstheme="minorHAnsi"/>
          <w:b w:val="0"/>
          <w:bCs/>
          <w:sz w:val="24"/>
          <w:szCs w:val="24"/>
        </w:rPr>
        <w:t xml:space="preserve">, Academy of Management perspectives, 36(3), pp. 896–918. Available at: </w:t>
      </w:r>
      <w:hyperlink r:id="rId83" w:history="1">
        <w:r w:rsidR="00324166" w:rsidRPr="005C70BF">
          <w:rPr>
            <w:rStyle w:val="Hyperlink"/>
            <w:rFonts w:asciiTheme="minorHAnsi" w:hAnsiTheme="minorHAnsi" w:cstheme="minorHAnsi"/>
            <w:b w:val="0"/>
            <w:bCs/>
            <w:sz w:val="24"/>
            <w:szCs w:val="24"/>
          </w:rPr>
          <w:t>https://doi.org/10.5465/amp.2021.0033</w:t>
        </w:r>
      </w:hyperlink>
      <w:r w:rsidRPr="00E422B0">
        <w:rPr>
          <w:rFonts w:asciiTheme="minorHAnsi" w:hAnsiTheme="minorHAnsi" w:cstheme="minorHAnsi"/>
          <w:b w:val="0"/>
          <w:bCs/>
          <w:sz w:val="24"/>
          <w:szCs w:val="24"/>
        </w:rPr>
        <w:t>.</w:t>
      </w:r>
      <w:r w:rsidR="00324166">
        <w:rPr>
          <w:rFonts w:asciiTheme="minorHAnsi" w:hAnsiTheme="minorHAnsi" w:cstheme="minorHAnsi"/>
          <w:b w:val="0"/>
          <w:bCs/>
          <w:sz w:val="24"/>
          <w:szCs w:val="24"/>
        </w:rPr>
        <w:t xml:space="preserve"> </w:t>
      </w:r>
    </w:p>
    <w:p w14:paraId="6FCABAA4" w14:textId="691F4F83" w:rsidR="00E422B0" w:rsidRPr="00E422B0" w:rsidRDefault="00E422B0" w:rsidP="00E422B0">
      <w:pPr>
        <w:pStyle w:val="Heading1"/>
        <w:rPr>
          <w:rFonts w:asciiTheme="minorHAnsi" w:hAnsiTheme="minorHAnsi" w:cstheme="minorHAnsi"/>
          <w:b w:val="0"/>
          <w:bCs/>
          <w:sz w:val="24"/>
          <w:szCs w:val="24"/>
        </w:rPr>
      </w:pPr>
      <w:proofErr w:type="spellStart"/>
      <w:r w:rsidRPr="00E422B0">
        <w:rPr>
          <w:rFonts w:asciiTheme="minorHAnsi" w:hAnsiTheme="minorHAnsi" w:cstheme="minorHAnsi"/>
          <w:b w:val="0"/>
          <w:bCs/>
          <w:sz w:val="24"/>
          <w:szCs w:val="24"/>
        </w:rPr>
        <w:t>Samimi</w:t>
      </w:r>
      <w:proofErr w:type="spellEnd"/>
      <w:r w:rsidRPr="00E422B0">
        <w:rPr>
          <w:rFonts w:asciiTheme="minorHAnsi" w:hAnsiTheme="minorHAnsi" w:cstheme="minorHAnsi"/>
          <w:b w:val="0"/>
          <w:bCs/>
          <w:sz w:val="24"/>
          <w:szCs w:val="24"/>
        </w:rPr>
        <w:t>, M. et al. (2022) ‘</w:t>
      </w:r>
      <w:r w:rsidRPr="00324166">
        <w:rPr>
          <w:rFonts w:asciiTheme="minorHAnsi" w:hAnsiTheme="minorHAnsi" w:cstheme="minorHAnsi"/>
          <w:b w:val="0"/>
          <w:bCs/>
          <w:i/>
          <w:iCs/>
          <w:sz w:val="24"/>
          <w:szCs w:val="24"/>
        </w:rPr>
        <w:t>What is strategic leadership</w:t>
      </w:r>
      <w:r w:rsidRPr="00E422B0">
        <w:rPr>
          <w:rFonts w:asciiTheme="minorHAnsi" w:hAnsiTheme="minorHAnsi" w:cstheme="minorHAnsi"/>
          <w:b w:val="0"/>
          <w:bCs/>
          <w:sz w:val="24"/>
          <w:szCs w:val="24"/>
        </w:rPr>
        <w:t xml:space="preserve">? Developing a framework for future research’, The Leadership quarterly, 33(3), p. 101353–. Available at: </w:t>
      </w:r>
      <w:hyperlink r:id="rId84" w:history="1">
        <w:r w:rsidR="00324166" w:rsidRPr="005C70BF">
          <w:rPr>
            <w:rStyle w:val="Hyperlink"/>
            <w:rFonts w:asciiTheme="minorHAnsi" w:hAnsiTheme="minorHAnsi" w:cstheme="minorHAnsi"/>
            <w:b w:val="0"/>
            <w:bCs/>
            <w:sz w:val="24"/>
            <w:szCs w:val="24"/>
          </w:rPr>
          <w:t>https://doi.org/10.1016/j.leaqua.2019.101353</w:t>
        </w:r>
      </w:hyperlink>
      <w:r w:rsidRPr="00E422B0">
        <w:rPr>
          <w:rFonts w:asciiTheme="minorHAnsi" w:hAnsiTheme="minorHAnsi" w:cstheme="minorHAnsi"/>
          <w:b w:val="0"/>
          <w:bCs/>
          <w:sz w:val="24"/>
          <w:szCs w:val="24"/>
        </w:rPr>
        <w:t>.</w:t>
      </w:r>
      <w:r w:rsidR="00324166">
        <w:rPr>
          <w:rFonts w:asciiTheme="minorHAnsi" w:hAnsiTheme="minorHAnsi" w:cstheme="minorHAnsi"/>
          <w:b w:val="0"/>
          <w:bCs/>
          <w:sz w:val="24"/>
          <w:szCs w:val="24"/>
        </w:rPr>
        <w:t xml:space="preserve"> </w:t>
      </w:r>
    </w:p>
    <w:p w14:paraId="4F671BE4" w14:textId="46DFD034" w:rsidR="00E422B0" w:rsidRPr="00E422B0" w:rsidRDefault="00E422B0" w:rsidP="00E422B0">
      <w:pPr>
        <w:pStyle w:val="Heading1"/>
        <w:rPr>
          <w:rFonts w:asciiTheme="minorHAnsi" w:hAnsiTheme="minorHAnsi" w:cstheme="minorHAnsi"/>
          <w:b w:val="0"/>
          <w:bCs/>
          <w:sz w:val="24"/>
          <w:szCs w:val="24"/>
        </w:rPr>
      </w:pPr>
      <w:proofErr w:type="spellStart"/>
      <w:r w:rsidRPr="00E422B0">
        <w:rPr>
          <w:rFonts w:asciiTheme="minorHAnsi" w:hAnsiTheme="minorHAnsi" w:cstheme="minorHAnsi"/>
          <w:b w:val="0"/>
          <w:bCs/>
          <w:sz w:val="24"/>
          <w:szCs w:val="24"/>
        </w:rPr>
        <w:t>Schoemaker</w:t>
      </w:r>
      <w:proofErr w:type="spellEnd"/>
      <w:r w:rsidRPr="00E422B0">
        <w:rPr>
          <w:rFonts w:asciiTheme="minorHAnsi" w:hAnsiTheme="minorHAnsi" w:cstheme="minorHAnsi"/>
          <w:b w:val="0"/>
          <w:bCs/>
          <w:sz w:val="24"/>
          <w:szCs w:val="24"/>
        </w:rPr>
        <w:t xml:space="preserve">, P., </w:t>
      </w:r>
      <w:proofErr w:type="spellStart"/>
      <w:r w:rsidRPr="00E422B0">
        <w:rPr>
          <w:rFonts w:asciiTheme="minorHAnsi" w:hAnsiTheme="minorHAnsi" w:cstheme="minorHAnsi"/>
          <w:b w:val="0"/>
          <w:bCs/>
          <w:sz w:val="24"/>
          <w:szCs w:val="24"/>
        </w:rPr>
        <w:t>Frupp</w:t>
      </w:r>
      <w:proofErr w:type="spellEnd"/>
      <w:r w:rsidRPr="00E422B0">
        <w:rPr>
          <w:rFonts w:asciiTheme="minorHAnsi" w:hAnsiTheme="minorHAnsi" w:cstheme="minorHAnsi"/>
          <w:b w:val="0"/>
          <w:bCs/>
          <w:sz w:val="24"/>
          <w:szCs w:val="24"/>
        </w:rPr>
        <w:t xml:space="preserve">, S. and </w:t>
      </w:r>
      <w:proofErr w:type="gramStart"/>
      <w:r w:rsidRPr="00E422B0">
        <w:rPr>
          <w:rFonts w:asciiTheme="minorHAnsi" w:hAnsiTheme="minorHAnsi" w:cstheme="minorHAnsi"/>
          <w:b w:val="0"/>
          <w:bCs/>
          <w:sz w:val="24"/>
          <w:szCs w:val="24"/>
        </w:rPr>
        <w:t>Howland ,</w:t>
      </w:r>
      <w:proofErr w:type="gramEnd"/>
      <w:r w:rsidRPr="00E422B0">
        <w:rPr>
          <w:rFonts w:asciiTheme="minorHAnsi" w:hAnsiTheme="minorHAnsi" w:cstheme="minorHAnsi"/>
          <w:b w:val="0"/>
          <w:bCs/>
          <w:sz w:val="24"/>
          <w:szCs w:val="24"/>
        </w:rPr>
        <w:t xml:space="preserve"> S. (2021) </w:t>
      </w:r>
      <w:r w:rsidRPr="00324166">
        <w:rPr>
          <w:rFonts w:asciiTheme="minorHAnsi" w:hAnsiTheme="minorHAnsi" w:cstheme="minorHAnsi"/>
          <w:b w:val="0"/>
          <w:bCs/>
          <w:i/>
          <w:iCs/>
          <w:sz w:val="24"/>
          <w:szCs w:val="24"/>
        </w:rPr>
        <w:t>Strategic leadership: The essential skills, Harvard Business Review</w:t>
      </w:r>
      <w:r w:rsidRPr="00E422B0">
        <w:rPr>
          <w:rFonts w:asciiTheme="minorHAnsi" w:hAnsiTheme="minorHAnsi" w:cstheme="minorHAnsi"/>
          <w:b w:val="0"/>
          <w:bCs/>
          <w:sz w:val="24"/>
          <w:szCs w:val="24"/>
        </w:rPr>
        <w:t xml:space="preserve">. Available at: </w:t>
      </w:r>
      <w:hyperlink r:id="rId85" w:history="1">
        <w:r w:rsidR="00324166" w:rsidRPr="005C70BF">
          <w:rPr>
            <w:rStyle w:val="Hyperlink"/>
            <w:rFonts w:asciiTheme="minorHAnsi" w:hAnsiTheme="minorHAnsi" w:cstheme="minorHAnsi"/>
            <w:b w:val="0"/>
            <w:bCs/>
            <w:sz w:val="24"/>
            <w:szCs w:val="24"/>
          </w:rPr>
          <w:t>https://hbr.org/2013/01/strategic-leadership-the-esssential-skills</w:t>
        </w:r>
      </w:hyperlink>
      <w:r w:rsidR="00324166">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(Accessed: 07 June 2023).</w:t>
      </w:r>
    </w:p>
    <w:p w14:paraId="41A5CC79" w14:textId="5B19F160"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Smither, J.W. (2011) ‘</w:t>
      </w:r>
      <w:r w:rsidRPr="00324166">
        <w:rPr>
          <w:rFonts w:asciiTheme="minorHAnsi" w:hAnsiTheme="minorHAnsi" w:cstheme="minorHAnsi"/>
          <w:b w:val="0"/>
          <w:bCs/>
          <w:i/>
          <w:iCs/>
          <w:sz w:val="24"/>
          <w:szCs w:val="24"/>
        </w:rPr>
        <w:t>Can Psychotherapy Research Serve as a Guide for Research About Executive Coaching</w:t>
      </w:r>
      <w:r w:rsidRPr="00E422B0">
        <w:rPr>
          <w:rFonts w:asciiTheme="minorHAnsi" w:hAnsiTheme="minorHAnsi" w:cstheme="minorHAnsi"/>
          <w:b w:val="0"/>
          <w:bCs/>
          <w:sz w:val="24"/>
          <w:szCs w:val="24"/>
        </w:rPr>
        <w:t xml:space="preserve">? An Agenda for the Next Decade’, Journal of business and psychology, 26(2), pp. 135–145. Available at: </w:t>
      </w:r>
      <w:hyperlink r:id="rId86" w:history="1">
        <w:r w:rsidR="00324166" w:rsidRPr="005C70BF">
          <w:rPr>
            <w:rStyle w:val="Hyperlink"/>
            <w:rFonts w:asciiTheme="minorHAnsi" w:hAnsiTheme="minorHAnsi" w:cstheme="minorHAnsi"/>
            <w:b w:val="0"/>
            <w:bCs/>
            <w:sz w:val="24"/>
            <w:szCs w:val="24"/>
          </w:rPr>
          <w:t>https://doi.org/10.1007/s10869-011-9216-7</w:t>
        </w:r>
      </w:hyperlink>
      <w:r w:rsidRPr="00E422B0">
        <w:rPr>
          <w:rFonts w:asciiTheme="minorHAnsi" w:hAnsiTheme="minorHAnsi" w:cstheme="minorHAnsi"/>
          <w:b w:val="0"/>
          <w:bCs/>
          <w:sz w:val="24"/>
          <w:szCs w:val="24"/>
        </w:rPr>
        <w:t>.</w:t>
      </w:r>
      <w:r w:rsidR="00324166">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 xml:space="preserve"> </w:t>
      </w:r>
    </w:p>
    <w:p w14:paraId="10A22536" w14:textId="40491A62" w:rsidR="00E422B0" w:rsidRPr="00E422B0" w:rsidRDefault="00E422B0" w:rsidP="00E422B0">
      <w:pPr>
        <w:pStyle w:val="Heading1"/>
        <w:rPr>
          <w:rFonts w:asciiTheme="minorHAnsi" w:hAnsiTheme="minorHAnsi" w:cstheme="minorHAnsi"/>
          <w:b w:val="0"/>
          <w:bCs/>
          <w:sz w:val="24"/>
          <w:szCs w:val="24"/>
        </w:rPr>
      </w:pPr>
      <w:proofErr w:type="spellStart"/>
      <w:r w:rsidRPr="00E422B0">
        <w:rPr>
          <w:rFonts w:asciiTheme="minorHAnsi" w:hAnsiTheme="minorHAnsi" w:cstheme="minorHAnsi"/>
          <w:b w:val="0"/>
          <w:bCs/>
          <w:sz w:val="24"/>
          <w:szCs w:val="24"/>
        </w:rPr>
        <w:t>Stazyk</w:t>
      </w:r>
      <w:proofErr w:type="spellEnd"/>
      <w:r w:rsidRPr="00E422B0">
        <w:rPr>
          <w:rFonts w:asciiTheme="minorHAnsi" w:hAnsiTheme="minorHAnsi" w:cstheme="minorHAnsi"/>
          <w:b w:val="0"/>
          <w:bCs/>
          <w:sz w:val="24"/>
          <w:szCs w:val="24"/>
        </w:rPr>
        <w:t>, E.C. and Davis, R.S. (2020) ‘</w:t>
      </w:r>
      <w:r w:rsidRPr="00324166">
        <w:rPr>
          <w:rFonts w:asciiTheme="minorHAnsi" w:hAnsiTheme="minorHAnsi" w:cstheme="minorHAnsi"/>
          <w:b w:val="0"/>
          <w:bCs/>
          <w:i/>
          <w:iCs/>
          <w:sz w:val="24"/>
          <w:szCs w:val="24"/>
        </w:rPr>
        <w:t>Transformational leaders: bridging the gap between goal ambiguity and public value involvement’</w:t>
      </w:r>
      <w:r w:rsidRPr="00E422B0">
        <w:rPr>
          <w:rFonts w:asciiTheme="minorHAnsi" w:hAnsiTheme="minorHAnsi" w:cstheme="minorHAnsi"/>
          <w:b w:val="0"/>
          <w:bCs/>
          <w:sz w:val="24"/>
          <w:szCs w:val="24"/>
        </w:rPr>
        <w:t xml:space="preserve">, Public management review, 22(3), pp. 364–385. Available at: </w:t>
      </w:r>
      <w:hyperlink r:id="rId87" w:history="1">
        <w:r w:rsidR="00324166" w:rsidRPr="005C70BF">
          <w:rPr>
            <w:rStyle w:val="Hyperlink"/>
            <w:rFonts w:asciiTheme="minorHAnsi" w:hAnsiTheme="minorHAnsi" w:cstheme="minorHAnsi"/>
            <w:b w:val="0"/>
            <w:bCs/>
            <w:sz w:val="24"/>
            <w:szCs w:val="24"/>
          </w:rPr>
          <w:t>https://doi.org/10.1080/14719037.2019.1588357</w:t>
        </w:r>
      </w:hyperlink>
      <w:r w:rsidRPr="00E422B0">
        <w:rPr>
          <w:rFonts w:asciiTheme="minorHAnsi" w:hAnsiTheme="minorHAnsi" w:cstheme="minorHAnsi"/>
          <w:b w:val="0"/>
          <w:bCs/>
          <w:sz w:val="24"/>
          <w:szCs w:val="24"/>
        </w:rPr>
        <w:t>.</w:t>
      </w:r>
      <w:r w:rsidR="00324166">
        <w:rPr>
          <w:rFonts w:asciiTheme="minorHAnsi" w:hAnsiTheme="minorHAnsi" w:cstheme="minorHAnsi"/>
          <w:b w:val="0"/>
          <w:bCs/>
          <w:sz w:val="24"/>
          <w:szCs w:val="24"/>
        </w:rPr>
        <w:t xml:space="preserve"> </w:t>
      </w:r>
    </w:p>
    <w:p w14:paraId="377A47A2" w14:textId="77777777"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lastRenderedPageBreak/>
        <w:t xml:space="preserve">Stokes, P., </w:t>
      </w:r>
      <w:proofErr w:type="spellStart"/>
      <w:r w:rsidRPr="00E422B0">
        <w:rPr>
          <w:rFonts w:asciiTheme="minorHAnsi" w:hAnsiTheme="minorHAnsi" w:cstheme="minorHAnsi"/>
          <w:b w:val="0"/>
          <w:bCs/>
          <w:sz w:val="24"/>
          <w:szCs w:val="24"/>
        </w:rPr>
        <w:t>Fatien</w:t>
      </w:r>
      <w:proofErr w:type="spellEnd"/>
      <w:r w:rsidRPr="00E422B0">
        <w:rPr>
          <w:rFonts w:asciiTheme="minorHAnsi" w:hAnsiTheme="minorHAnsi" w:cstheme="minorHAnsi"/>
          <w:b w:val="0"/>
          <w:bCs/>
          <w:sz w:val="24"/>
          <w:szCs w:val="24"/>
        </w:rPr>
        <w:t xml:space="preserve"> </w:t>
      </w:r>
      <w:proofErr w:type="spellStart"/>
      <w:r w:rsidRPr="00E422B0">
        <w:rPr>
          <w:rFonts w:asciiTheme="minorHAnsi" w:hAnsiTheme="minorHAnsi" w:cstheme="minorHAnsi"/>
          <w:b w:val="0"/>
          <w:bCs/>
          <w:sz w:val="24"/>
          <w:szCs w:val="24"/>
        </w:rPr>
        <w:t>Diochon</w:t>
      </w:r>
      <w:proofErr w:type="spellEnd"/>
      <w:r w:rsidRPr="00E422B0">
        <w:rPr>
          <w:rFonts w:asciiTheme="minorHAnsi" w:hAnsiTheme="minorHAnsi" w:cstheme="minorHAnsi"/>
          <w:b w:val="0"/>
          <w:bCs/>
          <w:sz w:val="24"/>
          <w:szCs w:val="24"/>
        </w:rPr>
        <w:t>, P. and Otter, K. (2021) ‘“</w:t>
      </w:r>
      <w:r w:rsidRPr="00E422B0">
        <w:rPr>
          <w:rFonts w:asciiTheme="minorHAnsi" w:hAnsiTheme="minorHAnsi" w:cstheme="minorHAnsi"/>
          <w:b w:val="0"/>
          <w:bCs/>
          <w:i/>
          <w:iCs/>
          <w:sz w:val="24"/>
          <w:szCs w:val="24"/>
        </w:rPr>
        <w:t>Two sides of the same coin?</w:t>
      </w:r>
      <w:r w:rsidRPr="00E422B0">
        <w:rPr>
          <w:rFonts w:asciiTheme="minorHAnsi" w:hAnsiTheme="minorHAnsi" w:cstheme="minorHAnsi"/>
          <w:b w:val="0"/>
          <w:bCs/>
          <w:sz w:val="24"/>
          <w:szCs w:val="24"/>
        </w:rPr>
        <w:t xml:space="preserve">” Coaching and mentoring and the agentic role of context’, Annals of the New York Academy of Sciences, 1483(1), pp. 142–152. Available at: </w:t>
      </w:r>
      <w:hyperlink r:id="rId88" w:history="1">
        <w:r w:rsidRPr="00E422B0">
          <w:rPr>
            <w:rStyle w:val="Hyperlink"/>
            <w:rFonts w:asciiTheme="minorHAnsi" w:hAnsiTheme="minorHAnsi" w:cstheme="minorHAnsi"/>
            <w:b w:val="0"/>
            <w:bCs/>
            <w:sz w:val="24"/>
            <w:szCs w:val="24"/>
          </w:rPr>
          <w:t>https://doi.org/10.1111/nyas.14316</w:t>
        </w:r>
      </w:hyperlink>
      <w:r w:rsidRPr="00E422B0">
        <w:rPr>
          <w:rFonts w:asciiTheme="minorHAnsi" w:hAnsiTheme="minorHAnsi" w:cstheme="minorHAnsi"/>
          <w:b w:val="0"/>
          <w:bCs/>
          <w:sz w:val="24"/>
          <w:szCs w:val="24"/>
        </w:rPr>
        <w:t xml:space="preserve">. </w:t>
      </w:r>
    </w:p>
    <w:p w14:paraId="691AE279" w14:textId="26164DCC"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Stokes, P., </w:t>
      </w:r>
      <w:proofErr w:type="spellStart"/>
      <w:r w:rsidRPr="00E422B0">
        <w:rPr>
          <w:rFonts w:asciiTheme="minorHAnsi" w:hAnsiTheme="minorHAnsi" w:cstheme="minorHAnsi"/>
          <w:b w:val="0"/>
          <w:bCs/>
          <w:sz w:val="24"/>
          <w:szCs w:val="24"/>
        </w:rPr>
        <w:t>Fatien</w:t>
      </w:r>
      <w:proofErr w:type="spellEnd"/>
      <w:r w:rsidRPr="00E422B0">
        <w:rPr>
          <w:rFonts w:asciiTheme="minorHAnsi" w:hAnsiTheme="minorHAnsi" w:cstheme="minorHAnsi"/>
          <w:b w:val="0"/>
          <w:bCs/>
          <w:sz w:val="24"/>
          <w:szCs w:val="24"/>
        </w:rPr>
        <w:t xml:space="preserve"> </w:t>
      </w:r>
      <w:proofErr w:type="spellStart"/>
      <w:r w:rsidRPr="00E422B0">
        <w:rPr>
          <w:rFonts w:asciiTheme="minorHAnsi" w:hAnsiTheme="minorHAnsi" w:cstheme="minorHAnsi"/>
          <w:b w:val="0"/>
          <w:bCs/>
          <w:sz w:val="24"/>
          <w:szCs w:val="24"/>
        </w:rPr>
        <w:t>Diochon</w:t>
      </w:r>
      <w:proofErr w:type="spellEnd"/>
      <w:r w:rsidRPr="00E422B0">
        <w:rPr>
          <w:rFonts w:asciiTheme="minorHAnsi" w:hAnsiTheme="minorHAnsi" w:cstheme="minorHAnsi"/>
          <w:b w:val="0"/>
          <w:bCs/>
          <w:sz w:val="24"/>
          <w:szCs w:val="24"/>
        </w:rPr>
        <w:t>, P. and Otter, K. (2021) ‘“</w:t>
      </w:r>
      <w:r w:rsidRPr="00324166">
        <w:rPr>
          <w:rFonts w:asciiTheme="minorHAnsi" w:hAnsiTheme="minorHAnsi" w:cstheme="minorHAnsi"/>
          <w:b w:val="0"/>
          <w:bCs/>
          <w:i/>
          <w:iCs/>
          <w:sz w:val="24"/>
          <w:szCs w:val="24"/>
        </w:rPr>
        <w:t>Two sides of the same coin</w:t>
      </w:r>
      <w:r w:rsidRPr="00E422B0">
        <w:rPr>
          <w:rFonts w:asciiTheme="minorHAnsi" w:hAnsiTheme="minorHAnsi" w:cstheme="minorHAnsi"/>
          <w:b w:val="0"/>
          <w:bCs/>
          <w:sz w:val="24"/>
          <w:szCs w:val="24"/>
        </w:rPr>
        <w:t xml:space="preserve">?” Coaching and mentoring and the agentic role of context’, Annals of the New York Academy of Sciences, 1483(1), pp. 142–152. Available at: </w:t>
      </w:r>
      <w:hyperlink r:id="rId89" w:history="1">
        <w:r w:rsidR="00324166" w:rsidRPr="005C70BF">
          <w:rPr>
            <w:rStyle w:val="Hyperlink"/>
            <w:rFonts w:asciiTheme="minorHAnsi" w:hAnsiTheme="minorHAnsi" w:cstheme="minorHAnsi"/>
            <w:b w:val="0"/>
            <w:bCs/>
            <w:sz w:val="24"/>
            <w:szCs w:val="24"/>
          </w:rPr>
          <w:t>https://doi.org/10.1111/nyas.14316</w:t>
        </w:r>
      </w:hyperlink>
      <w:r w:rsidRPr="00E422B0">
        <w:rPr>
          <w:rFonts w:asciiTheme="minorHAnsi" w:hAnsiTheme="minorHAnsi" w:cstheme="minorHAnsi"/>
          <w:b w:val="0"/>
          <w:bCs/>
          <w:sz w:val="24"/>
          <w:szCs w:val="24"/>
        </w:rPr>
        <w:t>.</w:t>
      </w:r>
      <w:r w:rsidR="00324166">
        <w:rPr>
          <w:rFonts w:asciiTheme="minorHAnsi" w:hAnsiTheme="minorHAnsi" w:cstheme="minorHAnsi"/>
          <w:b w:val="0"/>
          <w:bCs/>
          <w:sz w:val="24"/>
          <w:szCs w:val="24"/>
        </w:rPr>
        <w:t xml:space="preserve"> </w:t>
      </w:r>
    </w:p>
    <w:p w14:paraId="476F26E1" w14:textId="71E150AD"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The University of Edinburgh (2021) </w:t>
      </w:r>
      <w:r w:rsidRPr="00324166">
        <w:rPr>
          <w:rFonts w:asciiTheme="minorHAnsi" w:hAnsiTheme="minorHAnsi" w:cstheme="minorHAnsi"/>
          <w:b w:val="0"/>
          <w:bCs/>
          <w:i/>
          <w:iCs/>
          <w:sz w:val="24"/>
          <w:szCs w:val="24"/>
        </w:rPr>
        <w:t>Critical thinking</w:t>
      </w:r>
      <w:r w:rsidRPr="00E422B0">
        <w:rPr>
          <w:rFonts w:asciiTheme="minorHAnsi" w:hAnsiTheme="minorHAnsi" w:cstheme="minorHAnsi"/>
          <w:b w:val="0"/>
          <w:bCs/>
          <w:sz w:val="24"/>
          <w:szCs w:val="24"/>
        </w:rPr>
        <w:t xml:space="preserve">, The University of Edinburgh. Available at: </w:t>
      </w:r>
      <w:hyperlink r:id="rId90" w:history="1">
        <w:r w:rsidR="00324166" w:rsidRPr="005C70BF">
          <w:rPr>
            <w:rStyle w:val="Hyperlink"/>
            <w:rFonts w:asciiTheme="minorHAnsi" w:hAnsiTheme="minorHAnsi" w:cstheme="minorHAnsi"/>
            <w:b w:val="0"/>
            <w:bCs/>
            <w:sz w:val="24"/>
            <w:szCs w:val="24"/>
          </w:rPr>
          <w:t>https://www.ed.ac.uk/institute-academic-development/study-hub/learning-resources/critical</w:t>
        </w:r>
      </w:hyperlink>
      <w:r w:rsidR="00324166">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(Accessed: February 19, 2023).</w:t>
      </w:r>
    </w:p>
    <w:p w14:paraId="0E33674C" w14:textId="77777777"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University of Cambridge (2016) </w:t>
      </w:r>
      <w:r w:rsidRPr="00E422B0">
        <w:rPr>
          <w:rFonts w:asciiTheme="minorHAnsi" w:hAnsiTheme="minorHAnsi" w:cstheme="minorHAnsi"/>
          <w:b w:val="0"/>
          <w:bCs/>
          <w:i/>
          <w:iCs/>
          <w:sz w:val="24"/>
          <w:szCs w:val="24"/>
        </w:rPr>
        <w:t>University of Cambridge, Mintzberg’s 5 PS for Strategy</w:t>
      </w:r>
      <w:r w:rsidRPr="00E422B0">
        <w:rPr>
          <w:rFonts w:asciiTheme="minorHAnsi" w:hAnsiTheme="minorHAnsi" w:cstheme="minorHAnsi"/>
          <w:b w:val="0"/>
          <w:bCs/>
          <w:sz w:val="24"/>
          <w:szCs w:val="24"/>
        </w:rPr>
        <w:t xml:space="preserve">. Available at: </w:t>
      </w:r>
      <w:hyperlink r:id="rId91" w:history="1">
        <w:r w:rsidRPr="00E422B0">
          <w:rPr>
            <w:rStyle w:val="Hyperlink"/>
            <w:rFonts w:asciiTheme="minorHAnsi" w:hAnsiTheme="minorHAnsi" w:cstheme="minorHAnsi"/>
            <w:b w:val="0"/>
            <w:bCs/>
            <w:sz w:val="24"/>
            <w:szCs w:val="24"/>
          </w:rPr>
          <w:t>https://www.ifm.eng.cam.ac.uk/research/dstools/mintzbergs-5-ps-for-strategy/</w:t>
        </w:r>
      </w:hyperlink>
      <w:r w:rsidRPr="00E422B0">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(Accessed: 18 June 2023).</w:t>
      </w:r>
    </w:p>
    <w:p w14:paraId="650E951D" w14:textId="3014F5FF"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University of the Potomac (2019) </w:t>
      </w:r>
      <w:r w:rsidRPr="00324166">
        <w:rPr>
          <w:rFonts w:asciiTheme="minorHAnsi" w:hAnsiTheme="minorHAnsi" w:cstheme="minorHAnsi"/>
          <w:b w:val="0"/>
          <w:bCs/>
          <w:i/>
          <w:iCs/>
          <w:sz w:val="24"/>
          <w:szCs w:val="24"/>
        </w:rPr>
        <w:t>Critical thinking majors that lead to a positive career and Job Outlook</w:t>
      </w:r>
      <w:r w:rsidRPr="00E422B0">
        <w:rPr>
          <w:rFonts w:asciiTheme="minorHAnsi" w:hAnsiTheme="minorHAnsi" w:cstheme="minorHAnsi"/>
          <w:b w:val="0"/>
          <w:bCs/>
          <w:sz w:val="24"/>
          <w:szCs w:val="24"/>
        </w:rPr>
        <w:t xml:space="preserve">, University of the Potomac. Available at: </w:t>
      </w:r>
      <w:hyperlink r:id="rId92" w:history="1">
        <w:r w:rsidR="00324166" w:rsidRPr="005C70BF">
          <w:rPr>
            <w:rStyle w:val="Hyperlink"/>
            <w:rFonts w:asciiTheme="minorHAnsi" w:hAnsiTheme="minorHAnsi" w:cstheme="minorHAnsi"/>
            <w:b w:val="0"/>
            <w:bCs/>
            <w:sz w:val="24"/>
            <w:szCs w:val="24"/>
          </w:rPr>
          <w:t>https://potomac.edu/critical-thinking-majors-that-lead-to-a-positive-career-and-job-outlook/#</w:t>
        </w:r>
      </w:hyperlink>
      <w:r w:rsidR="00324166">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 xml:space="preserve">(Accessed: February 19, 2023). </w:t>
      </w:r>
    </w:p>
    <w:p w14:paraId="7B7B76D0" w14:textId="0AB28A00"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Vespucci, J. (2020) </w:t>
      </w:r>
      <w:r w:rsidRPr="00324166">
        <w:rPr>
          <w:rFonts w:asciiTheme="minorHAnsi" w:hAnsiTheme="minorHAnsi" w:cstheme="minorHAnsi"/>
          <w:b w:val="0"/>
          <w:bCs/>
          <w:i/>
          <w:iCs/>
          <w:sz w:val="24"/>
          <w:szCs w:val="24"/>
        </w:rPr>
        <w:t xml:space="preserve">Education Level and Police Use of Force </w:t>
      </w:r>
      <w:proofErr w:type="gramStart"/>
      <w:r w:rsidRPr="00324166">
        <w:rPr>
          <w:rFonts w:asciiTheme="minorHAnsi" w:hAnsiTheme="minorHAnsi" w:cstheme="minorHAnsi"/>
          <w:b w:val="0"/>
          <w:bCs/>
          <w:i/>
          <w:iCs/>
          <w:sz w:val="24"/>
          <w:szCs w:val="24"/>
        </w:rPr>
        <w:t>The</w:t>
      </w:r>
      <w:proofErr w:type="gramEnd"/>
      <w:r w:rsidRPr="00324166">
        <w:rPr>
          <w:rFonts w:asciiTheme="minorHAnsi" w:hAnsiTheme="minorHAnsi" w:cstheme="minorHAnsi"/>
          <w:b w:val="0"/>
          <w:bCs/>
          <w:i/>
          <w:iCs/>
          <w:sz w:val="24"/>
          <w:szCs w:val="24"/>
        </w:rPr>
        <w:t xml:space="preserve"> Impact of a College Degree</w:t>
      </w:r>
      <w:r w:rsidRPr="00E422B0">
        <w:rPr>
          <w:rFonts w:asciiTheme="minorHAnsi" w:hAnsiTheme="minorHAnsi" w:cstheme="minorHAnsi"/>
          <w:b w:val="0"/>
          <w:bCs/>
          <w:sz w:val="24"/>
          <w:szCs w:val="24"/>
        </w:rPr>
        <w:t xml:space="preserve">. 1st ed. 2020. Cham: Springer International Publishing. Available at: </w:t>
      </w:r>
      <w:hyperlink r:id="rId93" w:history="1">
        <w:r w:rsidR="00324166" w:rsidRPr="005C70BF">
          <w:rPr>
            <w:rStyle w:val="Hyperlink"/>
            <w:rFonts w:asciiTheme="minorHAnsi" w:hAnsiTheme="minorHAnsi" w:cstheme="minorHAnsi"/>
            <w:b w:val="0"/>
            <w:bCs/>
            <w:sz w:val="24"/>
            <w:szCs w:val="24"/>
          </w:rPr>
          <w:t>https://doi.org/10.1007/978-3-030-42795-5</w:t>
        </w:r>
      </w:hyperlink>
      <w:r w:rsidRPr="00E422B0">
        <w:rPr>
          <w:rFonts w:asciiTheme="minorHAnsi" w:hAnsiTheme="minorHAnsi" w:cstheme="minorHAnsi"/>
          <w:b w:val="0"/>
          <w:bCs/>
          <w:sz w:val="24"/>
          <w:szCs w:val="24"/>
        </w:rPr>
        <w:t>.</w:t>
      </w:r>
      <w:r w:rsidR="00324166">
        <w:rPr>
          <w:rFonts w:asciiTheme="minorHAnsi" w:hAnsiTheme="minorHAnsi" w:cstheme="minorHAnsi"/>
          <w:b w:val="0"/>
          <w:bCs/>
          <w:sz w:val="24"/>
          <w:szCs w:val="24"/>
        </w:rPr>
        <w:t xml:space="preserve"> </w:t>
      </w:r>
    </w:p>
    <w:p w14:paraId="4A89FE60" w14:textId="4D2C0714"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Walsh, D. et al. (2019) ‘</w:t>
      </w:r>
      <w:r w:rsidRPr="00324166">
        <w:rPr>
          <w:rFonts w:asciiTheme="minorHAnsi" w:hAnsiTheme="minorHAnsi" w:cstheme="minorHAnsi"/>
          <w:b w:val="0"/>
          <w:bCs/>
          <w:i/>
          <w:iCs/>
          <w:sz w:val="24"/>
          <w:szCs w:val="24"/>
        </w:rPr>
        <w:t>Relationship between childhood socioeconomic position and adverse childhood experiences (ACEs): a systematic review’</w:t>
      </w:r>
      <w:r w:rsidRPr="00E422B0">
        <w:rPr>
          <w:rFonts w:asciiTheme="minorHAnsi" w:hAnsiTheme="minorHAnsi" w:cstheme="minorHAnsi"/>
          <w:b w:val="0"/>
          <w:bCs/>
          <w:sz w:val="24"/>
          <w:szCs w:val="24"/>
        </w:rPr>
        <w:t xml:space="preserve">, Journal of epidemiology and community health (1979), 73(12), pp. 1087–1093. Available at: </w:t>
      </w:r>
      <w:hyperlink r:id="rId94" w:history="1">
        <w:r w:rsidR="00324166" w:rsidRPr="005C70BF">
          <w:rPr>
            <w:rStyle w:val="Hyperlink"/>
            <w:rFonts w:asciiTheme="minorHAnsi" w:hAnsiTheme="minorHAnsi" w:cstheme="minorHAnsi"/>
            <w:b w:val="0"/>
            <w:bCs/>
            <w:sz w:val="24"/>
            <w:szCs w:val="24"/>
          </w:rPr>
          <w:t>https://doi.org/10.1136/jech-2019-212738</w:t>
        </w:r>
      </w:hyperlink>
      <w:r w:rsidRPr="00E422B0">
        <w:rPr>
          <w:rFonts w:asciiTheme="minorHAnsi" w:hAnsiTheme="minorHAnsi" w:cstheme="minorHAnsi"/>
          <w:b w:val="0"/>
          <w:bCs/>
          <w:sz w:val="24"/>
          <w:szCs w:val="24"/>
        </w:rPr>
        <w:t>.</w:t>
      </w:r>
      <w:r w:rsidR="00324166">
        <w:rPr>
          <w:rFonts w:asciiTheme="minorHAnsi" w:hAnsiTheme="minorHAnsi" w:cstheme="minorHAnsi"/>
          <w:b w:val="0"/>
          <w:bCs/>
          <w:sz w:val="24"/>
          <w:szCs w:val="24"/>
        </w:rPr>
        <w:t xml:space="preserve"> </w:t>
      </w:r>
    </w:p>
    <w:p w14:paraId="2AF0899C" w14:textId="082935A4"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Walsh, J.P. and O’Connor, C. (2019) ‘</w:t>
      </w:r>
      <w:r w:rsidRPr="00324166">
        <w:rPr>
          <w:rFonts w:asciiTheme="minorHAnsi" w:hAnsiTheme="minorHAnsi" w:cstheme="minorHAnsi"/>
          <w:b w:val="0"/>
          <w:bCs/>
          <w:i/>
          <w:iCs/>
          <w:sz w:val="24"/>
          <w:szCs w:val="24"/>
        </w:rPr>
        <w:t>Social media and policing: A review of recent research</w:t>
      </w:r>
      <w:r w:rsidRPr="00E422B0">
        <w:rPr>
          <w:rFonts w:asciiTheme="minorHAnsi" w:hAnsiTheme="minorHAnsi" w:cstheme="minorHAnsi"/>
          <w:b w:val="0"/>
          <w:bCs/>
          <w:sz w:val="24"/>
          <w:szCs w:val="24"/>
        </w:rPr>
        <w:t xml:space="preserve">’, Sociology compass, 13(1), p. e12648–n/a. Available at: </w:t>
      </w:r>
      <w:hyperlink r:id="rId95" w:history="1">
        <w:r w:rsidR="00324166" w:rsidRPr="005C70BF">
          <w:rPr>
            <w:rStyle w:val="Hyperlink"/>
            <w:rFonts w:asciiTheme="minorHAnsi" w:hAnsiTheme="minorHAnsi" w:cstheme="minorHAnsi"/>
            <w:b w:val="0"/>
            <w:bCs/>
            <w:sz w:val="24"/>
            <w:szCs w:val="24"/>
          </w:rPr>
          <w:t>https://doi.org/10.1111/soc4.12648</w:t>
        </w:r>
      </w:hyperlink>
      <w:r w:rsidRPr="00E422B0">
        <w:rPr>
          <w:rFonts w:asciiTheme="minorHAnsi" w:hAnsiTheme="minorHAnsi" w:cstheme="minorHAnsi"/>
          <w:b w:val="0"/>
          <w:bCs/>
          <w:sz w:val="24"/>
          <w:szCs w:val="24"/>
        </w:rPr>
        <w:t>.</w:t>
      </w:r>
      <w:r w:rsidR="00324166">
        <w:rPr>
          <w:rFonts w:asciiTheme="minorHAnsi" w:hAnsiTheme="minorHAnsi" w:cstheme="minorHAnsi"/>
          <w:b w:val="0"/>
          <w:bCs/>
          <w:sz w:val="24"/>
          <w:szCs w:val="24"/>
        </w:rPr>
        <w:t xml:space="preserve"> </w:t>
      </w:r>
    </w:p>
    <w:p w14:paraId="68DBEC41" w14:textId="09627D8A" w:rsidR="00E422B0" w:rsidRPr="00E422B0" w:rsidRDefault="00E422B0" w:rsidP="00E422B0">
      <w:pPr>
        <w:pStyle w:val="Heading1"/>
        <w:rPr>
          <w:rFonts w:asciiTheme="minorHAnsi" w:hAnsiTheme="minorHAnsi" w:cstheme="minorHAnsi"/>
          <w:b w:val="0"/>
          <w:bCs/>
          <w:sz w:val="24"/>
          <w:szCs w:val="24"/>
        </w:rPr>
      </w:pPr>
      <w:r w:rsidRPr="00E422B0">
        <w:rPr>
          <w:rFonts w:asciiTheme="minorHAnsi" w:hAnsiTheme="minorHAnsi" w:cstheme="minorHAnsi"/>
          <w:b w:val="0"/>
          <w:bCs/>
          <w:sz w:val="24"/>
          <w:szCs w:val="24"/>
        </w:rPr>
        <w:t xml:space="preserve">Watkins, M. (2007) </w:t>
      </w:r>
      <w:r w:rsidRPr="00324166">
        <w:rPr>
          <w:rFonts w:asciiTheme="minorHAnsi" w:hAnsiTheme="minorHAnsi" w:cstheme="minorHAnsi"/>
          <w:b w:val="0"/>
          <w:bCs/>
          <w:i/>
          <w:iCs/>
          <w:sz w:val="24"/>
          <w:szCs w:val="24"/>
        </w:rPr>
        <w:t>Demystifying strategy: The what, who, how, and why, Harvard Business Review</w:t>
      </w:r>
      <w:r w:rsidRPr="00E422B0">
        <w:rPr>
          <w:rFonts w:asciiTheme="minorHAnsi" w:hAnsiTheme="minorHAnsi" w:cstheme="minorHAnsi"/>
          <w:b w:val="0"/>
          <w:bCs/>
          <w:sz w:val="24"/>
          <w:szCs w:val="24"/>
        </w:rPr>
        <w:t xml:space="preserve">. Available at: </w:t>
      </w:r>
      <w:hyperlink r:id="rId96" w:history="1">
        <w:r w:rsidR="00324166" w:rsidRPr="005C70BF">
          <w:rPr>
            <w:rStyle w:val="Hyperlink"/>
            <w:rFonts w:asciiTheme="minorHAnsi" w:hAnsiTheme="minorHAnsi" w:cstheme="minorHAnsi"/>
            <w:b w:val="0"/>
            <w:bCs/>
            <w:sz w:val="24"/>
            <w:szCs w:val="24"/>
          </w:rPr>
          <w:t>https://hbr.org/2007/09/demystifying-strategy-the-what</w:t>
        </w:r>
      </w:hyperlink>
      <w:r w:rsidR="00324166">
        <w:rPr>
          <w:rFonts w:asciiTheme="minorHAnsi" w:hAnsiTheme="minorHAnsi" w:cstheme="minorHAnsi"/>
          <w:b w:val="0"/>
          <w:bCs/>
          <w:sz w:val="24"/>
          <w:szCs w:val="24"/>
        </w:rPr>
        <w:t xml:space="preserve"> </w:t>
      </w:r>
      <w:r w:rsidRPr="00E422B0">
        <w:rPr>
          <w:rFonts w:asciiTheme="minorHAnsi" w:hAnsiTheme="minorHAnsi" w:cstheme="minorHAnsi"/>
          <w:b w:val="0"/>
          <w:bCs/>
          <w:sz w:val="24"/>
          <w:szCs w:val="24"/>
        </w:rPr>
        <w:t>(Accessed: 09 June 2023).</w:t>
      </w:r>
    </w:p>
    <w:p w14:paraId="5803577F" w14:textId="77777777" w:rsidR="00E422B0" w:rsidRPr="00E422B0" w:rsidRDefault="00E422B0" w:rsidP="00E422B0">
      <w:pPr>
        <w:pStyle w:val="Heading1"/>
        <w:rPr>
          <w:rFonts w:asciiTheme="minorHAnsi" w:hAnsiTheme="minorHAnsi" w:cstheme="minorHAnsi"/>
          <w:b w:val="0"/>
          <w:bCs/>
          <w:sz w:val="24"/>
          <w:szCs w:val="24"/>
        </w:rPr>
      </w:pPr>
      <w:proofErr w:type="spellStart"/>
      <w:r w:rsidRPr="00E422B0">
        <w:rPr>
          <w:rFonts w:asciiTheme="minorHAnsi" w:hAnsiTheme="minorHAnsi" w:cstheme="minorHAnsi"/>
          <w:b w:val="0"/>
          <w:bCs/>
          <w:sz w:val="24"/>
          <w:szCs w:val="24"/>
        </w:rPr>
        <w:t>Weinbach</w:t>
      </w:r>
      <w:proofErr w:type="spellEnd"/>
      <w:r w:rsidRPr="00E422B0">
        <w:rPr>
          <w:rFonts w:asciiTheme="minorHAnsi" w:hAnsiTheme="minorHAnsi" w:cstheme="minorHAnsi"/>
          <w:b w:val="0"/>
          <w:bCs/>
          <w:sz w:val="24"/>
          <w:szCs w:val="24"/>
        </w:rPr>
        <w:t>, R. W. (1994</w:t>
      </w:r>
      <w:r w:rsidRPr="00324166">
        <w:rPr>
          <w:rFonts w:asciiTheme="minorHAnsi" w:hAnsiTheme="minorHAnsi" w:cstheme="minorHAnsi"/>
          <w:b w:val="0"/>
          <w:bCs/>
          <w:i/>
          <w:iCs/>
          <w:sz w:val="24"/>
          <w:szCs w:val="24"/>
        </w:rPr>
        <w:t>). The social worker as manager: Theory and practice</w:t>
      </w:r>
      <w:r w:rsidRPr="00E422B0">
        <w:rPr>
          <w:rFonts w:asciiTheme="minorHAnsi" w:hAnsiTheme="minorHAnsi" w:cstheme="minorHAnsi"/>
          <w:b w:val="0"/>
          <w:bCs/>
          <w:sz w:val="24"/>
          <w:szCs w:val="24"/>
        </w:rPr>
        <w:t xml:space="preserve"> (2nd ed.). Boston, MA: </w:t>
      </w:r>
    </w:p>
    <w:p w14:paraId="709B5F02" w14:textId="77777777" w:rsidR="00E422B0" w:rsidRPr="00E422B0" w:rsidRDefault="00E422B0" w:rsidP="00E422B0">
      <w:pPr>
        <w:keepNext/>
        <w:ind w:right="237"/>
        <w:rPr>
          <w:rFonts w:asciiTheme="minorHAnsi" w:hAnsiTheme="minorHAnsi" w:cstheme="minorHAnsi"/>
          <w:bCs/>
          <w:sz w:val="24"/>
          <w:szCs w:val="24"/>
        </w:rPr>
      </w:pPr>
    </w:p>
    <w:p w14:paraId="3CCF4344" w14:textId="77777777" w:rsidR="00E422B0" w:rsidRDefault="00E422B0" w:rsidP="00AB6BAF">
      <w:pPr>
        <w:keepNext/>
        <w:ind w:right="237"/>
        <w:rPr>
          <w:rFonts w:asciiTheme="minorHAnsi" w:hAnsiTheme="minorHAnsi" w:cstheme="minorHAnsi"/>
          <w:bCs/>
          <w:sz w:val="24"/>
          <w:szCs w:val="24"/>
        </w:rPr>
      </w:pPr>
    </w:p>
    <w:p w14:paraId="1FD2904A" w14:textId="77777777" w:rsidR="00E422B0" w:rsidRDefault="00E422B0" w:rsidP="00AB6BAF">
      <w:pPr>
        <w:keepNext/>
        <w:ind w:right="237"/>
        <w:rPr>
          <w:rFonts w:asciiTheme="minorHAnsi" w:hAnsiTheme="minorHAnsi" w:cstheme="minorHAnsi"/>
          <w:bCs/>
          <w:sz w:val="24"/>
          <w:szCs w:val="24"/>
        </w:rPr>
      </w:pPr>
    </w:p>
    <w:p w14:paraId="5D1E78EB" w14:textId="77777777" w:rsidR="00E422B0" w:rsidRDefault="00E422B0" w:rsidP="00AB6BAF">
      <w:pPr>
        <w:keepNext/>
        <w:ind w:right="237"/>
        <w:rPr>
          <w:rFonts w:asciiTheme="minorHAnsi" w:hAnsiTheme="minorHAnsi" w:cstheme="minorHAnsi"/>
          <w:bCs/>
          <w:sz w:val="24"/>
          <w:szCs w:val="24"/>
        </w:rPr>
      </w:pPr>
    </w:p>
    <w:p w14:paraId="42EE3EC5" w14:textId="77777777" w:rsidR="00E422B0" w:rsidRPr="00AB6BAF" w:rsidRDefault="00E422B0" w:rsidP="00AB6BAF">
      <w:pPr>
        <w:keepNext/>
        <w:ind w:right="237"/>
        <w:rPr>
          <w:rFonts w:asciiTheme="minorHAnsi" w:hAnsiTheme="minorHAnsi" w:cstheme="minorHAnsi"/>
          <w:bCs/>
          <w:sz w:val="24"/>
          <w:szCs w:val="24"/>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Pr="00082AAE" w:rsidRDefault="609B7D34" w:rsidP="28D1B5E1">
      <w:pPr>
        <w:jc w:val="both"/>
        <w:rPr>
          <w:rFonts w:eastAsia="Arial"/>
          <w:b/>
          <w:bCs/>
          <w:color w:val="000000" w:themeColor="text1"/>
          <w:sz w:val="24"/>
          <w:szCs w:val="24"/>
        </w:rPr>
      </w:pPr>
      <w:r w:rsidRPr="28D1B5E1">
        <w:rPr>
          <w:rFonts w:eastAsia="Arial"/>
          <w:b/>
          <w:bCs/>
          <w:color w:val="000000" w:themeColor="text1"/>
          <w:sz w:val="24"/>
          <w:szCs w:val="24"/>
        </w:rPr>
        <w:t xml:space="preserve"> </w:t>
      </w:r>
      <w:r w:rsidRPr="00082AAE">
        <w:rPr>
          <w:rFonts w:eastAsia="Arial"/>
          <w:b/>
          <w:bCs/>
          <w:color w:val="000000" w:themeColor="text1"/>
          <w:sz w:val="24"/>
          <w:szCs w:val="24"/>
        </w:rPr>
        <w:t xml:space="preserve">CONFIDENTIALITY and PLAGIARISM </w:t>
      </w:r>
    </w:p>
    <w:p w14:paraId="37AF4F35" w14:textId="10CB9FE1" w:rsidR="609B7D34" w:rsidRPr="00082AAE" w:rsidRDefault="609B7D34" w:rsidP="28D1B5E1">
      <w:pPr>
        <w:jc w:val="both"/>
        <w:rPr>
          <w:rFonts w:eastAsia="Arial"/>
          <w:b/>
          <w:bCs/>
          <w:color w:val="000000" w:themeColor="text1"/>
          <w:sz w:val="24"/>
          <w:szCs w:val="24"/>
        </w:rPr>
      </w:pPr>
    </w:p>
    <w:p w14:paraId="2E6D5953" w14:textId="7A4157C9" w:rsidR="609B7D34" w:rsidRPr="00082AAE" w:rsidRDefault="4A2FCBCA" w:rsidP="28D1B5E1">
      <w:pPr>
        <w:jc w:val="both"/>
        <w:rPr>
          <w:rFonts w:eastAsia="Arial"/>
          <w:b/>
          <w:bCs/>
          <w:color w:val="000000" w:themeColor="text1"/>
          <w:sz w:val="24"/>
          <w:szCs w:val="24"/>
        </w:rPr>
      </w:pPr>
      <w:r w:rsidRPr="00082AAE">
        <w:rPr>
          <w:rFonts w:eastAsia="Arial"/>
          <w:b/>
          <w:bCs/>
          <w:color w:val="000000" w:themeColor="text1"/>
          <w:sz w:val="24"/>
          <w:szCs w:val="24"/>
        </w:rPr>
        <w:t>This is automatically checked via Turnitin submission of your workbook.</w:t>
      </w:r>
    </w:p>
    <w:p w14:paraId="6D01F843" w14:textId="093A8EEF" w:rsidR="28D1B5E1" w:rsidRPr="00082AAE" w:rsidRDefault="28D1B5E1" w:rsidP="28D1B5E1">
      <w:pPr>
        <w:jc w:val="both"/>
        <w:rPr>
          <w:b/>
          <w:bCs/>
          <w:color w:val="000000" w:themeColor="text1"/>
          <w:sz w:val="24"/>
          <w:szCs w:val="24"/>
        </w:rPr>
      </w:pPr>
    </w:p>
    <w:p w14:paraId="1015A658" w14:textId="3FC5C757" w:rsidR="28D1B5E1" w:rsidRPr="00082AAE" w:rsidRDefault="28D1B5E1" w:rsidP="28D1B5E1">
      <w:pPr>
        <w:jc w:val="both"/>
        <w:rPr>
          <w:rFonts w:eastAsia="Arial"/>
          <w:b/>
          <w:bCs/>
          <w:color w:val="000000" w:themeColor="text1"/>
          <w:sz w:val="24"/>
          <w:szCs w:val="24"/>
        </w:rPr>
      </w:pPr>
      <w:r w:rsidRPr="00082AAE">
        <w:rPr>
          <w:rFonts w:eastAsia="Arial"/>
          <w:b/>
          <w:bCs/>
          <w:color w:val="000000" w:themeColor="text1"/>
          <w:sz w:val="24"/>
          <w:szCs w:val="24"/>
        </w:rPr>
        <w:t xml:space="preserve">Please sign below to confirm that the work submitted is your own. </w:t>
      </w:r>
    </w:p>
    <w:p w14:paraId="31F2C73E" w14:textId="15BB5EF1" w:rsidR="28D1B5E1" w:rsidRPr="00082AAE" w:rsidRDefault="28D1B5E1" w:rsidP="28D1B5E1">
      <w:pPr>
        <w:jc w:val="both"/>
        <w:rPr>
          <w:b/>
          <w:bCs/>
          <w:color w:val="000000" w:themeColor="text1"/>
          <w:sz w:val="24"/>
          <w:szCs w:val="24"/>
        </w:rPr>
      </w:pPr>
    </w:p>
    <w:p w14:paraId="6955422D" w14:textId="4B07CAC2" w:rsidR="28D1B5E1" w:rsidRPr="00082AAE" w:rsidRDefault="28D1B5E1" w:rsidP="28D1B5E1">
      <w:pPr>
        <w:jc w:val="both"/>
        <w:rPr>
          <w:rFonts w:eastAsia="Arial"/>
          <w:b/>
          <w:bCs/>
          <w:color w:val="000000" w:themeColor="text1"/>
          <w:sz w:val="24"/>
          <w:szCs w:val="24"/>
        </w:rPr>
      </w:pPr>
      <w:proofErr w:type="gramStart"/>
      <w:r w:rsidRPr="00082AAE">
        <w:rPr>
          <w:rFonts w:eastAsia="Arial"/>
          <w:b/>
          <w:bCs/>
          <w:color w:val="000000" w:themeColor="text1"/>
          <w:sz w:val="24"/>
          <w:szCs w:val="24"/>
        </w:rPr>
        <w:t>Sign....</w:t>
      </w:r>
      <w:proofErr w:type="spellStart"/>
      <w:r w:rsidR="00A20F42">
        <w:rPr>
          <w:rFonts w:eastAsia="Arial"/>
          <w:b/>
          <w:bCs/>
          <w:color w:val="000000" w:themeColor="text1"/>
          <w:sz w:val="24"/>
          <w:szCs w:val="24"/>
        </w:rPr>
        <w:t>R.Hatter</w:t>
      </w:r>
      <w:proofErr w:type="spellEnd"/>
      <w:proofErr w:type="gramEnd"/>
      <w:r w:rsidR="00A20F42">
        <w:rPr>
          <w:rFonts w:eastAsia="Arial"/>
          <w:b/>
          <w:bCs/>
          <w:color w:val="000000" w:themeColor="text1"/>
          <w:sz w:val="24"/>
          <w:szCs w:val="24"/>
        </w:rPr>
        <w:t xml:space="preserve"> </w:t>
      </w:r>
    </w:p>
    <w:p w14:paraId="574DF1C8" w14:textId="1C0C00AA" w:rsidR="28D1B5E1" w:rsidRPr="00082AAE" w:rsidRDefault="28D1B5E1" w:rsidP="28D1B5E1">
      <w:pPr>
        <w:jc w:val="both"/>
        <w:rPr>
          <w:b/>
          <w:bCs/>
          <w:color w:val="000000" w:themeColor="text1"/>
          <w:sz w:val="24"/>
          <w:szCs w:val="24"/>
        </w:rPr>
      </w:pPr>
    </w:p>
    <w:p w14:paraId="6AF6F333" w14:textId="1E19824A" w:rsidR="28D1B5E1" w:rsidRPr="00082AAE" w:rsidRDefault="28D1B5E1" w:rsidP="28D1B5E1">
      <w:pPr>
        <w:jc w:val="both"/>
        <w:rPr>
          <w:rFonts w:eastAsia="Arial"/>
          <w:b/>
          <w:bCs/>
          <w:color w:val="000000" w:themeColor="text1"/>
          <w:sz w:val="24"/>
          <w:szCs w:val="24"/>
        </w:rPr>
      </w:pPr>
      <w:r w:rsidRPr="00082AAE">
        <w:rPr>
          <w:rFonts w:eastAsia="Arial"/>
          <w:b/>
          <w:bCs/>
          <w:color w:val="000000" w:themeColor="text1"/>
          <w:sz w:val="24"/>
          <w:szCs w:val="24"/>
        </w:rPr>
        <w:t>Date</w:t>
      </w:r>
      <w:r w:rsidR="00A20F42">
        <w:rPr>
          <w:rFonts w:eastAsia="Arial"/>
          <w:b/>
          <w:bCs/>
          <w:color w:val="000000" w:themeColor="text1"/>
          <w:sz w:val="24"/>
          <w:szCs w:val="24"/>
        </w:rPr>
        <w:t>18/06/23</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747CB8" w14:textId="77777777" w:rsidR="00FB7B9A" w:rsidRDefault="00FB7B9A">
      <w:r>
        <w:separator/>
      </w:r>
    </w:p>
  </w:endnote>
  <w:endnote w:type="continuationSeparator" w:id="0">
    <w:p w14:paraId="501EB4E4" w14:textId="77777777" w:rsidR="00FB7B9A" w:rsidRDefault="00FB7B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FE1EA" w14:textId="77777777" w:rsidR="00732D74" w:rsidRDefault="00732D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D6C42D" w14:textId="77777777" w:rsidR="00732D74" w:rsidRDefault="00732D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CBDF65" w14:textId="77777777" w:rsidR="00FB7B9A" w:rsidRDefault="00FB7B9A">
      <w:r>
        <w:separator/>
      </w:r>
    </w:p>
  </w:footnote>
  <w:footnote w:type="continuationSeparator" w:id="0">
    <w:p w14:paraId="4DC88B5C" w14:textId="77777777" w:rsidR="00FB7B9A" w:rsidRDefault="00FB7B9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54CB79" w14:textId="77777777" w:rsidR="00732D74" w:rsidRDefault="00732D7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9A5E65" w14:textId="77777777" w:rsidR="00732D74" w:rsidRDefault="00732D7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66A351" w14:textId="77777777" w:rsidR="00732D74" w:rsidRDefault="00732D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456A8596"/>
    <w:lvl w:ilvl="0" w:tplc="365CBCD2">
      <w:start w:val="1"/>
      <w:numFmt w:val="bullet"/>
      <w:lvlText w:val=""/>
      <w:lvlJc w:val="left"/>
      <w:pPr>
        <w:ind w:left="720" w:hanging="360"/>
      </w:pPr>
      <w:rPr>
        <w:rFonts w:ascii="Symbol" w:hAnsi="Symbol" w:hint="default"/>
      </w:rPr>
    </w:lvl>
    <w:lvl w:ilvl="1" w:tplc="36B8A3D0">
      <w:start w:val="1"/>
      <w:numFmt w:val="bullet"/>
      <w:lvlText w:val="o"/>
      <w:lvlJc w:val="left"/>
      <w:pPr>
        <w:ind w:left="1440" w:hanging="360"/>
      </w:pPr>
      <w:rPr>
        <w:rFonts w:ascii="Courier New" w:hAnsi="Courier New" w:hint="default"/>
      </w:rPr>
    </w:lvl>
    <w:lvl w:ilvl="2" w:tplc="EDA436D0">
      <w:start w:val="1"/>
      <w:numFmt w:val="bullet"/>
      <w:lvlText w:val=""/>
      <w:lvlJc w:val="left"/>
      <w:pPr>
        <w:ind w:left="2160" w:hanging="360"/>
      </w:pPr>
      <w:rPr>
        <w:rFonts w:ascii="Wingdings" w:hAnsi="Wingdings" w:hint="default"/>
      </w:rPr>
    </w:lvl>
    <w:lvl w:ilvl="3" w:tplc="3E8250B0">
      <w:start w:val="1"/>
      <w:numFmt w:val="bullet"/>
      <w:lvlText w:val=""/>
      <w:lvlJc w:val="left"/>
      <w:pPr>
        <w:ind w:left="2880" w:hanging="360"/>
      </w:pPr>
      <w:rPr>
        <w:rFonts w:ascii="Symbol" w:hAnsi="Symbol" w:hint="default"/>
      </w:rPr>
    </w:lvl>
    <w:lvl w:ilvl="4" w:tplc="D6D40A66">
      <w:start w:val="1"/>
      <w:numFmt w:val="bullet"/>
      <w:lvlText w:val="o"/>
      <w:lvlJc w:val="left"/>
      <w:pPr>
        <w:ind w:left="3600" w:hanging="360"/>
      </w:pPr>
      <w:rPr>
        <w:rFonts w:ascii="Courier New" w:hAnsi="Courier New" w:hint="default"/>
      </w:rPr>
    </w:lvl>
    <w:lvl w:ilvl="5" w:tplc="300237C0">
      <w:start w:val="1"/>
      <w:numFmt w:val="bullet"/>
      <w:lvlText w:val=""/>
      <w:lvlJc w:val="left"/>
      <w:pPr>
        <w:ind w:left="4320" w:hanging="360"/>
      </w:pPr>
      <w:rPr>
        <w:rFonts w:ascii="Wingdings" w:hAnsi="Wingdings" w:hint="default"/>
      </w:rPr>
    </w:lvl>
    <w:lvl w:ilvl="6" w:tplc="3F5E7270">
      <w:start w:val="1"/>
      <w:numFmt w:val="bullet"/>
      <w:lvlText w:val=""/>
      <w:lvlJc w:val="left"/>
      <w:pPr>
        <w:ind w:left="5040" w:hanging="360"/>
      </w:pPr>
      <w:rPr>
        <w:rFonts w:ascii="Symbol" w:hAnsi="Symbol" w:hint="default"/>
      </w:rPr>
    </w:lvl>
    <w:lvl w:ilvl="7" w:tplc="C1FED06A">
      <w:start w:val="1"/>
      <w:numFmt w:val="bullet"/>
      <w:lvlText w:val="o"/>
      <w:lvlJc w:val="left"/>
      <w:pPr>
        <w:ind w:left="5760" w:hanging="360"/>
      </w:pPr>
      <w:rPr>
        <w:rFonts w:ascii="Courier New" w:hAnsi="Courier New" w:hint="default"/>
      </w:rPr>
    </w:lvl>
    <w:lvl w:ilvl="8" w:tplc="082612CE">
      <w:start w:val="1"/>
      <w:numFmt w:val="bullet"/>
      <w:lvlText w:val=""/>
      <w:lvlJc w:val="left"/>
      <w:pPr>
        <w:ind w:left="6480" w:hanging="360"/>
      </w:pPr>
      <w:rPr>
        <w:rFonts w:ascii="Wingdings" w:hAnsi="Wingdings" w:hint="default"/>
      </w:rPr>
    </w:lvl>
  </w:abstractNum>
  <w:num w:numId="1" w16cid:durableId="1096630332">
    <w:abstractNumId w:val="3"/>
  </w:num>
  <w:num w:numId="2" w16cid:durableId="2130273652">
    <w:abstractNumId w:val="1"/>
  </w:num>
  <w:num w:numId="3" w16cid:durableId="1220828655">
    <w:abstractNumId w:val="2"/>
  </w:num>
  <w:num w:numId="4" w16cid:durableId="92473216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1D44"/>
    <w:rsid w:val="00055D43"/>
    <w:rsid w:val="00056FAC"/>
    <w:rsid w:val="00057751"/>
    <w:rsid w:val="00062E39"/>
    <w:rsid w:val="00080E58"/>
    <w:rsid w:val="00082AAE"/>
    <w:rsid w:val="00083D99"/>
    <w:rsid w:val="00084EA6"/>
    <w:rsid w:val="00085699"/>
    <w:rsid w:val="00087891"/>
    <w:rsid w:val="00091F52"/>
    <w:rsid w:val="00092970"/>
    <w:rsid w:val="00092BC7"/>
    <w:rsid w:val="00093720"/>
    <w:rsid w:val="000938E6"/>
    <w:rsid w:val="00093B3C"/>
    <w:rsid w:val="0009488C"/>
    <w:rsid w:val="00095C1B"/>
    <w:rsid w:val="00096DEA"/>
    <w:rsid w:val="000A141A"/>
    <w:rsid w:val="000A4240"/>
    <w:rsid w:val="000A469A"/>
    <w:rsid w:val="000B1E96"/>
    <w:rsid w:val="000C378F"/>
    <w:rsid w:val="000C6892"/>
    <w:rsid w:val="000C6FFE"/>
    <w:rsid w:val="000D0BB6"/>
    <w:rsid w:val="000D2632"/>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72D87"/>
    <w:rsid w:val="00190913"/>
    <w:rsid w:val="001961CF"/>
    <w:rsid w:val="001A59BB"/>
    <w:rsid w:val="001A6A51"/>
    <w:rsid w:val="001A79C4"/>
    <w:rsid w:val="001B331A"/>
    <w:rsid w:val="001C0C51"/>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25BC5"/>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3A7F"/>
    <w:rsid w:val="002B443A"/>
    <w:rsid w:val="002B5B35"/>
    <w:rsid w:val="002C256A"/>
    <w:rsid w:val="002C496D"/>
    <w:rsid w:val="002D05EB"/>
    <w:rsid w:val="002D2F29"/>
    <w:rsid w:val="002D2FD3"/>
    <w:rsid w:val="002E7017"/>
    <w:rsid w:val="002F4F6E"/>
    <w:rsid w:val="003015C3"/>
    <w:rsid w:val="0030698D"/>
    <w:rsid w:val="0031011A"/>
    <w:rsid w:val="0031350A"/>
    <w:rsid w:val="0031569E"/>
    <w:rsid w:val="00316815"/>
    <w:rsid w:val="003168CA"/>
    <w:rsid w:val="00321255"/>
    <w:rsid w:val="0032230D"/>
    <w:rsid w:val="00322A0B"/>
    <w:rsid w:val="00324166"/>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0E35"/>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0E0D"/>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0630"/>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20BF"/>
    <w:rsid w:val="005A545C"/>
    <w:rsid w:val="005B1CF8"/>
    <w:rsid w:val="005C1567"/>
    <w:rsid w:val="005C6289"/>
    <w:rsid w:val="005C6CE5"/>
    <w:rsid w:val="005D2A9A"/>
    <w:rsid w:val="005D3CA9"/>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4B84"/>
    <w:rsid w:val="006B5E67"/>
    <w:rsid w:val="006BE8E5"/>
    <w:rsid w:val="006C2EB5"/>
    <w:rsid w:val="006C3261"/>
    <w:rsid w:val="006D0553"/>
    <w:rsid w:val="006D18A3"/>
    <w:rsid w:val="006D5970"/>
    <w:rsid w:val="006E481E"/>
    <w:rsid w:val="006E795F"/>
    <w:rsid w:val="00700249"/>
    <w:rsid w:val="0070604C"/>
    <w:rsid w:val="007069CD"/>
    <w:rsid w:val="007110E6"/>
    <w:rsid w:val="00711A70"/>
    <w:rsid w:val="00712E6F"/>
    <w:rsid w:val="00712E90"/>
    <w:rsid w:val="00713B7E"/>
    <w:rsid w:val="007147B3"/>
    <w:rsid w:val="007204AE"/>
    <w:rsid w:val="0072678F"/>
    <w:rsid w:val="00727C4C"/>
    <w:rsid w:val="00731FFA"/>
    <w:rsid w:val="00732D74"/>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042"/>
    <w:rsid w:val="00813CEC"/>
    <w:rsid w:val="0081534C"/>
    <w:rsid w:val="008171E4"/>
    <w:rsid w:val="008208EA"/>
    <w:rsid w:val="00824E67"/>
    <w:rsid w:val="00825A64"/>
    <w:rsid w:val="00826F48"/>
    <w:rsid w:val="008308AE"/>
    <w:rsid w:val="00830BDA"/>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4A93"/>
    <w:rsid w:val="008D5813"/>
    <w:rsid w:val="008D634E"/>
    <w:rsid w:val="008D778A"/>
    <w:rsid w:val="008F22BD"/>
    <w:rsid w:val="008F46CC"/>
    <w:rsid w:val="009079BD"/>
    <w:rsid w:val="00912BD9"/>
    <w:rsid w:val="00920E5B"/>
    <w:rsid w:val="00926436"/>
    <w:rsid w:val="009264ED"/>
    <w:rsid w:val="0093018C"/>
    <w:rsid w:val="00932CCA"/>
    <w:rsid w:val="00953E15"/>
    <w:rsid w:val="009544C0"/>
    <w:rsid w:val="00954FA4"/>
    <w:rsid w:val="00956AE9"/>
    <w:rsid w:val="00964CC6"/>
    <w:rsid w:val="009707CA"/>
    <w:rsid w:val="0098064C"/>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9DB"/>
    <w:rsid w:val="009E4D2C"/>
    <w:rsid w:val="009F0978"/>
    <w:rsid w:val="009F3AEC"/>
    <w:rsid w:val="00A00081"/>
    <w:rsid w:val="00A015F7"/>
    <w:rsid w:val="00A10D56"/>
    <w:rsid w:val="00A12AAE"/>
    <w:rsid w:val="00A13BB2"/>
    <w:rsid w:val="00A16DD1"/>
    <w:rsid w:val="00A20F42"/>
    <w:rsid w:val="00A21F20"/>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3623"/>
    <w:rsid w:val="00A85039"/>
    <w:rsid w:val="00A851F7"/>
    <w:rsid w:val="00A906AA"/>
    <w:rsid w:val="00A94C5E"/>
    <w:rsid w:val="00AA241A"/>
    <w:rsid w:val="00AA252C"/>
    <w:rsid w:val="00AA666E"/>
    <w:rsid w:val="00AB5518"/>
    <w:rsid w:val="00AB6BAF"/>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6748"/>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5B0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1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0BD9"/>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3CE"/>
    <w:rsid w:val="00E27E98"/>
    <w:rsid w:val="00E35BEC"/>
    <w:rsid w:val="00E422B0"/>
    <w:rsid w:val="00E50821"/>
    <w:rsid w:val="00E50EF8"/>
    <w:rsid w:val="00E51F91"/>
    <w:rsid w:val="00E55DB7"/>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16BD6"/>
    <w:rsid w:val="00F210A3"/>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1009"/>
    <w:rsid w:val="00FB36EB"/>
    <w:rsid w:val="00FB5FA6"/>
    <w:rsid w:val="00FB7B9A"/>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9806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ssets.publishing.service.gov.uk/government/uploads/system/uploads/attachment_data/file/61030/Chapter-7-Communicating-with-the-Public_18042012.pdf" TargetMode="External"/><Relationship Id="rId21" Type="http://schemas.openxmlformats.org/officeDocument/2006/relationships/hyperlink" Target="https://doi.org/10.1177/0004865815626964" TargetMode="External"/><Relationship Id="rId42" Type="http://schemas.openxmlformats.org/officeDocument/2006/relationships/hyperlink" Target="https://online.lincoln.ac.uk/what-is-organisational-strategy-and-why-does-it-matter/" TargetMode="External"/><Relationship Id="rId47" Type="http://schemas.openxmlformats.org/officeDocument/2006/relationships/hyperlink" Target="https://doi.org/10.1007/978-3-030-56765-1_13" TargetMode="External"/><Relationship Id="rId63" Type="http://schemas.openxmlformats.org/officeDocument/2006/relationships/hyperlink" Target="https://doi.org/10.3928/00220124-20191115-04" TargetMode="External"/><Relationship Id="rId68" Type="http://schemas.openxmlformats.org/officeDocument/2006/relationships/hyperlink" Target="https://asana.com/resources/transactional-leadership" TargetMode="External"/><Relationship Id="rId84" Type="http://schemas.openxmlformats.org/officeDocument/2006/relationships/hyperlink" Target="https://doi.org/10.1016/j.leaqua.2019.101353" TargetMode="External"/><Relationship Id="rId89" Type="http://schemas.openxmlformats.org/officeDocument/2006/relationships/hyperlink" Target="https://doi.org/10.1111/nyas.14316" TargetMode="External"/><Relationship Id="rId16" Type="http://schemas.openxmlformats.org/officeDocument/2006/relationships/footer" Target="footer1.xml"/><Relationship Id="rId11" Type="http://schemas.openxmlformats.org/officeDocument/2006/relationships/image" Target="media/image1.png"/><Relationship Id="rId32" Type="http://schemas.openxmlformats.org/officeDocument/2006/relationships/hyperlink" Target="https://www.abergavennychronicle.com/news/999/report-crime-to-gwent-police-via-facebook-and-twitter-74924" TargetMode="External"/><Relationship Id="rId37" Type="http://schemas.openxmlformats.org/officeDocument/2006/relationships/hyperlink" Target="https://assets.college.police.uk/s3fs-public/2021-02/code_of_ethics.pdf" TargetMode="External"/><Relationship Id="rId53" Type="http://schemas.openxmlformats.org/officeDocument/2006/relationships/hyperlink" Target="https://www.gwent.police.uk/advice/advice-and-information/missing-person/missing-persons/what-to-do-when-someone-goes-missing/" TargetMode="External"/><Relationship Id="rId58" Type="http://schemas.openxmlformats.org/officeDocument/2006/relationships/hyperlink" Target="https://www.sciencedirect.com/topics/social-sciences/professionalization" TargetMode="External"/><Relationship Id="rId74" Type="http://schemas.openxmlformats.org/officeDocument/2006/relationships/hyperlink" Target="https://www.npcc.police.uk/documents/Policing%20Vision.pdf" TargetMode="External"/><Relationship Id="rId79" Type="http://schemas.openxmlformats.org/officeDocument/2006/relationships/hyperlink" Target="https://articles.outlier.org/why-is-a-college-degree-important#section-why-is-it-important-to-have-a-college-degree" TargetMode="External"/><Relationship Id="rId5" Type="http://schemas.openxmlformats.org/officeDocument/2006/relationships/numbering" Target="numbering.xml"/><Relationship Id="rId90" Type="http://schemas.openxmlformats.org/officeDocument/2006/relationships/hyperlink" Target="https://www.ed.ac.uk/institute-academic-development/study-hub/learning-resources/critical" TargetMode="External"/><Relationship Id="rId95" Type="http://schemas.openxmlformats.org/officeDocument/2006/relationships/hyperlink" Target="https://doi.org/10.1111/soc4.12648" TargetMode="External"/><Relationship Id="rId22" Type="http://schemas.openxmlformats.org/officeDocument/2006/relationships/hyperlink" Target="https://doi.org/10.1016/j.emj.2018.07.002" TargetMode="External"/><Relationship Id="rId27" Type="http://schemas.openxmlformats.org/officeDocument/2006/relationships/hyperlink" Target="https://www.centreforpublicimpact.org/insights/what-is-community-and-why-is-it-important" TargetMode="External"/><Relationship Id="rId43" Type="http://schemas.openxmlformats.org/officeDocument/2006/relationships/hyperlink" Target="https://doi.org/10.1111/1440-1630.12579" TargetMode="External"/><Relationship Id="rId48" Type="http://schemas.openxmlformats.org/officeDocument/2006/relationships/hyperlink" Target="https://doi.org/10.1136/archdischild-2021-322623" TargetMode="External"/><Relationship Id="rId64" Type="http://schemas.openxmlformats.org/officeDocument/2006/relationships/hyperlink" Target="https://doi.org/10.3928/00220124-20191217-04" TargetMode="External"/><Relationship Id="rId69" Type="http://schemas.openxmlformats.org/officeDocument/2006/relationships/hyperlink" Target="https://doi.org/10.1016/j.chiabu.2013.07.011" TargetMode="External"/><Relationship Id="rId80" Type="http://schemas.openxmlformats.org/officeDocument/2006/relationships/hyperlink" Target="https://www.theguardian.com/politics/2001/apr/27/uk.Whitehall" TargetMode="External"/><Relationship Id="rId85" Type="http://schemas.openxmlformats.org/officeDocument/2006/relationships/hyperlink" Target="https://hbr.org/2013/01/strategic-leadership-the-esssential-skills"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archive.org/details/leadership1978burn/page/n5/mode/2up" TargetMode="External"/><Relationship Id="rId33" Type="http://schemas.openxmlformats.org/officeDocument/2006/relationships/hyperlink" Target="https://doi.org/10.1016/j.chb.2016.02.070" TargetMode="External"/><Relationship Id="rId38" Type="http://schemas.openxmlformats.org/officeDocument/2006/relationships/hyperlink" Target="https://www.college.police.uk/career-learning/policing-education-qualifications-framework-peqf" TargetMode="External"/><Relationship Id="rId46" Type="http://schemas.openxmlformats.org/officeDocument/2006/relationships/hyperlink" Target="https://www.researchgate.net/publication/319453091_An_Analysis_of_UK_Policing_Engagement_via_Social_Media" TargetMode="External"/><Relationship Id="rId59" Type="http://schemas.openxmlformats.org/officeDocument/2006/relationships/hyperlink" Target="https://www.policeconduct.gov.uk/news/update-iopc-race-discrimination-work" TargetMode="External"/><Relationship Id="rId67" Type="http://schemas.openxmlformats.org/officeDocument/2006/relationships/hyperlink" Target="https://assets.publishing.service.gov.uk/government/uploads/system/uploads/attachment_data/file/277111/4262.pdf" TargetMode="External"/><Relationship Id="rId20" Type="http://schemas.openxmlformats.org/officeDocument/2006/relationships/hyperlink" Target="https://doi.org/10.1007/978-3-030-22002-0" TargetMode="External"/><Relationship Id="rId41" Type="http://schemas.openxmlformats.org/officeDocument/2006/relationships/hyperlink" Target="https://www.coursera.org/articles/professional-development-goals" TargetMode="External"/><Relationship Id="rId54" Type="http://schemas.openxmlformats.org/officeDocument/2006/relationships/hyperlink" Target="https://www.gwent.police.uk/advice/advice-and-information/cl/county-lines/" TargetMode="External"/><Relationship Id="rId62" Type="http://schemas.openxmlformats.org/officeDocument/2006/relationships/hyperlink" Target="https://doi.org/10.1111/joop.12119" TargetMode="External"/><Relationship Id="rId70" Type="http://schemas.openxmlformats.org/officeDocument/2006/relationships/hyperlink" Target="https://doi.org/10.14324/111.9781910634493" TargetMode="External"/><Relationship Id="rId75" Type="http://schemas.openxmlformats.org/officeDocument/2006/relationships/hyperlink" Target="https://news.npcc.police.uk" TargetMode="External"/><Relationship Id="rId83" Type="http://schemas.openxmlformats.org/officeDocument/2006/relationships/hyperlink" Target="https://doi.org/10.5465/amp.2021.0033" TargetMode="External"/><Relationship Id="rId88" Type="http://schemas.openxmlformats.org/officeDocument/2006/relationships/hyperlink" Target="https://doi.org/10.1111/nyas.14316" TargetMode="External"/><Relationship Id="rId91" Type="http://schemas.openxmlformats.org/officeDocument/2006/relationships/hyperlink" Target="https://www.ifm.eng.cam.ac.uk/research/dstools/mintzbergs-5-ps-for-strategy/" TargetMode="External"/><Relationship Id="rId96" Type="http://schemas.openxmlformats.org/officeDocument/2006/relationships/hyperlink" Target="https://hbr.org/2007/09/demystifying-strategy-the-what"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leaders.com/articles/leadership/transformational-leadership/" TargetMode="External"/><Relationship Id="rId28" Type="http://schemas.openxmlformats.org/officeDocument/2006/relationships/hyperlink" Target="https://doi.org/10.1108/14777280610645886" TargetMode="External"/><Relationship Id="rId36" Type="http://schemas.openxmlformats.org/officeDocument/2006/relationships/hyperlink" Target="https://www.college.police.uk/app/armed-policing/weapons-and-equipment#cspava-aerosols" TargetMode="External"/><Relationship Id="rId49" Type="http://schemas.openxmlformats.org/officeDocument/2006/relationships/hyperlink" Target="https://doi.org/10.1080/14697011003795636" TargetMode="External"/><Relationship Id="rId57" Type="http://schemas.openxmlformats.org/officeDocument/2006/relationships/hyperlink" Target="https://positivepsychology.com/goal-setting/" TargetMode="External"/><Relationship Id="rId10" Type="http://schemas.openxmlformats.org/officeDocument/2006/relationships/endnotes" Target="endnotes.xml"/><Relationship Id="rId31" Type="http://schemas.openxmlformats.org/officeDocument/2006/relationships/hyperlink" Target="https://www.verywellmind.com/what-is-transformational-leadership-2795313" TargetMode="External"/><Relationship Id="rId44" Type="http://schemas.openxmlformats.org/officeDocument/2006/relationships/hyperlink" Target="https://doi.org/10.1002/job.2157" TargetMode="External"/><Relationship Id="rId52" Type="http://schemas.openxmlformats.org/officeDocument/2006/relationships/hyperlink" Target="https://www.gwent.police.uk/advice/advice-and-information/missing-person/missing-persons/when-missing-person-returns/" TargetMode="External"/><Relationship Id="rId60" Type="http://schemas.openxmlformats.org/officeDocument/2006/relationships/hyperlink" Target="https://static1.squarespace.com/static/51b06364e4b02de2f57fd72e/t/5d6fd50550163a000115da0d/1567610135262/OSCAR-Final-Report-Exec-Summary.pdf" TargetMode="External"/><Relationship Id="rId65" Type="http://schemas.openxmlformats.org/officeDocument/2006/relationships/hyperlink" Target="https://www.210consulting.org/critical-thinkingproblem-solving-professionalismwork-ethic-two-essential-competencies-employers-looking-hiring/" TargetMode="External"/><Relationship Id="rId73" Type="http://schemas.openxmlformats.org/officeDocument/2006/relationships/hyperlink" Target="https://doi.org/10.1177/0894318414546423" TargetMode="External"/><Relationship Id="rId78" Type="http://schemas.openxmlformats.org/officeDocument/2006/relationships/hyperlink" Target="https://www.oxbridgepersonalstatements.com/blog/the-importance-of-a-degree-in-todays-working-environment/" TargetMode="External"/><Relationship Id="rId81" Type="http://schemas.openxmlformats.org/officeDocument/2006/relationships/hyperlink" Target="https://www.joiningthepolice.co.uk/application-process/ways-in-to-policing/apprenticeship-pcda-entry-route" TargetMode="External"/><Relationship Id="rId86" Type="http://schemas.openxmlformats.org/officeDocument/2006/relationships/hyperlink" Target="https://doi.org/10.1007/s10869-011-9216-7" TargetMode="External"/><Relationship Id="rId94" Type="http://schemas.openxmlformats.org/officeDocument/2006/relationships/hyperlink" Target="https://doi.org/10.1136/jech-2019-212738"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s://www.college.police.uk/app/intelligence-management/intelligence-report#intelligence-report" TargetMode="External"/><Relationship Id="rId34" Type="http://schemas.openxmlformats.org/officeDocument/2006/relationships/hyperlink" Target="https://www.college.police.uk/app/engagement-and-communication/communication#social-media-monitoring" TargetMode="External"/><Relationship Id="rId50" Type="http://schemas.openxmlformats.org/officeDocument/2006/relationships/hyperlink" Target="https://www.gwent.police.uk/police-forces/gwent-police/areas/about-us/about-us/ride-along-scheme" TargetMode="External"/><Relationship Id="rId55" Type="http://schemas.openxmlformats.org/officeDocument/2006/relationships/hyperlink" Target="https://assets.college.police.uk/s3fs-public/2022-02/Fundamental-review-of-the-College-of-Policing-full-report.pdf" TargetMode="External"/><Relationship Id="rId76" Type="http://schemas.openxmlformats.org/officeDocument/2006/relationships/hyperlink" Target="https://www.northwales.police.uk/SysSiteAssets/foi-media/north-wales/policies/managing-police-officers-in-their-probationary-period-096v2.2.pdf" TargetMode="External"/><Relationship Id="rId97" Type="http://schemas.openxmlformats.org/officeDocument/2006/relationships/fontTable" Target="fontTable.xml"/><Relationship Id="rId7" Type="http://schemas.openxmlformats.org/officeDocument/2006/relationships/settings" Target="settings.xml"/><Relationship Id="rId71" Type="http://schemas.openxmlformats.org/officeDocument/2006/relationships/hyperlink" Target="https://positivepsychology.com/coaching-mentoring-counseling/" TargetMode="External"/><Relationship Id="rId92" Type="http://schemas.openxmlformats.org/officeDocument/2006/relationships/hyperlink" Target="https://potomac.edu/critical-thinking-majors-that-lead-to-a-positive-career-and-job-outlook/#" TargetMode="External"/><Relationship Id="rId2" Type="http://schemas.openxmlformats.org/officeDocument/2006/relationships/customXml" Target="../customXml/item2.xml"/><Relationship Id="rId29" Type="http://schemas.openxmlformats.org/officeDocument/2006/relationships/hyperlink" Target="https://www.managers.org.uk/knowledge-and-insights/resource/developing-strategy/" TargetMode="External"/><Relationship Id="rId24" Type="http://schemas.openxmlformats.org/officeDocument/2006/relationships/hyperlink" Target="https://doi.org/10.1016/j.wneu.2021.06.001" TargetMode="External"/><Relationship Id="rId40" Type="http://schemas.openxmlformats.org/officeDocument/2006/relationships/hyperlink" Target="https://www.college.police.uk/" TargetMode="External"/><Relationship Id="rId45" Type="http://schemas.openxmlformats.org/officeDocument/2006/relationships/hyperlink" Target="https://doi.org/10.1108/PIJPSM-01-2014-0008" TargetMode="External"/><Relationship Id="rId66" Type="http://schemas.openxmlformats.org/officeDocument/2006/relationships/hyperlink" Target="https://www.independent.co.uk/news/condon-resolute-over-black-muggers-1591018.html" TargetMode="External"/><Relationship Id="rId87" Type="http://schemas.openxmlformats.org/officeDocument/2006/relationships/hyperlink" Target="https://doi.org/10.1080/14719037.2019.1588357" TargetMode="External"/><Relationship Id="rId61" Type="http://schemas.openxmlformats.org/officeDocument/2006/relationships/hyperlink" Target="https://doi.org/10.3233/WOR-223636" TargetMode="External"/><Relationship Id="rId82" Type="http://schemas.openxmlformats.org/officeDocument/2006/relationships/hyperlink" Target="https://professional.dce.harvard.edu/blog/strategic-leadership/" TargetMode="External"/><Relationship Id="rId19" Type="http://schemas.openxmlformats.org/officeDocument/2006/relationships/footer" Target="footer3.xml"/><Relationship Id="rId14" Type="http://schemas.openxmlformats.org/officeDocument/2006/relationships/header" Target="header1.xml"/><Relationship Id="rId30" Type="http://schemas.openxmlformats.org/officeDocument/2006/relationships/hyperlink" Target="https://www.verywellmind.com/what-is-transactional-leadership-2795317" TargetMode="External"/><Relationship Id="rId35" Type="http://schemas.openxmlformats.org/officeDocument/2006/relationships/hyperlink" Target="https://www.college.police.uk/app/armed-policing/conducted-energy-devices-taser" TargetMode="External"/><Relationship Id="rId56" Type="http://schemas.openxmlformats.org/officeDocument/2006/relationships/hyperlink" Target="https://www.justiceinspectorates.gov.uk/hmicfrs/police-forces/working-with-others/college-policing-ipcc/#" TargetMode="External"/><Relationship Id="rId77" Type="http://schemas.openxmlformats.org/officeDocument/2006/relationships/hyperlink" Target="https://doi.org/10.1080/03632415.2014.876883" TargetMode="External"/><Relationship Id="rId8" Type="http://schemas.openxmlformats.org/officeDocument/2006/relationships/webSettings" Target="webSettings.xml"/><Relationship Id="rId51" Type="http://schemas.openxmlformats.org/officeDocument/2006/relationships/hyperlink" Target="https://www.gwent.police.uk/advice/advice-and-information/missing-person/missing-persons/" TargetMode="External"/><Relationship Id="rId72" Type="http://schemas.openxmlformats.org/officeDocument/2006/relationships/hyperlink" Target="https://doi.org/10.1111/tsq.12107" TargetMode="External"/><Relationship Id="rId93" Type="http://schemas.openxmlformats.org/officeDocument/2006/relationships/hyperlink" Target="https://doi.org/10.1007/978-3-030-42795-5" TargetMode="External"/><Relationship Id="rId9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7EC5DA8297F24DAF0EDF183AC47753" ma:contentTypeVersion="7" ma:contentTypeDescription="Create a new document." ma:contentTypeScope="" ma:versionID="debf178f49cbd3ad04a3d13d187458b8">
  <xsd:schema xmlns:xsd="http://www.w3.org/2001/XMLSchema" xmlns:xs="http://www.w3.org/2001/XMLSchema" xmlns:p="http://schemas.microsoft.com/office/2006/metadata/properties" xmlns:ns3="0c4c9d74-a84a-4c4f-9b04-3e8217b93bca" targetNamespace="http://schemas.microsoft.com/office/2006/metadata/properties" ma:root="true" ma:fieldsID="64ee495ddb50b0b9e952145a8abe4b79" ns3:_="">
    <xsd:import namespace="0c4c9d74-a84a-4c4f-9b04-3e8217b93bc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4c9d74-a84a-4c4f-9b04-3e8217b93b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EC9FC4B-2ED7-4A4A-BC5D-E2EE963B28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4c9d74-a84a-4c4f-9b04-3e8217b93bc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12524</Words>
  <Characters>71388</Characters>
  <Application>Microsoft Office Word</Application>
  <DocSecurity>0</DocSecurity>
  <Lines>594</Lines>
  <Paragraphs>167</Paragraphs>
  <ScaleCrop>false</ScaleCrop>
  <Company>Powys County Council</Company>
  <LinksUpToDate>false</LinksUpToDate>
  <CharactersWithSpaces>83745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Hatter, Rebecca</cp:lastModifiedBy>
  <cp:revision>2</cp:revision>
  <cp:lastPrinted>2014-08-26T08:55:00Z</cp:lastPrinted>
  <dcterms:created xsi:type="dcterms:W3CDTF">2023-06-18T21:52:00Z</dcterms:created>
  <dcterms:modified xsi:type="dcterms:W3CDTF">2023-06-18T21:52:00Z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0x010100287EC5DA8297F24DAF0EDF183AC47753</vt:lpwstr>
  </property>
  <property fmtid="{D5CDD505-2E9C-101B-9397-08002B2CF9AE}" pid="3" name="MSIP_Label_f2acd28b-79a3-4a0f-b0ff-4b75658b1549_Enabled">
    <vt:lpwstr>true</vt:lpwstr>
  </property>
  <property fmtid="{D5CDD505-2E9C-101B-9397-08002B2CF9AE}" pid="4" name="MSIP_Label_f2acd28b-79a3-4a0f-b0ff-4b75658b1549_SetDate">
    <vt:lpwstr>2023-02-07T15:52:50Z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c8d7c4bd-78e2-42d1-926d-8a4bbe9f291a</vt:lpwstr>
  </property>
  <property fmtid="{D5CDD505-2E9C-101B-9397-08002B2CF9AE}" pid="9" name="MSIP_Label_f2acd28b-79a3-4a0f-b0ff-4b75658b1549_ContentBits">
    <vt:lpwstr>0</vt:lpwstr>
  </property>
</Properties>
</file>