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rPr>
      </w:pPr>
      <w:r w:rsidDel="00000000" w:rsidR="00000000" w:rsidRPr="00000000">
        <w:rPr>
          <w:b w:val="1"/>
          <w:rtl w:val="0"/>
        </w:rPr>
        <w:t xml:space="preserve">Reflection on My Placement Experience at UWTSD</w:t>
      </w:r>
    </w:p>
    <w:p w:rsidR="00000000" w:rsidDel="00000000" w:rsidP="00000000" w:rsidRDefault="00000000" w:rsidRPr="00000000" w14:paraId="00000002">
      <w:pPr>
        <w:spacing w:after="240" w:before="240" w:lineRule="auto"/>
        <w:rPr/>
      </w:pPr>
      <w:r w:rsidDel="00000000" w:rsidR="00000000" w:rsidRPr="00000000">
        <w:rPr>
          <w:rtl w:val="0"/>
        </w:rPr>
        <w:t xml:space="preserve">Initially, we were set out to be on the marketing team of the business school at UWTSD. We started collaborating but quickly met a few obstacles. None of us had ever done this type of work before, and working as part of a team without regular meetings or anyone taking the initiative was very difficult. I am willing to say I was disappointed in my own efforts not to step forward as a team leader.</w:t>
      </w:r>
    </w:p>
    <w:p w:rsidR="00000000" w:rsidDel="00000000" w:rsidP="00000000" w:rsidRDefault="00000000" w:rsidRPr="00000000" w14:paraId="00000003">
      <w:pPr>
        <w:spacing w:after="240" w:before="240" w:lineRule="auto"/>
        <w:rPr/>
      </w:pPr>
      <w:r w:rsidDel="00000000" w:rsidR="00000000" w:rsidRPr="00000000">
        <w:rPr>
          <w:rtl w:val="0"/>
        </w:rPr>
        <w:t xml:space="preserve">We then had the opportunity to join the university wellbeing team in a paid position - an unprecedented opportunity for students at the university. This time (which is currently ongoing until the end of June) has proven to be much better. Whether due to the cash incentive or not, we were all much more enthusiastic and productive. I can happily say there has been a serious improvement not only in the quality of our work but also in our output and, most importantly, in our ability to function as a team.</w:t>
      </w:r>
    </w:p>
    <w:p w:rsidR="00000000" w:rsidDel="00000000" w:rsidP="00000000" w:rsidRDefault="00000000" w:rsidRPr="00000000" w14:paraId="00000004">
      <w:pPr>
        <w:spacing w:after="240" w:before="240" w:lineRule="auto"/>
        <w:rPr/>
      </w:pPr>
      <w:r w:rsidDel="00000000" w:rsidR="00000000" w:rsidRPr="00000000">
        <w:rPr>
          <w:rtl w:val="0"/>
        </w:rPr>
        <w:t xml:space="preserve">When reflecting on my learning and personal development during this placement, I can see clear growth across a range of areas. Initially, my expectations were somewhat idealistic. I imagined the marketing role would be highly structured, with clear guidance from supervisors and regular meetings to track progress. In reality, the early phase was largely self-directed, which presented a challenge. This disconnect between expectations and reality is well documented in placement experiences (Jackson, 2015), and it taught me the importance of adaptability and self-motivation (Yorke, 2004).</w:t>
      </w:r>
    </w:p>
    <w:p w:rsidR="00000000" w:rsidDel="00000000" w:rsidP="00000000" w:rsidRDefault="00000000" w:rsidRPr="00000000" w14:paraId="00000005">
      <w:pPr>
        <w:spacing w:after="240" w:before="240" w:lineRule="auto"/>
        <w:rPr/>
      </w:pPr>
      <w:r w:rsidDel="00000000" w:rsidR="00000000" w:rsidRPr="00000000">
        <w:rPr>
          <w:rtl w:val="0"/>
        </w:rPr>
        <w:t xml:space="preserve">When we transitioned to the wellbeing team, I took with me the lessons from the marketing phase. I became more proactive, offering ideas during meetings and communicating more openly with teammates. One skill I developed significantly was communication. According to Andrews and Higson (2008), communication is one of the top employability skills employers look for in graduates, and I was able to improve this by regularly checking in with my team and contributing more confidently to group discussions. I now not only understand the true value of communication (perhaps due to the lack of it between us on occasion) but actively reach out and communicate with my peers as much as possible. </w:t>
      </w:r>
    </w:p>
    <w:p w:rsidR="00000000" w:rsidDel="00000000" w:rsidP="00000000" w:rsidRDefault="00000000" w:rsidRPr="00000000" w14:paraId="00000006">
      <w:pPr>
        <w:spacing w:after="240" w:before="240" w:lineRule="auto"/>
        <w:rPr/>
      </w:pPr>
      <w:r w:rsidDel="00000000" w:rsidR="00000000" w:rsidRPr="00000000">
        <w:rPr>
          <w:rtl w:val="0"/>
        </w:rPr>
        <w:t xml:space="preserve">I also strengthened my time management and organisational skills. Balancing university studies with placement responsibilities required prioritising tasks and managing deadlines effectively - something that aligns with recommendations from Pegg et al. (2012) on improving graduate employability. One example was during the planning of a wellbeing project that I pitched to a wellbeing officer: I created a timeline for the project up to the point of release, which helped me visualise my project in a clear way.</w:t>
      </w:r>
    </w:p>
    <w:p w:rsidR="00000000" w:rsidDel="00000000" w:rsidP="00000000" w:rsidRDefault="00000000" w:rsidRPr="00000000" w14:paraId="00000007">
      <w:pPr>
        <w:spacing w:after="240" w:before="240" w:lineRule="auto"/>
        <w:rPr/>
      </w:pPr>
      <w:r w:rsidDel="00000000" w:rsidR="00000000" w:rsidRPr="00000000">
        <w:rPr>
          <w:rtl w:val="0"/>
        </w:rPr>
        <w:t xml:space="preserve">Feedback from supervisors and peers was instrumental to my development. Early on, I received informal feedback that I needed to contribute more actively in meetings. While initially disheartened, I used this feedback constructively and made a conscious effort to be more vocal. This aligns with the findings of Sargeant et al. (2008), who highlight the value of feedback for performance improvement. By the later stages, I was more confident to speak up in meetings and not afraid of being wrong, which I believe to be an invaluable lesson.</w:t>
      </w:r>
    </w:p>
    <w:p w:rsidR="00000000" w:rsidDel="00000000" w:rsidP="00000000" w:rsidRDefault="00000000" w:rsidRPr="00000000" w14:paraId="00000008">
      <w:pPr>
        <w:spacing w:after="240" w:before="240" w:lineRule="auto"/>
        <w:rPr/>
      </w:pPr>
      <w:r w:rsidDel="00000000" w:rsidR="00000000" w:rsidRPr="00000000">
        <w:rPr>
          <w:rtl w:val="0"/>
        </w:rPr>
        <w:t xml:space="preserve">Working on the idea for a wellbeing closed forum group at UWTSD has been one of the most rewarding parts of my placement experience. Through developing two detailed plans and writing a full script for a PowerPoint presentation, I gained valuable skills in project planning, communication, and strategic thinking. Reflecting on this, I realised how much I’ve grown in turning an initial concept into a structured, practical proposal. It also helped me develop confidence in presenting ideas clearly and persuasively, while deepening my understanding of student wellbeing needs. This experience not only strengthened my organisational and writing skills but also showed me the importance of listening to feedback and refining my work to meet the needs of both students and staff.</w:t>
      </w:r>
    </w:p>
    <w:p w:rsidR="00000000" w:rsidDel="00000000" w:rsidP="00000000" w:rsidRDefault="00000000" w:rsidRPr="00000000" w14:paraId="00000009">
      <w:pPr>
        <w:spacing w:after="240" w:before="240" w:lineRule="auto"/>
        <w:rPr/>
      </w:pPr>
      <w:r w:rsidDel="00000000" w:rsidR="00000000" w:rsidRPr="00000000">
        <w:rPr>
          <w:rtl w:val="0"/>
        </w:rPr>
        <w:t xml:space="preserve"> Despite these positive developments, the journey was not without challenges. One significant challenge was working in a team where roles were initially unclear. Without formal leadership, we sometimes duplicated efforts or missed tasks altogether. To overcome this, it was suggested that we assign specific roles based on individual strengths, which helped clarify responsibilities and improve efficiency. This approach reflects Belbin’s (2010) team role theory, which argues that understanding and leveraging team roles leads to better collaboration.</w:t>
      </w:r>
    </w:p>
    <w:p w:rsidR="00000000" w:rsidDel="00000000" w:rsidP="00000000" w:rsidRDefault="00000000" w:rsidRPr="00000000" w14:paraId="0000000A">
      <w:pPr>
        <w:spacing w:after="240" w:before="240" w:lineRule="auto"/>
        <w:rPr/>
      </w:pPr>
      <w:r w:rsidDel="00000000" w:rsidR="00000000" w:rsidRPr="00000000">
        <w:rPr>
          <w:rtl w:val="0"/>
        </w:rPr>
        <w:t xml:space="preserve">Another challenge was managing occasional interpersonal tensions. Working with peers can sometimes blur the boundaries between personal and professional relationships. I learned to navigate this by applying active listening and conflict resolution techniques, as recommended by Goleman (1998) in his work on emotional intelligence. By acknowledging differing viewpoints and focusing on shared goals, we maintained a positive working environment.</w:t>
      </w:r>
    </w:p>
    <w:p w:rsidR="00000000" w:rsidDel="00000000" w:rsidP="00000000" w:rsidRDefault="00000000" w:rsidRPr="00000000" w14:paraId="0000000B">
      <w:pPr>
        <w:spacing w:after="240" w:before="240" w:lineRule="auto"/>
        <w:rPr/>
      </w:pPr>
      <w:r w:rsidDel="00000000" w:rsidR="00000000" w:rsidRPr="00000000">
        <w:rPr>
          <w:rtl w:val="0"/>
        </w:rPr>
        <w:t xml:space="preserve">Importantly, this placement has reshaped my future career aspirations. Initially, I saw myself pursuing a more traditional business centred  role, whether it be marketing or finance etc. perhaps in the private sector. However, working with the wellbeing team has sparked a strong interest in student services and mental health support. Seeing the impact a project - that I have put time and effort into - may be able to have on a students’ sense of belonging and wellbeing has been almost rewarding. Research shows that student wellbeing initiatives can significantly improve academic outcomes and retention (Baik et al., 2019), and being part of this work has inspired me to consider roles in higher education or student support services after graduation.</w:t>
      </w:r>
    </w:p>
    <w:p w:rsidR="00000000" w:rsidDel="00000000" w:rsidP="00000000" w:rsidRDefault="00000000" w:rsidRPr="00000000" w14:paraId="0000000C">
      <w:pPr>
        <w:spacing w:after="240" w:before="240" w:lineRule="auto"/>
        <w:rPr/>
      </w:pPr>
      <w:r w:rsidDel="00000000" w:rsidR="00000000" w:rsidRPr="00000000">
        <w:rPr>
          <w:rtl w:val="0"/>
        </w:rPr>
        <w:t xml:space="preserve">The experience has also led to positive changes within our work environment. At the beginning of the project, we were peers at university, however, I can confidently say when this experience comes to a close I will have made friends for life. This has not only reflected positively on us in a team working environment, but definitely contributed to the uptick in productivity towards the latter stages of our experience.  As Naslund et al. (2016) highlight, peer support and social connection are critical in promoting mental health, and it has been gratifying to help facilitate these within the university.</w:t>
      </w:r>
    </w:p>
    <w:p w:rsidR="00000000" w:rsidDel="00000000" w:rsidP="00000000" w:rsidRDefault="00000000" w:rsidRPr="00000000" w14:paraId="0000000D">
      <w:pPr>
        <w:spacing w:after="240" w:before="240" w:lineRule="auto"/>
        <w:rPr/>
      </w:pPr>
      <w:r w:rsidDel="00000000" w:rsidR="00000000" w:rsidRPr="00000000">
        <w:rPr>
          <w:rtl w:val="0"/>
        </w:rPr>
        <w:t xml:space="preserve">On a personal level, I have developed a greater sense of confidence and resilience. There were moments during the placement when I felt overwhelmed or uncertain about my abilities- and definitely do suffer from imposter syndrome on occasion. However, by pushing through these difficulties and seeking support when needed, I emerged so more self-assured. This aligns with Schön’s (1983) concept of the reflective practitioner, where learning is deepened through ongoing reflection on practice.</w:t>
      </w:r>
    </w:p>
    <w:p w:rsidR="00000000" w:rsidDel="00000000" w:rsidP="00000000" w:rsidRDefault="00000000" w:rsidRPr="00000000" w14:paraId="0000000E">
      <w:pPr>
        <w:spacing w:after="240" w:before="240" w:lineRule="auto"/>
        <w:rPr/>
      </w:pPr>
      <w:r w:rsidDel="00000000" w:rsidR="00000000" w:rsidRPr="00000000">
        <w:rPr>
          <w:rtl w:val="0"/>
        </w:rPr>
        <w:t xml:space="preserve">Additionally, the placement experience reinforced the importance of continuous professional development. As Kolb (1984) suggests in his experiential learning model, learning occurs through a cycle of experience, reflection, conceptualisation, and experimentation. This placement allowed me to move through that cycle repeatedly, building not only technical skills but also self-awareness and adaptability.</w:t>
      </w:r>
    </w:p>
    <w:p w:rsidR="00000000" w:rsidDel="00000000" w:rsidP="00000000" w:rsidRDefault="00000000" w:rsidRPr="00000000" w14:paraId="0000000F">
      <w:pPr>
        <w:spacing w:after="240" w:before="240" w:lineRule="auto"/>
        <w:rPr/>
      </w:pPr>
      <w:r w:rsidDel="00000000" w:rsidR="00000000" w:rsidRPr="00000000">
        <w:rPr>
          <w:rtl w:val="0"/>
        </w:rPr>
        <w:t xml:space="preserve">In summary, my placement at UWTSD has been a transformative experience. It has challenged my assumptions, forced me to confront weaknesses, and ultimately enabled me to grow both personally and professionally. I have learned the value of teamwork, communication, initiative and resilience - skills that will serve me well in any future role. More importantly, it has shaped my career aspirations, opening my eyes to the meaningful work being done in student wellbeing. As I look ahead, I am motivated to continue developing these skills and to contribute positively to any organisation I become part of.</w:t>
      </w:r>
    </w:p>
    <w:p w:rsidR="00000000" w:rsidDel="00000000" w:rsidP="00000000" w:rsidRDefault="00000000" w:rsidRPr="00000000" w14:paraId="00000010">
      <w:pPr>
        <w:spacing w:after="240" w:before="240" w:lineRule="auto"/>
        <w:rPr>
          <w:b w:val="1"/>
        </w:rPr>
      </w:pPr>
      <w:r w:rsidDel="00000000" w:rsidR="00000000" w:rsidRPr="00000000">
        <w:rPr>
          <w:rtl w:val="0"/>
        </w:rPr>
      </w:r>
    </w:p>
    <w:p w:rsidR="00000000" w:rsidDel="00000000" w:rsidP="00000000" w:rsidRDefault="00000000" w:rsidRPr="00000000" w14:paraId="00000011">
      <w:pPr>
        <w:spacing w:after="240" w:before="240" w:lineRule="auto"/>
        <w:rPr>
          <w:b w:val="1"/>
        </w:rPr>
      </w:pPr>
      <w:r w:rsidDel="00000000" w:rsidR="00000000" w:rsidRPr="00000000">
        <w:rPr>
          <w:rtl w:val="0"/>
        </w:rPr>
      </w:r>
    </w:p>
    <w:p w:rsidR="00000000" w:rsidDel="00000000" w:rsidP="00000000" w:rsidRDefault="00000000" w:rsidRPr="00000000" w14:paraId="00000012">
      <w:pPr>
        <w:spacing w:after="240" w:before="240" w:lineRule="auto"/>
        <w:rPr>
          <w:b w:val="1"/>
        </w:rPr>
      </w:pPr>
      <w:r w:rsidDel="00000000" w:rsidR="00000000" w:rsidRPr="00000000">
        <w:rPr>
          <w:rtl w:val="0"/>
        </w:rPr>
      </w:r>
    </w:p>
    <w:p w:rsidR="00000000" w:rsidDel="00000000" w:rsidP="00000000" w:rsidRDefault="00000000" w:rsidRPr="00000000" w14:paraId="00000013">
      <w:pPr>
        <w:spacing w:after="240" w:before="240" w:lineRule="auto"/>
        <w:rPr>
          <w:b w:val="1"/>
        </w:rPr>
      </w:pPr>
      <w:r w:rsidDel="00000000" w:rsidR="00000000" w:rsidRPr="00000000">
        <w:rPr>
          <w:b w:val="1"/>
        </w:rPr>
        <w:drawing>
          <wp:inline distB="114300" distT="114300" distL="114300" distR="114300">
            <wp:extent cx="5943600" cy="4457700"/>
            <wp:effectExtent b="0" l="0" r="0" t="0"/>
            <wp:docPr id="17" name="image10.jpg"/>
            <a:graphic>
              <a:graphicData uri="http://schemas.openxmlformats.org/drawingml/2006/picture">
                <pic:pic>
                  <pic:nvPicPr>
                    <pic:cNvPr id="0" name="image10.jpg"/>
                    <pic:cNvPicPr preferRelativeResize="0"/>
                  </pic:nvPicPr>
                  <pic:blipFill>
                    <a:blip r:embed="rId7"/>
                    <a:srcRect b="0" l="0" r="0" t="0"/>
                    <a:stretch>
                      <a:fillRect/>
                    </a:stretch>
                  </pic:blipFill>
                  <pic:spPr>
                    <a:xfrm>
                      <a:off x="0" y="0"/>
                      <a:ext cx="5943600" cy="4457700"/>
                    </a:xfrm>
                    <a:prstGeom prst="rect"/>
                    <a:ln/>
                  </pic:spPr>
                </pic:pic>
              </a:graphicData>
            </a:graphic>
          </wp:inline>
        </w:drawing>
      </w:r>
      <w:r w:rsidDel="00000000" w:rsidR="00000000" w:rsidRPr="00000000">
        <w:rPr>
          <w:b w:val="1"/>
        </w:rPr>
        <w:drawing>
          <wp:inline distB="114300" distT="114300" distL="114300" distR="114300">
            <wp:extent cx="5943600" cy="7924800"/>
            <wp:effectExtent b="0" l="0" r="0" t="0"/>
            <wp:docPr id="19"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943600" cy="7924800"/>
                    </a:xfrm>
                    <a:prstGeom prst="rect"/>
                    <a:ln/>
                  </pic:spPr>
                </pic:pic>
              </a:graphicData>
            </a:graphic>
          </wp:inline>
        </w:drawing>
      </w:r>
      <w:r w:rsidDel="00000000" w:rsidR="00000000" w:rsidRPr="00000000">
        <w:rPr>
          <w:b w:val="1"/>
        </w:rPr>
        <w:drawing>
          <wp:inline distB="114300" distT="114300" distL="114300" distR="114300">
            <wp:extent cx="5943600" cy="7924800"/>
            <wp:effectExtent b="0" l="0" r="0" t="0"/>
            <wp:docPr id="18" name="image15.jpg"/>
            <a:graphic>
              <a:graphicData uri="http://schemas.openxmlformats.org/drawingml/2006/picture">
                <pic:pic>
                  <pic:nvPicPr>
                    <pic:cNvPr id="0" name="image15.jpg"/>
                    <pic:cNvPicPr preferRelativeResize="0"/>
                  </pic:nvPicPr>
                  <pic:blipFill>
                    <a:blip r:embed="rId9"/>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spacing w:after="240" w:before="240" w:lineRule="auto"/>
        <w:rPr>
          <w:b w:val="1"/>
        </w:rPr>
      </w:pPr>
      <w:r w:rsidDel="00000000" w:rsidR="00000000" w:rsidRPr="00000000">
        <w:rPr>
          <w:sz w:val="24"/>
          <w:szCs w:val="24"/>
          <w:rtl w:val="0"/>
        </w:rPr>
        <w:t xml:space="preserve">Above are photos from a college open day, marking the start of our placement as a group. This experience was both memorable and initially quite daunting. What stood out most was when, to our surprise, the lecturers left the room at the end of the day, giving us the opportunity to speak directly with the students. At first, this felt intimidating, but we soon overcame our initial nerves and were able to engage with them confidently</w:t>
      </w:r>
      <w:r w:rsidDel="00000000" w:rsidR="00000000" w:rsidRPr="00000000">
        <w:rPr>
          <w:b w:val="1"/>
          <w:rtl w:val="0"/>
        </w:rPr>
        <w:t xml:space="preserve">. </w:t>
      </w:r>
    </w:p>
    <w:p w:rsidR="00000000" w:rsidDel="00000000" w:rsidP="00000000" w:rsidRDefault="00000000" w:rsidRPr="00000000" w14:paraId="00000015">
      <w:pPr>
        <w:spacing w:after="240" w:before="240" w:lineRule="auto"/>
        <w:rPr>
          <w:b w:val="1"/>
        </w:rPr>
      </w:pPr>
      <w:r w:rsidDel="00000000" w:rsidR="00000000" w:rsidRPr="00000000">
        <w:rPr>
          <w:rtl w:val="0"/>
        </w:rPr>
      </w:r>
    </w:p>
    <w:p w:rsidR="00000000" w:rsidDel="00000000" w:rsidP="00000000" w:rsidRDefault="00000000" w:rsidRPr="00000000" w14:paraId="00000016">
      <w:pPr>
        <w:spacing w:after="240" w:before="240" w:lineRule="auto"/>
        <w:rPr>
          <w:b w:val="1"/>
        </w:rPr>
      </w:pPr>
      <w:r w:rsidDel="00000000" w:rsidR="00000000" w:rsidRPr="00000000">
        <w:rPr>
          <w:rtl w:val="0"/>
        </w:rPr>
      </w:r>
    </w:p>
    <w:p w:rsidR="00000000" w:rsidDel="00000000" w:rsidP="00000000" w:rsidRDefault="00000000" w:rsidRPr="00000000" w14:paraId="00000017">
      <w:pPr>
        <w:spacing w:after="240" w:before="240" w:lineRule="auto"/>
        <w:rPr>
          <w:b w:val="1"/>
        </w:rPr>
      </w:pPr>
      <w:r w:rsidDel="00000000" w:rsidR="00000000" w:rsidRPr="00000000">
        <w:rPr>
          <w:b w:val="1"/>
        </w:rPr>
        <w:drawing>
          <wp:inline distB="114300" distT="114300" distL="114300" distR="114300">
            <wp:extent cx="5943600" cy="12865100"/>
            <wp:effectExtent b="0" l="0" r="0" t="0"/>
            <wp:docPr id="21"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0" name="image13.png"/>
            <a:graphic>
              <a:graphicData uri="http://schemas.openxmlformats.org/drawingml/2006/picture">
                <pic:pic>
                  <pic:nvPicPr>
                    <pic:cNvPr id="0" name="image13.png"/>
                    <pic:cNvPicPr preferRelativeResize="0"/>
                  </pic:nvPicPr>
                  <pic:blipFill>
                    <a:blip r:embed="rId11"/>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3" name="image16.png"/>
            <a:graphic>
              <a:graphicData uri="http://schemas.openxmlformats.org/drawingml/2006/picture">
                <pic:pic>
                  <pic:nvPicPr>
                    <pic:cNvPr id="0" name="image16.png"/>
                    <pic:cNvPicPr preferRelativeResize="0"/>
                  </pic:nvPicPr>
                  <pic:blipFill>
                    <a:blip r:embed="rId12"/>
                    <a:srcRect b="0" l="0" r="0" t="0"/>
                    <a:stretch>
                      <a:fillRect/>
                    </a:stretch>
                  </pic:blipFill>
                  <pic:spPr>
                    <a:xfrm>
                      <a:off x="0" y="0"/>
                      <a:ext cx="5943600" cy="1286510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after="240" w:before="240" w:lineRule="auto"/>
        <w:rPr>
          <w:b w:val="1"/>
        </w:rPr>
      </w:pPr>
      <w:r w:rsidDel="00000000" w:rsidR="00000000" w:rsidRPr="00000000">
        <w:rPr>
          <w:sz w:val="24"/>
          <w:szCs w:val="24"/>
          <w:rtl w:val="0"/>
        </w:rPr>
        <w:t xml:space="preserve">During this project, I also had the opportunity to put my Welsh language skills to use by translating many of the posters and ideas into Welsh, supporting the university’s bilingual initiative. This was particularly rewarding for me, as I hadn’t had the chance to apply my Welsh in this way since completing my qualification. In addition, I pitched the idea of themed days, such as ‘Wellness Wednesdays’ (which is what the post above translates to), as part of a content creation strategy to maintain consistent content and help boost engagement.</w:t>
      </w:r>
      <w:r w:rsidDel="00000000" w:rsidR="00000000" w:rsidRPr="00000000">
        <w:rPr>
          <w:rtl w:val="0"/>
        </w:rPr>
      </w:r>
    </w:p>
    <w:p w:rsidR="00000000" w:rsidDel="00000000" w:rsidP="00000000" w:rsidRDefault="00000000" w:rsidRPr="00000000" w14:paraId="00000019">
      <w:pPr>
        <w:spacing w:after="240" w:before="240" w:lineRule="auto"/>
        <w:rPr>
          <w:b w:val="1"/>
        </w:rPr>
      </w:pPr>
      <w:r w:rsidDel="00000000" w:rsidR="00000000" w:rsidRPr="00000000">
        <w:rPr>
          <w:b w:val="1"/>
        </w:rPr>
        <w:drawing>
          <wp:inline distB="114300" distT="114300" distL="114300" distR="114300">
            <wp:extent cx="5943600" cy="12865100"/>
            <wp:effectExtent b="0" l="0" r="0" t="0"/>
            <wp:docPr id="22" name="image8.png"/>
            <a:graphic>
              <a:graphicData uri="http://schemas.openxmlformats.org/drawingml/2006/picture">
                <pic:pic>
                  <pic:nvPicPr>
                    <pic:cNvPr id="0" name="image8.png"/>
                    <pic:cNvPicPr preferRelativeResize="0"/>
                  </pic:nvPicPr>
                  <pic:blipFill>
                    <a:blip r:embed="rId13"/>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5"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4"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8"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6"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5943600" cy="128651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spacing w:after="240" w:before="240" w:lineRule="auto"/>
        <w:rPr>
          <w:b w:val="1"/>
        </w:rPr>
      </w:pPr>
      <w:r w:rsidDel="00000000" w:rsidR="00000000" w:rsidRPr="00000000">
        <w:rPr>
          <w:rtl w:val="0"/>
        </w:rPr>
        <w:t xml:space="preserve">In this image, you can see one of the key documents I prepared to pitch my idea to the team. This part of the placement was where I invested most of my time and felt most passionate. I proposed creating a closed mental health forum for students, offering them a safe and supportive space to share their experiences and seek help when needed. I developed a detailed three-phase rollout plan, which I believe would not only benefit students but also support the wellbeing team I’ve been working with. By gathering insights from student interactions on the forum, the team could better understand student needs and tailor their support and resources more effectively.</w:t>
      </w:r>
      <w:r w:rsidDel="00000000" w:rsidR="00000000" w:rsidRPr="00000000">
        <w:rPr>
          <w:rtl w:val="0"/>
        </w:rPr>
      </w:r>
    </w:p>
    <w:p w:rsidR="00000000" w:rsidDel="00000000" w:rsidP="00000000" w:rsidRDefault="00000000" w:rsidRPr="00000000" w14:paraId="0000001B">
      <w:pPr>
        <w:spacing w:after="240" w:before="240" w:lineRule="auto"/>
        <w:rPr>
          <w:b w:val="1"/>
        </w:rPr>
      </w:pPr>
      <w:r w:rsidDel="00000000" w:rsidR="00000000" w:rsidRPr="00000000">
        <w:rPr>
          <w:b w:val="1"/>
        </w:rPr>
        <w:drawing>
          <wp:inline distB="114300" distT="114300" distL="114300" distR="114300">
            <wp:extent cx="5943600" cy="12865100"/>
            <wp:effectExtent b="0" l="0" r="0" t="0"/>
            <wp:docPr id="27"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29" name="image6.png"/>
            <a:graphic>
              <a:graphicData uri="http://schemas.openxmlformats.org/drawingml/2006/picture">
                <pic:pic>
                  <pic:nvPicPr>
                    <pic:cNvPr id="0" name="image6.png"/>
                    <pic:cNvPicPr preferRelativeResize="0"/>
                  </pic:nvPicPr>
                  <pic:blipFill>
                    <a:blip r:embed="rId19"/>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30"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31"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5943600" cy="12865100"/>
                    </a:xfrm>
                    <a:prstGeom prst="rect"/>
                    <a:ln/>
                  </pic:spPr>
                </pic:pic>
              </a:graphicData>
            </a:graphic>
          </wp:inline>
        </w:drawing>
      </w:r>
      <w:r w:rsidDel="00000000" w:rsidR="00000000" w:rsidRPr="00000000">
        <w:rPr>
          <w:b w:val="1"/>
        </w:rPr>
        <w:drawing>
          <wp:inline distB="114300" distT="114300" distL="114300" distR="114300">
            <wp:extent cx="5943600" cy="12865100"/>
            <wp:effectExtent b="0" l="0" r="0" t="0"/>
            <wp:docPr id="32" name="image14.png"/>
            <a:graphic>
              <a:graphicData uri="http://schemas.openxmlformats.org/drawingml/2006/picture">
                <pic:pic>
                  <pic:nvPicPr>
                    <pic:cNvPr id="0" name="image14.png"/>
                    <pic:cNvPicPr preferRelativeResize="0"/>
                  </pic:nvPicPr>
                  <pic:blipFill>
                    <a:blip r:embed="rId22"/>
                    <a:srcRect b="0" l="0" r="0" t="0"/>
                    <a:stretch>
                      <a:fillRect/>
                    </a:stretch>
                  </pic:blipFill>
                  <pic:spPr>
                    <a:xfrm>
                      <a:off x="0" y="0"/>
                      <a:ext cx="5943600" cy="128651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t xml:space="preserve">Pictured above is the PowerPoint plan I created in order to pitch to the team and other members of the well-being team the idea of a closed forum group.</w:t>
      </w:r>
    </w:p>
    <w:p w:rsidR="00000000" w:rsidDel="00000000" w:rsidP="00000000" w:rsidRDefault="00000000" w:rsidRPr="00000000" w14:paraId="0000001D">
      <w:pPr>
        <w:spacing w:after="240" w:before="240" w:lineRule="auto"/>
        <w:rPr>
          <w:b w:val="1"/>
        </w:rPr>
      </w:pPr>
      <w:r w:rsidDel="00000000" w:rsidR="00000000" w:rsidRPr="00000000">
        <w:rPr>
          <w:rtl w:val="0"/>
        </w:rPr>
      </w:r>
    </w:p>
    <w:p w:rsidR="00000000" w:rsidDel="00000000" w:rsidP="00000000" w:rsidRDefault="00000000" w:rsidRPr="00000000" w14:paraId="0000001E">
      <w:pPr>
        <w:spacing w:after="240" w:before="240" w:lineRule="auto"/>
        <w:rPr>
          <w:b w:val="1"/>
        </w:rPr>
      </w:pPr>
      <w:r w:rsidDel="00000000" w:rsidR="00000000" w:rsidRPr="00000000">
        <w:rPr>
          <w:b w:val="1"/>
          <w:rtl w:val="0"/>
        </w:rPr>
        <w:t xml:space="preserve">References</w:t>
      </w:r>
    </w:p>
    <w:p w:rsidR="00000000" w:rsidDel="00000000" w:rsidP="00000000" w:rsidRDefault="00000000" w:rsidRPr="00000000" w14:paraId="0000001F">
      <w:pPr>
        <w:numPr>
          <w:ilvl w:val="0"/>
          <w:numId w:val="1"/>
        </w:numPr>
        <w:spacing w:after="0" w:before="240" w:lineRule="auto"/>
        <w:ind w:left="720" w:hanging="360"/>
        <w:rPr/>
      </w:pPr>
      <w:r w:rsidDel="00000000" w:rsidR="00000000" w:rsidRPr="00000000">
        <w:rPr>
          <w:rtl w:val="0"/>
        </w:rPr>
        <w:t xml:space="preserve">Andrews, J., &amp; Higson, H. (2008). Graduate employability, ‘soft skills’ versus ‘hard’ business knowledge. </w:t>
      </w:r>
      <w:r w:rsidDel="00000000" w:rsidR="00000000" w:rsidRPr="00000000">
        <w:rPr>
          <w:i w:val="1"/>
          <w:rtl w:val="0"/>
        </w:rPr>
        <w:t xml:space="preserve">Education + Training</w:t>
      </w:r>
      <w:r w:rsidDel="00000000" w:rsidR="00000000" w:rsidRPr="00000000">
        <w:rPr>
          <w:rtl w:val="0"/>
        </w:rPr>
        <w:t xml:space="preserve">, 50(5), 413–425.</w:t>
      </w:r>
    </w:p>
    <w:p w:rsidR="00000000" w:rsidDel="00000000" w:rsidP="00000000" w:rsidRDefault="00000000" w:rsidRPr="00000000" w14:paraId="00000020">
      <w:pPr>
        <w:numPr>
          <w:ilvl w:val="0"/>
          <w:numId w:val="1"/>
        </w:numPr>
        <w:spacing w:after="0" w:before="0" w:lineRule="auto"/>
        <w:ind w:left="720" w:hanging="360"/>
        <w:rPr/>
      </w:pPr>
      <w:r w:rsidDel="00000000" w:rsidR="00000000" w:rsidRPr="00000000">
        <w:rPr>
          <w:rtl w:val="0"/>
        </w:rPr>
        <w:t xml:space="preserve">Baik, C., Larcombe, W., &amp; Brooker, A. (2019). How universities can enhance student mental wellbeing: The student perspective. </w:t>
      </w:r>
      <w:r w:rsidDel="00000000" w:rsidR="00000000" w:rsidRPr="00000000">
        <w:rPr>
          <w:i w:val="1"/>
          <w:rtl w:val="0"/>
        </w:rPr>
        <w:t xml:space="preserve">Higher Education Research &amp; Development</w:t>
      </w:r>
      <w:r w:rsidDel="00000000" w:rsidR="00000000" w:rsidRPr="00000000">
        <w:rPr>
          <w:rtl w:val="0"/>
        </w:rPr>
        <w:t xml:space="preserve">, 38(4), 674–687.</w:t>
      </w:r>
    </w:p>
    <w:p w:rsidR="00000000" w:rsidDel="00000000" w:rsidP="00000000" w:rsidRDefault="00000000" w:rsidRPr="00000000" w14:paraId="00000021">
      <w:pPr>
        <w:numPr>
          <w:ilvl w:val="0"/>
          <w:numId w:val="1"/>
        </w:numPr>
        <w:spacing w:after="0" w:before="0" w:lineRule="auto"/>
        <w:ind w:left="720" w:hanging="360"/>
        <w:rPr/>
      </w:pPr>
      <w:r w:rsidDel="00000000" w:rsidR="00000000" w:rsidRPr="00000000">
        <w:rPr>
          <w:rtl w:val="0"/>
        </w:rPr>
        <w:t xml:space="preserve">Belbin, R. M. (2010). </w:t>
      </w:r>
      <w:r w:rsidDel="00000000" w:rsidR="00000000" w:rsidRPr="00000000">
        <w:rPr>
          <w:i w:val="1"/>
          <w:rtl w:val="0"/>
        </w:rPr>
        <w:t xml:space="preserve">Team roles at work</w:t>
      </w:r>
      <w:r w:rsidDel="00000000" w:rsidR="00000000" w:rsidRPr="00000000">
        <w:rPr>
          <w:rtl w:val="0"/>
        </w:rPr>
        <w:t xml:space="preserve"> (2nd ed.). Routledge.</w:t>
      </w:r>
    </w:p>
    <w:p w:rsidR="00000000" w:rsidDel="00000000" w:rsidP="00000000" w:rsidRDefault="00000000" w:rsidRPr="00000000" w14:paraId="00000022">
      <w:pPr>
        <w:numPr>
          <w:ilvl w:val="0"/>
          <w:numId w:val="1"/>
        </w:numPr>
        <w:spacing w:after="0" w:before="0" w:lineRule="auto"/>
        <w:ind w:left="720" w:hanging="360"/>
        <w:rPr/>
      </w:pPr>
      <w:r w:rsidDel="00000000" w:rsidR="00000000" w:rsidRPr="00000000">
        <w:rPr>
          <w:rtl w:val="0"/>
        </w:rPr>
        <w:t xml:space="preserve">Goleman, D. (1998). </w:t>
      </w:r>
      <w:r w:rsidDel="00000000" w:rsidR="00000000" w:rsidRPr="00000000">
        <w:rPr>
          <w:i w:val="1"/>
          <w:rtl w:val="0"/>
        </w:rPr>
        <w:t xml:space="preserve">Working with emotional intelligence</w:t>
      </w:r>
      <w:r w:rsidDel="00000000" w:rsidR="00000000" w:rsidRPr="00000000">
        <w:rPr>
          <w:rtl w:val="0"/>
        </w:rPr>
        <w:t xml:space="preserve">. Bloomsbury.</w:t>
      </w:r>
    </w:p>
    <w:p w:rsidR="00000000" w:rsidDel="00000000" w:rsidP="00000000" w:rsidRDefault="00000000" w:rsidRPr="00000000" w14:paraId="00000023">
      <w:pPr>
        <w:numPr>
          <w:ilvl w:val="0"/>
          <w:numId w:val="1"/>
        </w:numPr>
        <w:spacing w:after="0" w:before="0" w:lineRule="auto"/>
        <w:ind w:left="720" w:hanging="360"/>
        <w:rPr/>
      </w:pPr>
      <w:r w:rsidDel="00000000" w:rsidR="00000000" w:rsidRPr="00000000">
        <w:rPr>
          <w:rtl w:val="0"/>
        </w:rPr>
        <w:t xml:space="preserve">Jackson, D. (2015). Employability skill development in work-integrated learning: Barriers and best practice. </w:t>
      </w:r>
      <w:r w:rsidDel="00000000" w:rsidR="00000000" w:rsidRPr="00000000">
        <w:rPr>
          <w:i w:val="1"/>
          <w:rtl w:val="0"/>
        </w:rPr>
        <w:t xml:space="preserve">Studies in Higher Education</w:t>
      </w:r>
      <w:r w:rsidDel="00000000" w:rsidR="00000000" w:rsidRPr="00000000">
        <w:rPr>
          <w:rtl w:val="0"/>
        </w:rPr>
        <w:t xml:space="preserve">, 40(2), 350–367.</w:t>
      </w:r>
    </w:p>
    <w:p w:rsidR="00000000" w:rsidDel="00000000" w:rsidP="00000000" w:rsidRDefault="00000000" w:rsidRPr="00000000" w14:paraId="00000024">
      <w:pPr>
        <w:numPr>
          <w:ilvl w:val="0"/>
          <w:numId w:val="1"/>
        </w:numPr>
        <w:spacing w:after="0" w:before="0" w:lineRule="auto"/>
        <w:ind w:left="720" w:hanging="360"/>
        <w:rPr/>
      </w:pPr>
      <w:r w:rsidDel="00000000" w:rsidR="00000000" w:rsidRPr="00000000">
        <w:rPr>
          <w:rtl w:val="0"/>
        </w:rPr>
        <w:t xml:space="preserve">Kolb, D. A. (1984). </w:t>
      </w:r>
      <w:r w:rsidDel="00000000" w:rsidR="00000000" w:rsidRPr="00000000">
        <w:rPr>
          <w:i w:val="1"/>
          <w:rtl w:val="0"/>
        </w:rPr>
        <w:t xml:space="preserve">Experiential learning: Experience as the source of learning and development</w:t>
      </w:r>
      <w:r w:rsidDel="00000000" w:rsidR="00000000" w:rsidRPr="00000000">
        <w:rPr>
          <w:rtl w:val="0"/>
        </w:rPr>
        <w:t xml:space="preserve">. Prentice Hall.</w:t>
      </w:r>
    </w:p>
    <w:p w:rsidR="00000000" w:rsidDel="00000000" w:rsidP="00000000" w:rsidRDefault="00000000" w:rsidRPr="00000000" w14:paraId="00000025">
      <w:pPr>
        <w:numPr>
          <w:ilvl w:val="0"/>
          <w:numId w:val="1"/>
        </w:numPr>
        <w:spacing w:after="0" w:before="0" w:lineRule="auto"/>
        <w:ind w:left="720" w:hanging="360"/>
        <w:rPr/>
      </w:pPr>
      <w:r w:rsidDel="00000000" w:rsidR="00000000" w:rsidRPr="00000000">
        <w:rPr>
          <w:rtl w:val="0"/>
        </w:rPr>
        <w:t xml:space="preserve">Naslund, J. A., Aschbrenner, K. A., Marsch, L. A., &amp; Bartels, S. J. (2016). The future of mental health care: Peer-to-peer support and social media. </w:t>
      </w:r>
      <w:r w:rsidDel="00000000" w:rsidR="00000000" w:rsidRPr="00000000">
        <w:rPr>
          <w:i w:val="1"/>
          <w:rtl w:val="0"/>
        </w:rPr>
        <w:t xml:space="preserve">Epidemiology and Psychiatric Sciences</w:t>
      </w:r>
      <w:r w:rsidDel="00000000" w:rsidR="00000000" w:rsidRPr="00000000">
        <w:rPr>
          <w:rtl w:val="0"/>
        </w:rPr>
        <w:t xml:space="preserve">, 25(2), 113–122.</w:t>
      </w:r>
    </w:p>
    <w:p w:rsidR="00000000" w:rsidDel="00000000" w:rsidP="00000000" w:rsidRDefault="00000000" w:rsidRPr="00000000" w14:paraId="00000026">
      <w:pPr>
        <w:numPr>
          <w:ilvl w:val="0"/>
          <w:numId w:val="1"/>
        </w:numPr>
        <w:spacing w:after="0" w:before="0" w:lineRule="auto"/>
        <w:ind w:left="720" w:hanging="360"/>
        <w:rPr/>
      </w:pPr>
      <w:r w:rsidDel="00000000" w:rsidR="00000000" w:rsidRPr="00000000">
        <w:rPr>
          <w:rtl w:val="0"/>
        </w:rPr>
        <w:t xml:space="preserve">Pegg, A., Waldock, J., Hendy-Isaac, S., &amp; Lawton, R. (2012). </w:t>
      </w:r>
      <w:r w:rsidDel="00000000" w:rsidR="00000000" w:rsidRPr="00000000">
        <w:rPr>
          <w:i w:val="1"/>
          <w:rtl w:val="0"/>
        </w:rPr>
        <w:t xml:space="preserve">Pedagogy for employability</w:t>
      </w:r>
      <w:r w:rsidDel="00000000" w:rsidR="00000000" w:rsidRPr="00000000">
        <w:rPr>
          <w:rtl w:val="0"/>
        </w:rPr>
        <w:t xml:space="preserve">. Higher Education Academy.</w:t>
      </w:r>
    </w:p>
    <w:p w:rsidR="00000000" w:rsidDel="00000000" w:rsidP="00000000" w:rsidRDefault="00000000" w:rsidRPr="00000000" w14:paraId="00000027">
      <w:pPr>
        <w:numPr>
          <w:ilvl w:val="0"/>
          <w:numId w:val="1"/>
        </w:numPr>
        <w:spacing w:after="0" w:before="0" w:lineRule="auto"/>
        <w:ind w:left="720" w:hanging="360"/>
        <w:rPr/>
      </w:pPr>
      <w:r w:rsidDel="00000000" w:rsidR="00000000" w:rsidRPr="00000000">
        <w:rPr>
          <w:rtl w:val="0"/>
        </w:rPr>
        <w:t xml:space="preserve">Sargeant, J., Mann, K., van der Vleuten, C., &amp; Metsemakers, J. (2008). ‘Directed’ self-assessment: Practice and feedback within a social context. </w:t>
      </w:r>
      <w:r w:rsidDel="00000000" w:rsidR="00000000" w:rsidRPr="00000000">
        <w:rPr>
          <w:i w:val="1"/>
          <w:rtl w:val="0"/>
        </w:rPr>
        <w:t xml:space="preserve">Journal of Continuing Education in the Health Professions</w:t>
      </w:r>
      <w:r w:rsidDel="00000000" w:rsidR="00000000" w:rsidRPr="00000000">
        <w:rPr>
          <w:rtl w:val="0"/>
        </w:rPr>
        <w:t xml:space="preserve">, 28(1), 47–54.</w:t>
      </w:r>
    </w:p>
    <w:p w:rsidR="00000000" w:rsidDel="00000000" w:rsidP="00000000" w:rsidRDefault="00000000" w:rsidRPr="00000000" w14:paraId="00000028">
      <w:pPr>
        <w:numPr>
          <w:ilvl w:val="0"/>
          <w:numId w:val="1"/>
        </w:numPr>
        <w:spacing w:after="0" w:before="0" w:lineRule="auto"/>
        <w:ind w:left="720" w:hanging="360"/>
        <w:rPr/>
      </w:pPr>
      <w:r w:rsidDel="00000000" w:rsidR="00000000" w:rsidRPr="00000000">
        <w:rPr>
          <w:rtl w:val="0"/>
        </w:rPr>
        <w:t xml:space="preserve">Schön, D. A. (1983). </w:t>
      </w:r>
      <w:r w:rsidDel="00000000" w:rsidR="00000000" w:rsidRPr="00000000">
        <w:rPr>
          <w:i w:val="1"/>
          <w:rtl w:val="0"/>
        </w:rPr>
        <w:t xml:space="preserve">The reflective practitioner: How professionals think in action</w:t>
      </w:r>
      <w:r w:rsidDel="00000000" w:rsidR="00000000" w:rsidRPr="00000000">
        <w:rPr>
          <w:rtl w:val="0"/>
        </w:rPr>
        <w:t xml:space="preserve">. Basic Books.</w:t>
      </w:r>
    </w:p>
    <w:p w:rsidR="00000000" w:rsidDel="00000000" w:rsidP="00000000" w:rsidRDefault="00000000" w:rsidRPr="00000000" w14:paraId="00000029">
      <w:pPr>
        <w:numPr>
          <w:ilvl w:val="0"/>
          <w:numId w:val="1"/>
        </w:numPr>
        <w:spacing w:after="240" w:before="0" w:lineRule="auto"/>
        <w:ind w:left="720" w:hanging="360"/>
        <w:rPr/>
      </w:pPr>
      <w:r w:rsidDel="00000000" w:rsidR="00000000" w:rsidRPr="00000000">
        <w:rPr>
          <w:rtl w:val="0"/>
        </w:rPr>
        <w:t xml:space="preserve">Yorke, M. (2004). Employability in higher education: What it is—what it is not. </w:t>
      </w:r>
      <w:r w:rsidDel="00000000" w:rsidR="00000000" w:rsidRPr="00000000">
        <w:rPr>
          <w:i w:val="1"/>
          <w:rtl w:val="0"/>
        </w:rPr>
        <w:t xml:space="preserve">Learning and Employability Series One</w:t>
      </w:r>
      <w:r w:rsidDel="00000000" w:rsidR="00000000" w:rsidRPr="00000000">
        <w:rPr>
          <w:rtl w:val="0"/>
        </w:rPr>
        <w:t xml:space="preserve">. Higher Education Academy.</w:t>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11" Type="http://schemas.openxmlformats.org/officeDocument/2006/relationships/image" Target="media/image13.png"/><Relationship Id="rId22" Type="http://schemas.openxmlformats.org/officeDocument/2006/relationships/image" Target="media/image14.png"/><Relationship Id="rId10" Type="http://schemas.openxmlformats.org/officeDocument/2006/relationships/image" Target="media/image12.png"/><Relationship Id="rId21" Type="http://schemas.openxmlformats.org/officeDocument/2006/relationships/image" Target="media/image5.png"/><Relationship Id="rId13" Type="http://schemas.openxmlformats.org/officeDocument/2006/relationships/image" Target="media/image8.png"/><Relationship Id="rId12" Type="http://schemas.openxmlformats.org/officeDocument/2006/relationships/image" Target="media/image1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jpg"/><Relationship Id="rId15" Type="http://schemas.openxmlformats.org/officeDocument/2006/relationships/image" Target="media/image1.png"/><Relationship Id="rId14" Type="http://schemas.openxmlformats.org/officeDocument/2006/relationships/image" Target="media/image9.png"/><Relationship Id="rId17" Type="http://schemas.openxmlformats.org/officeDocument/2006/relationships/image" Target="media/image7.png"/><Relationship Id="rId16" Type="http://schemas.openxmlformats.org/officeDocument/2006/relationships/image" Target="media/image11.png"/><Relationship Id="rId5" Type="http://schemas.openxmlformats.org/officeDocument/2006/relationships/styles" Target="styles.xml"/><Relationship Id="rId19" Type="http://schemas.openxmlformats.org/officeDocument/2006/relationships/image" Target="media/image6.png"/><Relationship Id="rId6" Type="http://schemas.openxmlformats.org/officeDocument/2006/relationships/customXml" Target="../customXML/item1.xml"/><Relationship Id="rId18" Type="http://schemas.openxmlformats.org/officeDocument/2006/relationships/image" Target="media/image4.png"/><Relationship Id="rId7" Type="http://schemas.openxmlformats.org/officeDocument/2006/relationships/image" Target="media/image10.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X+MU8nPy48pwb4lWlklWascFEA==">CgMxLjA4AHIhMUR5QnNvY1VTRmtrb3JGbGxlSWYyZVJQYTFWSThIM3Z1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