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Arial" w:cs="Arial" w:hAnsi="Arial" w:eastAsia="Arial"/>
          <w:b w:val="1"/>
          <w:bCs w:val="1"/>
          <w:sz w:val="24"/>
          <w:szCs w:val="24"/>
        </w:rPr>
      </w:pPr>
      <w:r>
        <w:rPr>
          <w:b w:val="1"/>
          <w:bCs w:val="1"/>
          <w:rtl w:val="0"/>
          <w:lang w:val="en-US"/>
        </w:rPr>
        <w:t xml:space="preserve">BMSW4003 </w:t>
      </w:r>
      <w:r>
        <w:rPr>
          <w:rFonts w:ascii="Arial" w:hAnsi="Arial"/>
          <w:b w:val="1"/>
          <w:bCs w:val="1"/>
          <w:sz w:val="24"/>
          <w:szCs w:val="24"/>
          <w:rtl w:val="0"/>
          <w:lang w:val="en-US"/>
        </w:rPr>
        <w:t>Digital Skills and Research Methods</w:t>
      </w:r>
    </w:p>
    <w:p>
      <w:pPr>
        <w:pStyle w:val="Body"/>
        <w:rPr>
          <w:rFonts w:ascii="Arial" w:cs="Arial" w:hAnsi="Arial" w:eastAsia="Arial"/>
          <w:b w:val="1"/>
          <w:bCs w:val="1"/>
          <w:sz w:val="24"/>
          <w:szCs w:val="24"/>
        </w:rPr>
      </w:pPr>
      <w:r>
        <w:rPr>
          <w:rFonts w:ascii="Arial" w:hAnsi="Arial"/>
          <w:b w:val="1"/>
          <w:bCs w:val="1"/>
          <w:sz w:val="24"/>
          <w:szCs w:val="24"/>
          <w:rtl w:val="0"/>
          <w:lang w:val="en-US"/>
        </w:rPr>
        <w:t>Student Name: Liviu Hardica</w:t>
      </w:r>
    </w:p>
    <w:p>
      <w:pPr>
        <w:pStyle w:val="Body"/>
        <w:rPr>
          <w:rFonts w:ascii="Arial" w:cs="Arial" w:hAnsi="Arial" w:eastAsia="Arial"/>
          <w:b w:val="1"/>
          <w:bCs w:val="1"/>
          <w:sz w:val="24"/>
          <w:szCs w:val="24"/>
        </w:rPr>
      </w:pPr>
      <w:r>
        <w:rPr>
          <w:rFonts w:ascii="Arial" w:hAnsi="Arial"/>
          <w:b w:val="1"/>
          <w:bCs w:val="1"/>
          <w:sz w:val="24"/>
          <w:szCs w:val="24"/>
          <w:rtl w:val="0"/>
          <w:lang w:val="en-US"/>
        </w:rPr>
        <w:t>Student ID: 2119291</w:t>
      </w: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rPr>
          <w:rFonts w:ascii="Arial" w:cs="Arial" w:hAnsi="Arial" w:eastAsia="Arial"/>
          <w:b w:val="1"/>
          <w:bCs w:val="1"/>
          <w:sz w:val="24"/>
          <w:szCs w:val="24"/>
        </w:rPr>
      </w:pPr>
    </w:p>
    <w:p>
      <w:pPr>
        <w:pStyle w:val="Body"/>
        <w:jc w:val="center"/>
        <w:rPr>
          <w:rFonts w:ascii="Arial" w:cs="Arial" w:hAnsi="Arial" w:eastAsia="Arial"/>
          <w:b w:val="1"/>
          <w:bCs w:val="1"/>
          <w:sz w:val="24"/>
          <w:szCs w:val="24"/>
        </w:rPr>
      </w:pPr>
    </w:p>
    <w:p>
      <w:pPr>
        <w:pStyle w:val="Body"/>
        <w:jc w:val="center"/>
      </w:pPr>
      <w:r>
        <w:rPr>
          <w:rFonts w:ascii="Arial Unicode MS" w:cs="Arial Unicode MS" w:hAnsi="Arial Unicode MS" w:eastAsia="Arial Unicode MS"/>
          <w:b w:val="0"/>
          <w:bCs w:val="0"/>
          <w:i w:val="0"/>
          <w:iCs w:val="0"/>
          <w:sz w:val="24"/>
          <w:szCs w:val="24"/>
        </w:rPr>
        <w:br w:type="page"/>
      </w:r>
    </w:p>
    <w:p>
      <w:pPr>
        <w:pStyle w:val="Heading"/>
      </w:pPr>
      <w:bookmarkStart w:name="_Toc" w:id="0"/>
      <w:r>
        <w:rPr>
          <w:rFonts w:cs="Arial Unicode MS" w:eastAsia="Arial Unicode MS"/>
          <w:rtl w:val="0"/>
          <w:lang w:val="en-US"/>
        </w:rPr>
        <w:t>Abstract</w:t>
      </w:r>
      <w:bookmarkEnd w:id="0"/>
    </w:p>
    <w:p>
      <w:pPr>
        <w:pStyle w:val="Body"/>
        <w:spacing w:after="0" w:line="480" w:lineRule="auto"/>
        <w:ind w:firstLine="720"/>
        <w:rPr>
          <w:rFonts w:ascii="Arial" w:cs="Arial" w:hAnsi="Arial" w:eastAsia="Arial"/>
          <w:b w:val="1"/>
          <w:bCs w:val="1"/>
          <w:i w:val="1"/>
          <w:iCs w:val="1"/>
          <w:sz w:val="24"/>
          <w:szCs w:val="24"/>
        </w:rPr>
      </w:pPr>
      <w:r>
        <w:rPr>
          <w:rFonts w:ascii="Arial" w:hAnsi="Arial"/>
          <w:sz w:val="24"/>
          <w:szCs w:val="24"/>
          <w:rtl w:val="0"/>
          <w:lang w:val="en-US"/>
        </w:rPr>
        <w:t xml:space="preserve">This particular work is related to digital tools and how UWSTD makes use of digital tools. The report begins with an introduction describing what digital tools actually are and what role they play in universities. Afterwards, there will be a research design which is divided in three different parts which are research question, method and ethical consideration. In the section of method, there will be brief discussion on which methods will be used in the research and in the section of ethical consideration; there will be a brief description on what ethical considerations are required when carrying out the research. Then, there will be results which will be offering the results of the study. Then, there will be a long discussion how the digital tools used by UWSTD and how they are beneficial for the students. Lastly, there will be a conclusion which will be summarising the whole document. </w:t>
      </w:r>
    </w:p>
    <w:p>
      <w:pPr>
        <w:pStyle w:val="Body"/>
      </w:pPr>
      <w:r>
        <w:rPr>
          <w:rFonts w:ascii="Arial Unicode MS" w:cs="Arial Unicode MS" w:hAnsi="Arial Unicode MS" w:eastAsia="Arial Unicode MS"/>
          <w:b w:val="0"/>
          <w:bCs w:val="0"/>
          <w:i w:val="0"/>
          <w:iCs w:val="0"/>
          <w:sz w:val="24"/>
          <w:szCs w:val="24"/>
        </w:rPr>
        <w:br w:type="page"/>
      </w:r>
    </w:p>
    <w:p>
      <w:pPr>
        <w:pStyle w:val="TOC Heading"/>
        <w:jc w:val="center"/>
        <w:rPr>
          <w:rFonts w:ascii="Arial" w:cs="Arial" w:hAnsi="Arial" w:eastAsia="Arial"/>
          <w:outline w:val="0"/>
          <w:color w:val="000000"/>
          <w:sz w:val="24"/>
          <w:szCs w:val="24"/>
          <w:u w:color="000000"/>
          <w14:textFill>
            <w14:solidFill>
              <w14:srgbClr w14:val="000000"/>
            </w14:solidFill>
          </w14:textFill>
        </w:rPr>
      </w:pPr>
      <w:r>
        <w:rPr>
          <w:rFonts w:ascii="Arial" w:hAnsi="Arial"/>
          <w:outline w:val="0"/>
          <w:color w:val="000000"/>
          <w:sz w:val="24"/>
          <w:szCs w:val="24"/>
          <w:u w:color="000000"/>
          <w:rtl w:val="0"/>
          <w:lang w:val="en-US"/>
          <w14:textFill>
            <w14:solidFill>
              <w14:srgbClr w14:val="000000"/>
            </w14:solidFill>
          </w14:textFill>
        </w:rPr>
        <w:t>Table of Contents</w:t>
      </w:r>
    </w:p>
    <w:p>
      <w:pPr>
        <w:pStyle w:val="toc 1"/>
        <w:tabs>
          <w:tab w:val="right" w:pos="9340" w:leader="dot"/>
        </w:tabs>
        <w:spacing w:line="360" w:lineRule="auto"/>
        <w:rPr>
          <w:rFonts w:ascii="Arial" w:cs="Arial" w:hAnsi="Arial" w:eastAsia="Arial"/>
          <w:sz w:val="24"/>
          <w:szCs w:val="24"/>
        </w:rPr>
      </w:pPr>
    </w:p>
    <w:p>
      <w:pPr>
        <w:pStyle w:val="Body"/>
        <w:spacing w:line="360" w:lineRule="auto"/>
      </w:pPr>
      <w:r>
        <w:rPr>
          <w:rFonts w:ascii="Arial" w:cs="Arial" w:hAnsi="Arial" w:eastAsia="Arial"/>
        </w:rPr>
        <w:fldChar w:fldCharType="begin" w:fldLock="0"/>
      </w:r>
      <w:r>
        <w:rPr>
          <w:rFonts w:ascii="Arial" w:cs="Arial" w:hAnsi="Arial" w:eastAsia="Arial"/>
        </w:rPr>
        <w:instrText xml:space="preserve"> TOC \o 1-3 </w:instrText>
      </w:r>
      <w:r>
        <w:rPr>
          <w:rFonts w:ascii="Arial" w:cs="Arial" w:hAnsi="Arial" w:eastAsia="Arial"/>
        </w:rPr>
        <w:fldChar w:fldCharType="separate" w:fldLock="0"/>
      </w:r>
    </w:p>
    <w:p>
      <w:pPr>
        <w:pStyle w:val="TOC 1.0"/>
      </w:pPr>
      <w:r>
        <w:rPr>
          <w:rFonts w:cs="Arial Unicode MS" w:eastAsia="Arial Unicode MS"/>
          <w:rtl w:val="0"/>
        </w:rPr>
        <w:t>Abstract</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0"/>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0"/>
      </w:pPr>
      <w:r>
        <w:rPr>
          <w:rFonts w:cs="Arial Unicode MS" w:eastAsia="Arial Unicode MS"/>
          <w:rtl w:val="0"/>
        </w:rPr>
        <w:t>Research Design</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Research Question</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Methods</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Ethical Considerations</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Voluntary Participation</w:t>
        <w:tab/>
      </w:r>
      <w:r>
        <w:rPr/>
        <w:fldChar w:fldCharType="begin" w:fldLock="0"/>
      </w:r>
      <w:r>
        <w:instrText xml:space="preserve"> PAGEREF _Toc6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Informed Consent</w:t>
        <w:tab/>
      </w:r>
      <w:r>
        <w:rPr/>
        <w:fldChar w:fldCharType="begin" w:fldLock="0"/>
      </w:r>
      <w:r>
        <w:instrText xml:space="preserve"> PAGEREF _Toc7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Anonymity</w:t>
        <w:tab/>
      </w:r>
      <w:r>
        <w:rPr/>
        <w:fldChar w:fldCharType="begin" w:fldLock="0"/>
      </w:r>
      <w:r>
        <w:instrText xml:space="preserve"> PAGEREF _Toc8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Confidentiality</w:t>
        <w:tab/>
      </w:r>
      <w:r>
        <w:rPr/>
        <w:fldChar w:fldCharType="begin" w:fldLock="0"/>
      </w:r>
      <w:r>
        <w:instrText xml:space="preserve"> PAGEREF _Toc9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Potential for Harm</w:t>
        <w:tab/>
      </w:r>
      <w:r>
        <w:rPr/>
        <w:fldChar w:fldCharType="begin" w:fldLock="0"/>
      </w:r>
      <w:r>
        <w:instrText xml:space="preserve"> PAGEREF _Toc10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Results Communication</w:t>
        <w:tab/>
      </w:r>
      <w:r>
        <w:rPr/>
        <w:fldChar w:fldCharType="begin" w:fldLock="0"/>
      </w:r>
      <w:r>
        <w:instrText xml:space="preserve"> PAGEREF _Toc11 \h </w:instrText>
      </w:r>
      <w:r>
        <w:rPr/>
        <w:fldChar w:fldCharType="separate" w:fldLock="0"/>
      </w:r>
      <w:r>
        <w:rPr>
          <w:rFonts w:cs="Arial Unicode MS" w:eastAsia="Arial Unicode MS"/>
          <w:rtl w:val="0"/>
        </w:rPr>
        <w:t>6</w:t>
      </w:r>
      <w:r>
        <w:rPr/>
        <w:fldChar w:fldCharType="end" w:fldLock="0"/>
      </w:r>
    </w:p>
    <w:p>
      <w:pPr>
        <w:pStyle w:val="TOC 1.0"/>
      </w:pPr>
      <w:r>
        <w:rPr>
          <w:rFonts w:cs="Arial Unicode MS" w:eastAsia="Arial Unicode MS"/>
          <w:rtl w:val="0"/>
        </w:rPr>
        <w:t>Results</w:t>
        <w:tab/>
      </w:r>
      <w:r>
        <w:rPr/>
        <w:fldChar w:fldCharType="begin" w:fldLock="0"/>
      </w:r>
      <w:r>
        <w:instrText xml:space="preserve"> PAGEREF _Toc12 \h </w:instrText>
      </w:r>
      <w:r>
        <w:rPr/>
        <w:fldChar w:fldCharType="separate" w:fldLock="0"/>
      </w:r>
      <w:r>
        <w:rPr>
          <w:rFonts w:cs="Arial Unicode MS" w:eastAsia="Arial Unicode MS"/>
          <w:rtl w:val="0"/>
        </w:rPr>
        <w:t>7</w:t>
      </w:r>
      <w:r>
        <w:rPr/>
        <w:fldChar w:fldCharType="end" w:fldLock="0"/>
      </w:r>
    </w:p>
    <w:p>
      <w:pPr>
        <w:pStyle w:val="TOC 1.0"/>
      </w:pPr>
      <w:r>
        <w:rPr>
          <w:rFonts w:cs="Arial Unicode MS" w:eastAsia="Arial Unicode MS"/>
          <w:rtl w:val="0"/>
        </w:rPr>
        <w:t>Discussion</w:t>
        <w:tab/>
      </w:r>
      <w:r>
        <w:rPr/>
        <w:fldChar w:fldCharType="begin" w:fldLock="0"/>
      </w:r>
      <w:r>
        <w:instrText xml:space="preserve"> PAGEREF _Toc13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Engaging Audience by the Use of Live Presentations Made by Microsoft PowerPoint</w:t>
        <w:tab/>
      </w:r>
      <w:r>
        <w:rPr/>
        <w:fldChar w:fldCharType="begin" w:fldLock="0"/>
      </w:r>
      <w:r>
        <w:instrText xml:space="preserve"> PAGEREF _Toc14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Using Microsoft Streams for Creating the Teaching Videos and Uploading on Websites or Mobile Devices</w:t>
        <w:tab/>
      </w:r>
      <w:r>
        <w:rPr/>
        <w:fldChar w:fldCharType="begin" w:fldLock="0"/>
      </w:r>
      <w:r>
        <w:instrText xml:space="preserve"> PAGEREF _Toc15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Enhancement of Audio Recording in Noisy Environment</w:t>
        <w:tab/>
      </w:r>
      <w:r>
        <w:rPr/>
        <w:fldChar w:fldCharType="begin" w:fldLock="0"/>
      </w:r>
      <w:r>
        <w:instrText xml:space="preserve"> PAGEREF _Toc16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hint="default"/>
          <w:rtl w:val="0"/>
        </w:rPr>
        <w:t>Use of “Microsoft Teams Class Insight” for Unlocking Student’s Potential</w:t>
        <w:tab/>
      </w:r>
      <w:r>
        <w:rPr/>
        <w:fldChar w:fldCharType="begin" w:fldLock="0"/>
      </w:r>
      <w:r>
        <w:instrText xml:space="preserve"> PAGEREF _Toc17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Enhancing Comprehension, Focus, and Retention of Students by Live Captions of Microsoft OneNote</w:t>
        <w:tab/>
      </w:r>
      <w:r>
        <w:rPr/>
        <w:fldChar w:fldCharType="begin" w:fldLock="0"/>
      </w:r>
      <w:r>
        <w:instrText xml:space="preserve"> PAGEREF _Toc18 \h </w:instrText>
      </w:r>
      <w:r>
        <w:rPr/>
        <w:fldChar w:fldCharType="separate" w:fldLock="0"/>
      </w:r>
      <w:r>
        <w:rPr>
          <w:rFonts w:cs="Arial Unicode MS" w:eastAsia="Arial Unicode MS"/>
          <w:rtl w:val="0"/>
        </w:rPr>
        <w:t>10</w:t>
      </w:r>
      <w:r>
        <w:rPr/>
        <w:fldChar w:fldCharType="end" w:fldLock="0"/>
      </w:r>
    </w:p>
    <w:p>
      <w:pPr>
        <w:pStyle w:val="TOC 1.0"/>
      </w:pPr>
      <w:r>
        <w:rPr>
          <w:rFonts w:cs="Arial Unicode MS" w:eastAsia="Arial Unicode MS"/>
          <w:rtl w:val="0"/>
        </w:rPr>
        <w:t>Conclusion</w:t>
        <w:tab/>
      </w:r>
      <w:r>
        <w:rPr/>
        <w:fldChar w:fldCharType="begin" w:fldLock="0"/>
      </w:r>
      <w:r>
        <w:instrText xml:space="preserve"> PAGEREF _Toc19 \h </w:instrText>
      </w:r>
      <w:r>
        <w:rPr/>
        <w:fldChar w:fldCharType="separate" w:fldLock="0"/>
      </w:r>
      <w:r>
        <w:rPr>
          <w:rFonts w:cs="Arial Unicode MS" w:eastAsia="Arial Unicode MS"/>
          <w:rtl w:val="0"/>
        </w:rPr>
        <w:t>11</w:t>
      </w:r>
      <w:r>
        <w:rPr/>
        <w:fldChar w:fldCharType="end" w:fldLock="0"/>
      </w:r>
    </w:p>
    <w:p>
      <w:pPr>
        <w:pStyle w:val="TOC 1.0"/>
      </w:pPr>
      <w:r>
        <w:rPr>
          <w:rFonts w:cs="Arial Unicode MS" w:eastAsia="Arial Unicode MS"/>
          <w:rtl w:val="0"/>
        </w:rPr>
        <w:t>References</w:t>
        <w:tab/>
      </w:r>
      <w:r>
        <w:rPr/>
        <w:fldChar w:fldCharType="begin" w:fldLock="0"/>
      </w:r>
      <w:r>
        <w:instrText xml:space="preserve"> PAGEREF _Toc20 \h </w:instrText>
      </w:r>
      <w:r>
        <w:rPr/>
        <w:fldChar w:fldCharType="separate" w:fldLock="0"/>
      </w:r>
      <w:r>
        <w:rPr>
          <w:rFonts w:cs="Arial Unicode MS" w:eastAsia="Arial Unicode MS"/>
          <w:rtl w:val="0"/>
        </w:rPr>
        <w:t>12</w:t>
      </w:r>
      <w:r>
        <w:rPr/>
        <w:fldChar w:fldCharType="end" w:fldLock="0"/>
      </w:r>
    </w:p>
    <w:p>
      <w:pPr>
        <w:spacing w:line="360" w:lineRule="auto"/>
        <w:rPr>
          <w:b w:val="1"/>
          <w:bCs w:val="1"/>
        </w:rPr>
      </w:pPr>
      <w:r>
        <w:rPr>
          <w:rFonts w:ascii="Arial" w:cs="Arial" w:hAnsi="Arial" w:eastAsia="Arial"/>
        </w:rPr>
        <w:fldChar w:fldCharType="end" w:fldLock="0"/>
      </w:r>
    </w:p>
    <w:p>
      <w:pPr>
        <w:pStyle w:val="Heading"/>
      </w:pPr>
      <w:bookmarkStart w:name="_Toc1" w:id="1"/>
      <w:r>
        <w:rPr>
          <w:rFonts w:cs="Arial Unicode MS" w:eastAsia="Arial Unicode MS"/>
          <w:rtl w:val="0"/>
          <w:lang w:val="fr-FR"/>
        </w:rPr>
        <w:t>Introduction</w:t>
      </w:r>
      <w:bookmarkEnd w:id="1"/>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The advancement in technology and digital tools has altered and transformed the mode of the people`s live in every of its characteristics. Individuals can simply learn in remote universities with no complexities of travelling that far. They can avail to numerous of informational sources via the </w:t>
      </w:r>
      <w:r>
        <w:rPr>
          <w:rFonts w:ascii="Arial" w:hAnsi="Arial" w:hint="default"/>
          <w:sz w:val="24"/>
          <w:szCs w:val="24"/>
          <w:rtl w:val="0"/>
          <w:lang w:val="en-US"/>
        </w:rPr>
        <w:t>“</w:t>
      </w:r>
      <w:r>
        <w:rPr>
          <w:rFonts w:ascii="Arial" w:hAnsi="Arial"/>
          <w:sz w:val="24"/>
          <w:szCs w:val="24"/>
          <w:rtl w:val="0"/>
          <w:lang w:val="en-US"/>
        </w:rPr>
        <w:t>World Wide Web</w:t>
      </w:r>
      <w:r>
        <w:rPr>
          <w:rFonts w:ascii="Arial" w:hAnsi="Arial" w:hint="default"/>
          <w:sz w:val="24"/>
          <w:szCs w:val="24"/>
          <w:rtl w:val="0"/>
          <w:lang w:val="en-US"/>
        </w:rPr>
        <w:t xml:space="preserve">” </w:t>
      </w:r>
      <w:r>
        <w:rPr>
          <w:rFonts w:ascii="Arial" w:hAnsi="Arial"/>
          <w:sz w:val="24"/>
          <w:szCs w:val="24"/>
          <w:rtl w:val="0"/>
          <w:lang w:val="en-US"/>
        </w:rPr>
        <w:t xml:space="preserve">(WWW). Not similar to the prior schools where learning of students was just limited to the context of school, and in present times, many schools offer students with several learning contexts via the exploitation of different communication tools that allow their communication with professors, teachers, and schools and can attend seminars from other different countries. Digital tools are greatly exploited by universities to endorse learning and facilitate students to communicate easily with parents and offer availability to channels of communication amid schools and homes as per to the research of </w:t>
      </w:r>
      <w:r>
        <w:rPr>
          <w:rFonts w:ascii="Arial" w:hAnsi="Arial"/>
          <w:sz w:val="24"/>
          <w:szCs w:val="24"/>
          <w:shd w:val="clear" w:color="auto" w:fill="ffffff"/>
          <w:rtl w:val="0"/>
        </w:rPr>
        <w:t>(Hashim, 2018)</w:t>
      </w:r>
      <w:r>
        <w:rPr>
          <w:rFonts w:ascii="Arial" w:hAnsi="Arial"/>
          <w:sz w:val="24"/>
          <w:szCs w:val="24"/>
          <w:rtl w:val="0"/>
          <w:lang w:val="en-US"/>
        </w:rPr>
        <w:t xml:space="preserve">. This particular matter is of supreme significance as it enhances engagement of parents in the learning of children. As a result, parents can easily take informed choices related to their children`s future and can take part with professors in progressing the level of their child. Engagement of parents in the process of learning improves the achievement of children at universities. </w:t>
      </w:r>
    </w:p>
    <w:p>
      <w:pPr>
        <w:pStyle w:val="Body"/>
        <w:spacing w:after="0" w:line="480" w:lineRule="auto"/>
        <w:rPr>
          <w:rFonts w:ascii="Arial" w:cs="Arial" w:hAnsi="Arial" w:eastAsia="Arial"/>
          <w:sz w:val="24"/>
          <w:szCs w:val="24"/>
        </w:rPr>
      </w:pPr>
    </w:p>
    <w:p>
      <w:pPr>
        <w:pStyle w:val="Heading"/>
      </w:pPr>
      <w:bookmarkStart w:name="_Toc2" w:id="2"/>
      <w:r>
        <w:rPr>
          <w:rFonts w:cs="Arial Unicode MS" w:eastAsia="Arial Unicode MS"/>
          <w:rtl w:val="0"/>
          <w:lang w:val="en-US"/>
        </w:rPr>
        <w:t>Research Design</w:t>
      </w:r>
      <w:bookmarkEnd w:id="2"/>
    </w:p>
    <w:p>
      <w:pPr>
        <w:pStyle w:val="Heading 2"/>
      </w:pPr>
      <w:bookmarkStart w:name="_Toc3" w:id="3"/>
      <w:r>
        <w:rPr>
          <w:rFonts w:cs="Arial Unicode MS" w:eastAsia="Arial Unicode MS"/>
          <w:rtl w:val="0"/>
          <w:lang w:val="it-IT"/>
        </w:rPr>
        <w:t>Research Question</w:t>
      </w:r>
      <w:bookmarkEnd w:id="3"/>
    </w:p>
    <w:p>
      <w:pPr>
        <w:pStyle w:val="List Paragraph"/>
        <w:numPr>
          <w:ilvl w:val="0"/>
          <w:numId w:val="2"/>
        </w:numPr>
        <w:bidi w:val="0"/>
        <w:spacing w:after="0" w:line="480" w:lineRule="auto"/>
        <w:ind w:right="0"/>
        <w:jc w:val="left"/>
        <w:rPr>
          <w:rFonts w:ascii="Arial" w:hAnsi="Arial"/>
          <w:sz w:val="24"/>
          <w:szCs w:val="24"/>
          <w:rtl w:val="0"/>
          <w:lang w:val="en-US"/>
        </w:rPr>
      </w:pPr>
      <w:r>
        <w:rPr>
          <w:rFonts w:ascii="Arial" w:hAnsi="Arial"/>
          <w:sz w:val="24"/>
          <w:szCs w:val="24"/>
          <w:rtl w:val="0"/>
          <w:lang w:val="en-US"/>
        </w:rPr>
        <w:t>Which communication and digital tools are used by UWSTD?</w:t>
      </w:r>
    </w:p>
    <w:p>
      <w:pPr>
        <w:pStyle w:val="Body"/>
        <w:spacing w:after="0" w:line="480" w:lineRule="auto"/>
        <w:rPr>
          <w:rFonts w:ascii="Arial" w:cs="Arial" w:hAnsi="Arial" w:eastAsia="Arial"/>
          <w:sz w:val="24"/>
          <w:szCs w:val="24"/>
        </w:rPr>
      </w:pPr>
    </w:p>
    <w:p>
      <w:pPr>
        <w:pStyle w:val="Body"/>
        <w:spacing w:after="0" w:line="480" w:lineRule="auto"/>
        <w:rPr>
          <w:rFonts w:ascii="Arial" w:cs="Arial" w:hAnsi="Arial" w:eastAsia="Arial"/>
          <w:sz w:val="24"/>
          <w:szCs w:val="24"/>
        </w:rPr>
      </w:pPr>
    </w:p>
    <w:p>
      <w:pPr>
        <w:pStyle w:val="Heading 2"/>
      </w:pPr>
      <w:bookmarkStart w:name="_Toc4" w:id="4"/>
      <w:r>
        <w:rPr>
          <w:rFonts w:cs="Arial Unicode MS" w:eastAsia="Arial Unicode MS"/>
          <w:rtl w:val="0"/>
          <w:lang w:val="en-US"/>
        </w:rPr>
        <w:t>Methods</w:t>
      </w:r>
      <w:bookmarkEnd w:id="4"/>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Research was carried out by making use of questionnaires. Staff of UWSTD along with the students was asked to take part in this research to describe what digital tools they use and whether they are satisfied with the tools that are exploited in UWSTD. For the research, around 230 individuals took part out of which 183 were students and the rest were teachers. Different questions were asked such as:</w:t>
      </w:r>
    </w:p>
    <w:p>
      <w:pPr>
        <w:pStyle w:val="List Paragraph"/>
        <w:numPr>
          <w:ilvl w:val="0"/>
          <w:numId w:val="2"/>
        </w:numPr>
        <w:bidi w:val="0"/>
        <w:spacing w:after="0" w:line="480" w:lineRule="auto"/>
        <w:ind w:right="0"/>
        <w:jc w:val="left"/>
        <w:rPr>
          <w:rFonts w:ascii="Arial" w:hAnsi="Arial"/>
          <w:sz w:val="24"/>
          <w:szCs w:val="24"/>
          <w:rtl w:val="0"/>
          <w:lang w:val="en-US"/>
        </w:rPr>
      </w:pPr>
      <w:r>
        <w:rPr>
          <w:rFonts w:ascii="Arial" w:hAnsi="Arial"/>
          <w:sz w:val="24"/>
          <w:szCs w:val="24"/>
          <w:rtl w:val="0"/>
          <w:lang w:val="en-US"/>
        </w:rPr>
        <w:t>What are the digital tools that are used by the university?</w:t>
      </w:r>
    </w:p>
    <w:p>
      <w:pPr>
        <w:pStyle w:val="List Paragraph"/>
        <w:numPr>
          <w:ilvl w:val="0"/>
          <w:numId w:val="2"/>
        </w:numPr>
        <w:bidi w:val="0"/>
        <w:spacing w:after="0" w:line="480" w:lineRule="auto"/>
        <w:ind w:right="0"/>
        <w:jc w:val="left"/>
        <w:rPr>
          <w:rFonts w:ascii="Arial" w:hAnsi="Arial"/>
          <w:sz w:val="24"/>
          <w:szCs w:val="24"/>
          <w:rtl w:val="0"/>
          <w:lang w:val="en-US"/>
        </w:rPr>
      </w:pPr>
      <w:r>
        <w:rPr>
          <w:rFonts w:ascii="Arial" w:hAnsi="Arial"/>
          <w:sz w:val="24"/>
          <w:szCs w:val="24"/>
          <w:rtl w:val="0"/>
          <w:lang w:val="en-US"/>
        </w:rPr>
        <w:t>Do they face any obstacle when using such digital tools?</w:t>
      </w:r>
    </w:p>
    <w:p>
      <w:pPr>
        <w:pStyle w:val="List Paragraph"/>
        <w:numPr>
          <w:ilvl w:val="0"/>
          <w:numId w:val="2"/>
        </w:numPr>
        <w:bidi w:val="0"/>
        <w:spacing w:after="0" w:line="480" w:lineRule="auto"/>
        <w:ind w:right="0"/>
        <w:jc w:val="left"/>
        <w:rPr>
          <w:rFonts w:ascii="Arial" w:hAnsi="Arial"/>
          <w:sz w:val="24"/>
          <w:szCs w:val="24"/>
          <w:rtl w:val="0"/>
          <w:lang w:val="en-US"/>
        </w:rPr>
      </w:pPr>
      <w:r>
        <w:rPr>
          <w:rFonts w:ascii="Arial" w:hAnsi="Arial"/>
          <w:sz w:val="24"/>
          <w:szCs w:val="24"/>
          <w:rtl w:val="0"/>
          <w:lang w:val="en-US"/>
        </w:rPr>
        <w:t>Have the digital tools help them in their studies and research?</w:t>
      </w:r>
    </w:p>
    <w:p>
      <w:pPr>
        <w:pStyle w:val="List Paragraph"/>
        <w:numPr>
          <w:ilvl w:val="0"/>
          <w:numId w:val="2"/>
        </w:numPr>
        <w:bidi w:val="0"/>
        <w:spacing w:after="0" w:line="480" w:lineRule="auto"/>
        <w:ind w:right="0"/>
        <w:jc w:val="left"/>
        <w:rPr>
          <w:rFonts w:ascii="Arial" w:hAnsi="Arial"/>
          <w:sz w:val="24"/>
          <w:szCs w:val="24"/>
          <w:rtl w:val="0"/>
          <w:lang w:val="en-US"/>
        </w:rPr>
      </w:pPr>
      <w:r>
        <w:rPr>
          <w:rFonts w:ascii="Arial" w:hAnsi="Arial"/>
          <w:sz w:val="24"/>
          <w:szCs w:val="24"/>
          <w:rtl w:val="0"/>
          <w:lang w:val="en-US"/>
        </w:rPr>
        <w:t>Are you satisfied by the services of digital tools that UWSTD is using?</w:t>
      </w:r>
    </w:p>
    <w:p>
      <w:pPr>
        <w:pStyle w:val="Body"/>
        <w:spacing w:after="0" w:line="480" w:lineRule="auto"/>
        <w:ind w:firstLine="360"/>
        <w:rPr>
          <w:rFonts w:ascii="Arial" w:cs="Arial" w:hAnsi="Arial" w:eastAsia="Arial"/>
          <w:sz w:val="24"/>
          <w:szCs w:val="24"/>
        </w:rPr>
      </w:pPr>
      <w:r>
        <w:rPr>
          <w:rFonts w:ascii="Arial" w:hAnsi="Arial"/>
          <w:sz w:val="24"/>
          <w:szCs w:val="24"/>
          <w:rtl w:val="0"/>
          <w:lang w:val="en-US"/>
        </w:rPr>
        <w:t xml:space="preserve">Moreover, interviews were also carried out and the interviews were conducted individually to respect the privacy. Cameras were used to record the statements of the participants. Also, some students were quite hesitant as what if there information gets leaked. So, a paper was signed by the researchers to ensure them they the statement of their which they have provided will definitely remain confidential. </w:t>
      </w:r>
    </w:p>
    <w:p>
      <w:pPr>
        <w:pStyle w:val="Body"/>
        <w:spacing w:after="0" w:line="480" w:lineRule="auto"/>
        <w:rPr>
          <w:rFonts w:ascii="Arial" w:cs="Arial" w:hAnsi="Arial" w:eastAsia="Arial"/>
          <w:i w:val="1"/>
          <w:iCs w:val="1"/>
          <w:sz w:val="24"/>
          <w:szCs w:val="24"/>
        </w:rPr>
      </w:pPr>
    </w:p>
    <w:p>
      <w:pPr>
        <w:pStyle w:val="Heading 2"/>
      </w:pPr>
      <w:bookmarkStart w:name="_Toc5" w:id="5"/>
      <w:r>
        <w:rPr>
          <w:rFonts w:cs="Arial Unicode MS" w:eastAsia="Arial Unicode MS"/>
          <w:rtl w:val="0"/>
          <w:lang w:val="en-US"/>
        </w:rPr>
        <w:t>Ethical Considerations</w:t>
      </w:r>
      <w:bookmarkEnd w:id="5"/>
    </w:p>
    <w:p>
      <w:pPr>
        <w:pStyle w:val="Heading 3"/>
        <w:spacing w:after="0" w:line="480" w:lineRule="auto"/>
        <w:rPr>
          <w:rFonts w:ascii="Arial" w:cs="Arial" w:hAnsi="Arial" w:eastAsia="Arial"/>
        </w:rPr>
      </w:pPr>
      <w:bookmarkStart w:name="_Toc6" w:id="6"/>
      <w:r>
        <w:rPr>
          <w:rFonts w:ascii="Arial" w:hAnsi="Arial"/>
          <w:rtl w:val="0"/>
          <w:lang w:val="en-US"/>
        </w:rPr>
        <w:t>Voluntary Participation</w:t>
      </w:r>
      <w:bookmarkEnd w:id="6"/>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The participants during the time of research are free to leave the research in between if they do not feel satisfied or feel that their information might get leaked. </w:t>
      </w:r>
    </w:p>
    <w:p>
      <w:pPr>
        <w:pStyle w:val="Body"/>
        <w:spacing w:after="0" w:line="480" w:lineRule="auto"/>
        <w:rPr>
          <w:rFonts w:ascii="Arial" w:cs="Arial" w:hAnsi="Arial" w:eastAsia="Arial"/>
          <w:sz w:val="24"/>
          <w:szCs w:val="24"/>
        </w:rPr>
      </w:pPr>
    </w:p>
    <w:p>
      <w:pPr>
        <w:pStyle w:val="Body"/>
        <w:spacing w:after="0" w:line="480" w:lineRule="auto"/>
        <w:rPr>
          <w:rFonts w:ascii="Arial" w:cs="Arial" w:hAnsi="Arial" w:eastAsia="Arial"/>
          <w:sz w:val="24"/>
          <w:szCs w:val="24"/>
        </w:rPr>
      </w:pPr>
    </w:p>
    <w:p>
      <w:pPr>
        <w:pStyle w:val="Body"/>
        <w:spacing w:after="0" w:line="480" w:lineRule="auto"/>
        <w:rPr>
          <w:rFonts w:ascii="Arial" w:cs="Arial" w:hAnsi="Arial" w:eastAsia="Arial"/>
          <w:sz w:val="24"/>
          <w:szCs w:val="24"/>
        </w:rPr>
      </w:pPr>
    </w:p>
    <w:p>
      <w:pPr>
        <w:pStyle w:val="Heading 3"/>
        <w:spacing w:after="0" w:line="480" w:lineRule="auto"/>
        <w:rPr>
          <w:rFonts w:ascii="Arial" w:cs="Arial" w:hAnsi="Arial" w:eastAsia="Arial"/>
        </w:rPr>
      </w:pPr>
      <w:bookmarkStart w:name="_Toc7" w:id="7"/>
      <w:r>
        <w:rPr>
          <w:rFonts w:ascii="Arial" w:hAnsi="Arial"/>
          <w:rtl w:val="0"/>
        </w:rPr>
        <w:t>Informed Consent</w:t>
      </w:r>
      <w:bookmarkEnd w:id="7"/>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A paper would be distributed to the participants in whom they should know the funding, risks, benefits and purpose of the student before they decline or agree to take part. </w:t>
      </w:r>
    </w:p>
    <w:p>
      <w:pPr>
        <w:pStyle w:val="Body"/>
        <w:spacing w:after="0" w:line="480" w:lineRule="auto"/>
        <w:rPr>
          <w:rFonts w:ascii="Arial" w:cs="Arial" w:hAnsi="Arial" w:eastAsia="Arial"/>
          <w:sz w:val="24"/>
          <w:szCs w:val="24"/>
        </w:rPr>
      </w:pPr>
    </w:p>
    <w:p>
      <w:pPr>
        <w:pStyle w:val="Heading 3"/>
        <w:spacing w:after="0" w:line="480" w:lineRule="auto"/>
        <w:rPr>
          <w:rFonts w:ascii="Arial" w:cs="Arial" w:hAnsi="Arial" w:eastAsia="Arial"/>
        </w:rPr>
      </w:pPr>
      <w:bookmarkStart w:name="_Toc8" w:id="8"/>
      <w:r>
        <w:rPr>
          <w:rFonts w:ascii="Arial" w:hAnsi="Arial"/>
          <w:rtl w:val="0"/>
        </w:rPr>
        <w:t>Anonymity</w:t>
      </w:r>
      <w:bookmarkEnd w:id="8"/>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Researchers must not know the personalities of the members. Individual exclusive data is not gathered. It depends on the participants whether they want to perform interviews or just provide their interviews without having to show their face. </w:t>
      </w:r>
    </w:p>
    <w:p>
      <w:pPr>
        <w:pStyle w:val="Body"/>
        <w:spacing w:after="0" w:line="480" w:lineRule="auto"/>
        <w:rPr>
          <w:rFonts w:ascii="Arial" w:cs="Arial" w:hAnsi="Arial" w:eastAsia="Arial"/>
          <w:i w:val="1"/>
          <w:iCs w:val="1"/>
          <w:sz w:val="24"/>
          <w:szCs w:val="24"/>
        </w:rPr>
      </w:pPr>
    </w:p>
    <w:p>
      <w:pPr>
        <w:pStyle w:val="Heading 3"/>
        <w:spacing w:after="0" w:line="480" w:lineRule="auto"/>
        <w:rPr>
          <w:rFonts w:ascii="Arial" w:cs="Arial" w:hAnsi="Arial" w:eastAsia="Arial"/>
        </w:rPr>
      </w:pPr>
      <w:bookmarkStart w:name="_Toc9" w:id="9"/>
      <w:r>
        <w:rPr>
          <w:rFonts w:ascii="Arial" w:hAnsi="Arial"/>
          <w:rtl w:val="0"/>
          <w:lang w:val="en-US"/>
        </w:rPr>
        <w:t>Confidentiality</w:t>
      </w:r>
      <w:bookmarkEnd w:id="9"/>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It is responsibility of the researchers to keep the statements and the information private from other members but they must know who the participant is as stated by </w:t>
      </w:r>
      <w:r>
        <w:rPr>
          <w:rFonts w:ascii="Arial" w:hAnsi="Arial"/>
          <w:sz w:val="24"/>
          <w:szCs w:val="24"/>
          <w:shd w:val="clear" w:color="auto" w:fill="ffffff"/>
          <w:rtl w:val="0"/>
        </w:rPr>
        <w:t>(Harefa et al., 2019)</w:t>
      </w:r>
      <w:r>
        <w:rPr>
          <w:rFonts w:ascii="Arial" w:hAnsi="Arial"/>
          <w:sz w:val="24"/>
          <w:szCs w:val="24"/>
          <w:rtl w:val="0"/>
          <w:lang w:val="en-US"/>
        </w:rPr>
        <w:t xml:space="preserve">. Researchers anonymise individual exclusive data so that it cannot be associated to other information by anybody else. </w:t>
      </w:r>
    </w:p>
    <w:p>
      <w:pPr>
        <w:pStyle w:val="Body"/>
        <w:spacing w:after="0" w:line="480" w:lineRule="auto"/>
        <w:rPr>
          <w:rFonts w:ascii="Arial" w:cs="Arial" w:hAnsi="Arial" w:eastAsia="Arial"/>
          <w:sz w:val="24"/>
          <w:szCs w:val="24"/>
        </w:rPr>
      </w:pPr>
    </w:p>
    <w:p>
      <w:pPr>
        <w:pStyle w:val="Heading 3"/>
        <w:spacing w:after="0" w:line="480" w:lineRule="auto"/>
        <w:rPr>
          <w:rFonts w:ascii="Arial" w:cs="Arial" w:hAnsi="Arial" w:eastAsia="Arial"/>
        </w:rPr>
      </w:pPr>
      <w:bookmarkStart w:name="_Toc10" w:id="10"/>
      <w:r>
        <w:rPr>
          <w:rFonts w:ascii="Arial" w:hAnsi="Arial"/>
          <w:rtl w:val="0"/>
          <w:lang w:val="en-US"/>
        </w:rPr>
        <w:t>Potential for Harm</w:t>
      </w:r>
      <w:bookmarkEnd w:id="10"/>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Psychological, social, physical and all other kinds of damages are kept to a complete minimum. Researchers while conducting the research must not harm the sentiments of the oarticipants in any kind of way such as they must not involve religion, caste, creed, etc. </w:t>
      </w:r>
    </w:p>
    <w:p>
      <w:pPr>
        <w:pStyle w:val="Body"/>
        <w:spacing w:after="0" w:line="480" w:lineRule="auto"/>
        <w:rPr>
          <w:rFonts w:ascii="Arial" w:cs="Arial" w:hAnsi="Arial" w:eastAsia="Arial"/>
          <w:sz w:val="24"/>
          <w:szCs w:val="24"/>
        </w:rPr>
      </w:pPr>
    </w:p>
    <w:p>
      <w:pPr>
        <w:pStyle w:val="Body"/>
        <w:spacing w:after="0" w:line="480" w:lineRule="auto"/>
        <w:rPr>
          <w:rFonts w:ascii="Arial" w:cs="Arial" w:hAnsi="Arial" w:eastAsia="Arial"/>
          <w:sz w:val="24"/>
          <w:szCs w:val="24"/>
        </w:rPr>
      </w:pPr>
    </w:p>
    <w:p>
      <w:pPr>
        <w:pStyle w:val="Heading 3"/>
        <w:spacing w:after="0" w:line="480" w:lineRule="auto"/>
        <w:rPr>
          <w:rFonts w:ascii="Arial" w:cs="Arial" w:hAnsi="Arial" w:eastAsia="Arial"/>
        </w:rPr>
      </w:pPr>
      <w:bookmarkStart w:name="_Toc11" w:id="11"/>
      <w:r>
        <w:rPr>
          <w:rFonts w:ascii="Arial" w:hAnsi="Arial"/>
          <w:rtl w:val="0"/>
          <w:lang w:val="en-US"/>
        </w:rPr>
        <w:t>Results Communication</w:t>
      </w:r>
      <w:bookmarkEnd w:id="11"/>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Researchers must ensure that the work of theirs is research misconduct or free of plagiarism, and they correctly represent the research`s result </w:t>
      </w:r>
      <w:r>
        <w:rPr>
          <w:rFonts w:ascii="Arial" w:hAnsi="Arial"/>
          <w:sz w:val="24"/>
          <w:szCs w:val="24"/>
          <w:shd w:val="clear" w:color="auto" w:fill="ffffff"/>
          <w:rtl w:val="0"/>
        </w:rPr>
        <w:t>(Amhag et al., 2019)</w:t>
      </w:r>
      <w:r>
        <w:rPr>
          <w:rFonts w:ascii="Arial" w:hAnsi="Arial"/>
          <w:sz w:val="24"/>
          <w:szCs w:val="24"/>
          <w:rtl w:val="0"/>
          <w:lang w:val="en-US"/>
        </w:rPr>
        <w:t xml:space="preserve">. Also, the results would be distributed individually to every participant along with their answers. </w:t>
      </w:r>
    </w:p>
    <w:p>
      <w:pPr>
        <w:pStyle w:val="Body"/>
        <w:spacing w:after="0" w:line="480" w:lineRule="auto"/>
        <w:rPr>
          <w:rFonts w:ascii="Arial" w:cs="Arial" w:hAnsi="Arial" w:eastAsia="Arial"/>
          <w:i w:val="1"/>
          <w:iCs w:val="1"/>
          <w:sz w:val="24"/>
          <w:szCs w:val="24"/>
        </w:rPr>
      </w:pPr>
    </w:p>
    <w:p>
      <w:pPr>
        <w:pStyle w:val="Heading"/>
      </w:pPr>
      <w:bookmarkStart w:name="_Toc12" w:id="12"/>
      <w:r>
        <w:rPr>
          <w:rFonts w:cs="Arial Unicode MS" w:eastAsia="Arial Unicode MS"/>
          <w:rtl w:val="0"/>
          <w:lang w:val="pt-PT"/>
        </w:rPr>
        <w:t>Results</w:t>
      </w:r>
      <w:bookmarkEnd w:id="12"/>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Out of 230 students and teachers, 172 were satisfied by the services of Microsoft 365 and Teams as UWSTD makes use of Microsoft 365 and Teams. Those 172 participants stated that this particular tool has really assisted them in their studies and have also aided them during the time of pandemic. The moreover stated that did not face any obstacle until and unless there was some issues with the internet. Whereas, the other 58 participants stated that they were not satisfied by the services as per to them this particular digital tool is quite slow and they have to wait for around 10 to 15 minutes when they are trying to upload files or submitting assignments to the portals. Overall, it can be said that most of the participants were satisfied as they think that they have really enhanced their PowerPoint skills as powerpoint.com has made them to become extra creative and make presentations to look more innovative and eye-catching. </w:t>
      </w:r>
    </w:p>
    <w:p>
      <w:pPr>
        <w:pStyle w:val="Body"/>
        <w:spacing w:after="0" w:line="480" w:lineRule="auto"/>
        <w:rPr>
          <w:rFonts w:ascii="Arial" w:cs="Arial" w:hAnsi="Arial" w:eastAsia="Arial"/>
          <w:sz w:val="24"/>
          <w:szCs w:val="24"/>
        </w:rPr>
      </w:pPr>
    </w:p>
    <w:p>
      <w:pPr>
        <w:pStyle w:val="Heading"/>
      </w:pPr>
      <w:bookmarkStart w:name="_Toc13" w:id="13"/>
      <w:r>
        <w:rPr>
          <w:rFonts w:cs="Arial Unicode MS" w:eastAsia="Arial Unicode MS"/>
          <w:rtl w:val="0"/>
          <w:lang w:val="en-US"/>
        </w:rPr>
        <w:t>Discussion</w:t>
      </w:r>
      <w:bookmarkEnd w:id="13"/>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The university became the first educational institute of Wales and the third in the whole UK who has signed an agreement of shared goal with the organisation of Microsoft which enables UWTSD for harnessing the tools that the world is leading by Microsoft and the resources for the transformation of technology of university to enhance their teaching and learning methods and for embedding innovative technology to their curriculum according to (Hashim, 2018). The students will be benefiting from these courses to be focused on areas that can be applied such as artificial intelligence, cloud computing, or data sciences which will allow them to get access to Microsoft</w:t>
      </w:r>
      <w:r>
        <w:rPr>
          <w:rFonts w:ascii="Arial" w:hAnsi="Arial" w:hint="default"/>
          <w:sz w:val="24"/>
          <w:szCs w:val="24"/>
          <w:rtl w:val="0"/>
          <w:lang w:val="en-US"/>
        </w:rPr>
        <w:t>’</w:t>
      </w:r>
      <w:r>
        <w:rPr>
          <w:rFonts w:ascii="Arial" w:hAnsi="Arial"/>
          <w:sz w:val="24"/>
          <w:szCs w:val="24"/>
          <w:rtl w:val="0"/>
        </w:rPr>
        <w:t>s AI Technology, LinkedIn</w:t>
      </w:r>
      <w:r>
        <w:rPr>
          <w:rFonts w:ascii="Arial" w:hAnsi="Arial" w:hint="default"/>
          <w:sz w:val="24"/>
          <w:szCs w:val="24"/>
          <w:rtl w:val="0"/>
          <w:lang w:val="en-US"/>
        </w:rPr>
        <w:t>’</w:t>
      </w:r>
      <w:r>
        <w:rPr>
          <w:rFonts w:ascii="Arial" w:hAnsi="Arial"/>
          <w:sz w:val="24"/>
          <w:szCs w:val="24"/>
          <w:rtl w:val="0"/>
          <w:lang w:val="en-US"/>
        </w:rPr>
        <w:t>s learning, GitHub</w:t>
      </w:r>
      <w:r>
        <w:rPr>
          <w:rFonts w:ascii="Arial" w:hAnsi="Arial" w:hint="default"/>
          <w:sz w:val="24"/>
          <w:szCs w:val="24"/>
          <w:rtl w:val="0"/>
          <w:lang w:val="en-US"/>
        </w:rPr>
        <w:t>’</w:t>
      </w:r>
      <w:r>
        <w:rPr>
          <w:rFonts w:ascii="Arial" w:hAnsi="Arial"/>
          <w:sz w:val="24"/>
          <w:szCs w:val="24"/>
          <w:rtl w:val="0"/>
          <w:lang w:val="en-US"/>
        </w:rPr>
        <w:t>s services, and the technological certificates. These initiatives will be allowed the students in building the technical skills required in academics such as communication, critical thinking, creativity, and collaborations.</w:t>
      </w:r>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There are different features that Office 365 offers to the educational institutes that were announced in the </w:t>
      </w:r>
      <w:r>
        <w:rPr>
          <w:rFonts w:ascii="Arial" w:hAnsi="Arial" w:hint="default"/>
          <w:sz w:val="24"/>
          <w:szCs w:val="24"/>
          <w:rtl w:val="0"/>
          <w:lang w:val="en-US"/>
        </w:rPr>
        <w:t>“</w:t>
      </w:r>
      <w:r>
        <w:rPr>
          <w:rFonts w:ascii="Arial" w:hAnsi="Arial"/>
          <w:sz w:val="24"/>
          <w:szCs w:val="24"/>
          <w:rtl w:val="0"/>
          <w:lang w:val="en-US"/>
        </w:rPr>
        <w:t>BETT Education Show</w:t>
      </w:r>
      <w:r>
        <w:rPr>
          <w:rFonts w:ascii="Arial" w:hAnsi="Arial" w:hint="default"/>
          <w:sz w:val="24"/>
          <w:szCs w:val="24"/>
          <w:rtl w:val="0"/>
          <w:lang w:val="en-US"/>
        </w:rPr>
        <w:t xml:space="preserve">” </w:t>
      </w:r>
      <w:r>
        <w:rPr>
          <w:rFonts w:ascii="Arial" w:hAnsi="Arial"/>
          <w:sz w:val="24"/>
          <w:szCs w:val="24"/>
          <w:rtl w:val="0"/>
          <w:lang w:val="en-US"/>
        </w:rPr>
        <w:t>which was held in London. These features were very valuable for the students and lecturers and are found to be very powerful for the specified cohorts of students. The international students who might be having to take second language classes of English or the students who might not be available in the lecture hall can take advantage of its features. Some of the features this initiative brought for the educational institutes were the following:</w:t>
      </w:r>
    </w:p>
    <w:p>
      <w:pPr>
        <w:pStyle w:val="Body"/>
        <w:spacing w:after="0" w:line="480" w:lineRule="auto"/>
        <w:rPr>
          <w:rFonts w:ascii="Arial" w:cs="Arial" w:hAnsi="Arial" w:eastAsia="Arial"/>
          <w:sz w:val="24"/>
          <w:szCs w:val="24"/>
        </w:rPr>
      </w:pPr>
    </w:p>
    <w:p>
      <w:pPr>
        <w:pStyle w:val="Heading 2"/>
      </w:pPr>
      <w:bookmarkStart w:name="_Toc14" w:id="14"/>
      <w:r>
        <w:rPr>
          <w:rFonts w:cs="Arial Unicode MS" w:eastAsia="Arial Unicode MS"/>
          <w:rtl w:val="0"/>
          <w:lang w:val="en-US"/>
        </w:rPr>
        <w:t>Engaging Audience by the Use of Live Presentations Made by Microsoft PowerPoint</w:t>
      </w:r>
      <w:bookmarkEnd w:id="14"/>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The university encouraged the digital tool of Microsoft PowerPoint for engaging the participants to be able to use the feature of </w:t>
      </w:r>
      <w:r>
        <w:rPr>
          <w:rFonts w:ascii="Arial" w:hAnsi="Arial" w:hint="default"/>
          <w:sz w:val="24"/>
          <w:szCs w:val="24"/>
          <w:rtl w:val="0"/>
          <w:lang w:val="en-US"/>
        </w:rPr>
        <w:t>“</w:t>
      </w:r>
      <w:r>
        <w:rPr>
          <w:rFonts w:ascii="Arial" w:hAnsi="Arial"/>
          <w:sz w:val="24"/>
          <w:szCs w:val="24"/>
          <w:rtl w:val="0"/>
          <w:lang w:val="en-US"/>
        </w:rPr>
        <w:t>Live Presentation</w:t>
      </w:r>
      <w:r>
        <w:rPr>
          <w:rFonts w:ascii="Arial" w:hAnsi="Arial" w:hint="default"/>
          <w:sz w:val="24"/>
          <w:szCs w:val="24"/>
          <w:rtl w:val="0"/>
          <w:lang w:val="en-US"/>
        </w:rPr>
        <w:t>”</w:t>
      </w:r>
      <w:r>
        <w:rPr>
          <w:rFonts w:ascii="Arial" w:hAnsi="Arial"/>
          <w:sz w:val="24"/>
          <w:szCs w:val="24"/>
          <w:rtl w:val="0"/>
          <w:lang w:val="en-US"/>
        </w:rPr>
        <w:t>. The teachers or lecturers were presenting their slides and were using short links or QR codes that the viewers can follow or join. The feature of Live Presentation included subtitles of the speaker and in more than 60 different languages. According to (Singh and Awasthi, 2020), these presentations can be accessed from the personal devices of listeners which made it easier for presenting to larger groups including students, parents, or teachers who might be speaking different languages. It did not just have the feature of live captions but was also providing the viewers to give live reactions and also surveyed the email of participants which could get their feedback and to analyse the recommendations from the offerings of the audience for improving the presentation for future.</w:t>
      </w:r>
    </w:p>
    <w:p>
      <w:pPr>
        <w:pStyle w:val="Body"/>
        <w:spacing w:after="0" w:line="480" w:lineRule="auto"/>
        <w:rPr>
          <w:rFonts w:ascii="Arial" w:cs="Arial" w:hAnsi="Arial" w:eastAsia="Arial"/>
          <w:sz w:val="24"/>
          <w:szCs w:val="24"/>
        </w:rPr>
      </w:pPr>
    </w:p>
    <w:p>
      <w:pPr>
        <w:pStyle w:val="Heading 2"/>
      </w:pPr>
      <w:bookmarkStart w:name="_Toc15" w:id="15"/>
      <w:r>
        <w:rPr>
          <w:rFonts w:cs="Arial Unicode MS" w:eastAsia="Arial Unicode MS"/>
          <w:rtl w:val="0"/>
          <w:lang w:val="en-US"/>
        </w:rPr>
        <w:t>Using Microsoft Streams for Creating the Teaching Videos and Uploading on Websites or Mobile Devices</w:t>
      </w:r>
      <w:bookmarkEnd w:id="15"/>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 xml:space="preserve">Another feature of Microsoft 365 includes </w:t>
      </w:r>
      <w:r>
        <w:rPr>
          <w:rFonts w:ascii="Arial" w:hAnsi="Arial" w:hint="default"/>
          <w:sz w:val="24"/>
          <w:szCs w:val="24"/>
          <w:rtl w:val="0"/>
          <w:lang w:val="en-US"/>
        </w:rPr>
        <w:t>“</w:t>
      </w:r>
      <w:r>
        <w:rPr>
          <w:rFonts w:ascii="Arial" w:hAnsi="Arial"/>
          <w:sz w:val="24"/>
          <w:szCs w:val="24"/>
          <w:rtl w:val="0"/>
          <w:lang w:val="en-US"/>
        </w:rPr>
        <w:t>Microsoft Stream</w:t>
      </w:r>
      <w:r>
        <w:rPr>
          <w:rFonts w:ascii="Arial" w:hAnsi="Arial" w:hint="default"/>
          <w:sz w:val="24"/>
          <w:szCs w:val="24"/>
          <w:rtl w:val="0"/>
          <w:lang w:val="en-US"/>
        </w:rPr>
        <w:t xml:space="preserve">” </w:t>
      </w:r>
      <w:r>
        <w:rPr>
          <w:rFonts w:ascii="Arial" w:hAnsi="Arial"/>
          <w:sz w:val="24"/>
          <w:szCs w:val="24"/>
          <w:rtl w:val="0"/>
          <w:lang w:val="en-US"/>
        </w:rPr>
        <w:t xml:space="preserve">which helps the educational organisations to empower their teachers to be teaching and learning from videos to make it easy to visualise and clear the topic. The feature will soon be launched on the mobile application which will allow the creation of a video with the use of a new feature called </w:t>
      </w:r>
      <w:r>
        <w:rPr>
          <w:rFonts w:ascii="Arial" w:hAnsi="Arial" w:hint="default"/>
          <w:sz w:val="24"/>
          <w:szCs w:val="24"/>
          <w:rtl w:val="0"/>
          <w:lang w:val="en-US"/>
        </w:rPr>
        <w:t>“</w:t>
      </w:r>
      <w:r>
        <w:rPr>
          <w:rFonts w:ascii="Arial" w:hAnsi="Arial"/>
          <w:sz w:val="24"/>
          <w:szCs w:val="24"/>
          <w:rtl w:val="0"/>
          <w:lang w:val="en-US"/>
        </w:rPr>
        <w:t>Flipgrid Camera Integration</w:t>
      </w:r>
      <w:r>
        <w:rPr>
          <w:rFonts w:ascii="Arial" w:hAnsi="Arial" w:hint="default"/>
          <w:sz w:val="24"/>
          <w:szCs w:val="24"/>
          <w:rtl w:val="0"/>
          <w:lang w:val="en-US"/>
        </w:rPr>
        <w:t>”</w:t>
      </w:r>
      <w:r>
        <w:rPr>
          <w:rFonts w:ascii="Arial" w:hAnsi="Arial"/>
          <w:sz w:val="24"/>
          <w:szCs w:val="24"/>
          <w:rtl w:val="0"/>
          <w:lang w:val="en-US"/>
        </w:rPr>
        <w:t>. This feature was designed for the educational institutes specifically and for making it fun for all to share and personalise the contents within seconds. The Microsoft Stream will be soon browser supportive and will enable screen recording and editing of those videos that give the students and teachers new learning methods, creating and teaching through the sharing of screens or videos by mobile applications or direct links. It will also be involving the automatic captions that will be supporting eight different languages which will be allowing the learners in finding information faster (Poston et al., 2020).</w:t>
      </w:r>
    </w:p>
    <w:p>
      <w:pPr>
        <w:pStyle w:val="Body"/>
        <w:spacing w:after="0" w:line="480" w:lineRule="auto"/>
        <w:rPr>
          <w:rFonts w:ascii="Arial" w:cs="Arial" w:hAnsi="Arial" w:eastAsia="Arial"/>
          <w:sz w:val="24"/>
          <w:szCs w:val="24"/>
        </w:rPr>
      </w:pPr>
    </w:p>
    <w:p>
      <w:pPr>
        <w:pStyle w:val="Heading 2"/>
      </w:pPr>
      <w:bookmarkStart w:name="_Toc16" w:id="16"/>
      <w:r>
        <w:rPr>
          <w:rFonts w:cs="Arial Unicode MS" w:eastAsia="Arial Unicode MS"/>
          <w:rtl w:val="0"/>
          <w:lang w:val="en-US"/>
        </w:rPr>
        <w:t>Enhancement of Audio Recording in Noisy Environment</w:t>
      </w:r>
      <w:bookmarkEnd w:id="16"/>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The use of Microsoft Stream will also be improving the focus of learners as it will be including the feature of voice and audio quality enhancement. This feature will be including the sound cancellation process in which the external or environmental noises will be canceled and only the voice of the speaker will be recorded which makes the educational videos more clear and easy to understand by teachers and students.</w:t>
      </w:r>
    </w:p>
    <w:p>
      <w:pPr>
        <w:pStyle w:val="Body"/>
        <w:spacing w:after="0" w:line="480" w:lineRule="auto"/>
        <w:rPr>
          <w:rFonts w:ascii="Arial" w:cs="Arial" w:hAnsi="Arial" w:eastAsia="Arial"/>
          <w:sz w:val="24"/>
          <w:szCs w:val="24"/>
        </w:rPr>
      </w:pPr>
    </w:p>
    <w:p>
      <w:pPr>
        <w:pStyle w:val="Heading 2"/>
      </w:pPr>
      <w:bookmarkStart w:name="_Toc17" w:id="17"/>
      <w:r>
        <w:rPr>
          <w:rFonts w:cs="Arial Unicode MS" w:eastAsia="Arial Unicode MS"/>
          <w:rtl w:val="0"/>
          <w:lang w:val="en-US"/>
        </w:rPr>
        <w:t xml:space="preserve">Use of </w:t>
      </w:r>
      <w:r>
        <w:rPr>
          <w:rFonts w:cs="Arial Unicode MS" w:eastAsia="Arial Unicode MS" w:hint="default"/>
          <w:rtl w:val="1"/>
          <w:lang w:val="ar-SA" w:bidi="ar-SA"/>
        </w:rPr>
        <w:t>“</w:t>
      </w:r>
      <w:r>
        <w:rPr>
          <w:rFonts w:cs="Arial Unicode MS" w:eastAsia="Arial Unicode MS"/>
          <w:rtl w:val="0"/>
          <w:lang w:val="en-US"/>
        </w:rPr>
        <w:t>Microsoft Teams Class Insight</w:t>
      </w:r>
      <w:r>
        <w:rPr>
          <w:rFonts w:cs="Arial Unicode MS" w:eastAsia="Arial Unicode MS" w:hint="default"/>
          <w:rtl w:val="0"/>
        </w:rPr>
        <w:t xml:space="preserve">” </w:t>
      </w:r>
      <w:r>
        <w:rPr>
          <w:rFonts w:cs="Arial Unicode MS" w:eastAsia="Arial Unicode MS"/>
          <w:rtl w:val="0"/>
          <w:lang w:val="en-US"/>
        </w:rPr>
        <w:t>for Unlocking Student</w:t>
      </w:r>
      <w:r>
        <w:rPr>
          <w:rFonts w:cs="Arial Unicode MS" w:eastAsia="Arial Unicode MS" w:hint="default"/>
          <w:rtl w:val="1"/>
        </w:rPr>
        <w:t>’</w:t>
      </w:r>
      <w:r>
        <w:rPr>
          <w:rFonts w:cs="Arial Unicode MS" w:eastAsia="Arial Unicode MS"/>
          <w:rtl w:val="0"/>
          <w:lang w:val="en-US"/>
        </w:rPr>
        <w:t>s Potential</w:t>
      </w:r>
      <w:bookmarkEnd w:id="17"/>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The process of teaching can be considered as a team sport that needs teachers, parents, and students in working together. The Class Insight of Microsoft will be equipping the tutors with excess information about the performance and status of students' in-class activities.</w:t>
      </w:r>
    </w:p>
    <w:p>
      <w:pPr>
        <w:pStyle w:val="Body"/>
        <w:spacing w:after="0" w:line="480" w:lineRule="auto"/>
        <w:rPr>
          <w:rFonts w:ascii="Arial" w:cs="Arial" w:hAnsi="Arial" w:eastAsia="Arial"/>
          <w:sz w:val="24"/>
          <w:szCs w:val="24"/>
        </w:rPr>
      </w:pPr>
    </w:p>
    <w:p>
      <w:pPr>
        <w:pStyle w:val="Heading 2"/>
      </w:pPr>
      <w:bookmarkStart w:name="_Toc18" w:id="18"/>
      <w:r>
        <w:rPr>
          <w:rFonts w:cs="Arial Unicode MS" w:eastAsia="Arial Unicode MS"/>
          <w:rtl w:val="0"/>
          <w:lang w:val="en-US"/>
        </w:rPr>
        <w:t>Enhancing Comprehension, Focus, and Retention of Students by Live Captions of Microsoft OneNote</w:t>
      </w:r>
      <w:bookmarkEnd w:id="18"/>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It has been found in studies that students of universities who are using interactive transcripts and closed captions can maintain and retain their focus on information more clearly. The transcripts and live captions are present in different services of Microsoft including Flipgrid, Stream, Teams, and are even present in OneNote. The educational institute will be utilising the private preview feature of OneNote to allow students to get connected to the different sessions by using codes and receiving the captions of the lecture from the teacher to read later (Layonen and Valiialba-Condori, 2019). It will allow the teacher to fluently speak in a flow and students will become able to read the captions and can easily make notes. Additionally, the students will have the option to pause the captions, transcription, or highlighted portions to take a break or note down the topic. This feature will benefit the university and helps the students who take time to understand the topic.</w:t>
      </w:r>
    </w:p>
    <w:p>
      <w:pPr>
        <w:pStyle w:val="Body"/>
        <w:spacing w:after="0" w:line="480" w:lineRule="auto"/>
        <w:rPr>
          <w:rFonts w:ascii="Arial" w:cs="Arial" w:hAnsi="Arial" w:eastAsia="Arial"/>
          <w:sz w:val="24"/>
          <w:szCs w:val="24"/>
        </w:rPr>
      </w:pPr>
    </w:p>
    <w:p>
      <w:pPr>
        <w:pStyle w:val="Heading"/>
      </w:pPr>
      <w:bookmarkStart w:name="_Toc19" w:id="19"/>
      <w:r>
        <w:rPr>
          <w:rFonts w:cs="Arial Unicode MS" w:eastAsia="Arial Unicode MS"/>
          <w:rtl w:val="0"/>
          <w:lang w:val="it-IT"/>
        </w:rPr>
        <w:t>Conclusion</w:t>
      </w:r>
      <w:bookmarkEnd w:id="19"/>
    </w:p>
    <w:p>
      <w:pPr>
        <w:pStyle w:val="Body"/>
        <w:spacing w:after="0" w:line="480" w:lineRule="auto"/>
        <w:ind w:firstLine="720"/>
        <w:rPr>
          <w:rFonts w:ascii="Arial" w:cs="Arial" w:hAnsi="Arial" w:eastAsia="Arial"/>
          <w:sz w:val="24"/>
          <w:szCs w:val="24"/>
        </w:rPr>
      </w:pPr>
      <w:r>
        <w:rPr>
          <w:rFonts w:ascii="Arial" w:hAnsi="Arial"/>
          <w:sz w:val="24"/>
          <w:szCs w:val="24"/>
          <w:rtl w:val="0"/>
          <w:lang w:val="en-US"/>
        </w:rPr>
        <w:t>It can be concluded that the advancement of technologies will be making an inevitable impact on the application of digital tools in all educational institutes for creating the universal method of studying among all students. It will enable a sustainable learning process and bring global development in teaching. The digital tools must be implemented properly according to the fast revolution of the system by the technological world. The digital tools will be represented as the perfect communication channel between the students, teachers, schools, universities, and parents. The digital tools also limit the teacher's role and cause the students to become a more creative and individual learners. There are still some obstacles that are being faced by the educational tools in the application of digital tools due to them being expensive but it has become necessary for all educational institutes to apply them (Poston et al., 2020).</w:t>
      </w:r>
    </w:p>
    <w:p>
      <w:pPr>
        <w:pStyle w:val="Body"/>
        <w:spacing w:after="0" w:line="480" w:lineRule="auto"/>
      </w:pPr>
      <w:r>
        <w:rPr>
          <w:rFonts w:ascii="Arial Unicode MS" w:cs="Arial Unicode MS" w:hAnsi="Arial Unicode MS" w:eastAsia="Arial Unicode MS"/>
          <w:b w:val="0"/>
          <w:bCs w:val="0"/>
          <w:i w:val="0"/>
          <w:iCs w:val="0"/>
          <w:sz w:val="24"/>
          <w:szCs w:val="24"/>
        </w:rPr>
        <w:br w:type="page"/>
      </w:r>
    </w:p>
    <w:p>
      <w:pPr>
        <w:pStyle w:val="Heading"/>
        <w:jc w:val="center"/>
      </w:pPr>
      <w:bookmarkStart w:name="_Toc20" w:id="20"/>
      <w:r>
        <w:rPr>
          <w:rtl w:val="0"/>
          <w:lang w:val="fr-FR"/>
        </w:rPr>
        <w:t>References</w:t>
      </w:r>
      <w:bookmarkEnd w:id="20"/>
    </w:p>
    <w:p>
      <w:pPr>
        <w:pStyle w:val="Body"/>
        <w:spacing w:after="0" w:line="480" w:lineRule="auto"/>
        <w:ind w:left="720" w:hanging="720"/>
        <w:rPr>
          <w:rFonts w:ascii="Arial" w:cs="Arial" w:hAnsi="Arial" w:eastAsia="Arial"/>
          <w:sz w:val="24"/>
          <w:szCs w:val="24"/>
          <w:shd w:val="clear" w:color="auto" w:fill="ffffff"/>
        </w:rPr>
      </w:pPr>
      <w:r>
        <w:rPr>
          <w:rFonts w:ascii="Arial" w:hAnsi="Arial"/>
          <w:sz w:val="24"/>
          <w:szCs w:val="24"/>
          <w:shd w:val="clear" w:color="auto" w:fill="ffffff"/>
          <w:rtl w:val="0"/>
        </w:rPr>
        <w:t>Amhag, L., Hellstr</w:t>
      </w:r>
      <w:r>
        <w:rPr>
          <w:rFonts w:ascii="Arial" w:hAnsi="Arial" w:hint="default"/>
          <w:sz w:val="24"/>
          <w:szCs w:val="24"/>
          <w:shd w:val="clear" w:color="auto" w:fill="ffffff"/>
          <w:rtl w:val="0"/>
          <w:lang w:val="en-US"/>
        </w:rPr>
        <w:t>ö</w:t>
      </w:r>
      <w:r>
        <w:rPr>
          <w:rFonts w:ascii="Arial" w:hAnsi="Arial"/>
          <w:sz w:val="24"/>
          <w:szCs w:val="24"/>
          <w:shd w:val="clear" w:color="auto" w:fill="ffffff"/>
          <w:rtl w:val="0"/>
          <w:lang w:val="en-US"/>
        </w:rPr>
        <w:t>m, L. and Stigmar, M., 2019. Teacher educators' use of digital tools and needs for digital competence in higher education.</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lang w:val="en-US"/>
        </w:rPr>
        <w:t>Journal of Digital Learning in Teacher Education</w:t>
      </w:r>
      <w:r>
        <w:rPr>
          <w:rFonts w:ascii="Arial" w:hAnsi="Arial"/>
          <w:sz w:val="24"/>
          <w:szCs w:val="24"/>
          <w:shd w:val="clear" w:color="auto" w:fill="ffffff"/>
          <w:rtl w:val="0"/>
        </w:rPr>
        <w:t>,</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rPr>
        <w:t>35</w:t>
      </w:r>
      <w:r>
        <w:rPr>
          <w:rFonts w:ascii="Arial" w:hAnsi="Arial"/>
          <w:sz w:val="24"/>
          <w:szCs w:val="24"/>
          <w:shd w:val="clear" w:color="auto" w:fill="ffffff"/>
          <w:rtl w:val="0"/>
        </w:rPr>
        <w:t>(4), pp.203-220.</w:t>
      </w:r>
    </w:p>
    <w:p>
      <w:pPr>
        <w:pStyle w:val="Body"/>
        <w:spacing w:after="0" w:line="480" w:lineRule="auto"/>
        <w:ind w:left="720" w:hanging="720"/>
        <w:rPr>
          <w:rFonts w:ascii="Arial" w:cs="Arial" w:hAnsi="Arial" w:eastAsia="Arial"/>
          <w:sz w:val="24"/>
          <w:szCs w:val="24"/>
          <w:shd w:val="clear" w:color="auto" w:fill="ffffff"/>
        </w:rPr>
      </w:pPr>
      <w:r>
        <w:rPr>
          <w:rFonts w:ascii="Arial" w:hAnsi="Arial"/>
          <w:sz w:val="24"/>
          <w:szCs w:val="24"/>
          <w:shd w:val="clear" w:color="auto" w:fill="ffffff"/>
          <w:rtl w:val="0"/>
          <w:lang w:val="en-US"/>
        </w:rPr>
        <w:t>Harefa, N., Silalahi, N.F.D., Sormin, E., Purba, L.S.L. and Sumiyati, S., 2019. The difference of students</w:t>
      </w:r>
      <w:r>
        <w:rPr>
          <w:rFonts w:ascii="Arial" w:hAnsi="Arial" w:hint="default"/>
          <w:sz w:val="24"/>
          <w:szCs w:val="24"/>
          <w:shd w:val="clear" w:color="auto" w:fill="ffffff"/>
          <w:rtl w:val="0"/>
          <w:lang w:val="en-US"/>
        </w:rPr>
        <w:t xml:space="preserve">’ </w:t>
      </w:r>
      <w:r>
        <w:rPr>
          <w:rFonts w:ascii="Arial" w:hAnsi="Arial"/>
          <w:sz w:val="24"/>
          <w:szCs w:val="24"/>
          <w:shd w:val="clear" w:color="auto" w:fill="ffffff"/>
          <w:rtl w:val="0"/>
          <w:lang w:val="en-US"/>
        </w:rPr>
        <w:t>learning outcomes with project based learning using handout and sway Microsoft 365.</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rPr>
        <w:t>Jurnal Pendidikan Kimia</w:t>
      </w:r>
      <w:r>
        <w:rPr>
          <w:rFonts w:ascii="Arial" w:hAnsi="Arial"/>
          <w:sz w:val="24"/>
          <w:szCs w:val="24"/>
          <w:shd w:val="clear" w:color="auto" w:fill="ffffff"/>
          <w:rtl w:val="0"/>
        </w:rPr>
        <w:t>,</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rPr>
        <w:t>11</w:t>
      </w:r>
      <w:r>
        <w:rPr>
          <w:rFonts w:ascii="Arial" w:hAnsi="Arial"/>
          <w:sz w:val="24"/>
          <w:szCs w:val="24"/>
          <w:shd w:val="clear" w:color="auto" w:fill="ffffff"/>
          <w:rtl w:val="0"/>
        </w:rPr>
        <w:t>(2), pp.24-30.</w:t>
      </w:r>
    </w:p>
    <w:p>
      <w:pPr>
        <w:pStyle w:val="Body"/>
        <w:spacing w:after="0" w:line="480" w:lineRule="auto"/>
        <w:ind w:left="720" w:hanging="720"/>
        <w:rPr>
          <w:rFonts w:ascii="Arial" w:cs="Arial" w:hAnsi="Arial" w:eastAsia="Arial"/>
          <w:sz w:val="24"/>
          <w:szCs w:val="24"/>
          <w:shd w:val="clear" w:color="auto" w:fill="ffffff"/>
        </w:rPr>
      </w:pPr>
      <w:r>
        <w:rPr>
          <w:rFonts w:ascii="Arial" w:hAnsi="Arial"/>
          <w:sz w:val="24"/>
          <w:szCs w:val="24"/>
          <w:shd w:val="clear" w:color="auto" w:fill="ffffff"/>
          <w:rtl w:val="0"/>
          <w:lang w:val="en-US"/>
        </w:rPr>
        <w:t>Hashim, H., 2018. Application of technology in the digital era education.</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lang w:val="en-US"/>
        </w:rPr>
        <w:t>International Journal of Research in Counseling and Education</w:t>
      </w:r>
      <w:r>
        <w:rPr>
          <w:rFonts w:ascii="Arial" w:hAnsi="Arial"/>
          <w:sz w:val="24"/>
          <w:szCs w:val="24"/>
          <w:shd w:val="clear" w:color="auto" w:fill="ffffff"/>
          <w:rtl w:val="0"/>
        </w:rPr>
        <w:t>,</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rPr>
        <w:t>2</w:t>
      </w:r>
      <w:r>
        <w:rPr>
          <w:rFonts w:ascii="Arial" w:hAnsi="Arial"/>
          <w:sz w:val="24"/>
          <w:szCs w:val="24"/>
          <w:shd w:val="clear" w:color="auto" w:fill="ffffff"/>
          <w:rtl w:val="0"/>
        </w:rPr>
        <w:t>(1), pp.1-5.</w:t>
      </w:r>
    </w:p>
    <w:p>
      <w:pPr>
        <w:pStyle w:val="Body"/>
        <w:spacing w:after="0" w:line="480" w:lineRule="auto"/>
        <w:ind w:left="720" w:hanging="720"/>
        <w:rPr>
          <w:rFonts w:ascii="Arial" w:cs="Arial" w:hAnsi="Arial" w:eastAsia="Arial"/>
          <w:sz w:val="24"/>
          <w:szCs w:val="24"/>
          <w:shd w:val="clear" w:color="auto" w:fill="ffffff"/>
        </w:rPr>
      </w:pPr>
      <w:r>
        <w:rPr>
          <w:rFonts w:ascii="Arial" w:hAnsi="Arial"/>
          <w:sz w:val="24"/>
          <w:szCs w:val="24"/>
          <w:shd w:val="clear" w:color="auto" w:fill="ffffff"/>
          <w:rtl w:val="0"/>
          <w:lang w:val="en-US"/>
        </w:rPr>
        <w:t>Lavonen, J. and Villalba-Condori, K.O., 2019. Collaborative design and implementation of digital tools in education as part of national-level programmes in a decentralised education system.</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lang w:val="en-US"/>
        </w:rPr>
        <w:t>Education in the Knowledge Society</w:t>
      </w:r>
      <w:r>
        <w:rPr>
          <w:rFonts w:ascii="Arial" w:hAnsi="Arial"/>
          <w:sz w:val="24"/>
          <w:szCs w:val="24"/>
          <w:shd w:val="clear" w:color="auto" w:fill="ffffff"/>
          <w:rtl w:val="0"/>
        </w:rPr>
        <w:t>.</w:t>
      </w:r>
    </w:p>
    <w:p>
      <w:pPr>
        <w:pStyle w:val="Body"/>
        <w:spacing w:after="0" w:line="480" w:lineRule="auto"/>
        <w:ind w:left="720" w:hanging="720"/>
        <w:rPr>
          <w:rFonts w:ascii="Arial" w:cs="Arial" w:hAnsi="Arial" w:eastAsia="Arial"/>
          <w:sz w:val="24"/>
          <w:szCs w:val="24"/>
          <w:shd w:val="clear" w:color="auto" w:fill="ffffff"/>
        </w:rPr>
      </w:pPr>
      <w:r>
        <w:rPr>
          <w:rFonts w:ascii="Arial" w:hAnsi="Arial"/>
          <w:sz w:val="24"/>
          <w:szCs w:val="24"/>
          <w:shd w:val="clear" w:color="auto" w:fill="ffffff"/>
          <w:rtl w:val="0"/>
          <w:lang w:val="en-US"/>
        </w:rPr>
        <w:t>Poston, J., Apostel, S. and Richardson, K., 2020. Using microsoft teams to enhance engagement and learning with any class: It</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s fun and easy.</w:t>
      </w:r>
    </w:p>
    <w:p>
      <w:pPr>
        <w:pStyle w:val="Body"/>
        <w:spacing w:after="0" w:line="480" w:lineRule="auto"/>
        <w:ind w:left="720" w:hanging="720"/>
      </w:pPr>
      <w:r>
        <w:rPr>
          <w:rFonts w:ascii="Arial" w:hAnsi="Arial"/>
          <w:sz w:val="24"/>
          <w:szCs w:val="24"/>
          <w:shd w:val="clear" w:color="auto" w:fill="ffffff"/>
          <w:rtl w:val="0"/>
          <w:lang w:val="en-US"/>
        </w:rPr>
        <w:t>Singh, R. and Awasthi, S., 2020. Updated comparative analysis on video conferencing platforms-zoom, Google meet, Microsoft Teams, WebEx Teams and GoToMeetings.</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lang w:val="fr-FR"/>
        </w:rPr>
        <w:t>EasyChair Preprint</w:t>
      </w:r>
      <w:r>
        <w:rPr>
          <w:rFonts w:ascii="Arial" w:hAnsi="Arial"/>
          <w:sz w:val="24"/>
          <w:szCs w:val="24"/>
          <w:shd w:val="clear" w:color="auto" w:fill="ffffff"/>
          <w:rtl w:val="0"/>
        </w:rPr>
        <w:t>,</w:t>
      </w:r>
      <w:r>
        <w:rPr>
          <w:rFonts w:ascii="Arial" w:hAnsi="Arial" w:hint="default"/>
          <w:sz w:val="24"/>
          <w:szCs w:val="24"/>
          <w:shd w:val="clear" w:color="auto" w:fill="ffffff"/>
          <w:rtl w:val="0"/>
          <w:lang w:val="en-US"/>
        </w:rPr>
        <w:t> </w:t>
      </w:r>
      <w:r>
        <w:rPr>
          <w:rFonts w:ascii="Arial" w:hAnsi="Arial"/>
          <w:i w:val="1"/>
          <w:iCs w:val="1"/>
          <w:sz w:val="24"/>
          <w:szCs w:val="24"/>
          <w:shd w:val="clear" w:color="auto" w:fill="ffffff"/>
          <w:rtl w:val="0"/>
        </w:rPr>
        <w:t>4026</w:t>
      </w:r>
      <w:r>
        <w:rPr>
          <w:rFonts w:ascii="Arial" w:hAnsi="Arial"/>
          <w:sz w:val="24"/>
          <w:szCs w:val="24"/>
          <w:shd w:val="clear" w:color="auto" w:fill="ffffff"/>
          <w:rtl w:val="0"/>
        </w:rPr>
        <w:t>, pp.1-9.</w:t>
      </w:r>
    </w:p>
    <w:sectPr>
      <w:headerReference w:type="default" r:id="rId4"/>
      <w:headerReference w:type="first" r:id="rId5"/>
      <w:footerReference w:type="default" r:id="rId6"/>
      <w:footerReference w:type="first" r:id="rId7"/>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Arial" w:hAnsi="Arial"/>
        <w:sz w:val="24"/>
        <w:szCs w:val="24"/>
        <w:rtl w:val="0"/>
      </w:rPr>
      <w:fldChar w:fldCharType="begin" w:fldLock="0"/>
    </w:r>
    <w:r>
      <w:rPr>
        <w:rFonts w:ascii="Arial" w:hAnsi="Arial"/>
        <w:sz w:val="24"/>
        <w:szCs w:val="24"/>
        <w:rtl w:val="0"/>
      </w:rPr>
      <w:instrText xml:space="preserve"> PAGE </w:instrText>
    </w:r>
    <w:r>
      <w:rPr>
        <w:rFonts w:ascii="Arial" w:hAnsi="Arial"/>
        <w:sz w:val="24"/>
        <w:szCs w:val="24"/>
        <w:rtl w:val="0"/>
      </w:rPr>
      <w:fldChar w:fldCharType="separate" w:fldLock="0"/>
    </w:r>
    <w:r>
      <w:rPr>
        <w:rFonts w:ascii="Arial" w:hAnsi="Arial"/>
        <w:sz w:val="24"/>
        <w:szCs w:val="24"/>
        <w:rtl w:val="0"/>
      </w:rPr>
    </w:r>
    <w:r>
      <w:rPr>
        <w:rFonts w:ascii="Arial" w:hAnsi="Arial"/>
        <w:sz w:val="24"/>
        <w:szCs w:val="24"/>
        <w:rtl w:val="0"/>
      </w:rPr>
      <w:fldChar w:fldCharType="end" w:fldLock="0"/>
    </w:r>
    <w:r>
      <w:rPr>
        <w:rFonts w:ascii="Arial" w:hAnsi="Arial"/>
        <w:sz w:val="24"/>
        <w:szCs w:val="24"/>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0"/>
    </w:pPr>
    <w:rPr>
      <w:rFonts w:ascii="Arial" w:cs="Arial" w:hAnsi="Arial" w:eastAsia="Arial"/>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1"/>
    </w:pPr>
    <w:rPr>
      <w:rFonts w:ascii="Arial" w:cs="Arial" w:hAnsi="Arial" w:eastAsia="Arial"/>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44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0"/>
      <w:keepLines w:val="0"/>
      <w:pageBreakBefore w:val="0"/>
      <w:widowControl w:val="1"/>
      <w:shd w:val="clear" w:color="auto" w:fill="auto"/>
      <w:suppressAutoHyphens w:val="0"/>
      <w:bidi w:val="0"/>
      <w:spacing w:before="0" w:after="200" w:line="276" w:lineRule="auto"/>
      <w:ind w:left="0" w:right="0" w:firstLine="0"/>
      <w:jc w:val="center"/>
      <w:outlineLvl w:val="2"/>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