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The Global Business Environment </w:t>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Times New Roman" w:hAnsi="Times New Roman" w:cs="Times New Roman"/>
          <w:sz w:val="24"/>
          <w:sz-cs w:val="24"/>
        </w:rPr>
        <w:t xml:space="preserve">Cristi Gabriel Tudosie</w:t>
      </w:r>
    </w:p>
    <w:p>
      <w:pPr>
        <w:jc w:val="center"/>
      </w:pPr>
      <w:r>
        <w:rPr>
          <w:rFonts w:ascii="Times New Roman" w:hAnsi="Times New Roman" w:cs="Times New Roman"/>
          <w:sz w:val="24"/>
          <w:sz-cs w:val="24"/>
        </w:rPr>
        <w:t xml:space="preserve">University of Wales Trinity Saint David</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The global business is  totally dominated by the automotive industry. Researches that have been done in this field indicates the fact that the automotive industry is one of the significant factors of the global economy. However, there are various factors which affect the industry globally. The aim of the paper is to understand the factors which affect the industry.  The paper will be focusing on the product life cycle of  the Mercedes. </w:t>
      </w:r>
    </w:p>
    <w:p>
      <w:pPr/>
      <w:r>
        <w:rPr>
          <w:rFonts w:ascii="Times New Roman" w:hAnsi="Times New Roman" w:cs="Times New Roman"/>
          <w:sz w:val="24"/>
          <w:sz-cs w:val="24"/>
        </w:rPr>
        <w:t xml:space="preserve">Mercedes is one of the significant popular brand of the premium and the luxury vehicle.  The company tends to enjoy a high level of awareness of the brand in every corner of the world.  Vernuccio, Patrizi and Pastore (2020),  states the fact that the company is mainly identified for its advanced machinery and the high-performance cars. The company is constantly updating its products with its innovations in order to cater to the demands of the customers. The business of the company has been altered to a great extent. The pestle analysis will help in analyzing the various factors which have impacted upon the business of the company, which will further help in the evaluation of the external factors which might affect the other brands. </w:t>
      </w:r>
    </w:p>
    <w:p>
      <w:pPr/>
      <w:r>
        <w:rPr>
          <w:rFonts w:ascii="Times New Roman" w:hAnsi="Times New Roman" w:cs="Times New Roman"/>
          <w:sz w:val="24"/>
          <w:sz-cs w:val="24"/>
        </w:rPr>
        <w:t xml:space="preserve">The product life cycle can be considered as the amount of time a product goes from the time of being introduced into the market until it is being taken off the shelves. The product life cycle consist of the four stages which are the introduction, growth, maturity and the decline.  The life cycle of the Mercedes can be considered to have four stages which are the market </w:t>
      </w:r>
      <w:r>
        <w:rPr>
          <w:rFonts w:ascii="Times New Roman" w:hAnsi="Times New Roman" w:cs="Times New Roman"/>
          <w:sz w:val="24"/>
          <w:sz-cs w:val="24"/>
          <w:b/>
        </w:rPr>
        <w:t xml:space="preserve">introduction, market growth, market maturity and the sales decline</w:t>
      </w:r>
      <w:r>
        <w:rPr>
          <w:rFonts w:ascii="Times New Roman" w:hAnsi="Times New Roman" w:cs="Times New Roman"/>
          <w:sz w:val="24"/>
          <w:sz-cs w:val="24"/>
        </w:rPr>
        <w:t xml:space="preserve">.   The product has been </w:t>
      </w:r>
      <w:r>
        <w:rPr>
          <w:rFonts w:ascii="Times New Roman" w:hAnsi="Times New Roman" w:cs="Times New Roman"/>
          <w:sz w:val="24"/>
          <w:sz-cs w:val="24"/>
          <w:b/>
        </w:rPr>
        <w:t xml:space="preserve">introduced</w:t>
      </w:r>
      <w:r>
        <w:rPr>
          <w:rFonts w:ascii="Times New Roman" w:hAnsi="Times New Roman" w:cs="Times New Roman"/>
          <w:sz w:val="24"/>
          <w:sz-cs w:val="24"/>
        </w:rPr>
        <w:t xml:space="preserve"> in the market as the high brand product or the product which is meant for the superior class.  the product is being introduced in the market which constantly leads to the innovation, advanced form of the technology and which works son constant research  in ordre to make the product which is full of luxury. It is to be noted that the Mercedes is being introduced as the blue efficiency in order to limit the emission of the CO2 and it order to keep up with the rival company. </w:t>
      </w:r>
    </w:p>
    <w:p>
      <w:pPr/>
      <w:r>
        <w:rPr>
          <w:rFonts w:ascii="Times New Roman" w:hAnsi="Times New Roman" w:cs="Times New Roman"/>
          <w:sz w:val="24"/>
          <w:sz-cs w:val="24"/>
        </w:rPr>
        <w:t xml:space="preserve">When the product is successful, it tends to go to its </w:t>
      </w:r>
      <w:r>
        <w:rPr>
          <w:rFonts w:ascii="Times New Roman" w:hAnsi="Times New Roman" w:cs="Times New Roman"/>
          <w:sz w:val="24"/>
          <w:sz-cs w:val="24"/>
          <w:b/>
        </w:rPr>
        <w:t xml:space="preserve">growth stage</w:t>
      </w:r>
      <w:r>
        <w:rPr>
          <w:rFonts w:ascii="Times New Roman" w:hAnsi="Times New Roman" w:cs="Times New Roman"/>
          <w:sz w:val="24"/>
          <w:sz-cs w:val="24"/>
        </w:rPr>
        <w:t xml:space="preserve">.  In this stage the growth stage of the product will lead to its dominance in the market. Political factors play a very significant role in the market growth of the company. It is to be noted that Mercedes is a very popular automobile company. Kovalainen (2020),  states that the clearance of the vehicles can develop in wow fold digits if it is being permitted by the issues of the legislation and the economy. Urbic (2019), states that the laws which are being followed by the country like the contract law have a huge impact on the company as it administers what the company can and cannot do. The performance of the company is being dominated by several numbers of economic factors.  Sun, Costell and Fässler (2019), states that the fact that the company had conducted 18 per cent decrease in their deals because of the several monetary head twists. Researches that have been done in the subject matter indicates the fact that the rising import cost and the liquidity crunch have a great influence on the car credit advertise.  Vernuccio,  Patrizi and Pastore (2020),  states the fact that in the last three years,  35000-40000 or the  1.17 per cent of the general traveller vehicle represents the fact that the car market is the littlest among the various massive economy. He further says that the company is taking a glimpse of its huge decrease in the last 10 years. The social factor which has a huge impact on the company is as follows. Xu,, Ren and Guan (2019),  notes the fact that the company constantly tries to emphasize on the nearby issues in which he networks gains profits and the supportability tends to get rendered.  The thought process of the company is to enhance the characetrsictsic of the training and even give an infrastructural office. It even helps in e encouraging the nearby network with the correct, safe drinking framework of the water.  On the other hand, it is to be noted that despite the mindfulness of the brand is no test for the Mercedes; separation can be considered to be ultra-focused which helps the company to convey a condition of the craftsmanship which drives the background. Galan-Ladero and Alves (2019),  states that the brand tour activity is another significant offering of the company for the potential customers who did not get the chance to encounter the car because of the non-appearance of the showroom in the city. Technology has a great impact on the growth of the  company as well. With the advancement of technology, the company faces huge constraints in meeting with the demands of the customers. On the other hand, OLADIPO, Adewumi and Ogundiwin (2019),  notes the fact that the company must constantly reestablish or reinvent their product in order to give a tough competition to the other who lies in the market. Researches show that the company promotes its product to the customers as the one which is a big win while the other products will enable them to losses. It is, however, to be noted that the company is considered as one of the best in the execution of its advancement, structure, security and even ecological requirements. The legal rules and the regulations need to be followed by all the companies, and the Mercedes is no such exception.  In the awakening of the exposure over the fate of the fuel in the future,  the supreme court limited the enlistment of the new diesel vehicle in the national capital district. This has highly impacted the company as a result of which the company is planning to return to the diesel in order to address the concern of the contamination. Hammami (2020), states that securing nature is one of the significant corporate goals of the Mercedes Company. He further says that in the upcoming years, any power source might be very much expensive because of its inaccessibility on the explanation of the constant changing of e natural factors. </w:t>
      </w:r>
    </w:p>
    <w:p>
      <w:pPr/>
      <w:r>
        <w:rPr>
          <w:rFonts w:ascii="Times New Roman" w:hAnsi="Times New Roman" w:cs="Times New Roman"/>
          <w:sz w:val="24"/>
          <w:sz-cs w:val="24"/>
        </w:rPr>
        <w:t xml:space="preserve">The </w:t>
      </w:r>
      <w:r>
        <w:rPr>
          <w:rFonts w:ascii="Times New Roman" w:hAnsi="Times New Roman" w:cs="Times New Roman"/>
          <w:sz w:val="24"/>
          <w:sz-cs w:val="24"/>
          <w:b/>
        </w:rPr>
        <w:t xml:space="preserve">market</w:t>
      </w:r>
      <w:r>
        <w:rPr>
          <w:rFonts w:ascii="Times New Roman" w:hAnsi="Times New Roman" w:cs="Times New Roman"/>
          <w:sz w:val="24"/>
          <w:sz-cs w:val="24"/>
        </w:rPr>
        <w:t xml:space="preserve"> </w:t>
      </w:r>
      <w:r>
        <w:rPr>
          <w:rFonts w:ascii="Times New Roman" w:hAnsi="Times New Roman" w:cs="Times New Roman"/>
          <w:sz w:val="24"/>
          <w:sz-cs w:val="24"/>
          <w:b/>
        </w:rPr>
        <w:t xml:space="preserve">maturity</w:t>
      </w:r>
      <w:r>
        <w:rPr>
          <w:rFonts w:ascii="Times New Roman" w:hAnsi="Times New Roman" w:cs="Times New Roman"/>
          <w:sz w:val="24"/>
          <w:sz-cs w:val="24"/>
        </w:rPr>
        <w:t xml:space="preserve"> can be considered as the profitable stage where the expense of the producing and the marketing tends to decline. The bargaining power of the suppliers of the company is very much low because of the smaller size of the supplier business, fragmentation and even because of the lack of forwarding integration.  Vaquero-Cristobal et al (2019), states the fact that most of the suppliers of the company do not have strong bargaining power as the supplier is very much disjointed, and they do not even have the competence for the forward integration. Researches show that none of the suppliers would like to lose their business because they tend to depend upon the company for the revenue. On the other hand, it is to be noted that the company holds a very significant power of bargaining over the suppliers. Urbic (2019),  states that the company even sets the rules which must be followed by the suppliers. He further notes that apart from subsequent the code of the supplier conduct, it is very much important for the suppliers to remain very much complaint with the local laws.  It is to be taken into the consideration that the bargaining power of the buyers of the company is very much high.  Researches show that over the decades, the bargaining power of the buyers in the vehicle industry has consistently reinforced because of the various number of fluctuations in the market. However, apart from the changing dynamics of the market, the enhancing focus on the experiences of the customer as well as the higher level of the rivalry in the market had lead to the growth in the buying power of the customers. It is to be noted that the bargaining power of the customers might be very much less but since the product of the company is very much premium the size of the individual purchase is very much large as well. Baporikar (2019),  states the fact that the customers even hold a strong sense of bargaining power. However, as the group, the bargaining power of the customers as the group is very much high. He further states that the increased level of the competition has also enabled the company to focus more on the retention of the customer and the engagement.  However, some of the factors which limit the bargaining power of the buyers is that of the brand image, the knowledge of the customer and the product quality. </w:t>
      </w:r>
    </w:p>
    <w:p>
      <w:pPr/>
      <w:r>
        <w:rPr>
          <w:rFonts w:ascii="Times New Roman" w:hAnsi="Times New Roman" w:cs="Times New Roman"/>
          <w:sz w:val="24"/>
          <w:sz-cs w:val="24"/>
        </w:rPr>
        <w:t xml:space="preserve"> The product tends to go to its stage of the </w:t>
      </w:r>
      <w:r>
        <w:rPr>
          <w:rFonts w:ascii="Times New Roman" w:hAnsi="Times New Roman" w:cs="Times New Roman"/>
          <w:sz w:val="24"/>
          <w:sz-cs w:val="24"/>
          <w:b/>
        </w:rPr>
        <w:t xml:space="preserve">decline </w:t>
      </w:r>
      <w:r>
        <w:rPr>
          <w:rFonts w:ascii="Times New Roman" w:hAnsi="Times New Roman" w:cs="Times New Roman"/>
          <w:sz w:val="24"/>
          <w:sz-cs w:val="24"/>
        </w:rPr>
        <w:t xml:space="preserve">because of the increase level of the competition. This can also occur when the other companies emulates their rate of the success.  as a result, the product may lose the market share and even begin with its decline. The threat of the company mainly comes from the rival brand, which is available in the market. There are various best and the luxury brands in the market that caters to the higher end of the market/. Researches show that apart from the BMW, Porshe, Audi, there are another luxury brand in the market like that of the Tesla and Lamborghini. Hillebrandt (2020),  notes that some of the cars which are made by Ford and Toyota as well as the general motors to contest with the other companies.  On the other hand, there are other issues which act like the threat to the company which are the public transportation and the ride-sharing services. It can be noted that the threat of the substitutes is medium for the company.  There are several factors which limit the threat of the company from various substitutes like the brand image, marketing and even the quality of the products.  It is to be noted that the higher popularity and the superior driving experience has enabled the company to preserve its demand and even minimalize the threat from the substitute products.  The higher switching lost also tends to limit the threat from the alternates.  On the other hand Urbic (2019),  states the fact that the treatment of the automobile industry is very low and on the other hand, the prevailing finest and the luxury brands are already very recognized. He further states that there are large barriers prevalent to enter into the automobile industry. One of the significant barriers for new companies is that of financial resources. Huge financial resources are required by the company in order to establish themselves in the market. On the other hand, the standard of the competition which already exist in the market is very much high. Additionally, it is to be noted that the compulsory players tend to invest violently in marketing as well as in the research and development. Rodríguez-González et al (2020), states that there are several factors which minimize the threat of the company from the new applicants in the automobile industry such as the image of the brand, the already established distribution of the network and the level of the popularity as well as the other sources of the modest benefit like the customer loyalty of the company.  Xu, Ren and Guan (2019),  states that in the general sense, the threat of the new entrant to the company is very much minimum. The competitive rivalry in the automobile industry is very much high.  Pilosof et al (2019), states the fact that the automobile industry is one such industry which perceives a  very high level of investment in the exploration and the expansion as well as in the marketing. He further says the reason for which the companies invests much in the innovation of the product as well as in its promotions is mainly because of the highly inexpensive nature of the industry. Researches show that despite the fact there are a large number of the players which are operating in the industry, the majority of them tend to utilize the aggressive form of the marketing and the business expansion techniques.  However, it is to be noted that there are a certain number of factors which restricts the competition of the company which are brand image, marketing, customer loyalty and the research and innovation of the company. It is to be noted that the image and standing are very much significant in the automobile industry, and it helps the business organizations to manage the competitive position.  In general, the competitive rivalry n the industry is very much intense.  </w:t>
      </w:r>
    </w:p>
    <w:p>
      <w:pPr/>
      <w:r>
        <w:rPr>
          <w:rFonts w:ascii="Times New Roman" w:hAnsi="Times New Roman" w:cs="Times New Roman"/>
          <w:sz w:val="24"/>
          <w:sz-cs w:val="24"/>
        </w:rPr>
        <w:t xml:space="preserve"/>
        <w:tab/>
        <w:t xml:space="preserve">In conclusion, it can be noted that though the automotive industry helps in the economy, it is highly impacted by the various number of factors. However, it is very much important for business organizations to identify their strengths and the weakness in the industry to acquire the maximization of the profits and establish themselves as a brand in the industry with the right cycle of the product.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References</w:t>
      </w:r>
    </w:p>
    <w:p>
      <w:pPr/>
      <w:r>
        <w:rPr>
          <w:rFonts w:ascii="Times New Roman" w:hAnsi="Times New Roman" w:cs="Times New Roman"/>
          <w:sz w:val="24"/>
          <w:sz-cs w:val="24"/>
          <w:color w:val="222222"/>
        </w:rPr>
        <w:t xml:space="preserve">Baporikar, N., 2019. Influence of Business Competitiveness on SMEs Performance. </w:t>
      </w:r>
      <w:r>
        <w:rPr>
          <w:rFonts w:ascii="Times New Roman" w:hAnsi="Times New Roman" w:cs="Times New Roman"/>
          <w:sz w:val="24"/>
          <w:sz-cs w:val="24"/>
          <w:i/>
          <w:color w:val="222222"/>
        </w:rPr>
        <w:t xml:space="preserve">International Journal of Productivity Management and Assessment Technologies (IJPMAT)</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7</w:t>
      </w:r>
      <w:r>
        <w:rPr>
          <w:rFonts w:ascii="Times New Roman" w:hAnsi="Times New Roman" w:cs="Times New Roman"/>
          <w:sz w:val="24"/>
          <w:sz-cs w:val="24"/>
          <w:color w:val="222222"/>
        </w:rPr>
        <w:t xml:space="preserve">(2), pp.1-25.</w:t>
      </w:r>
    </w:p>
    <w:p>
      <w:pPr/>
      <w:r>
        <w:rPr>
          <w:rFonts w:ascii="Times New Roman" w:hAnsi="Times New Roman" w:cs="Times New Roman"/>
          <w:sz w:val="24"/>
          <w:sz-cs w:val="24"/>
          <w:color w:val="222222"/>
        </w:rPr>
        <w:t xml:space="preserve">Galan-Ladero, M.M. and Alves, H.M., 2019. Case Studies on Social Marketing. </w:t>
      </w:r>
      <w:r>
        <w:rPr>
          <w:rFonts w:ascii="Times New Roman" w:hAnsi="Times New Roman" w:cs="Times New Roman"/>
          <w:sz w:val="24"/>
          <w:sz-cs w:val="24"/>
          <w:i/>
          <w:color w:val="222222"/>
        </w:rPr>
        <w:t xml:space="preserve">Management for</w:t>
      </w:r>
      <w:r>
        <w:rPr>
          <w:rFonts w:ascii="Times New Roman" w:hAnsi="Times New Roman" w:cs="Times New Roman"/>
          <w:sz w:val="24"/>
          <w:sz-cs w:val="24"/>
          <w:color w:val="222222"/>
        </w:rPr>
        <w:t xml:space="preserve">.</w:t>
      </w:r>
    </w:p>
    <w:p>
      <w:pPr/>
      <w:r>
        <w:rPr>
          <w:rFonts w:ascii="Times New Roman" w:hAnsi="Times New Roman" w:cs="Times New Roman"/>
          <w:sz w:val="24"/>
          <w:sz-cs w:val="24"/>
          <w:color w:val="222222"/>
        </w:rPr>
        <w:t xml:space="preserve">Hammami, S., 2020. Double concept: Mercedes vs Ferrari.</w:t>
      </w:r>
    </w:p>
    <w:p>
      <w:pPr/>
      <w:r>
        <w:rPr>
          <w:rFonts w:ascii="Times New Roman" w:hAnsi="Times New Roman" w:cs="Times New Roman"/>
          <w:sz w:val="24"/>
          <w:sz-cs w:val="24"/>
          <w:color w:val="222222"/>
        </w:rPr>
        <w:t xml:space="preserve">Hillebrandt, M., 2020. Keeping one’s shiny Mercedes in the garage: Why higher education quantification never really took off in Germany. </w:t>
      </w:r>
      <w:r>
        <w:rPr>
          <w:rFonts w:ascii="Times New Roman" w:hAnsi="Times New Roman" w:cs="Times New Roman"/>
          <w:sz w:val="24"/>
          <w:sz-cs w:val="24"/>
          <w:i/>
          <w:color w:val="222222"/>
        </w:rPr>
        <w:t xml:space="preserve">Politics and Governance</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8</w:t>
      </w:r>
      <w:r>
        <w:rPr>
          <w:rFonts w:ascii="Times New Roman" w:hAnsi="Times New Roman" w:cs="Times New Roman"/>
          <w:sz w:val="24"/>
          <w:sz-cs w:val="24"/>
          <w:color w:val="222222"/>
        </w:rPr>
        <w:t xml:space="preserve">(2), pp.48-57.</w:t>
      </w:r>
    </w:p>
    <w:p>
      <w:pPr/>
      <w:r>
        <w:rPr>
          <w:rFonts w:ascii="Times New Roman" w:hAnsi="Times New Roman" w:cs="Times New Roman"/>
          <w:sz w:val="24"/>
          <w:sz-cs w:val="24"/>
          <w:color w:val="222222"/>
        </w:rPr>
        <w:t xml:space="preserve">Kovalainen, J. M. (2020). Market entry strategy to Germany for Case Company Suomen Retkitukku OY.</w:t>
      </w:r>
    </w:p>
    <w:p>
      <w:pPr/>
      <w:r>
        <w:rPr>
          <w:rFonts w:ascii="Times New Roman" w:hAnsi="Times New Roman" w:cs="Times New Roman"/>
          <w:sz w:val="24"/>
          <w:sz-cs w:val="24"/>
          <w:color w:val="222222"/>
        </w:rPr>
        <w:t xml:space="preserve">OLADIPO, A.J., Adewumi, O.O. and Ogundiwin, A.O., 2019. The effect of Mercedes model with embedded assessment strategy and technology on biology students’ learning outcomes in Lagos Nigeria. </w:t>
      </w:r>
      <w:r>
        <w:rPr>
          <w:rFonts w:ascii="Times New Roman" w:hAnsi="Times New Roman" w:cs="Times New Roman"/>
          <w:sz w:val="24"/>
          <w:sz-cs w:val="24"/>
          <w:i/>
          <w:color w:val="222222"/>
        </w:rPr>
        <w:t xml:space="preserve">ANNUAL JOURNAL OF TECHNICAL UNIVERSITY OF VARNA, BULGARIA</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3</w:t>
      </w:r>
      <w:r>
        <w:rPr>
          <w:rFonts w:ascii="Times New Roman" w:hAnsi="Times New Roman" w:cs="Times New Roman"/>
          <w:sz w:val="24"/>
          <w:sz-cs w:val="24"/>
          <w:color w:val="222222"/>
        </w:rPr>
        <w:t xml:space="preserve">(2), pp.39-53.</w:t>
      </w:r>
    </w:p>
    <w:p>
      <w:pPr/>
      <w:r>
        <w:rPr>
          <w:rFonts w:ascii="Times New Roman" w:hAnsi="Times New Roman" w:cs="Times New Roman"/>
          <w:sz w:val="24"/>
          <w:sz-cs w:val="24"/>
          <w:color w:val="222222"/>
        </w:rPr>
        <w:t xml:space="preserve">Pan, W., Chen, L. and Zhan, W., 2019. PESTEL analysis of construction productivity enhancement strategies: A case study of three economies. </w:t>
      </w:r>
      <w:r>
        <w:rPr>
          <w:rFonts w:ascii="Times New Roman" w:hAnsi="Times New Roman" w:cs="Times New Roman"/>
          <w:sz w:val="24"/>
          <w:sz-cs w:val="24"/>
          <w:i/>
          <w:color w:val="222222"/>
        </w:rPr>
        <w:t xml:space="preserve">Journal of Management in Engineering</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35</w:t>
      </w:r>
      <w:r>
        <w:rPr>
          <w:rFonts w:ascii="Times New Roman" w:hAnsi="Times New Roman" w:cs="Times New Roman"/>
          <w:sz w:val="24"/>
          <w:sz-cs w:val="24"/>
          <w:color w:val="222222"/>
        </w:rPr>
        <w:t xml:space="preserve">(1), p.05018013.</w:t>
      </w:r>
    </w:p>
    <w:p>
      <w:pPr/>
      <w:r>
        <w:rPr>
          <w:rFonts w:ascii="Times New Roman" w:hAnsi="Times New Roman" w:cs="Times New Roman"/>
          <w:sz w:val="24"/>
          <w:sz-cs w:val="24"/>
          <w:color w:val="222222"/>
        </w:rPr>
        <w:t xml:space="preserve">Pilosof, S., He, Q., Tiedje, K.E., Ruybal-Pesántez, S., Day, K.P. and Pascual, M., 2019. Competition for hosts modulates vast antigenic diversity to generate persistent strain structure in Plasmodium falciparum. </w:t>
      </w:r>
      <w:r>
        <w:rPr>
          <w:rFonts w:ascii="Times New Roman" w:hAnsi="Times New Roman" w:cs="Times New Roman"/>
          <w:sz w:val="24"/>
          <w:sz-cs w:val="24"/>
          <w:i/>
          <w:color w:val="222222"/>
        </w:rPr>
        <w:t xml:space="preserve">PLoS biology</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17</w:t>
      </w:r>
      <w:r>
        <w:rPr>
          <w:rFonts w:ascii="Times New Roman" w:hAnsi="Times New Roman" w:cs="Times New Roman"/>
          <w:sz w:val="24"/>
          <w:sz-cs w:val="24"/>
          <w:color w:val="222222"/>
        </w:rPr>
        <w:t xml:space="preserve">(6), p.e3000336.</w:t>
      </w:r>
    </w:p>
    <w:p>
      <w:pPr/>
      <w:r>
        <w:rPr>
          <w:rFonts w:ascii="Times New Roman" w:hAnsi="Times New Roman" w:cs="Times New Roman"/>
          <w:sz w:val="24"/>
          <w:sz-cs w:val="24"/>
          <w:color w:val="222222"/>
        </w:rPr>
        <w:t xml:space="preserve">Rodríguez-González, C.G., Sarobe-González, C., Durán-García, M.E., Mur-Mur, A., Sánchez-Fresneda, M.N., de las Mercedes Pañero-Taberna, M., Pla-Mestre, R., Herranz-Alonso, A. and Sanjurjo-Sáez, M., 2020. Use of the EFQM excellence model to improve hospital pharmacy performance. </w:t>
      </w:r>
      <w:r>
        <w:rPr>
          <w:rFonts w:ascii="Times New Roman" w:hAnsi="Times New Roman" w:cs="Times New Roman"/>
          <w:sz w:val="24"/>
          <w:sz-cs w:val="24"/>
          <w:i/>
          <w:color w:val="222222"/>
        </w:rPr>
        <w:t xml:space="preserve">Research in Social and Administrative Pharmacy</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16</w:t>
      </w:r>
      <w:r>
        <w:rPr>
          <w:rFonts w:ascii="Times New Roman" w:hAnsi="Times New Roman" w:cs="Times New Roman"/>
          <w:sz w:val="24"/>
          <w:sz-cs w:val="24"/>
          <w:color w:val="222222"/>
        </w:rPr>
        <w:t xml:space="preserve">(5), pp.710-716.</w:t>
      </w:r>
    </w:p>
    <w:p>
      <w:pPr/>
      <w:r>
        <w:rPr>
          <w:rFonts w:ascii="Times New Roman" w:hAnsi="Times New Roman" w:cs="Times New Roman"/>
          <w:sz w:val="24"/>
          <w:sz-cs w:val="24"/>
          <w:color w:val="222222"/>
        </w:rPr>
        <w:t xml:space="preserve">Sun, Z., Costell, M. and Fässler, R., 2019. Integrin activation by talin, kindlin and mechanical forces. </w:t>
      </w:r>
      <w:r>
        <w:rPr>
          <w:rFonts w:ascii="Times New Roman" w:hAnsi="Times New Roman" w:cs="Times New Roman"/>
          <w:sz w:val="24"/>
          <w:sz-cs w:val="24"/>
          <w:i/>
          <w:color w:val="222222"/>
        </w:rPr>
        <w:t xml:space="preserve">Nature cell biology</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21</w:t>
      </w:r>
      <w:r>
        <w:rPr>
          <w:rFonts w:ascii="Times New Roman" w:hAnsi="Times New Roman" w:cs="Times New Roman"/>
          <w:sz w:val="24"/>
          <w:sz-cs w:val="24"/>
          <w:color w:val="222222"/>
        </w:rPr>
        <w:t xml:space="preserve">(1), pp.25-31.</w:t>
      </w:r>
    </w:p>
    <w:p>
      <w:pPr/>
      <w:r>
        <w:rPr>
          <w:rFonts w:ascii="Times New Roman" w:hAnsi="Times New Roman" w:cs="Times New Roman"/>
          <w:sz w:val="24"/>
          <w:sz-cs w:val="24"/>
          <w:color w:val="222222"/>
        </w:rPr>
        <w:t xml:space="preserve">Urbic, T., 2019. Modelling water with simple Mercedes-Benz models. </w:t>
      </w:r>
      <w:r>
        <w:rPr>
          <w:rFonts w:ascii="Times New Roman" w:hAnsi="Times New Roman" w:cs="Times New Roman"/>
          <w:sz w:val="24"/>
          <w:sz-cs w:val="24"/>
          <w:i/>
          <w:color w:val="222222"/>
        </w:rPr>
        <w:t xml:space="preserve">Molecular simulation</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45</w:t>
      </w:r>
      <w:r>
        <w:rPr>
          <w:rFonts w:ascii="Times New Roman" w:hAnsi="Times New Roman" w:cs="Times New Roman"/>
          <w:sz w:val="24"/>
          <w:sz-cs w:val="24"/>
          <w:color w:val="222222"/>
        </w:rPr>
        <w:t xml:space="preserve">(4-5), pp.279-294.</w:t>
      </w:r>
    </w:p>
    <w:p>
      <w:pPr/>
      <w:r>
        <w:rPr>
          <w:rFonts w:ascii="Times New Roman" w:hAnsi="Times New Roman" w:cs="Times New Roman"/>
          <w:sz w:val="24"/>
          <w:sz-cs w:val="24"/>
          <w:color w:val="222222"/>
        </w:rPr>
        <w:t xml:space="preserve">Urbic, T., 2019. Modelling water with simple Mercedes-Benz models. </w:t>
      </w:r>
      <w:r>
        <w:rPr>
          <w:rFonts w:ascii="Times New Roman" w:hAnsi="Times New Roman" w:cs="Times New Roman"/>
          <w:sz w:val="24"/>
          <w:sz-cs w:val="24"/>
          <w:i/>
          <w:color w:val="222222"/>
        </w:rPr>
        <w:t xml:space="preserve">Molecular simulation</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45</w:t>
      </w:r>
      <w:r>
        <w:rPr>
          <w:rFonts w:ascii="Times New Roman" w:hAnsi="Times New Roman" w:cs="Times New Roman"/>
          <w:sz w:val="24"/>
          <w:sz-cs w:val="24"/>
          <w:color w:val="222222"/>
        </w:rPr>
        <w:t xml:space="preserve">(4-5), pp.279-294.</w:t>
      </w:r>
    </w:p>
    <w:p>
      <w:pPr/>
      <w:r>
        <w:rPr>
          <w:rFonts w:ascii="Times New Roman" w:hAnsi="Times New Roman" w:cs="Times New Roman"/>
          <w:sz w:val="24"/>
          <w:sz-cs w:val="24"/>
          <w:color w:val="222222"/>
        </w:rPr>
        <w:t xml:space="preserve">Vaquero-Cristobal, R., García-Roca, J.A., Albaladejo, M., Fernandez-Alarcon, M. and Esparza-Ros, F., 2019. Evolution in anthropometric variables related to training and nutritional parameters in ultra-endurance mountain runners. </w:t>
      </w:r>
      <w:r>
        <w:rPr>
          <w:rFonts w:ascii="Times New Roman" w:hAnsi="Times New Roman" w:cs="Times New Roman"/>
          <w:sz w:val="24"/>
          <w:sz-cs w:val="24"/>
          <w:i/>
          <w:color w:val="222222"/>
        </w:rPr>
        <w:t xml:space="preserve">Nutricion hospitalaria</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36</w:t>
      </w:r>
      <w:r>
        <w:rPr>
          <w:rFonts w:ascii="Times New Roman" w:hAnsi="Times New Roman" w:cs="Times New Roman"/>
          <w:sz w:val="24"/>
          <w:sz-cs w:val="24"/>
          <w:color w:val="222222"/>
        </w:rPr>
        <w:t xml:space="preserve">(3), pp.706-713.</w:t>
      </w:r>
    </w:p>
    <w:p>
      <w:pPr/>
      <w:r>
        <w:rPr>
          <w:rFonts w:ascii="Times New Roman" w:hAnsi="Times New Roman" w:cs="Times New Roman"/>
          <w:sz w:val="24"/>
          <w:sz-cs w:val="24"/>
          <w:color w:val="222222"/>
        </w:rPr>
        <w:t xml:space="preserve">Vernuccio, M., Patrizi, M. and Pastore, A., 2020. Developing voice-based branding: insights from the Mercedes case. </w:t>
      </w:r>
      <w:r>
        <w:rPr>
          <w:rFonts w:ascii="Times New Roman" w:hAnsi="Times New Roman" w:cs="Times New Roman"/>
          <w:sz w:val="24"/>
          <w:sz-cs w:val="24"/>
          <w:i/>
          <w:color w:val="222222"/>
        </w:rPr>
        <w:t xml:space="preserve">Journal of Product &amp; Brand Management</w:t>
      </w:r>
      <w:r>
        <w:rPr>
          <w:rFonts w:ascii="Times New Roman" w:hAnsi="Times New Roman" w:cs="Times New Roman"/>
          <w:sz w:val="24"/>
          <w:sz-cs w:val="24"/>
          <w:color w:val="222222"/>
        </w:rPr>
        <w:t xml:space="preserve">.</w:t>
      </w:r>
    </w:p>
    <w:p>
      <w:pPr/>
      <w:r>
        <w:rPr>
          <w:rFonts w:ascii="Times New Roman" w:hAnsi="Times New Roman" w:cs="Times New Roman"/>
          <w:sz w:val="24"/>
          <w:sz-cs w:val="24"/>
          <w:color w:val="222222"/>
        </w:rPr>
        <w:t xml:space="preserve">Vernuccio, M., Patrizi, M. and Pastore, A., 2020. Developing voice-based branding: insights from the Mercedes case. </w:t>
      </w:r>
      <w:r>
        <w:rPr>
          <w:rFonts w:ascii="Times New Roman" w:hAnsi="Times New Roman" w:cs="Times New Roman"/>
          <w:sz w:val="24"/>
          <w:sz-cs w:val="24"/>
          <w:i/>
          <w:color w:val="222222"/>
        </w:rPr>
        <w:t xml:space="preserve">Journal of Product &amp; Brand Management</w:t>
      </w:r>
      <w:r>
        <w:rPr>
          <w:rFonts w:ascii="Times New Roman" w:hAnsi="Times New Roman" w:cs="Times New Roman"/>
          <w:sz w:val="24"/>
          <w:sz-cs w:val="24"/>
          <w:color w:val="222222"/>
        </w:rPr>
        <w:t xml:space="preserve">.</w:t>
      </w:r>
    </w:p>
    <w:p>
      <w:pPr/>
      <w:r>
        <w:rPr>
          <w:rFonts w:ascii="Times New Roman" w:hAnsi="Times New Roman" w:cs="Times New Roman"/>
          <w:sz w:val="24"/>
          <w:sz-cs w:val="24"/>
          <w:color w:val="222222"/>
        </w:rPr>
        <w:t xml:space="preserve">Xu, X., Ren, H. and Guan, H., 2019. “Mercedes-Benz Sign” on CSF Cytology. </w:t>
      </w:r>
      <w:r>
        <w:rPr>
          <w:rFonts w:ascii="Times New Roman" w:hAnsi="Times New Roman" w:cs="Times New Roman"/>
          <w:sz w:val="24"/>
          <w:sz-cs w:val="24"/>
          <w:i/>
          <w:color w:val="222222"/>
        </w:rPr>
        <w:t xml:space="preserve">European neurology</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81</w:t>
      </w:r>
      <w:r>
        <w:rPr>
          <w:rFonts w:ascii="Times New Roman" w:hAnsi="Times New Roman" w:cs="Times New Roman"/>
          <w:sz w:val="24"/>
          <w:sz-cs w:val="24"/>
          <w:color w:val="222222"/>
        </w:rPr>
        <w:t xml:space="preserve">(1-2), pp.79-80.</w:t>
      </w:r>
    </w:p>
    <w:p>
      <w:pPr/>
      <w:r>
        <w:rPr>
          <w:rFonts w:ascii="Times New Roman" w:hAnsi="Times New Roman" w:cs="Times New Roman"/>
          <w:sz w:val="24"/>
          <w:sz-cs w:val="24"/>
          <w:color w:val="222222"/>
        </w:rPr>
        <w:t xml:space="preserve"/>
        <w:br w:type="page"/>
        <w:t xml:space="preserve"/>
      </w:r>
    </w:p>
    <w:p>
      <w:pPr/>
      <w:r>
        <w:rPr>
          <w:rFonts w:ascii="Times" w:hAnsi="Times" w:cs="Times"/>
          <w:sz w:val="24"/>
          <w:sz-cs w:val="24"/>
        </w:rPr>
        <w:t xml:space="preserve">Appendix</w:t>
      </w:r>
    </w:p>
    <w:p>
      <w:pPr/>
      <w:r>
        <w:rPr>
          <w:rFonts w:ascii="Times" w:hAnsi="Times" w:cs="Times"/>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Figure 1: diagram of the product life cycle</w:t>
      </w:r>
    </w:p>
    <w:p>
      <w:pPr/>
      <w:r>
        <w:rPr>
          <w:rFonts w:ascii="Times New Roman" w:hAnsi="Times New Roman" w:cs="Times New Roman"/>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LAPTOP_MP0207</dc:creator>
</cp:coreProperties>
</file>

<file path=docProps/meta.xml><?xml version="1.0" encoding="utf-8"?>
<meta xmlns="http://schemas.apple.com/cocoa/2006/metadata">
  <generator>CocoaOOXMLWriter/1561.6</generator>
</meta>
</file>