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02361" w14:textId="0C5C5BD0" w:rsidR="00EC52EE" w:rsidRPr="00EC52EE" w:rsidRDefault="00EC52EE" w:rsidP="00EC52EE">
      <w:pPr>
        <w:jc w:val="center"/>
        <w:rPr>
          <w:rFonts w:ascii="Arial" w:hAnsi="Arial" w:cs="Arial"/>
          <w:sz w:val="36"/>
          <w:szCs w:val="36"/>
        </w:rPr>
      </w:pPr>
      <w:r w:rsidRPr="00EC52EE">
        <w:rPr>
          <w:rFonts w:ascii="Arial" w:hAnsi="Arial" w:cs="Arial"/>
          <w:sz w:val="36"/>
          <w:szCs w:val="36"/>
        </w:rPr>
        <w:t>Resources used in the microteach 18</w:t>
      </w:r>
      <w:r w:rsidRPr="00EC52EE">
        <w:rPr>
          <w:rFonts w:ascii="Arial" w:hAnsi="Arial" w:cs="Arial"/>
          <w:sz w:val="36"/>
          <w:szCs w:val="36"/>
          <w:vertAlign w:val="superscript"/>
        </w:rPr>
        <w:t>th</w:t>
      </w:r>
      <w:r w:rsidRPr="00EC52EE">
        <w:rPr>
          <w:rFonts w:ascii="Arial" w:hAnsi="Arial" w:cs="Arial"/>
          <w:sz w:val="36"/>
          <w:szCs w:val="36"/>
        </w:rPr>
        <w:t xml:space="preserve"> Nov 2019</w:t>
      </w:r>
    </w:p>
    <w:p w14:paraId="5DAE6E20" w14:textId="3523CF61" w:rsidR="00EC52EE" w:rsidRPr="00EC52EE" w:rsidRDefault="00EC52EE">
      <w:pPr>
        <w:rPr>
          <w:rFonts w:ascii="Arial" w:hAnsi="Arial" w:cs="Arial"/>
          <w:sz w:val="24"/>
          <w:szCs w:val="24"/>
        </w:rPr>
      </w:pPr>
      <w:r w:rsidRPr="00EC52EE">
        <w:rPr>
          <w:rFonts w:ascii="Arial" w:hAnsi="Arial" w:cs="Arial"/>
          <w:sz w:val="24"/>
          <w:szCs w:val="24"/>
        </w:rPr>
        <w:t>Box for each student</w:t>
      </w:r>
    </w:p>
    <w:p w14:paraId="4E3B0112" w14:textId="07C3BCBC" w:rsidR="00EC52EE" w:rsidRDefault="00EC52EE">
      <w:r>
        <w:rPr>
          <w:noProof/>
        </w:rPr>
        <w:drawing>
          <wp:inline distT="0" distB="0" distL="0" distR="0" wp14:anchorId="7E0C5ABC" wp14:editId="470FE98B">
            <wp:extent cx="5715000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08ACA" w14:textId="77777777" w:rsidR="00EC52EE" w:rsidRPr="00EC52EE" w:rsidRDefault="00EC52EE" w:rsidP="00EC52EE">
      <w:pPr>
        <w:rPr>
          <w:rFonts w:ascii="Arial" w:hAnsi="Arial" w:cs="Arial"/>
          <w:sz w:val="24"/>
          <w:szCs w:val="24"/>
        </w:rPr>
      </w:pPr>
      <w:r w:rsidRPr="00EC52EE">
        <w:rPr>
          <w:rFonts w:ascii="Arial" w:hAnsi="Arial" w:cs="Arial"/>
          <w:sz w:val="24"/>
          <w:szCs w:val="24"/>
        </w:rPr>
        <w:t xml:space="preserve">Contents of the box </w:t>
      </w:r>
    </w:p>
    <w:p w14:paraId="1E439356" w14:textId="075E11ED" w:rsidR="00EC52EE" w:rsidRPr="00EC52EE" w:rsidRDefault="00EC52EE" w:rsidP="00EC52EE">
      <w:pPr>
        <w:rPr>
          <w:rFonts w:ascii="Arial" w:hAnsi="Arial" w:cs="Arial"/>
          <w:sz w:val="24"/>
          <w:szCs w:val="24"/>
        </w:rPr>
      </w:pPr>
      <w:r w:rsidRPr="00EC52EE">
        <w:rPr>
          <w:rFonts w:ascii="Arial" w:hAnsi="Arial" w:cs="Arial"/>
          <w:sz w:val="24"/>
          <w:szCs w:val="24"/>
        </w:rPr>
        <w:t>Sewing needle with point covered, buttons, needle threader and fabric with two buttonholes</w:t>
      </w:r>
      <w:r>
        <w:rPr>
          <w:rFonts w:ascii="Arial" w:hAnsi="Arial" w:cs="Arial"/>
          <w:sz w:val="24"/>
          <w:szCs w:val="24"/>
        </w:rPr>
        <w:t>. Thread supplied on spools on the tables</w:t>
      </w:r>
      <w:bookmarkStart w:id="0" w:name="_GoBack"/>
      <w:bookmarkEnd w:id="0"/>
      <w:r w:rsidRPr="00EC52EE">
        <w:rPr>
          <w:rFonts w:ascii="Arial" w:hAnsi="Arial" w:cs="Arial"/>
          <w:sz w:val="24"/>
          <w:szCs w:val="24"/>
        </w:rPr>
        <w:t xml:space="preserve"> </w:t>
      </w:r>
    </w:p>
    <w:p w14:paraId="5EA0E58A" w14:textId="434678DF" w:rsidR="00EC52EE" w:rsidRPr="00EC52EE" w:rsidRDefault="00EC52EE" w:rsidP="00EC52EE">
      <w:r>
        <w:rPr>
          <w:noProof/>
        </w:rPr>
        <w:drawing>
          <wp:inline distT="0" distB="0" distL="0" distR="0" wp14:anchorId="0197E446" wp14:editId="3DFCF7D9">
            <wp:extent cx="5731510" cy="3439160"/>
            <wp:effectExtent l="0" t="0" r="2540" b="8890"/>
            <wp:docPr id="5" name="Picture 5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91119_09272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0F23B409" wp14:editId="2413FAD7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A56AC6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iPaSLuoBAADE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EC52EE" w:rsidRPr="00EC52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EE"/>
    <w:rsid w:val="00EC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20BD1"/>
  <w15:chartTrackingRefBased/>
  <w15:docId w15:val="{EC914738-7ADC-43F9-A760-A353EF28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1</cp:revision>
  <dcterms:created xsi:type="dcterms:W3CDTF">2019-12-15T11:34:00Z</dcterms:created>
  <dcterms:modified xsi:type="dcterms:W3CDTF">2019-12-15T11:41:00Z</dcterms:modified>
</cp:coreProperties>
</file>