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A0850C" w14:textId="77777777"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 </w:t>
      </w:r>
    </w:p>
    <w:p w14:paraId="2B972CAB" w14:textId="77777777" w:rsidR="001B58F9" w:rsidRPr="00B527AF" w:rsidRDefault="001B58F9" w:rsidP="00AD3962">
      <w:pPr>
        <w:spacing w:before="240" w:line="360" w:lineRule="auto"/>
        <w:jc w:val="center"/>
        <w:rPr>
          <w:rFonts w:ascii="Times New Roman" w:hAnsi="Times New Roman" w:cs="Times New Roman"/>
          <w:b/>
          <w:bCs/>
          <w:sz w:val="24"/>
          <w:szCs w:val="24"/>
        </w:rPr>
      </w:pPr>
    </w:p>
    <w:p w14:paraId="5366DD0B" w14:textId="77777777" w:rsidR="001B58F9" w:rsidRPr="00B527AF" w:rsidRDefault="001B58F9" w:rsidP="00AD3962">
      <w:pPr>
        <w:spacing w:before="240" w:line="360" w:lineRule="auto"/>
        <w:jc w:val="center"/>
        <w:rPr>
          <w:rFonts w:ascii="Times New Roman" w:hAnsi="Times New Roman" w:cs="Times New Roman"/>
          <w:b/>
          <w:bCs/>
          <w:sz w:val="24"/>
          <w:szCs w:val="24"/>
        </w:rPr>
      </w:pPr>
    </w:p>
    <w:p w14:paraId="6859B2D7" w14:textId="77777777" w:rsidR="001B58F9" w:rsidRPr="00B527AF" w:rsidRDefault="001B58F9" w:rsidP="00AD3962">
      <w:pPr>
        <w:spacing w:before="240" w:line="360" w:lineRule="auto"/>
        <w:jc w:val="center"/>
        <w:rPr>
          <w:rFonts w:ascii="Times New Roman" w:hAnsi="Times New Roman" w:cs="Times New Roman"/>
          <w:b/>
          <w:bCs/>
          <w:sz w:val="24"/>
          <w:szCs w:val="24"/>
        </w:rPr>
      </w:pPr>
    </w:p>
    <w:p w14:paraId="233FDE4F" w14:textId="77777777" w:rsidR="001B58F9" w:rsidRPr="00B527AF" w:rsidRDefault="001B58F9" w:rsidP="00AD3962">
      <w:pPr>
        <w:spacing w:before="240" w:line="360" w:lineRule="auto"/>
        <w:jc w:val="center"/>
        <w:rPr>
          <w:rFonts w:ascii="Times New Roman" w:hAnsi="Times New Roman" w:cs="Times New Roman"/>
          <w:b/>
          <w:bCs/>
          <w:sz w:val="24"/>
          <w:szCs w:val="24"/>
        </w:rPr>
      </w:pPr>
    </w:p>
    <w:p w14:paraId="0E9EB359" w14:textId="77777777" w:rsidR="001B58F9" w:rsidRPr="00B527AF" w:rsidRDefault="001B58F9" w:rsidP="00AD3962">
      <w:pPr>
        <w:spacing w:before="240" w:line="360" w:lineRule="auto"/>
        <w:jc w:val="center"/>
        <w:rPr>
          <w:rFonts w:ascii="Times New Roman" w:hAnsi="Times New Roman" w:cs="Times New Roman"/>
          <w:b/>
          <w:bCs/>
          <w:sz w:val="24"/>
          <w:szCs w:val="24"/>
        </w:rPr>
      </w:pPr>
    </w:p>
    <w:p w14:paraId="351D0A28" w14:textId="64403784" w:rsidR="00AD3962" w:rsidRPr="00B527AF" w:rsidRDefault="00AD3962" w:rsidP="00AD3962">
      <w:pPr>
        <w:spacing w:before="240" w:line="360" w:lineRule="auto"/>
        <w:jc w:val="center"/>
        <w:rPr>
          <w:rFonts w:ascii="Times New Roman" w:hAnsi="Times New Roman" w:cs="Times New Roman"/>
          <w:b/>
          <w:bCs/>
          <w:sz w:val="24"/>
          <w:szCs w:val="24"/>
        </w:rPr>
      </w:pPr>
      <w:r w:rsidRPr="00B527AF">
        <w:rPr>
          <w:rFonts w:ascii="Times New Roman" w:hAnsi="Times New Roman" w:cs="Times New Roman"/>
          <w:b/>
          <w:bCs/>
          <w:sz w:val="24"/>
          <w:szCs w:val="24"/>
        </w:rPr>
        <w:t>International Business of AstraZeneca</w:t>
      </w:r>
    </w:p>
    <w:p w14:paraId="55B6F141" w14:textId="41418ED3" w:rsidR="00D81E25" w:rsidRPr="00B527AF" w:rsidRDefault="00D81E25" w:rsidP="00AD3962">
      <w:pPr>
        <w:spacing w:before="240" w:line="360" w:lineRule="auto"/>
        <w:jc w:val="center"/>
        <w:rPr>
          <w:rFonts w:ascii="Times New Roman" w:hAnsi="Times New Roman" w:cs="Times New Roman"/>
          <w:sz w:val="24"/>
          <w:szCs w:val="24"/>
        </w:rPr>
      </w:pPr>
    </w:p>
    <w:p w14:paraId="25036B64" w14:textId="77777777" w:rsidR="00D81E25" w:rsidRPr="00B527AF" w:rsidRDefault="00D81E25">
      <w:pPr>
        <w:rPr>
          <w:rFonts w:ascii="Times New Roman" w:hAnsi="Times New Roman" w:cs="Times New Roman"/>
          <w:sz w:val="24"/>
          <w:szCs w:val="24"/>
        </w:rPr>
      </w:pPr>
      <w:r w:rsidRPr="00B527AF">
        <w:rPr>
          <w:rFonts w:ascii="Times New Roman" w:hAnsi="Times New Roman" w:cs="Times New Roman"/>
          <w:sz w:val="24"/>
          <w:szCs w:val="24"/>
        </w:rPr>
        <w:br w:type="page"/>
      </w:r>
    </w:p>
    <w:sdt>
      <w:sdtPr>
        <w:rPr>
          <w:rFonts w:ascii="Times New Roman" w:eastAsia="Arial" w:hAnsi="Times New Roman" w:cs="Times New Roman"/>
          <w:color w:val="auto"/>
          <w:sz w:val="24"/>
          <w:szCs w:val="24"/>
          <w:lang w:val="en" w:eastAsia="en-IN"/>
        </w:rPr>
        <w:id w:val="211615537"/>
        <w:docPartObj>
          <w:docPartGallery w:val="Table of Contents"/>
          <w:docPartUnique/>
        </w:docPartObj>
      </w:sdtPr>
      <w:sdtEndPr>
        <w:rPr>
          <w:b/>
          <w:bCs/>
          <w:noProof/>
        </w:rPr>
      </w:sdtEndPr>
      <w:sdtContent>
        <w:p w14:paraId="3D62AE3C" w14:textId="7EC958DB" w:rsidR="00D81E25" w:rsidRPr="00B527AF" w:rsidRDefault="00D81E25" w:rsidP="001B58F9">
          <w:pPr>
            <w:pStyle w:val="TOCHeading"/>
            <w:spacing w:after="240" w:line="360" w:lineRule="auto"/>
            <w:jc w:val="center"/>
            <w:rPr>
              <w:rFonts w:ascii="Times New Roman" w:hAnsi="Times New Roman" w:cs="Times New Roman"/>
              <w:b/>
              <w:bCs/>
              <w:color w:val="000000" w:themeColor="text1"/>
              <w:sz w:val="24"/>
              <w:szCs w:val="24"/>
            </w:rPr>
          </w:pPr>
          <w:r w:rsidRPr="00B527AF">
            <w:rPr>
              <w:rFonts w:ascii="Times New Roman" w:hAnsi="Times New Roman" w:cs="Times New Roman"/>
              <w:b/>
              <w:bCs/>
              <w:color w:val="000000" w:themeColor="text1"/>
              <w:sz w:val="24"/>
              <w:szCs w:val="24"/>
            </w:rPr>
            <w:t>Table of Contents</w:t>
          </w:r>
        </w:p>
        <w:p w14:paraId="6D0908CE" w14:textId="6F22D559" w:rsidR="00D81E25" w:rsidRPr="00B527AF" w:rsidRDefault="00D81E25" w:rsidP="00D81E25">
          <w:pPr>
            <w:pStyle w:val="TOC1"/>
            <w:tabs>
              <w:tab w:val="right" w:leader="dot" w:pos="9350"/>
            </w:tabs>
            <w:spacing w:line="360" w:lineRule="auto"/>
            <w:jc w:val="both"/>
            <w:rPr>
              <w:rFonts w:ascii="Times New Roman" w:hAnsi="Times New Roman" w:cs="Times New Roman"/>
              <w:noProof/>
              <w:sz w:val="24"/>
              <w:szCs w:val="24"/>
            </w:rPr>
          </w:pPr>
          <w:r w:rsidRPr="00B527AF">
            <w:rPr>
              <w:rFonts w:ascii="Times New Roman" w:hAnsi="Times New Roman" w:cs="Times New Roman"/>
              <w:sz w:val="24"/>
              <w:szCs w:val="24"/>
            </w:rPr>
            <w:fldChar w:fldCharType="begin"/>
          </w:r>
          <w:r w:rsidRPr="00B527AF">
            <w:rPr>
              <w:rFonts w:ascii="Times New Roman" w:hAnsi="Times New Roman" w:cs="Times New Roman"/>
              <w:sz w:val="24"/>
              <w:szCs w:val="24"/>
            </w:rPr>
            <w:instrText xml:space="preserve"> TOC \o "1-3" \h \z \u </w:instrText>
          </w:r>
          <w:r w:rsidRPr="00B527AF">
            <w:rPr>
              <w:rFonts w:ascii="Times New Roman" w:hAnsi="Times New Roman" w:cs="Times New Roman"/>
              <w:sz w:val="24"/>
              <w:szCs w:val="24"/>
            </w:rPr>
            <w:fldChar w:fldCharType="separate"/>
          </w:r>
          <w:hyperlink w:anchor="_Toc131331151" w:history="1">
            <w:r w:rsidRPr="00B527AF">
              <w:rPr>
                <w:rStyle w:val="Hyperlink"/>
                <w:rFonts w:ascii="Times New Roman" w:hAnsi="Times New Roman" w:cs="Times New Roman"/>
                <w:noProof/>
                <w:sz w:val="24"/>
                <w:szCs w:val="24"/>
              </w:rPr>
              <w:t>Introduction</w:t>
            </w:r>
            <w:r w:rsidRPr="00B527AF">
              <w:rPr>
                <w:rFonts w:ascii="Times New Roman" w:hAnsi="Times New Roman" w:cs="Times New Roman"/>
                <w:noProof/>
                <w:webHidden/>
                <w:sz w:val="24"/>
                <w:szCs w:val="24"/>
              </w:rPr>
              <w:tab/>
            </w:r>
            <w:r w:rsidRPr="00B527AF">
              <w:rPr>
                <w:rFonts w:ascii="Times New Roman" w:hAnsi="Times New Roman" w:cs="Times New Roman"/>
                <w:noProof/>
                <w:webHidden/>
                <w:sz w:val="24"/>
                <w:szCs w:val="24"/>
              </w:rPr>
              <w:fldChar w:fldCharType="begin"/>
            </w:r>
            <w:r w:rsidRPr="00B527AF">
              <w:rPr>
                <w:rFonts w:ascii="Times New Roman" w:hAnsi="Times New Roman" w:cs="Times New Roman"/>
                <w:noProof/>
                <w:webHidden/>
                <w:sz w:val="24"/>
                <w:szCs w:val="24"/>
              </w:rPr>
              <w:instrText xml:space="preserve"> PAGEREF _Toc131331151 \h </w:instrText>
            </w:r>
            <w:r w:rsidRPr="00B527AF">
              <w:rPr>
                <w:rFonts w:ascii="Times New Roman" w:hAnsi="Times New Roman" w:cs="Times New Roman"/>
                <w:noProof/>
                <w:webHidden/>
                <w:sz w:val="24"/>
                <w:szCs w:val="24"/>
              </w:rPr>
            </w:r>
            <w:r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3</w:t>
            </w:r>
            <w:r w:rsidRPr="00B527AF">
              <w:rPr>
                <w:rFonts w:ascii="Times New Roman" w:hAnsi="Times New Roman" w:cs="Times New Roman"/>
                <w:noProof/>
                <w:webHidden/>
                <w:sz w:val="24"/>
                <w:szCs w:val="24"/>
              </w:rPr>
              <w:fldChar w:fldCharType="end"/>
            </w:r>
          </w:hyperlink>
        </w:p>
        <w:p w14:paraId="0EA3C1A6" w14:textId="3F968739" w:rsidR="00D81E25" w:rsidRPr="00B527AF" w:rsidRDefault="00000000" w:rsidP="00D81E25">
          <w:pPr>
            <w:pStyle w:val="TOC1"/>
            <w:tabs>
              <w:tab w:val="right" w:leader="dot" w:pos="9350"/>
            </w:tabs>
            <w:spacing w:line="360" w:lineRule="auto"/>
            <w:jc w:val="both"/>
            <w:rPr>
              <w:rFonts w:ascii="Times New Roman" w:hAnsi="Times New Roman" w:cs="Times New Roman"/>
              <w:noProof/>
              <w:sz w:val="24"/>
              <w:szCs w:val="24"/>
            </w:rPr>
          </w:pPr>
          <w:hyperlink w:anchor="_Toc131331152" w:history="1">
            <w:r w:rsidR="00D81E25" w:rsidRPr="00B527AF">
              <w:rPr>
                <w:rStyle w:val="Hyperlink"/>
                <w:rFonts w:ascii="Times New Roman" w:hAnsi="Times New Roman" w:cs="Times New Roman"/>
                <w:noProof/>
                <w:sz w:val="24"/>
                <w:szCs w:val="24"/>
              </w:rPr>
              <w:t>AstraZeneca Company Background</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_Toc131331152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3</w:t>
            </w:r>
            <w:r w:rsidR="00D81E25" w:rsidRPr="00B527AF">
              <w:rPr>
                <w:rFonts w:ascii="Times New Roman" w:hAnsi="Times New Roman" w:cs="Times New Roman"/>
                <w:noProof/>
                <w:webHidden/>
                <w:sz w:val="24"/>
                <w:szCs w:val="24"/>
              </w:rPr>
              <w:fldChar w:fldCharType="end"/>
            </w:r>
          </w:hyperlink>
        </w:p>
        <w:p w14:paraId="3B48A5B1" w14:textId="173BC543" w:rsidR="00D81E25" w:rsidRPr="00B527AF" w:rsidRDefault="00000000" w:rsidP="00D81E25">
          <w:pPr>
            <w:pStyle w:val="TOC2"/>
            <w:tabs>
              <w:tab w:val="right" w:leader="dot" w:pos="9350"/>
            </w:tabs>
            <w:spacing w:line="360" w:lineRule="auto"/>
            <w:jc w:val="both"/>
            <w:rPr>
              <w:rFonts w:ascii="Times New Roman" w:hAnsi="Times New Roman" w:cs="Times New Roman"/>
              <w:noProof/>
              <w:sz w:val="24"/>
              <w:szCs w:val="24"/>
            </w:rPr>
          </w:pPr>
          <w:hyperlink w:anchor="_Toc131331153" w:history="1">
            <w:r w:rsidR="00D81E25" w:rsidRPr="00B527AF">
              <w:rPr>
                <w:rStyle w:val="Hyperlink"/>
                <w:rFonts w:ascii="Times New Roman" w:hAnsi="Times New Roman" w:cs="Times New Roman"/>
                <w:noProof/>
                <w:sz w:val="24"/>
                <w:szCs w:val="24"/>
              </w:rPr>
              <w:t>AstraZeneca Company’s Objectives and Strategies</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_Toc131331153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3</w:t>
            </w:r>
            <w:r w:rsidR="00D81E25" w:rsidRPr="00B527AF">
              <w:rPr>
                <w:rFonts w:ascii="Times New Roman" w:hAnsi="Times New Roman" w:cs="Times New Roman"/>
                <w:noProof/>
                <w:webHidden/>
                <w:sz w:val="24"/>
                <w:szCs w:val="24"/>
              </w:rPr>
              <w:fldChar w:fldCharType="end"/>
            </w:r>
          </w:hyperlink>
        </w:p>
        <w:p w14:paraId="6D094D77" w14:textId="463E8860" w:rsidR="00D81E25" w:rsidRPr="00B527AF" w:rsidRDefault="00000000" w:rsidP="00D81E25">
          <w:pPr>
            <w:pStyle w:val="TOC1"/>
            <w:tabs>
              <w:tab w:val="right" w:leader="dot" w:pos="9350"/>
            </w:tabs>
            <w:spacing w:line="360" w:lineRule="auto"/>
            <w:jc w:val="both"/>
            <w:rPr>
              <w:rFonts w:ascii="Times New Roman" w:hAnsi="Times New Roman" w:cs="Times New Roman"/>
              <w:noProof/>
              <w:sz w:val="24"/>
              <w:szCs w:val="24"/>
            </w:rPr>
          </w:pPr>
          <w:hyperlink w:anchor="_Toc131331154" w:history="1">
            <w:r w:rsidR="00D81E25" w:rsidRPr="00B527AF">
              <w:rPr>
                <w:rStyle w:val="Hyperlink"/>
                <w:rFonts w:ascii="Times New Roman" w:hAnsi="Times New Roman" w:cs="Times New Roman"/>
                <w:noProof/>
                <w:sz w:val="24"/>
                <w:szCs w:val="24"/>
              </w:rPr>
              <w:t>Countries’ Specifications</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_Toc131331154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4</w:t>
            </w:r>
            <w:r w:rsidR="00D81E25" w:rsidRPr="00B527AF">
              <w:rPr>
                <w:rFonts w:ascii="Times New Roman" w:hAnsi="Times New Roman" w:cs="Times New Roman"/>
                <w:noProof/>
                <w:webHidden/>
                <w:sz w:val="24"/>
                <w:szCs w:val="24"/>
              </w:rPr>
              <w:fldChar w:fldCharType="end"/>
            </w:r>
          </w:hyperlink>
        </w:p>
        <w:p w14:paraId="18EDCA17" w14:textId="7AAEA714" w:rsidR="00D81E25" w:rsidRPr="00B527AF" w:rsidRDefault="00000000" w:rsidP="00D81E25">
          <w:pPr>
            <w:pStyle w:val="TOC2"/>
            <w:tabs>
              <w:tab w:val="right" w:leader="dot" w:pos="9350"/>
            </w:tabs>
            <w:spacing w:line="360" w:lineRule="auto"/>
            <w:jc w:val="both"/>
            <w:rPr>
              <w:rFonts w:ascii="Times New Roman" w:hAnsi="Times New Roman" w:cs="Times New Roman"/>
              <w:noProof/>
              <w:sz w:val="24"/>
              <w:szCs w:val="24"/>
            </w:rPr>
          </w:pPr>
          <w:hyperlink w:anchor="_Toc131331155" w:history="1">
            <w:r w:rsidR="00D81E25" w:rsidRPr="00B527AF">
              <w:rPr>
                <w:rStyle w:val="Hyperlink"/>
                <w:rFonts w:ascii="Times New Roman" w:hAnsi="Times New Roman" w:cs="Times New Roman"/>
                <w:noProof/>
                <w:sz w:val="24"/>
                <w:szCs w:val="24"/>
              </w:rPr>
              <w:t>-Home Country (UK) of pharmacy</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_Toc131331155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4</w:t>
            </w:r>
            <w:r w:rsidR="00D81E25" w:rsidRPr="00B527AF">
              <w:rPr>
                <w:rFonts w:ascii="Times New Roman" w:hAnsi="Times New Roman" w:cs="Times New Roman"/>
                <w:noProof/>
                <w:webHidden/>
                <w:sz w:val="24"/>
                <w:szCs w:val="24"/>
              </w:rPr>
              <w:fldChar w:fldCharType="end"/>
            </w:r>
          </w:hyperlink>
        </w:p>
        <w:p w14:paraId="756E9192" w14:textId="1ADC5700" w:rsidR="00D81E25" w:rsidRPr="00B527AF" w:rsidRDefault="00000000" w:rsidP="00D81E25">
          <w:pPr>
            <w:pStyle w:val="TOC2"/>
            <w:tabs>
              <w:tab w:val="right" w:leader="dot" w:pos="9350"/>
            </w:tabs>
            <w:spacing w:line="360" w:lineRule="auto"/>
            <w:jc w:val="both"/>
            <w:rPr>
              <w:rFonts w:ascii="Times New Roman" w:hAnsi="Times New Roman" w:cs="Times New Roman"/>
              <w:noProof/>
              <w:sz w:val="24"/>
              <w:szCs w:val="24"/>
            </w:rPr>
          </w:pPr>
          <w:hyperlink w:anchor="_Toc131331156" w:history="1">
            <w:r w:rsidR="00D81E25" w:rsidRPr="00B527AF">
              <w:rPr>
                <w:rStyle w:val="Hyperlink"/>
                <w:rFonts w:ascii="Times New Roman" w:hAnsi="Times New Roman" w:cs="Times New Roman"/>
                <w:noProof/>
                <w:sz w:val="24"/>
                <w:szCs w:val="24"/>
              </w:rPr>
              <w:t>-Host Country (INDIA) of pharmacy</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_Toc131331156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5</w:t>
            </w:r>
            <w:r w:rsidR="00D81E25" w:rsidRPr="00B527AF">
              <w:rPr>
                <w:rFonts w:ascii="Times New Roman" w:hAnsi="Times New Roman" w:cs="Times New Roman"/>
                <w:noProof/>
                <w:webHidden/>
                <w:sz w:val="24"/>
                <w:szCs w:val="24"/>
              </w:rPr>
              <w:fldChar w:fldCharType="end"/>
            </w:r>
          </w:hyperlink>
        </w:p>
        <w:p w14:paraId="2DD3773D" w14:textId="6A0E7C7A" w:rsidR="00D81E25" w:rsidRPr="00B527AF" w:rsidRDefault="00000000" w:rsidP="00D81E25">
          <w:pPr>
            <w:pStyle w:val="TOC2"/>
            <w:tabs>
              <w:tab w:val="right" w:leader="dot" w:pos="9350"/>
            </w:tabs>
            <w:spacing w:line="360" w:lineRule="auto"/>
            <w:jc w:val="both"/>
            <w:rPr>
              <w:rFonts w:ascii="Times New Roman" w:hAnsi="Times New Roman" w:cs="Times New Roman"/>
              <w:noProof/>
              <w:sz w:val="24"/>
              <w:szCs w:val="24"/>
            </w:rPr>
          </w:pPr>
          <w:hyperlink w:anchor="_Toc131331157" w:history="1">
            <w:r w:rsidR="00D81E25" w:rsidRPr="00B527AF">
              <w:rPr>
                <w:rStyle w:val="Hyperlink"/>
                <w:rFonts w:ascii="Times New Roman" w:hAnsi="Times New Roman" w:cs="Times New Roman"/>
                <w:noProof/>
                <w:sz w:val="24"/>
                <w:szCs w:val="24"/>
              </w:rPr>
              <w:t>External Analysis of AstraZeneca</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_Toc131331157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6</w:t>
            </w:r>
            <w:r w:rsidR="00D81E25" w:rsidRPr="00B527AF">
              <w:rPr>
                <w:rFonts w:ascii="Times New Roman" w:hAnsi="Times New Roman" w:cs="Times New Roman"/>
                <w:noProof/>
                <w:webHidden/>
                <w:sz w:val="24"/>
                <w:szCs w:val="24"/>
              </w:rPr>
              <w:fldChar w:fldCharType="end"/>
            </w:r>
          </w:hyperlink>
        </w:p>
        <w:p w14:paraId="249239E6" w14:textId="78144541" w:rsidR="00D81E25" w:rsidRPr="00B527AF" w:rsidRDefault="00000000" w:rsidP="00D81E25">
          <w:pPr>
            <w:pStyle w:val="TOC2"/>
            <w:tabs>
              <w:tab w:val="right" w:leader="dot" w:pos="9350"/>
            </w:tabs>
            <w:spacing w:line="360" w:lineRule="auto"/>
            <w:jc w:val="both"/>
            <w:rPr>
              <w:rFonts w:ascii="Times New Roman" w:hAnsi="Times New Roman" w:cs="Times New Roman"/>
              <w:noProof/>
              <w:sz w:val="24"/>
              <w:szCs w:val="24"/>
            </w:rPr>
          </w:pPr>
          <w:hyperlink w:anchor="_Toc131331158" w:history="1">
            <w:r w:rsidR="00D81E25" w:rsidRPr="00B527AF">
              <w:rPr>
                <w:rStyle w:val="Hyperlink"/>
                <w:rFonts w:ascii="Times New Roman" w:hAnsi="Times New Roman" w:cs="Times New Roman"/>
                <w:noProof/>
                <w:sz w:val="24"/>
                <w:szCs w:val="24"/>
              </w:rPr>
              <w:t>A Comparative PESTEL Analysis of AstraZeneca</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_Toc131331158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6</w:t>
            </w:r>
            <w:r w:rsidR="00D81E25" w:rsidRPr="00B527AF">
              <w:rPr>
                <w:rFonts w:ascii="Times New Roman" w:hAnsi="Times New Roman" w:cs="Times New Roman"/>
                <w:noProof/>
                <w:webHidden/>
                <w:sz w:val="24"/>
                <w:szCs w:val="24"/>
              </w:rPr>
              <w:fldChar w:fldCharType="end"/>
            </w:r>
          </w:hyperlink>
        </w:p>
        <w:p w14:paraId="18C4051F" w14:textId="37E54B68" w:rsidR="00D81E25" w:rsidRPr="00B527AF" w:rsidRDefault="00000000" w:rsidP="00D81E25">
          <w:pPr>
            <w:pStyle w:val="TOC2"/>
            <w:tabs>
              <w:tab w:val="right" w:leader="dot" w:pos="9350"/>
            </w:tabs>
            <w:spacing w:line="360" w:lineRule="auto"/>
            <w:jc w:val="both"/>
            <w:rPr>
              <w:rFonts w:ascii="Times New Roman" w:hAnsi="Times New Roman" w:cs="Times New Roman"/>
              <w:noProof/>
              <w:sz w:val="24"/>
              <w:szCs w:val="24"/>
            </w:rPr>
          </w:pPr>
          <w:hyperlink w:anchor="_Toc131331159" w:history="1">
            <w:r w:rsidR="00D81E25" w:rsidRPr="00B527AF">
              <w:rPr>
                <w:rStyle w:val="Hyperlink"/>
                <w:rFonts w:ascii="Times New Roman" w:hAnsi="Times New Roman" w:cs="Times New Roman"/>
                <w:noProof/>
                <w:sz w:val="24"/>
                <w:szCs w:val="24"/>
              </w:rPr>
              <w:t>Industry Five Forces of AstraZeneca</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_Toc131331159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7</w:t>
            </w:r>
            <w:r w:rsidR="00D81E25" w:rsidRPr="00B527AF">
              <w:rPr>
                <w:rFonts w:ascii="Times New Roman" w:hAnsi="Times New Roman" w:cs="Times New Roman"/>
                <w:noProof/>
                <w:webHidden/>
                <w:sz w:val="24"/>
                <w:szCs w:val="24"/>
              </w:rPr>
              <w:fldChar w:fldCharType="end"/>
            </w:r>
          </w:hyperlink>
        </w:p>
        <w:p w14:paraId="33054490" w14:textId="085C9823" w:rsidR="00D81E25" w:rsidRPr="00B527AF" w:rsidRDefault="00000000" w:rsidP="00D81E25">
          <w:pPr>
            <w:pStyle w:val="TOC2"/>
            <w:tabs>
              <w:tab w:val="right" w:leader="dot" w:pos="9350"/>
            </w:tabs>
            <w:spacing w:line="360" w:lineRule="auto"/>
            <w:jc w:val="both"/>
            <w:rPr>
              <w:rFonts w:ascii="Times New Roman" w:hAnsi="Times New Roman" w:cs="Times New Roman"/>
              <w:noProof/>
              <w:sz w:val="24"/>
              <w:szCs w:val="24"/>
            </w:rPr>
          </w:pPr>
          <w:hyperlink w:anchor="_Toc131331160" w:history="1">
            <w:r w:rsidR="00D81E25" w:rsidRPr="00B527AF">
              <w:rPr>
                <w:rStyle w:val="Hyperlink"/>
                <w:rFonts w:ascii="Times New Roman" w:hAnsi="Times New Roman" w:cs="Times New Roman"/>
                <w:noProof/>
                <w:sz w:val="24"/>
                <w:szCs w:val="24"/>
              </w:rPr>
              <w:t>Market Analysis of AstraZeneca</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_Toc131331160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9</w:t>
            </w:r>
            <w:r w:rsidR="00D81E25" w:rsidRPr="00B527AF">
              <w:rPr>
                <w:rFonts w:ascii="Times New Roman" w:hAnsi="Times New Roman" w:cs="Times New Roman"/>
                <w:noProof/>
                <w:webHidden/>
                <w:sz w:val="24"/>
                <w:szCs w:val="24"/>
              </w:rPr>
              <w:fldChar w:fldCharType="end"/>
            </w:r>
          </w:hyperlink>
        </w:p>
        <w:p w14:paraId="6C241B08" w14:textId="5097550C" w:rsidR="00D81E25" w:rsidRPr="00B527AF" w:rsidRDefault="00000000" w:rsidP="00D81E25">
          <w:pPr>
            <w:pStyle w:val="TOC1"/>
            <w:tabs>
              <w:tab w:val="right" w:leader="dot" w:pos="9350"/>
            </w:tabs>
            <w:spacing w:line="360" w:lineRule="auto"/>
            <w:jc w:val="both"/>
            <w:rPr>
              <w:rFonts w:ascii="Times New Roman" w:hAnsi="Times New Roman" w:cs="Times New Roman"/>
              <w:noProof/>
              <w:sz w:val="24"/>
              <w:szCs w:val="24"/>
            </w:rPr>
          </w:pPr>
          <w:hyperlink w:anchor="_Toc131331161" w:history="1">
            <w:r w:rsidR="00D81E25" w:rsidRPr="00B527AF">
              <w:rPr>
                <w:rStyle w:val="Hyperlink"/>
                <w:rFonts w:ascii="Times New Roman" w:hAnsi="Times New Roman" w:cs="Times New Roman"/>
                <w:noProof/>
                <w:sz w:val="24"/>
                <w:szCs w:val="24"/>
              </w:rPr>
              <w:t>Host Country Analysis</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_Toc131331161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10</w:t>
            </w:r>
            <w:r w:rsidR="00D81E25" w:rsidRPr="00B527AF">
              <w:rPr>
                <w:rFonts w:ascii="Times New Roman" w:hAnsi="Times New Roman" w:cs="Times New Roman"/>
                <w:noProof/>
                <w:webHidden/>
                <w:sz w:val="24"/>
                <w:szCs w:val="24"/>
              </w:rPr>
              <w:fldChar w:fldCharType="end"/>
            </w:r>
          </w:hyperlink>
        </w:p>
        <w:p w14:paraId="402DF020" w14:textId="49F1EC42" w:rsidR="00D81E25" w:rsidRPr="00B527AF" w:rsidRDefault="00000000" w:rsidP="00D81E25">
          <w:pPr>
            <w:pStyle w:val="TOC2"/>
            <w:tabs>
              <w:tab w:val="right" w:leader="dot" w:pos="9350"/>
            </w:tabs>
            <w:spacing w:line="360" w:lineRule="auto"/>
            <w:jc w:val="both"/>
            <w:rPr>
              <w:rFonts w:ascii="Times New Roman" w:hAnsi="Times New Roman" w:cs="Times New Roman"/>
              <w:noProof/>
              <w:sz w:val="24"/>
              <w:szCs w:val="24"/>
            </w:rPr>
          </w:pPr>
          <w:hyperlink w:anchor="_Toc131331162" w:history="1">
            <w:r w:rsidR="00D81E25" w:rsidRPr="00B527AF">
              <w:rPr>
                <w:rStyle w:val="Hyperlink"/>
                <w:rFonts w:ascii="Times New Roman" w:hAnsi="Times New Roman" w:cs="Times New Roman"/>
                <w:noProof/>
                <w:sz w:val="24"/>
                <w:szCs w:val="24"/>
              </w:rPr>
              <w:t>Country’s National Diamond</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_Toc131331162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10</w:t>
            </w:r>
            <w:r w:rsidR="00D81E25" w:rsidRPr="00B527AF">
              <w:rPr>
                <w:rFonts w:ascii="Times New Roman" w:hAnsi="Times New Roman" w:cs="Times New Roman"/>
                <w:noProof/>
                <w:webHidden/>
                <w:sz w:val="24"/>
                <w:szCs w:val="24"/>
              </w:rPr>
              <w:fldChar w:fldCharType="end"/>
            </w:r>
          </w:hyperlink>
        </w:p>
        <w:p w14:paraId="3D61DCF5" w14:textId="063A8AD3" w:rsidR="00D81E25" w:rsidRPr="00B527AF" w:rsidRDefault="00000000" w:rsidP="00D81E25">
          <w:pPr>
            <w:pStyle w:val="TOC2"/>
            <w:tabs>
              <w:tab w:val="right" w:leader="dot" w:pos="9350"/>
            </w:tabs>
            <w:spacing w:line="360" w:lineRule="auto"/>
            <w:jc w:val="both"/>
            <w:rPr>
              <w:rFonts w:ascii="Times New Roman" w:hAnsi="Times New Roman" w:cs="Times New Roman"/>
              <w:noProof/>
              <w:sz w:val="24"/>
              <w:szCs w:val="24"/>
            </w:rPr>
          </w:pPr>
          <w:hyperlink w:anchor="_Toc131331163" w:history="1">
            <w:r w:rsidR="00D81E25" w:rsidRPr="00B527AF">
              <w:rPr>
                <w:rStyle w:val="Hyperlink"/>
                <w:rFonts w:ascii="Times New Roman" w:hAnsi="Times New Roman" w:cs="Times New Roman"/>
                <w:noProof/>
                <w:sz w:val="24"/>
                <w:szCs w:val="24"/>
              </w:rPr>
              <w:t>Country Business Risks</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_Toc131331163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11</w:t>
            </w:r>
            <w:r w:rsidR="00D81E25" w:rsidRPr="00B527AF">
              <w:rPr>
                <w:rFonts w:ascii="Times New Roman" w:hAnsi="Times New Roman" w:cs="Times New Roman"/>
                <w:noProof/>
                <w:webHidden/>
                <w:sz w:val="24"/>
                <w:szCs w:val="24"/>
              </w:rPr>
              <w:fldChar w:fldCharType="end"/>
            </w:r>
          </w:hyperlink>
        </w:p>
        <w:p w14:paraId="6E667AF8" w14:textId="6E800504" w:rsidR="00D81E25" w:rsidRPr="00B527AF" w:rsidRDefault="00000000" w:rsidP="00D81E25">
          <w:pPr>
            <w:pStyle w:val="TOC1"/>
            <w:tabs>
              <w:tab w:val="right" w:leader="dot" w:pos="9350"/>
            </w:tabs>
            <w:spacing w:line="360" w:lineRule="auto"/>
            <w:jc w:val="both"/>
            <w:rPr>
              <w:rFonts w:ascii="Times New Roman" w:hAnsi="Times New Roman" w:cs="Times New Roman"/>
              <w:noProof/>
              <w:sz w:val="24"/>
              <w:szCs w:val="24"/>
            </w:rPr>
          </w:pPr>
          <w:hyperlink w:anchor="_Toc131331164" w:history="1">
            <w:r w:rsidR="00D81E25" w:rsidRPr="00B527AF">
              <w:rPr>
                <w:rStyle w:val="Hyperlink"/>
                <w:rFonts w:ascii="Times New Roman" w:hAnsi="Times New Roman" w:cs="Times New Roman"/>
                <w:noProof/>
                <w:sz w:val="24"/>
                <w:szCs w:val="24"/>
              </w:rPr>
              <w:t>Internal Analysis</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_Toc131331164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12</w:t>
            </w:r>
            <w:r w:rsidR="00D81E25" w:rsidRPr="00B527AF">
              <w:rPr>
                <w:rFonts w:ascii="Times New Roman" w:hAnsi="Times New Roman" w:cs="Times New Roman"/>
                <w:noProof/>
                <w:webHidden/>
                <w:sz w:val="24"/>
                <w:szCs w:val="24"/>
              </w:rPr>
              <w:fldChar w:fldCharType="end"/>
            </w:r>
          </w:hyperlink>
        </w:p>
        <w:p w14:paraId="6C885F5F" w14:textId="3A144533" w:rsidR="00D81E25" w:rsidRPr="00B527AF" w:rsidRDefault="00000000" w:rsidP="00D81E25">
          <w:pPr>
            <w:pStyle w:val="TOC2"/>
            <w:tabs>
              <w:tab w:val="right" w:leader="dot" w:pos="9350"/>
            </w:tabs>
            <w:spacing w:line="360" w:lineRule="auto"/>
            <w:jc w:val="both"/>
            <w:rPr>
              <w:rFonts w:ascii="Times New Roman" w:hAnsi="Times New Roman" w:cs="Times New Roman"/>
              <w:noProof/>
              <w:sz w:val="24"/>
              <w:szCs w:val="24"/>
            </w:rPr>
          </w:pPr>
          <w:hyperlink w:anchor="_Toc131331165" w:history="1">
            <w:r w:rsidR="00D81E25" w:rsidRPr="00B527AF">
              <w:rPr>
                <w:rStyle w:val="Hyperlink"/>
                <w:rFonts w:ascii="Times New Roman" w:hAnsi="Times New Roman" w:cs="Times New Roman"/>
                <w:noProof/>
                <w:sz w:val="24"/>
                <w:szCs w:val="24"/>
              </w:rPr>
              <w:t>Global value chain</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_Toc131331165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12</w:t>
            </w:r>
            <w:r w:rsidR="00D81E25" w:rsidRPr="00B527AF">
              <w:rPr>
                <w:rFonts w:ascii="Times New Roman" w:hAnsi="Times New Roman" w:cs="Times New Roman"/>
                <w:noProof/>
                <w:webHidden/>
                <w:sz w:val="24"/>
                <w:szCs w:val="24"/>
              </w:rPr>
              <w:fldChar w:fldCharType="end"/>
            </w:r>
          </w:hyperlink>
        </w:p>
        <w:p w14:paraId="46BFB347" w14:textId="2FE7F128" w:rsidR="00D81E25" w:rsidRPr="00B527AF" w:rsidRDefault="00000000" w:rsidP="00D81E25">
          <w:pPr>
            <w:pStyle w:val="TOC2"/>
            <w:tabs>
              <w:tab w:val="right" w:leader="dot" w:pos="9350"/>
            </w:tabs>
            <w:spacing w:line="360" w:lineRule="auto"/>
            <w:jc w:val="both"/>
            <w:rPr>
              <w:rFonts w:ascii="Times New Roman" w:hAnsi="Times New Roman" w:cs="Times New Roman"/>
              <w:noProof/>
              <w:sz w:val="24"/>
              <w:szCs w:val="24"/>
            </w:rPr>
          </w:pPr>
          <w:hyperlink w:anchor="_Toc131331166" w:history="1">
            <w:r w:rsidR="00D81E25" w:rsidRPr="00B527AF">
              <w:rPr>
                <w:rStyle w:val="Hyperlink"/>
                <w:rFonts w:ascii="Times New Roman" w:hAnsi="Times New Roman" w:cs="Times New Roman"/>
                <w:noProof/>
                <w:sz w:val="24"/>
                <w:szCs w:val="24"/>
              </w:rPr>
              <w:t>SWOT analysis</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_Toc131331166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13</w:t>
            </w:r>
            <w:r w:rsidR="00D81E25" w:rsidRPr="00B527AF">
              <w:rPr>
                <w:rFonts w:ascii="Times New Roman" w:hAnsi="Times New Roman" w:cs="Times New Roman"/>
                <w:noProof/>
                <w:webHidden/>
                <w:sz w:val="24"/>
                <w:szCs w:val="24"/>
              </w:rPr>
              <w:fldChar w:fldCharType="end"/>
            </w:r>
          </w:hyperlink>
        </w:p>
        <w:p w14:paraId="434D76B2" w14:textId="5C39DDAE" w:rsidR="00D81E25" w:rsidRPr="00B527AF" w:rsidRDefault="00000000" w:rsidP="00D81E25">
          <w:pPr>
            <w:pStyle w:val="TOC1"/>
            <w:tabs>
              <w:tab w:val="right" w:leader="dot" w:pos="9350"/>
            </w:tabs>
            <w:spacing w:line="360" w:lineRule="auto"/>
            <w:jc w:val="both"/>
            <w:rPr>
              <w:rFonts w:ascii="Times New Roman" w:hAnsi="Times New Roman" w:cs="Times New Roman"/>
              <w:noProof/>
              <w:sz w:val="24"/>
              <w:szCs w:val="24"/>
            </w:rPr>
          </w:pPr>
          <w:hyperlink w:anchor="_Toc131331167" w:history="1">
            <w:r w:rsidR="00D81E25" w:rsidRPr="00B527AF">
              <w:rPr>
                <w:rStyle w:val="Hyperlink"/>
                <w:rFonts w:ascii="Times New Roman" w:hAnsi="Times New Roman" w:cs="Times New Roman"/>
                <w:noProof/>
                <w:sz w:val="24"/>
                <w:szCs w:val="24"/>
              </w:rPr>
              <w:t>International Strategies</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_Toc131331167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15</w:t>
            </w:r>
            <w:r w:rsidR="00D81E25" w:rsidRPr="00B527AF">
              <w:rPr>
                <w:rFonts w:ascii="Times New Roman" w:hAnsi="Times New Roman" w:cs="Times New Roman"/>
                <w:noProof/>
                <w:webHidden/>
                <w:sz w:val="24"/>
                <w:szCs w:val="24"/>
              </w:rPr>
              <w:fldChar w:fldCharType="end"/>
            </w:r>
          </w:hyperlink>
        </w:p>
        <w:p w14:paraId="0DCF6495" w14:textId="7A82517B" w:rsidR="00D81E25" w:rsidRPr="00B527AF" w:rsidRDefault="00000000" w:rsidP="00D81E25">
          <w:pPr>
            <w:pStyle w:val="TOC1"/>
            <w:tabs>
              <w:tab w:val="right" w:leader="dot" w:pos="9350"/>
            </w:tabs>
            <w:spacing w:line="360" w:lineRule="auto"/>
            <w:jc w:val="both"/>
            <w:rPr>
              <w:rFonts w:ascii="Times New Roman" w:hAnsi="Times New Roman" w:cs="Times New Roman"/>
              <w:noProof/>
              <w:sz w:val="24"/>
              <w:szCs w:val="24"/>
            </w:rPr>
          </w:pPr>
          <w:hyperlink w:anchor="_Toc131331168" w:history="1">
            <w:r w:rsidR="00D81E25" w:rsidRPr="00B527AF">
              <w:rPr>
                <w:rStyle w:val="Hyperlink"/>
                <w:rFonts w:ascii="Times New Roman" w:hAnsi="Times New Roman" w:cs="Times New Roman"/>
                <w:noProof/>
                <w:sz w:val="24"/>
                <w:szCs w:val="24"/>
              </w:rPr>
              <w:t>Entry Modes</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_Toc131331168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16</w:t>
            </w:r>
            <w:r w:rsidR="00D81E25" w:rsidRPr="00B527AF">
              <w:rPr>
                <w:rFonts w:ascii="Times New Roman" w:hAnsi="Times New Roman" w:cs="Times New Roman"/>
                <w:noProof/>
                <w:webHidden/>
                <w:sz w:val="24"/>
                <w:szCs w:val="24"/>
              </w:rPr>
              <w:fldChar w:fldCharType="end"/>
            </w:r>
          </w:hyperlink>
        </w:p>
        <w:p w14:paraId="68525A67" w14:textId="067B4951" w:rsidR="00D81E25" w:rsidRPr="00B527AF" w:rsidRDefault="00000000" w:rsidP="00D81E25">
          <w:pPr>
            <w:pStyle w:val="TOC1"/>
            <w:tabs>
              <w:tab w:val="right" w:leader="dot" w:pos="9350"/>
            </w:tabs>
            <w:spacing w:line="360" w:lineRule="auto"/>
            <w:jc w:val="both"/>
            <w:rPr>
              <w:rFonts w:ascii="Times New Roman" w:hAnsi="Times New Roman" w:cs="Times New Roman"/>
              <w:noProof/>
              <w:sz w:val="24"/>
              <w:szCs w:val="24"/>
            </w:rPr>
          </w:pPr>
          <w:hyperlink w:anchor="_Toc131331169" w:history="1">
            <w:r w:rsidR="00D81E25" w:rsidRPr="00B527AF">
              <w:rPr>
                <w:rStyle w:val="Hyperlink"/>
                <w:rFonts w:ascii="Times New Roman" w:hAnsi="Times New Roman" w:cs="Times New Roman"/>
                <w:noProof/>
                <w:sz w:val="24"/>
                <w:szCs w:val="24"/>
              </w:rPr>
              <w:t>Corporate Social Responsibility</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_Toc131331169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17</w:t>
            </w:r>
            <w:r w:rsidR="00D81E25" w:rsidRPr="00B527AF">
              <w:rPr>
                <w:rFonts w:ascii="Times New Roman" w:hAnsi="Times New Roman" w:cs="Times New Roman"/>
                <w:noProof/>
                <w:webHidden/>
                <w:sz w:val="24"/>
                <w:szCs w:val="24"/>
              </w:rPr>
              <w:fldChar w:fldCharType="end"/>
            </w:r>
          </w:hyperlink>
        </w:p>
        <w:p w14:paraId="3A631D0D" w14:textId="70713227" w:rsidR="00D81E25" w:rsidRPr="00B527AF" w:rsidRDefault="00000000" w:rsidP="00D81E25">
          <w:pPr>
            <w:pStyle w:val="TOC1"/>
            <w:tabs>
              <w:tab w:val="right" w:leader="dot" w:pos="9350"/>
            </w:tabs>
            <w:spacing w:line="360" w:lineRule="auto"/>
            <w:jc w:val="both"/>
            <w:rPr>
              <w:rFonts w:ascii="Times New Roman" w:hAnsi="Times New Roman" w:cs="Times New Roman"/>
              <w:noProof/>
              <w:sz w:val="24"/>
              <w:szCs w:val="24"/>
            </w:rPr>
          </w:pPr>
          <w:hyperlink w:anchor="_Toc131331170" w:history="1">
            <w:r w:rsidR="00D81E25" w:rsidRPr="00B527AF">
              <w:rPr>
                <w:rStyle w:val="Hyperlink"/>
                <w:rFonts w:ascii="Times New Roman" w:hAnsi="Times New Roman" w:cs="Times New Roman"/>
                <w:noProof/>
                <w:sz w:val="24"/>
                <w:szCs w:val="24"/>
              </w:rPr>
              <w:t>Conclusion</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_Toc131331170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18</w:t>
            </w:r>
            <w:r w:rsidR="00D81E25" w:rsidRPr="00B527AF">
              <w:rPr>
                <w:rFonts w:ascii="Times New Roman" w:hAnsi="Times New Roman" w:cs="Times New Roman"/>
                <w:noProof/>
                <w:webHidden/>
                <w:sz w:val="24"/>
                <w:szCs w:val="24"/>
              </w:rPr>
              <w:fldChar w:fldCharType="end"/>
            </w:r>
          </w:hyperlink>
        </w:p>
        <w:p w14:paraId="075E4A54" w14:textId="6C63F5FB" w:rsidR="00D81E25" w:rsidRPr="00B527AF" w:rsidRDefault="00000000" w:rsidP="00D81E25">
          <w:pPr>
            <w:pStyle w:val="TOC1"/>
            <w:tabs>
              <w:tab w:val="right" w:leader="dot" w:pos="9350"/>
            </w:tabs>
            <w:spacing w:line="360" w:lineRule="auto"/>
            <w:jc w:val="both"/>
            <w:rPr>
              <w:rFonts w:ascii="Times New Roman" w:hAnsi="Times New Roman" w:cs="Times New Roman"/>
              <w:noProof/>
              <w:sz w:val="24"/>
              <w:szCs w:val="24"/>
            </w:rPr>
          </w:pPr>
          <w:hyperlink w:anchor="_Toc131331171" w:history="1">
            <w:r w:rsidR="00D81E25" w:rsidRPr="00B527AF">
              <w:rPr>
                <w:rStyle w:val="Hyperlink"/>
                <w:rFonts w:ascii="Times New Roman" w:hAnsi="Times New Roman" w:cs="Times New Roman"/>
                <w:noProof/>
                <w:sz w:val="24"/>
                <w:szCs w:val="24"/>
              </w:rPr>
              <w:t>References</w:t>
            </w:r>
            <w:r w:rsidR="00D81E25" w:rsidRPr="00B527AF">
              <w:rPr>
                <w:rFonts w:ascii="Times New Roman" w:hAnsi="Times New Roman" w:cs="Times New Roman"/>
                <w:noProof/>
                <w:webHidden/>
                <w:sz w:val="24"/>
                <w:szCs w:val="24"/>
              </w:rPr>
              <w:tab/>
            </w:r>
            <w:r w:rsidR="00D81E25" w:rsidRPr="00B527AF">
              <w:rPr>
                <w:rFonts w:ascii="Times New Roman" w:hAnsi="Times New Roman" w:cs="Times New Roman"/>
                <w:noProof/>
                <w:webHidden/>
                <w:sz w:val="24"/>
                <w:szCs w:val="24"/>
              </w:rPr>
              <w:fldChar w:fldCharType="begin"/>
            </w:r>
            <w:r w:rsidR="00D81E25" w:rsidRPr="00B527AF">
              <w:rPr>
                <w:rFonts w:ascii="Times New Roman" w:hAnsi="Times New Roman" w:cs="Times New Roman"/>
                <w:noProof/>
                <w:webHidden/>
                <w:sz w:val="24"/>
                <w:szCs w:val="24"/>
              </w:rPr>
              <w:instrText xml:space="preserve"> PAGEREF _Toc131331171 \h </w:instrText>
            </w:r>
            <w:r w:rsidR="00D81E25" w:rsidRPr="00B527AF">
              <w:rPr>
                <w:rFonts w:ascii="Times New Roman" w:hAnsi="Times New Roman" w:cs="Times New Roman"/>
                <w:noProof/>
                <w:webHidden/>
                <w:sz w:val="24"/>
                <w:szCs w:val="24"/>
              </w:rPr>
            </w:r>
            <w:r w:rsidR="00D81E25" w:rsidRPr="00B527AF">
              <w:rPr>
                <w:rFonts w:ascii="Times New Roman" w:hAnsi="Times New Roman" w:cs="Times New Roman"/>
                <w:noProof/>
                <w:webHidden/>
                <w:sz w:val="24"/>
                <w:szCs w:val="24"/>
              </w:rPr>
              <w:fldChar w:fldCharType="separate"/>
            </w:r>
            <w:r w:rsidR="001B58F9" w:rsidRPr="00B527AF">
              <w:rPr>
                <w:rFonts w:ascii="Times New Roman" w:hAnsi="Times New Roman" w:cs="Times New Roman"/>
                <w:noProof/>
                <w:webHidden/>
                <w:sz w:val="24"/>
                <w:szCs w:val="24"/>
              </w:rPr>
              <w:t>19</w:t>
            </w:r>
            <w:r w:rsidR="00D81E25" w:rsidRPr="00B527AF">
              <w:rPr>
                <w:rFonts w:ascii="Times New Roman" w:hAnsi="Times New Roman" w:cs="Times New Roman"/>
                <w:noProof/>
                <w:webHidden/>
                <w:sz w:val="24"/>
                <w:szCs w:val="24"/>
              </w:rPr>
              <w:fldChar w:fldCharType="end"/>
            </w:r>
          </w:hyperlink>
        </w:p>
        <w:p w14:paraId="0DC30E8A" w14:textId="6F2BCFA1" w:rsidR="00D81E25" w:rsidRPr="00B527AF" w:rsidRDefault="00D81E25" w:rsidP="00D81E25">
          <w:pPr>
            <w:spacing w:line="360" w:lineRule="auto"/>
            <w:jc w:val="both"/>
            <w:rPr>
              <w:rFonts w:ascii="Times New Roman" w:hAnsi="Times New Roman" w:cs="Times New Roman"/>
              <w:sz w:val="24"/>
              <w:szCs w:val="24"/>
            </w:rPr>
          </w:pPr>
          <w:r w:rsidRPr="00B527AF">
            <w:rPr>
              <w:rFonts w:ascii="Times New Roman" w:hAnsi="Times New Roman" w:cs="Times New Roman"/>
              <w:b/>
              <w:bCs/>
              <w:noProof/>
              <w:sz w:val="24"/>
              <w:szCs w:val="24"/>
            </w:rPr>
            <w:fldChar w:fldCharType="end"/>
          </w:r>
        </w:p>
      </w:sdtContent>
    </w:sdt>
    <w:p w14:paraId="514D6A4D" w14:textId="77777777" w:rsidR="00AD3962" w:rsidRPr="00B527AF" w:rsidRDefault="00AD3962" w:rsidP="00D81E25">
      <w:pPr>
        <w:spacing w:before="240" w:line="360" w:lineRule="auto"/>
        <w:rPr>
          <w:rFonts w:ascii="Times New Roman" w:hAnsi="Times New Roman" w:cs="Times New Roman"/>
          <w:sz w:val="24"/>
          <w:szCs w:val="24"/>
        </w:rPr>
      </w:pPr>
    </w:p>
    <w:p w14:paraId="5370628C" w14:textId="7D581F64" w:rsidR="00AD3962" w:rsidRPr="00B527AF" w:rsidRDefault="00AD3962" w:rsidP="00D81E25">
      <w:pPr>
        <w:pStyle w:val="Heading1"/>
        <w:rPr>
          <w:rFonts w:cs="Times New Roman"/>
          <w:szCs w:val="24"/>
        </w:rPr>
      </w:pPr>
      <w:bookmarkStart w:id="0" w:name="_Toc131331151"/>
      <w:r w:rsidRPr="00B527AF">
        <w:rPr>
          <w:rFonts w:cs="Times New Roman"/>
          <w:szCs w:val="24"/>
        </w:rPr>
        <w:lastRenderedPageBreak/>
        <w:t>Introduction</w:t>
      </w:r>
      <w:bookmarkEnd w:id="0"/>
    </w:p>
    <w:p w14:paraId="19818362" w14:textId="77777777"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AstraZeneca is a leading pharmaceutical company operating in both its home country of the UK and its host country of India. This essay will evaluate AstraZeneca's main features contributing to the international business environment, explore their different modes of engagement with global markets, and analyze how economic, legal, governmental, political, regulatory, and cultural factors impact their expansion.</w:t>
      </w:r>
    </w:p>
    <w:p w14:paraId="1899F702" w14:textId="77777777" w:rsidR="00AD3962" w:rsidRPr="00B527AF" w:rsidRDefault="00AD3962" w:rsidP="00D81E25">
      <w:pPr>
        <w:pStyle w:val="Heading1"/>
        <w:rPr>
          <w:rFonts w:cs="Times New Roman"/>
          <w:szCs w:val="24"/>
        </w:rPr>
      </w:pPr>
      <w:bookmarkStart w:id="1" w:name="_Toc131331152"/>
      <w:r w:rsidRPr="00B527AF">
        <w:rPr>
          <w:rFonts w:cs="Times New Roman"/>
          <w:szCs w:val="24"/>
        </w:rPr>
        <w:t>AstraZeneca Company Background</w:t>
      </w:r>
      <w:bookmarkEnd w:id="1"/>
    </w:p>
    <w:p w14:paraId="65A5C83D" w14:textId="77777777"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 xml:space="preserve">AstraZeneca is a British multinational pharmaceutical company. It was founded in 1999 and is headquartered in London, United Kingdom. The company manufactures and sells prescription and over-the-counter medications, as well as biologic products for various therapeutic areas, including respiratory &amp; immunology. AstraZeneca has a wide portfolio of products that are marketed under several brand names, including Pulmicort, Symbicort, </w:t>
      </w:r>
      <w:proofErr w:type="spellStart"/>
      <w:r w:rsidRPr="00B527AF">
        <w:rPr>
          <w:rFonts w:ascii="Times New Roman" w:hAnsi="Times New Roman" w:cs="Times New Roman"/>
          <w:sz w:val="24"/>
          <w:szCs w:val="24"/>
        </w:rPr>
        <w:t>Rhinocort</w:t>
      </w:r>
      <w:proofErr w:type="spellEnd"/>
      <w:r w:rsidRPr="00B527AF">
        <w:rPr>
          <w:rFonts w:ascii="Times New Roman" w:hAnsi="Times New Roman" w:cs="Times New Roman"/>
          <w:sz w:val="24"/>
          <w:szCs w:val="24"/>
        </w:rPr>
        <w:t xml:space="preserve">, </w:t>
      </w:r>
      <w:proofErr w:type="spellStart"/>
      <w:r w:rsidRPr="00B527AF">
        <w:rPr>
          <w:rFonts w:ascii="Times New Roman" w:hAnsi="Times New Roman" w:cs="Times New Roman"/>
          <w:sz w:val="24"/>
          <w:szCs w:val="24"/>
        </w:rPr>
        <w:t>Dulera</w:t>
      </w:r>
      <w:proofErr w:type="spellEnd"/>
      <w:r w:rsidRPr="00B527AF">
        <w:rPr>
          <w:rFonts w:ascii="Times New Roman" w:hAnsi="Times New Roman" w:cs="Times New Roman"/>
          <w:sz w:val="24"/>
          <w:szCs w:val="24"/>
        </w:rPr>
        <w:t xml:space="preserve">, </w:t>
      </w:r>
      <w:proofErr w:type="spellStart"/>
      <w:r w:rsidRPr="00B527AF">
        <w:rPr>
          <w:rFonts w:ascii="Times New Roman" w:hAnsi="Times New Roman" w:cs="Times New Roman"/>
          <w:sz w:val="24"/>
          <w:szCs w:val="24"/>
        </w:rPr>
        <w:t>Foradil</w:t>
      </w:r>
      <w:proofErr w:type="spellEnd"/>
      <w:r w:rsidRPr="00B527AF">
        <w:rPr>
          <w:rFonts w:ascii="Times New Roman" w:hAnsi="Times New Roman" w:cs="Times New Roman"/>
          <w:sz w:val="24"/>
          <w:szCs w:val="24"/>
        </w:rPr>
        <w:t>, and Flovent (</w:t>
      </w:r>
      <w:r w:rsidRPr="00B527AF">
        <w:rPr>
          <w:rFonts w:ascii="Times New Roman" w:hAnsi="Times New Roman" w:cs="Times New Roman"/>
          <w:color w:val="222222"/>
          <w:sz w:val="24"/>
          <w:szCs w:val="24"/>
          <w:shd w:val="clear" w:color="auto" w:fill="FFFFFF"/>
        </w:rPr>
        <w:t>Sun et al. 2022</w:t>
      </w:r>
      <w:r w:rsidRPr="00B527AF">
        <w:rPr>
          <w:rFonts w:ascii="Times New Roman" w:hAnsi="Times New Roman" w:cs="Times New Roman"/>
          <w:sz w:val="24"/>
          <w:szCs w:val="24"/>
        </w:rPr>
        <w:t>). The company also has a strong presence in India with several manufacturing facilities and a large sales &amp; marketing team. AstraZeneca is a global, science-led biopharmaceutical business and innovative medicines are used by millions of patients worldwide. the purpose is to push the boundaries of science to deliver life-changing medicines. In 2015, they employed over 61,600 people globally and products are sold in over 100 countries (</w:t>
      </w:r>
      <w:r w:rsidRPr="00B527AF">
        <w:rPr>
          <w:rFonts w:ascii="Times New Roman" w:hAnsi="Times New Roman" w:cs="Times New Roman"/>
          <w:color w:val="222222"/>
          <w:sz w:val="24"/>
          <w:szCs w:val="24"/>
          <w:shd w:val="clear" w:color="auto" w:fill="FFFFFF"/>
        </w:rPr>
        <w:t>Sun et al. 2022</w:t>
      </w:r>
      <w:r w:rsidRPr="00B527AF">
        <w:rPr>
          <w:rFonts w:ascii="Times New Roman" w:hAnsi="Times New Roman" w:cs="Times New Roman"/>
          <w:sz w:val="24"/>
          <w:szCs w:val="24"/>
        </w:rPr>
        <w:t>). The company pursues a flexible approach to international expansion, leveraging multiple strategies depending on the local market conditions. AstraZeneca’s strategy focuses on optimizing value for patients, meeting customer needs, and driving sustainable growth. It also emphasizes collaboration with local partners to ensure successful entry into new markets.</w:t>
      </w:r>
    </w:p>
    <w:p w14:paraId="23FFB510" w14:textId="77777777" w:rsidR="00AD3962" w:rsidRPr="00B527AF" w:rsidRDefault="00AD3962" w:rsidP="00D81E25">
      <w:pPr>
        <w:pStyle w:val="Heading2"/>
        <w:rPr>
          <w:rFonts w:cs="Times New Roman"/>
          <w:szCs w:val="24"/>
        </w:rPr>
      </w:pPr>
      <w:bookmarkStart w:id="2" w:name="_Toc131331153"/>
      <w:r w:rsidRPr="00B527AF">
        <w:rPr>
          <w:rFonts w:cs="Times New Roman"/>
          <w:szCs w:val="24"/>
        </w:rPr>
        <w:t>AstraZeneca Company’s Objectives and Strategies</w:t>
      </w:r>
      <w:bookmarkEnd w:id="2"/>
    </w:p>
    <w:p w14:paraId="23D1E5AE" w14:textId="77777777"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 xml:space="preserve">AstraZeneca’s objective is to become the world’s leading pharmaceutical company by 2020. To achieve this goal, the company has adopted a strategy of aggressive growth through expansion into new markets and product categories. As part of this strategy, AstraZeneca has made several acquisitions in recent years, including </w:t>
      </w:r>
      <w:proofErr w:type="spellStart"/>
      <w:r w:rsidRPr="00B527AF">
        <w:rPr>
          <w:rFonts w:ascii="Times New Roman" w:hAnsi="Times New Roman" w:cs="Times New Roman"/>
          <w:sz w:val="24"/>
          <w:szCs w:val="24"/>
        </w:rPr>
        <w:t>MedImmune</w:t>
      </w:r>
      <w:proofErr w:type="spellEnd"/>
      <w:r w:rsidRPr="00B527AF">
        <w:rPr>
          <w:rFonts w:ascii="Times New Roman" w:hAnsi="Times New Roman" w:cs="Times New Roman"/>
          <w:sz w:val="24"/>
          <w:szCs w:val="24"/>
        </w:rPr>
        <w:t xml:space="preserve"> (2006), Astra Tech (2008), and Cambridge Antibody Technology (2009) (</w:t>
      </w:r>
      <w:r w:rsidRPr="00B527AF">
        <w:rPr>
          <w:rFonts w:ascii="Times New Roman" w:hAnsi="Times New Roman" w:cs="Times New Roman"/>
          <w:color w:val="222222"/>
          <w:sz w:val="24"/>
          <w:szCs w:val="24"/>
          <w:shd w:val="clear" w:color="auto" w:fill="FFFFFF"/>
        </w:rPr>
        <w:t>Sun et al. 2022</w:t>
      </w:r>
      <w:r w:rsidRPr="00B527AF">
        <w:rPr>
          <w:rFonts w:ascii="Times New Roman" w:hAnsi="Times New Roman" w:cs="Times New Roman"/>
          <w:sz w:val="24"/>
          <w:szCs w:val="24"/>
        </w:rPr>
        <w:t xml:space="preserve">). In addition, the company has launched several new products in recent years, such as </w:t>
      </w:r>
      <w:proofErr w:type="spellStart"/>
      <w:r w:rsidRPr="00B527AF">
        <w:rPr>
          <w:rFonts w:ascii="Times New Roman" w:hAnsi="Times New Roman" w:cs="Times New Roman"/>
          <w:sz w:val="24"/>
          <w:szCs w:val="24"/>
        </w:rPr>
        <w:t>Breo</w:t>
      </w:r>
      <w:proofErr w:type="spellEnd"/>
      <w:r w:rsidRPr="00B527AF">
        <w:rPr>
          <w:rFonts w:ascii="Times New Roman" w:hAnsi="Times New Roman" w:cs="Times New Roman"/>
          <w:sz w:val="24"/>
          <w:szCs w:val="24"/>
        </w:rPr>
        <w:t xml:space="preserve"> Ellipta (respiratory), </w:t>
      </w:r>
      <w:proofErr w:type="spellStart"/>
      <w:r w:rsidRPr="00B527AF">
        <w:rPr>
          <w:rFonts w:ascii="Times New Roman" w:hAnsi="Times New Roman" w:cs="Times New Roman"/>
          <w:sz w:val="24"/>
          <w:szCs w:val="24"/>
        </w:rPr>
        <w:t>Bydureon</w:t>
      </w:r>
      <w:proofErr w:type="spellEnd"/>
      <w:r w:rsidRPr="00B527AF">
        <w:rPr>
          <w:rFonts w:ascii="Times New Roman" w:hAnsi="Times New Roman" w:cs="Times New Roman"/>
          <w:sz w:val="24"/>
          <w:szCs w:val="24"/>
        </w:rPr>
        <w:t xml:space="preserve"> </w:t>
      </w:r>
      <w:proofErr w:type="spellStart"/>
      <w:r w:rsidRPr="00B527AF">
        <w:rPr>
          <w:rFonts w:ascii="Times New Roman" w:hAnsi="Times New Roman" w:cs="Times New Roman"/>
          <w:sz w:val="24"/>
          <w:szCs w:val="24"/>
        </w:rPr>
        <w:t>BCise</w:t>
      </w:r>
      <w:proofErr w:type="spellEnd"/>
      <w:r w:rsidRPr="00B527AF">
        <w:rPr>
          <w:rFonts w:ascii="Times New Roman" w:hAnsi="Times New Roman" w:cs="Times New Roman"/>
          <w:sz w:val="24"/>
          <w:szCs w:val="24"/>
        </w:rPr>
        <w:t xml:space="preserve"> (diabetes), and </w:t>
      </w:r>
      <w:r w:rsidRPr="00B527AF">
        <w:rPr>
          <w:rFonts w:ascii="Times New Roman" w:hAnsi="Times New Roman" w:cs="Times New Roman"/>
          <w:sz w:val="24"/>
          <w:szCs w:val="24"/>
        </w:rPr>
        <w:lastRenderedPageBreak/>
        <w:t>Lynparza (ovarian cancer). AstraZeneca’s primary objectives are to generate sustainable growth and increased shareholder value. To achieve this, the company has several strategies in place, including developing innovative new medicines, increasing market share, reducing costs, and expanding into new markets.</w:t>
      </w:r>
    </w:p>
    <w:p w14:paraId="466506E6" w14:textId="77777777"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AstraZeneca has three strategic objectives: to improve R&amp;D productivity, grow the business, and achieve operational excellence. To achieve these objectives, the company has developed several strategies, including the following: they have three strategic priorities:</w:t>
      </w:r>
    </w:p>
    <w:p w14:paraId="2CC6725C" w14:textId="72A93835"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 R&amp;D productivity – delivering a strong pipeline of new medicines</w:t>
      </w:r>
    </w:p>
    <w:p w14:paraId="541DEDDD" w14:textId="50E81638"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 Growth – delivering growth from the portfolio through effective commercialization</w:t>
      </w:r>
    </w:p>
    <w:p w14:paraId="1B3B2B34" w14:textId="035E3A1D"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 Operational excellence – improving cost base and developing organization and capabilities</w:t>
      </w:r>
    </w:p>
    <w:p w14:paraId="47F51D4B" w14:textId="77777777"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In 2016 they generated revenues of $25.9 billion and d core operating profit1 of $8.0 billion (</w:t>
      </w:r>
      <w:proofErr w:type="spellStart"/>
      <w:r w:rsidRPr="00B527AF">
        <w:rPr>
          <w:rFonts w:ascii="Times New Roman" w:hAnsi="Times New Roman" w:cs="Times New Roman"/>
          <w:color w:val="222222"/>
          <w:sz w:val="24"/>
          <w:szCs w:val="24"/>
          <w:shd w:val="clear" w:color="auto" w:fill="FFFFFF"/>
        </w:rPr>
        <w:t>Bardia</w:t>
      </w:r>
      <w:proofErr w:type="spellEnd"/>
      <w:r w:rsidRPr="00B527AF">
        <w:rPr>
          <w:rFonts w:ascii="Times New Roman" w:hAnsi="Times New Roman" w:cs="Times New Roman"/>
          <w:color w:val="222222"/>
          <w:sz w:val="24"/>
          <w:szCs w:val="24"/>
          <w:shd w:val="clear" w:color="auto" w:fill="FFFFFF"/>
        </w:rPr>
        <w:t xml:space="preserve"> et al. 2022</w:t>
      </w:r>
      <w:r w:rsidRPr="00B527AF">
        <w:rPr>
          <w:rFonts w:ascii="Times New Roman" w:hAnsi="Times New Roman" w:cs="Times New Roman"/>
          <w:sz w:val="24"/>
          <w:szCs w:val="24"/>
        </w:rPr>
        <w:t>). they are one of the world’s leading pharmaceutical companies, with sales equal to or above those of peers on a per capita basis in most major markets. the goal is to continue to build a sustainable business that meets the needs of patients, shareholders, and society. Furthermore, AstraZeneca also has a strong commitment to responsible business practices and works hard to ensure the safety of its products, as well as ethical and environmentally sustainable operations (</w:t>
      </w:r>
      <w:r w:rsidRPr="00B527AF">
        <w:rPr>
          <w:rFonts w:ascii="Times New Roman" w:hAnsi="Times New Roman" w:cs="Times New Roman"/>
          <w:color w:val="222222"/>
          <w:sz w:val="24"/>
          <w:szCs w:val="24"/>
          <w:shd w:val="clear" w:color="auto" w:fill="FFFFFF"/>
        </w:rPr>
        <w:t>Sun et al. 2022</w:t>
      </w:r>
      <w:r w:rsidRPr="00B527AF">
        <w:rPr>
          <w:rFonts w:ascii="Times New Roman" w:hAnsi="Times New Roman" w:cs="Times New Roman"/>
          <w:sz w:val="24"/>
          <w:szCs w:val="24"/>
        </w:rPr>
        <w:t>). As such, AstraZeneca is committed to investing in research and development (R&amp;D) that leads to innovative treatments for patients with serious diseases, such as cancer and cardiovascular disease. The company also takes steps to ensure the safety of its employees, customers, suppliers, and shareholders.</w:t>
      </w:r>
    </w:p>
    <w:p w14:paraId="217190F4" w14:textId="77777777" w:rsidR="00AD3962" w:rsidRPr="00B527AF" w:rsidRDefault="00AD3962" w:rsidP="00D81E25">
      <w:pPr>
        <w:pStyle w:val="Heading1"/>
        <w:rPr>
          <w:rFonts w:cs="Times New Roman"/>
          <w:szCs w:val="24"/>
        </w:rPr>
      </w:pPr>
      <w:bookmarkStart w:id="3" w:name="_Toc131331154"/>
      <w:r w:rsidRPr="00B527AF">
        <w:rPr>
          <w:rFonts w:cs="Times New Roman"/>
          <w:szCs w:val="24"/>
        </w:rPr>
        <w:t>Countries’ Specifications</w:t>
      </w:r>
      <w:bookmarkEnd w:id="3"/>
    </w:p>
    <w:p w14:paraId="1CD297CA" w14:textId="77777777" w:rsidR="00AD3962" w:rsidRPr="00B527AF" w:rsidRDefault="00AD3962" w:rsidP="00D81E25">
      <w:pPr>
        <w:pStyle w:val="Heading2"/>
        <w:rPr>
          <w:rFonts w:cs="Times New Roman"/>
          <w:szCs w:val="24"/>
        </w:rPr>
      </w:pPr>
      <w:bookmarkStart w:id="4" w:name="_Toc131331155"/>
      <w:r w:rsidRPr="00B527AF">
        <w:rPr>
          <w:rFonts w:cs="Times New Roman"/>
          <w:szCs w:val="24"/>
        </w:rPr>
        <w:t>-Home Country (UK) of pharmacy</w:t>
      </w:r>
      <w:bookmarkEnd w:id="4"/>
    </w:p>
    <w:p w14:paraId="5615EE3B" w14:textId="77777777"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 xml:space="preserve">The UK is the home country of AstraZeneca where it was first established in 1993. The company headquarters are located in London with manufacturing sites across the United Kingdom. The legal framework governing pharmaceuticals in the UK follows European Union regulations; however, certain local differences must be taken into account. UK's home country base is in Cambridge, </w:t>
      </w:r>
      <w:r w:rsidRPr="00B527AF">
        <w:rPr>
          <w:rFonts w:ascii="Times New Roman" w:hAnsi="Times New Roman" w:cs="Times New Roman"/>
          <w:sz w:val="24"/>
          <w:szCs w:val="24"/>
        </w:rPr>
        <w:lastRenderedPageBreak/>
        <w:t>where headquarters are located.  global reach includes operations in over 100 countries and around 60,000 employees. They are committed to creating an inclusive workplace where everyone can thrive and diverse cultures and backgrounds are celebrated. The company’s expansion into new markets has been facilitated by its strong financial performance. AstraZeneca reported revenues of $26.9 billion in 2016, an increase of 5% over the previous year (</w:t>
      </w:r>
      <w:r w:rsidRPr="00B527AF">
        <w:rPr>
          <w:rFonts w:ascii="Times New Roman" w:hAnsi="Times New Roman" w:cs="Times New Roman"/>
          <w:color w:val="222222"/>
          <w:sz w:val="24"/>
          <w:szCs w:val="24"/>
          <w:shd w:val="clear" w:color="auto" w:fill="FFFFFF"/>
        </w:rPr>
        <w:t>Sun et al. 2022</w:t>
      </w:r>
      <w:r w:rsidRPr="00B527AF">
        <w:rPr>
          <w:rFonts w:ascii="Times New Roman" w:hAnsi="Times New Roman" w:cs="Times New Roman"/>
          <w:sz w:val="24"/>
          <w:szCs w:val="24"/>
        </w:rPr>
        <w:t xml:space="preserve">). Its strong financial performance has enabled it to invest in research and development, leading to innovative products that are well-received in both home and host countries. AstraZeneca’s goal is to continue expanding its presence in global markets. In the UK, AstraZeneca operates several pharmacies that are dedicated to providing prescription medicines as well as over-the-counter medications such as pain relief and cold &amp; flu remedies. As part of its commitment to patient safety, the company requires all employees in its pharmacies to have up-to-date training and </w:t>
      </w:r>
      <w:proofErr w:type="spellStart"/>
      <w:r w:rsidRPr="00B527AF">
        <w:rPr>
          <w:rFonts w:ascii="Times New Roman" w:hAnsi="Times New Roman" w:cs="Times New Roman"/>
          <w:sz w:val="24"/>
          <w:szCs w:val="24"/>
        </w:rPr>
        <w:t>qualifications.AstraZeneca</w:t>
      </w:r>
      <w:proofErr w:type="spellEnd"/>
      <w:r w:rsidRPr="00B527AF">
        <w:rPr>
          <w:rFonts w:ascii="Times New Roman" w:hAnsi="Times New Roman" w:cs="Times New Roman"/>
          <w:sz w:val="24"/>
          <w:szCs w:val="24"/>
        </w:rPr>
        <w:t xml:space="preserve"> operates pharmacies in the UK, which allows the company to leverage its strong relationships with healthcare providers and insurers. In addition, the company has a strong presence in Europe, where it has partnered with leading pharmacies to provide patients with access to its medicines. Finally, AstraZeneca has a presence in global markets such as China, India, and the USA.</w:t>
      </w:r>
    </w:p>
    <w:p w14:paraId="22614313" w14:textId="77777777" w:rsidR="00AD3962" w:rsidRPr="00B527AF" w:rsidRDefault="00AD3962" w:rsidP="00D81E25">
      <w:pPr>
        <w:pStyle w:val="Heading2"/>
        <w:rPr>
          <w:rFonts w:cs="Times New Roman"/>
          <w:szCs w:val="24"/>
        </w:rPr>
      </w:pPr>
      <w:bookmarkStart w:id="5" w:name="_Toc131331156"/>
      <w:r w:rsidRPr="00B527AF">
        <w:rPr>
          <w:rFonts w:cs="Times New Roman"/>
          <w:szCs w:val="24"/>
        </w:rPr>
        <w:t>-Host Country (INDIA) of pharmacy</w:t>
      </w:r>
      <w:bookmarkEnd w:id="5"/>
    </w:p>
    <w:p w14:paraId="0856EA20" w14:textId="672C6A47"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In India, AstraZeneca operates a network of over 200 pharmacies located in major cities such as Mumbai and New Delhi. The company aims to provide quality pharmaceutical products at an affordable price to consumers in India. India is AstraZeneca's host country where it operates under Indian law; this requires the company to have an active presence on the ground to do business here. In addition, due to India's vast population size and cultural diversity, AstraZeneca must carefully tailor its marketing strategies and activities to suit locals (</w:t>
      </w:r>
      <w:proofErr w:type="spellStart"/>
      <w:r w:rsidRPr="00B527AF">
        <w:rPr>
          <w:rFonts w:ascii="Times New Roman" w:hAnsi="Times New Roman" w:cs="Times New Roman"/>
          <w:color w:val="222222"/>
          <w:sz w:val="24"/>
          <w:szCs w:val="24"/>
          <w:shd w:val="clear" w:color="auto" w:fill="FFFFFF"/>
        </w:rPr>
        <w:t>Bardia</w:t>
      </w:r>
      <w:proofErr w:type="spellEnd"/>
      <w:r w:rsidRPr="00B527AF">
        <w:rPr>
          <w:rFonts w:ascii="Times New Roman" w:hAnsi="Times New Roman" w:cs="Times New Roman"/>
          <w:color w:val="222222"/>
          <w:sz w:val="24"/>
          <w:szCs w:val="24"/>
          <w:shd w:val="clear" w:color="auto" w:fill="FFFFFF"/>
        </w:rPr>
        <w:t xml:space="preserve"> et al. 2022</w:t>
      </w:r>
      <w:r w:rsidRPr="00B527AF">
        <w:rPr>
          <w:rFonts w:ascii="Times New Roman" w:hAnsi="Times New Roman" w:cs="Times New Roman"/>
          <w:sz w:val="24"/>
          <w:szCs w:val="24"/>
        </w:rPr>
        <w:t>). To this end, AstraZeneca has implemented strict quality control systems that help ensure the accuracy and consistency of medicines dispensed from its pharmacies. The company also works with local partners and healthcare providers to ensure that all medications are correctly prescribed and taken according to instructions.</w:t>
      </w:r>
      <w:r w:rsidR="00802D36" w:rsidRPr="00B527AF">
        <w:rPr>
          <w:rFonts w:ascii="Times New Roman" w:hAnsi="Times New Roman" w:cs="Times New Roman"/>
          <w:sz w:val="24"/>
          <w:szCs w:val="24"/>
        </w:rPr>
        <w:t xml:space="preserve"> </w:t>
      </w:r>
      <w:r w:rsidRPr="00B527AF">
        <w:rPr>
          <w:rFonts w:ascii="Times New Roman" w:hAnsi="Times New Roman" w:cs="Times New Roman"/>
          <w:sz w:val="24"/>
          <w:szCs w:val="24"/>
        </w:rPr>
        <w:t>AstraZeneca has a long history in India, dating back to the early 1900s. The company has since established a strong presence in the country, with over 60% of its global sales coming from India. AstraZeneca operates several production sites and research centers in India, as well as numerous pharmacies (</w:t>
      </w:r>
      <w:r w:rsidRPr="00B527AF">
        <w:rPr>
          <w:rFonts w:ascii="Times New Roman" w:hAnsi="Times New Roman" w:cs="Times New Roman"/>
          <w:color w:val="222222"/>
          <w:sz w:val="24"/>
          <w:szCs w:val="24"/>
          <w:shd w:val="clear" w:color="auto" w:fill="FFFFFF"/>
        </w:rPr>
        <w:t>Sun et al. 2022</w:t>
      </w:r>
      <w:r w:rsidRPr="00B527AF">
        <w:rPr>
          <w:rFonts w:ascii="Times New Roman" w:hAnsi="Times New Roman" w:cs="Times New Roman"/>
          <w:sz w:val="24"/>
          <w:szCs w:val="24"/>
        </w:rPr>
        <w:t xml:space="preserve">). AstraZeneca is also a major contributor </w:t>
      </w:r>
      <w:r w:rsidRPr="00B527AF">
        <w:rPr>
          <w:rFonts w:ascii="Times New Roman" w:hAnsi="Times New Roman" w:cs="Times New Roman"/>
          <w:sz w:val="24"/>
          <w:szCs w:val="24"/>
        </w:rPr>
        <w:lastRenderedPageBreak/>
        <w:t>to the Indian healthcare system, providing access to its innovative medicines and helping to raise standards of care</w:t>
      </w:r>
      <w:r w:rsidR="0030262C" w:rsidRPr="00B527AF">
        <w:rPr>
          <w:rFonts w:ascii="Times New Roman" w:hAnsi="Times New Roman" w:cs="Times New Roman"/>
          <w:sz w:val="24"/>
          <w:szCs w:val="24"/>
        </w:rPr>
        <w:t xml:space="preserve"> (</w:t>
      </w:r>
      <w:r w:rsidR="0030262C" w:rsidRPr="00B527AF">
        <w:rPr>
          <w:rFonts w:ascii="Times New Roman" w:hAnsi="Times New Roman" w:cs="Times New Roman"/>
          <w:color w:val="222222"/>
          <w:sz w:val="24"/>
          <w:szCs w:val="24"/>
          <w:shd w:val="clear" w:color="auto" w:fill="FFFFFF"/>
        </w:rPr>
        <w:t>Stone et al. 2023</w:t>
      </w:r>
      <w:r w:rsidR="0030262C" w:rsidRPr="00B527AF">
        <w:rPr>
          <w:rFonts w:ascii="Times New Roman" w:hAnsi="Times New Roman" w:cs="Times New Roman"/>
          <w:sz w:val="24"/>
          <w:szCs w:val="24"/>
        </w:rPr>
        <w:t>)</w:t>
      </w:r>
      <w:r w:rsidRPr="00B527AF">
        <w:rPr>
          <w:rFonts w:ascii="Times New Roman" w:hAnsi="Times New Roman" w:cs="Times New Roman"/>
          <w:sz w:val="24"/>
          <w:szCs w:val="24"/>
        </w:rPr>
        <w:t>.</w:t>
      </w:r>
    </w:p>
    <w:p w14:paraId="294DA6AE" w14:textId="77777777" w:rsidR="00AD3962" w:rsidRPr="00B527AF" w:rsidRDefault="00AD3962" w:rsidP="00D81E25">
      <w:pPr>
        <w:pStyle w:val="Heading2"/>
        <w:rPr>
          <w:rFonts w:cs="Times New Roman"/>
          <w:szCs w:val="24"/>
        </w:rPr>
      </w:pPr>
      <w:bookmarkStart w:id="6" w:name="_Toc131331157"/>
      <w:r w:rsidRPr="00B527AF">
        <w:rPr>
          <w:rFonts w:cs="Times New Roman"/>
          <w:szCs w:val="24"/>
        </w:rPr>
        <w:t>External Analysis of AstraZeneca</w:t>
      </w:r>
      <w:bookmarkEnd w:id="6"/>
    </w:p>
    <w:p w14:paraId="09608646" w14:textId="23002805"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 xml:space="preserve">AstraZeneca has a portfolio of products in three main therapy areas - Respiratory, Cardiovascular &amp; Metabolic (CVMD), and Oncology, which account for approximately 80% of its total revenues. The company's key products include Symbicort (budesonide/formoterol), Crestor (rosuvastatin), Imfinzi (durvalumab), </w:t>
      </w:r>
      <w:proofErr w:type="spellStart"/>
      <w:r w:rsidRPr="00B527AF">
        <w:rPr>
          <w:rFonts w:ascii="Times New Roman" w:hAnsi="Times New Roman" w:cs="Times New Roman"/>
          <w:sz w:val="24"/>
          <w:szCs w:val="24"/>
        </w:rPr>
        <w:t>Tagrisso</w:t>
      </w:r>
      <w:proofErr w:type="spellEnd"/>
      <w:r w:rsidRPr="00B527AF">
        <w:rPr>
          <w:rFonts w:ascii="Times New Roman" w:hAnsi="Times New Roman" w:cs="Times New Roman"/>
          <w:sz w:val="24"/>
          <w:szCs w:val="24"/>
        </w:rPr>
        <w:t xml:space="preserve"> (</w:t>
      </w:r>
      <w:proofErr w:type="spellStart"/>
      <w:r w:rsidRPr="00B527AF">
        <w:rPr>
          <w:rFonts w:ascii="Times New Roman" w:hAnsi="Times New Roman" w:cs="Times New Roman"/>
          <w:sz w:val="24"/>
          <w:szCs w:val="24"/>
        </w:rPr>
        <w:t>osimertinib</w:t>
      </w:r>
      <w:proofErr w:type="spellEnd"/>
      <w:r w:rsidRPr="00B527AF">
        <w:rPr>
          <w:rFonts w:ascii="Times New Roman" w:hAnsi="Times New Roman" w:cs="Times New Roman"/>
          <w:sz w:val="24"/>
          <w:szCs w:val="24"/>
        </w:rPr>
        <w:t>), and Nexium (esomeprazole). AstraZeneca also has a significant presence in Emerging Markets where it generates around 30% of its total revenues (</w:t>
      </w:r>
      <w:proofErr w:type="spellStart"/>
      <w:r w:rsidRPr="00B527AF">
        <w:rPr>
          <w:rFonts w:ascii="Times New Roman" w:hAnsi="Times New Roman" w:cs="Times New Roman"/>
          <w:color w:val="222222"/>
          <w:sz w:val="24"/>
          <w:szCs w:val="24"/>
        </w:rPr>
        <w:t>Mallapaty</w:t>
      </w:r>
      <w:proofErr w:type="spellEnd"/>
      <w:r w:rsidRPr="00B527AF">
        <w:rPr>
          <w:rFonts w:ascii="Times New Roman" w:hAnsi="Times New Roman" w:cs="Times New Roman"/>
          <w:color w:val="222222"/>
          <w:sz w:val="24"/>
          <w:szCs w:val="24"/>
        </w:rPr>
        <w:t xml:space="preserve"> and Callaway, 2021</w:t>
      </w:r>
      <w:r w:rsidRPr="00B527AF">
        <w:rPr>
          <w:rFonts w:ascii="Times New Roman" w:hAnsi="Times New Roman" w:cs="Times New Roman"/>
          <w:sz w:val="24"/>
          <w:szCs w:val="24"/>
        </w:rPr>
        <w:t>). The company’s external environment is highly competitive in the pharma industry, with many large multinational companies such as Pfizer, Johnson &amp; Johnson and Merck competing with it in various therapy areas. The increasing focus on generics, along with pricing pressures from governments, has also affected AstraZeneca’s revenues. Additionally, its research and development costs have been increasing due to the need for innovation in its products.</w:t>
      </w:r>
      <w:r w:rsidRPr="00B527AF">
        <w:rPr>
          <w:rFonts w:ascii="Times New Roman" w:hAnsi="Times New Roman" w:cs="Times New Roman"/>
          <w:sz w:val="24"/>
          <w:szCs w:val="24"/>
        </w:rPr>
        <w:br/>
      </w:r>
      <w:r w:rsidRPr="00B527AF">
        <w:rPr>
          <w:rFonts w:ascii="Times New Roman" w:hAnsi="Times New Roman" w:cs="Times New Roman"/>
          <w:sz w:val="24"/>
          <w:szCs w:val="24"/>
        </w:rPr>
        <w:br/>
        <w:t>AstraZeneca has a strong presence globally, with a broad geographic reach across Europe, the US, Japan, and other countries. It also has long-term partnerships with key players in the medical device and diagnostics industries (</w:t>
      </w:r>
      <w:proofErr w:type="spellStart"/>
      <w:r w:rsidRPr="00B527AF">
        <w:rPr>
          <w:rFonts w:ascii="Times New Roman" w:hAnsi="Times New Roman" w:cs="Times New Roman"/>
          <w:color w:val="222222"/>
          <w:sz w:val="24"/>
          <w:szCs w:val="24"/>
          <w:shd w:val="clear" w:color="auto" w:fill="FFFFFF"/>
        </w:rPr>
        <w:t>Khalfaoui</w:t>
      </w:r>
      <w:proofErr w:type="spellEnd"/>
      <w:r w:rsidRPr="00B527AF">
        <w:rPr>
          <w:rFonts w:ascii="Times New Roman" w:hAnsi="Times New Roman" w:cs="Times New Roman"/>
          <w:color w:val="222222"/>
          <w:sz w:val="24"/>
          <w:szCs w:val="24"/>
          <w:shd w:val="clear" w:color="auto" w:fill="FFFFFF"/>
        </w:rPr>
        <w:t xml:space="preserve"> et al. 2022</w:t>
      </w:r>
      <w:r w:rsidRPr="00B527AF">
        <w:rPr>
          <w:rFonts w:ascii="Times New Roman" w:hAnsi="Times New Roman" w:cs="Times New Roman"/>
          <w:sz w:val="24"/>
          <w:szCs w:val="24"/>
        </w:rPr>
        <w:t>). In addition to this, AstraZeneca also has collaborations with academic institutions and technology companies to develop innovative treatments for unmet medical needs. Given the current state of the global economy as well as AstraZeneca’s focus on cost-saving measures such as reducing headcount and outsourcing certain activities, it is likely that there will be some challenges ahead for the company. There are also several opportunities for AstraZeneca to capitalize on its extensive research and development capabilities to bring new drugs to market that address unmet medical needs.</w:t>
      </w:r>
    </w:p>
    <w:p w14:paraId="570BEB31" w14:textId="77777777" w:rsidR="00AD3962" w:rsidRPr="00B527AF" w:rsidRDefault="00AD3962" w:rsidP="00D81E25">
      <w:pPr>
        <w:pStyle w:val="Heading2"/>
        <w:rPr>
          <w:rFonts w:cs="Times New Roman"/>
          <w:szCs w:val="24"/>
        </w:rPr>
      </w:pPr>
      <w:bookmarkStart w:id="7" w:name="_Toc131331158"/>
      <w:r w:rsidRPr="00B527AF">
        <w:rPr>
          <w:rFonts w:cs="Times New Roman"/>
          <w:szCs w:val="24"/>
        </w:rPr>
        <w:t>A Comparative PESTEL Analysis of AstraZeneca</w:t>
      </w:r>
      <w:bookmarkEnd w:id="7"/>
    </w:p>
    <w:p w14:paraId="7F4AA6BD" w14:textId="7DF53699"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AstraZeneca is a global, science-led biopharmaceutical company that focuses on the discovery, development, and commercialization of prescription medicines, primarily for the treatment of diseases in three main therapeutic areas – Oncology, Cardiovascular, Renal &amp; Metabolism, and Respiratory</w:t>
      </w:r>
      <w:r w:rsidR="0030262C" w:rsidRPr="00B527AF">
        <w:rPr>
          <w:rFonts w:ascii="Times New Roman" w:hAnsi="Times New Roman" w:cs="Times New Roman"/>
          <w:sz w:val="24"/>
          <w:szCs w:val="24"/>
        </w:rPr>
        <w:t xml:space="preserve"> (</w:t>
      </w:r>
      <w:r w:rsidR="0030262C" w:rsidRPr="00B527AF">
        <w:rPr>
          <w:rFonts w:ascii="Times New Roman" w:hAnsi="Times New Roman" w:cs="Times New Roman"/>
          <w:color w:val="222222"/>
          <w:sz w:val="24"/>
          <w:szCs w:val="24"/>
          <w:shd w:val="clear" w:color="auto" w:fill="FFFFFF"/>
        </w:rPr>
        <w:t>Arslan et al. 2022</w:t>
      </w:r>
      <w:r w:rsidR="0030262C" w:rsidRPr="00B527AF">
        <w:rPr>
          <w:rFonts w:ascii="Times New Roman" w:hAnsi="Times New Roman" w:cs="Times New Roman"/>
          <w:sz w:val="24"/>
          <w:szCs w:val="24"/>
        </w:rPr>
        <w:t>)</w:t>
      </w:r>
      <w:r w:rsidRPr="00B527AF">
        <w:rPr>
          <w:rFonts w:ascii="Times New Roman" w:hAnsi="Times New Roman" w:cs="Times New Roman"/>
          <w:sz w:val="24"/>
          <w:szCs w:val="24"/>
        </w:rPr>
        <w:t xml:space="preserve">. The company also has a portfolio of first-in-class or best-in-class </w:t>
      </w:r>
      <w:r w:rsidRPr="00B527AF">
        <w:rPr>
          <w:rFonts w:ascii="Times New Roman" w:hAnsi="Times New Roman" w:cs="Times New Roman"/>
          <w:sz w:val="24"/>
          <w:szCs w:val="24"/>
        </w:rPr>
        <w:lastRenderedPageBreak/>
        <w:t xml:space="preserve">medicines that are protected by patents. AstraZeneca operates in over 100 countries and its products are sold in over 175 markets. The company has a workforce of around 61,600 people and its headquarters are located in London, United </w:t>
      </w:r>
      <w:proofErr w:type="spellStart"/>
      <w:r w:rsidRPr="00B527AF">
        <w:rPr>
          <w:rFonts w:ascii="Times New Roman" w:hAnsi="Times New Roman" w:cs="Times New Roman"/>
          <w:sz w:val="24"/>
          <w:szCs w:val="24"/>
        </w:rPr>
        <w:t>Kingdom.AstraZeneca</w:t>
      </w:r>
      <w:proofErr w:type="spellEnd"/>
      <w:r w:rsidRPr="00B527AF">
        <w:rPr>
          <w:rFonts w:ascii="Times New Roman" w:hAnsi="Times New Roman" w:cs="Times New Roman"/>
          <w:sz w:val="24"/>
          <w:szCs w:val="24"/>
        </w:rPr>
        <w:t xml:space="preserve"> is subject to numerous forces in its external environment, which can be analyzed using the PESTEL framework.</w:t>
      </w:r>
    </w:p>
    <w:p w14:paraId="6DEBAF19" w14:textId="77777777" w:rsidR="00AD3962" w:rsidRPr="00B527AF" w:rsidRDefault="00AD3962" w:rsidP="00AD3962">
      <w:pPr>
        <w:pStyle w:val="ListParagraph"/>
        <w:numPr>
          <w:ilvl w:val="0"/>
          <w:numId w:val="10"/>
        </w:num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In terms of Political factors, AstraZeneca operates in highly regulated environments and is affected by healthcare reforms and government policies related to the pricing and reimbursement of medicines. The company is also impacted by trade agreements as well as intellectual property regulations (</w:t>
      </w:r>
      <w:r w:rsidRPr="00B527AF">
        <w:rPr>
          <w:rFonts w:ascii="Times New Roman" w:hAnsi="Times New Roman" w:cs="Times New Roman"/>
          <w:color w:val="222222"/>
          <w:sz w:val="24"/>
          <w:szCs w:val="24"/>
          <w:shd w:val="clear" w:color="auto" w:fill="FFFFFF"/>
        </w:rPr>
        <w:t>Wagner, 2022</w:t>
      </w:r>
      <w:r w:rsidRPr="00B527AF">
        <w:rPr>
          <w:rFonts w:ascii="Times New Roman" w:hAnsi="Times New Roman" w:cs="Times New Roman"/>
          <w:sz w:val="24"/>
          <w:szCs w:val="24"/>
        </w:rPr>
        <w:t>). </w:t>
      </w:r>
    </w:p>
    <w:p w14:paraId="05A93777" w14:textId="77777777" w:rsidR="00AD3962" w:rsidRPr="00B527AF" w:rsidRDefault="00AD3962" w:rsidP="00AD3962">
      <w:pPr>
        <w:pStyle w:val="ListParagraph"/>
        <w:numPr>
          <w:ilvl w:val="0"/>
          <w:numId w:val="10"/>
        </w:num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In terms of Economic factors, AstraZeneca is affected by global economic conditions such as GDP growth rate, inflation rate, interest rate, etc. The company is also impacted by healthcare spending trends as well as pharmaceutical industry trends.</w:t>
      </w:r>
    </w:p>
    <w:p w14:paraId="47C17A91" w14:textId="77777777" w:rsidR="00AD3962" w:rsidRPr="00B527AF" w:rsidRDefault="00AD3962" w:rsidP="00AD3962">
      <w:pPr>
        <w:pStyle w:val="ListParagraph"/>
        <w:numPr>
          <w:ilvl w:val="0"/>
          <w:numId w:val="10"/>
        </w:num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In terms of Social factors, AstraZeneca's business is influenced by social trends related to health awareness, the aging population, and lifestyle diseases. The company's products are also subject to public opinion and scrutiny from various stakeholders including patients, doctors, advocacy groups, and the media.</w:t>
      </w:r>
    </w:p>
    <w:p w14:paraId="6487D834" w14:textId="77777777" w:rsidR="00AD3962" w:rsidRPr="00B527AF" w:rsidRDefault="00AD3962" w:rsidP="00AD3962">
      <w:pPr>
        <w:pStyle w:val="ListParagraph"/>
        <w:numPr>
          <w:ilvl w:val="0"/>
          <w:numId w:val="10"/>
        </w:num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In terms of Technological factors, AstraZeneca is subject to technological innovation in the pharmaceutical industry such as drug discovery and development processes, manufacturing technologies, etc. The company also relies on digital technologies such as analytics, AI, and machine learning for various functions (</w:t>
      </w:r>
      <w:r w:rsidRPr="00B527AF">
        <w:rPr>
          <w:rFonts w:ascii="Times New Roman" w:hAnsi="Times New Roman" w:cs="Times New Roman"/>
          <w:color w:val="222222"/>
          <w:sz w:val="24"/>
          <w:szCs w:val="24"/>
          <w:shd w:val="clear" w:color="auto" w:fill="FFFFFF"/>
        </w:rPr>
        <w:t xml:space="preserve">Rezaei and </w:t>
      </w:r>
      <w:proofErr w:type="spellStart"/>
      <w:r w:rsidRPr="00B527AF">
        <w:rPr>
          <w:rFonts w:ascii="Times New Roman" w:hAnsi="Times New Roman" w:cs="Times New Roman"/>
          <w:color w:val="222222"/>
          <w:sz w:val="24"/>
          <w:szCs w:val="24"/>
          <w:shd w:val="clear" w:color="auto" w:fill="FFFFFF"/>
        </w:rPr>
        <w:t>Kamali</w:t>
      </w:r>
      <w:proofErr w:type="spellEnd"/>
      <w:r w:rsidRPr="00B527AF">
        <w:rPr>
          <w:rFonts w:ascii="Times New Roman" w:hAnsi="Times New Roman" w:cs="Times New Roman"/>
          <w:color w:val="222222"/>
          <w:sz w:val="24"/>
          <w:szCs w:val="24"/>
          <w:shd w:val="clear" w:color="auto" w:fill="FFFFFF"/>
        </w:rPr>
        <w:t>, 2022</w:t>
      </w:r>
      <w:r w:rsidRPr="00B527AF">
        <w:rPr>
          <w:rFonts w:ascii="Times New Roman" w:hAnsi="Times New Roman" w:cs="Times New Roman"/>
          <w:sz w:val="24"/>
          <w:szCs w:val="24"/>
        </w:rPr>
        <w:t>).</w:t>
      </w:r>
    </w:p>
    <w:p w14:paraId="4A7E2053" w14:textId="77777777" w:rsidR="00AD3962" w:rsidRPr="00B527AF" w:rsidRDefault="00AD3962" w:rsidP="00AD3962">
      <w:pPr>
        <w:pStyle w:val="ListParagraph"/>
        <w:numPr>
          <w:ilvl w:val="0"/>
          <w:numId w:val="10"/>
        </w:num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In terms of Environmental factors, AstraZeneca has to comply with environmental regulations related to emissions control and waste management among others. The company is also impacted by climate change-related risks and opportunities.</w:t>
      </w:r>
    </w:p>
    <w:p w14:paraId="63AAFD65" w14:textId="77777777" w:rsidR="00AD3962" w:rsidRPr="00B527AF" w:rsidRDefault="00AD3962" w:rsidP="00AD3962">
      <w:pPr>
        <w:pStyle w:val="ListParagraph"/>
        <w:numPr>
          <w:ilvl w:val="0"/>
          <w:numId w:val="10"/>
        </w:num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In terms of Legal factors, AstraZeneca is subject to product liability laws, anti-corruption legislation, and competition laws among others. The company is also affected by intellectual property laws in its various markets.</w:t>
      </w:r>
    </w:p>
    <w:p w14:paraId="31C80573" w14:textId="77777777" w:rsidR="00AD3962" w:rsidRPr="00B527AF" w:rsidRDefault="00AD3962" w:rsidP="00D81E25">
      <w:pPr>
        <w:pStyle w:val="Heading2"/>
        <w:rPr>
          <w:rFonts w:cs="Times New Roman"/>
          <w:szCs w:val="24"/>
        </w:rPr>
      </w:pPr>
      <w:bookmarkStart w:id="8" w:name="_Toc131331159"/>
      <w:r w:rsidRPr="00B527AF">
        <w:rPr>
          <w:rFonts w:cs="Times New Roman"/>
          <w:szCs w:val="24"/>
        </w:rPr>
        <w:t>Industry Five Forces of AstraZeneca</w:t>
      </w:r>
      <w:bookmarkEnd w:id="8"/>
    </w:p>
    <w:p w14:paraId="6185ECFC" w14:textId="77777777"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Industry Five Forces of AstraZeneca:</w:t>
      </w:r>
    </w:p>
    <w:p w14:paraId="69E16213" w14:textId="77777777" w:rsidR="00AD3962" w:rsidRPr="00B527AF" w:rsidRDefault="00AD3962" w:rsidP="00AD3962">
      <w:pPr>
        <w:pStyle w:val="ListParagraph"/>
        <w:numPr>
          <w:ilvl w:val="0"/>
          <w:numId w:val="11"/>
        </w:numPr>
        <w:spacing w:before="240" w:line="360" w:lineRule="auto"/>
        <w:jc w:val="both"/>
        <w:rPr>
          <w:rFonts w:ascii="Times New Roman" w:hAnsi="Times New Roman" w:cs="Times New Roman"/>
          <w:sz w:val="24"/>
          <w:szCs w:val="24"/>
        </w:rPr>
      </w:pPr>
      <w:r w:rsidRPr="00B527AF">
        <w:rPr>
          <w:rFonts w:ascii="Times New Roman" w:hAnsi="Times New Roman" w:cs="Times New Roman"/>
          <w:b/>
          <w:bCs/>
          <w:i/>
          <w:iCs/>
          <w:sz w:val="24"/>
          <w:szCs w:val="24"/>
        </w:rPr>
        <w:t>Competitive Rivalry within the Industry</w:t>
      </w:r>
      <w:r w:rsidRPr="00B527AF">
        <w:rPr>
          <w:rFonts w:ascii="Times New Roman" w:hAnsi="Times New Roman" w:cs="Times New Roman"/>
          <w:sz w:val="24"/>
          <w:szCs w:val="24"/>
        </w:rPr>
        <w:t xml:space="preserve">—- The global pharmaceutical industry is a highly competitive marketplace with numerous large and small companies vying for market share. </w:t>
      </w:r>
      <w:r w:rsidRPr="00B527AF">
        <w:rPr>
          <w:rFonts w:ascii="Times New Roman" w:hAnsi="Times New Roman" w:cs="Times New Roman"/>
          <w:sz w:val="24"/>
          <w:szCs w:val="24"/>
        </w:rPr>
        <w:lastRenderedPageBreak/>
        <w:t>The top 10 pharmaceutical companies account for over 50% of the industry's total revenue, and the top 3 companies (Pfizer, Merck, and Johnson &amp; Johnson) account for around 35% of total revenue (Statista, 2018). In such a competitive environment, it is important for companies to maintain a strong market position and to differentiate their products from those of their competitors. AstraZeneca is a large multinational pharmaceutical company with a significant presence in the global market. The company has a strong portfolio of products and an extensive research and development infrastructure (</w:t>
      </w:r>
      <w:r w:rsidRPr="00B527AF">
        <w:rPr>
          <w:rFonts w:ascii="Times New Roman" w:hAnsi="Times New Roman" w:cs="Times New Roman"/>
          <w:color w:val="222222"/>
          <w:sz w:val="24"/>
          <w:szCs w:val="24"/>
          <w:shd w:val="clear" w:color="auto" w:fill="FFFFFF"/>
        </w:rPr>
        <w:t>Lim et al. 2022</w:t>
      </w:r>
      <w:r w:rsidRPr="00B527AF">
        <w:rPr>
          <w:rFonts w:ascii="Times New Roman" w:hAnsi="Times New Roman" w:cs="Times New Roman"/>
          <w:sz w:val="24"/>
          <w:szCs w:val="24"/>
        </w:rPr>
        <w:t>). These strengths allow AstraZeneca to compete effectively against its rivals in the industry.</w:t>
      </w:r>
    </w:p>
    <w:p w14:paraId="067C6DA4" w14:textId="250FCD54" w:rsidR="00AD3962" w:rsidRPr="00B527AF" w:rsidRDefault="00AD3962" w:rsidP="00AD3962">
      <w:pPr>
        <w:pStyle w:val="ListParagraph"/>
        <w:numPr>
          <w:ilvl w:val="0"/>
          <w:numId w:val="11"/>
        </w:numPr>
        <w:spacing w:before="240" w:line="360" w:lineRule="auto"/>
        <w:jc w:val="both"/>
        <w:rPr>
          <w:rFonts w:ascii="Times New Roman" w:hAnsi="Times New Roman" w:cs="Times New Roman"/>
          <w:sz w:val="24"/>
          <w:szCs w:val="24"/>
        </w:rPr>
      </w:pPr>
      <w:r w:rsidRPr="00B527AF">
        <w:rPr>
          <w:rFonts w:ascii="Times New Roman" w:hAnsi="Times New Roman" w:cs="Times New Roman"/>
          <w:b/>
          <w:bCs/>
          <w:i/>
          <w:iCs/>
          <w:sz w:val="24"/>
          <w:szCs w:val="24"/>
        </w:rPr>
        <w:t xml:space="preserve">The threat of New Entrants—- </w:t>
      </w:r>
      <w:r w:rsidRPr="00B527AF">
        <w:rPr>
          <w:rFonts w:ascii="Times New Roman" w:hAnsi="Times New Roman" w:cs="Times New Roman"/>
          <w:sz w:val="24"/>
          <w:szCs w:val="24"/>
        </w:rPr>
        <w:t>The barrier to entry into the pharmaceutical industry is high due to the need for substantial investment in research and development, marketing, and regulatory approval. As a result, new entrants into the industry are typically large multinational corporations with significant financial resources. This makes it difficult for small or medium-sized companies to enter the market and compete against established players.</w:t>
      </w:r>
      <w:r w:rsidR="007E30E7" w:rsidRPr="00B527AF">
        <w:rPr>
          <w:rFonts w:ascii="Times New Roman" w:hAnsi="Times New Roman" w:cs="Times New Roman"/>
          <w:sz w:val="24"/>
          <w:szCs w:val="24"/>
        </w:rPr>
        <w:t xml:space="preserve"> </w:t>
      </w:r>
      <w:r w:rsidRPr="00B527AF">
        <w:rPr>
          <w:rFonts w:ascii="Times New Roman" w:hAnsi="Times New Roman" w:cs="Times New Roman"/>
          <w:sz w:val="24"/>
          <w:szCs w:val="24"/>
        </w:rPr>
        <w:t>AstraZeneca's size and financial resources provide it with a significant competitive advantage over potential new entrants into the market. The company's strong market position and brand recognition make it difficult for new entrants to gain market share. As a result, the threat of new entrants is low for AstraZeneca.</w:t>
      </w:r>
    </w:p>
    <w:p w14:paraId="6E86CDEB" w14:textId="77777777" w:rsidR="00AD3962" w:rsidRPr="00B527AF" w:rsidRDefault="00AD3962" w:rsidP="00AD3962">
      <w:pPr>
        <w:pStyle w:val="ListParagraph"/>
        <w:numPr>
          <w:ilvl w:val="0"/>
          <w:numId w:val="11"/>
        </w:numPr>
        <w:spacing w:before="240" w:line="360" w:lineRule="auto"/>
        <w:jc w:val="both"/>
        <w:rPr>
          <w:rFonts w:ascii="Times New Roman" w:hAnsi="Times New Roman" w:cs="Times New Roman"/>
          <w:sz w:val="24"/>
          <w:szCs w:val="24"/>
        </w:rPr>
      </w:pPr>
      <w:r w:rsidRPr="00B527AF">
        <w:rPr>
          <w:rFonts w:ascii="Times New Roman" w:hAnsi="Times New Roman" w:cs="Times New Roman"/>
          <w:b/>
          <w:bCs/>
          <w:i/>
          <w:iCs/>
          <w:sz w:val="24"/>
          <w:szCs w:val="24"/>
        </w:rPr>
        <w:t>The threat of Substitutes—-</w:t>
      </w:r>
      <w:r w:rsidRPr="00B527AF">
        <w:rPr>
          <w:rFonts w:ascii="Times New Roman" w:hAnsi="Times New Roman" w:cs="Times New Roman"/>
          <w:sz w:val="24"/>
          <w:szCs w:val="24"/>
        </w:rPr>
        <w:t xml:space="preserve"> The threat of substitutes in the pharmaceutical industry is relatively low because products are highly specialized and tailored to specific patient needs. Generic drugs may offer a cheaper alternative, but they typically do not provide the same level of efficacy as branded drugs. As a result, patients typically prefer to use branded drugs when possible. AstraZeneca's strong portfolio of products and its reputation as a reliable producer of high-quality drugs make it less vulnerable to substitution threats than its competitors. The company has established itself as a reliable provider of medicines and treatments, which reduces its exposure to potential substitute products.</w:t>
      </w:r>
    </w:p>
    <w:p w14:paraId="4496AA0E" w14:textId="77777777" w:rsidR="00AD3962" w:rsidRPr="00B527AF" w:rsidRDefault="00AD3962" w:rsidP="00AD3962">
      <w:pPr>
        <w:pStyle w:val="ListParagraph"/>
        <w:numPr>
          <w:ilvl w:val="0"/>
          <w:numId w:val="11"/>
        </w:numPr>
        <w:spacing w:before="240" w:line="360" w:lineRule="auto"/>
        <w:jc w:val="both"/>
        <w:rPr>
          <w:rFonts w:ascii="Times New Roman" w:hAnsi="Times New Roman" w:cs="Times New Roman"/>
          <w:sz w:val="24"/>
          <w:szCs w:val="24"/>
        </w:rPr>
      </w:pPr>
      <w:r w:rsidRPr="00B527AF">
        <w:rPr>
          <w:rFonts w:ascii="Times New Roman" w:hAnsi="Times New Roman" w:cs="Times New Roman"/>
          <w:b/>
          <w:bCs/>
          <w:i/>
          <w:iCs/>
          <w:sz w:val="24"/>
          <w:szCs w:val="24"/>
        </w:rPr>
        <w:t>Bargaining Power of Suppliers—</w:t>
      </w:r>
      <w:r w:rsidRPr="00B527AF">
        <w:rPr>
          <w:rFonts w:ascii="Times New Roman" w:hAnsi="Times New Roman" w:cs="Times New Roman"/>
          <w:sz w:val="24"/>
          <w:szCs w:val="24"/>
        </w:rPr>
        <w:t xml:space="preserve"> The bargaining power of suppliers in the pharmaceutical industry is relatively weak due to the large number of suppliers available and the fact that substitutes are often available. In addition, many suppliers specialize in specific types of raw materials or services, meaning that there is significant competition in most areas. This makes it difficult for suppliers to significantly raise prices or reduce quality without reducing demand for their products. AstraZeneca has an extensive supply </w:t>
      </w:r>
      <w:r w:rsidRPr="00B527AF">
        <w:rPr>
          <w:rFonts w:ascii="Times New Roman" w:hAnsi="Times New Roman" w:cs="Times New Roman"/>
          <w:sz w:val="24"/>
          <w:szCs w:val="24"/>
        </w:rPr>
        <w:lastRenderedPageBreak/>
        <w:t>chain, with numerous contracts in place with suppliers around the world. This ensures that the company has access to high-quality raw materials and components at competitive prices. As a result, the bargaining power of suppliers is low for AstraZeneca.</w:t>
      </w:r>
    </w:p>
    <w:p w14:paraId="6306B453" w14:textId="77777777" w:rsidR="00AD3962" w:rsidRPr="00B527AF" w:rsidRDefault="00AD3962" w:rsidP="00AD3962">
      <w:pPr>
        <w:pStyle w:val="ListParagraph"/>
        <w:numPr>
          <w:ilvl w:val="0"/>
          <w:numId w:val="11"/>
        </w:numPr>
        <w:spacing w:before="240" w:line="360" w:lineRule="auto"/>
        <w:jc w:val="both"/>
        <w:rPr>
          <w:rFonts w:ascii="Times New Roman" w:hAnsi="Times New Roman" w:cs="Times New Roman"/>
          <w:sz w:val="24"/>
          <w:szCs w:val="24"/>
        </w:rPr>
      </w:pPr>
      <w:r w:rsidRPr="00B527AF">
        <w:rPr>
          <w:rFonts w:ascii="Times New Roman" w:hAnsi="Times New Roman" w:cs="Times New Roman"/>
          <w:b/>
          <w:bCs/>
          <w:i/>
          <w:iCs/>
          <w:sz w:val="24"/>
          <w:szCs w:val="24"/>
        </w:rPr>
        <w:t>Bargaining Power of Customers—--</w:t>
      </w:r>
      <w:r w:rsidRPr="00B527AF">
        <w:rPr>
          <w:rFonts w:ascii="Times New Roman" w:hAnsi="Times New Roman" w:cs="Times New Roman"/>
          <w:sz w:val="24"/>
          <w:szCs w:val="24"/>
        </w:rPr>
        <w:t xml:space="preserve"> The bargaining power of customers in the pharmaceutical industry is relatively high because there are numerous alternatives available in most areas. This means that patients have a significant choice when selecting which drugs to use, and can switch to cheaper generic products or other brands if prices become too high (</w:t>
      </w:r>
      <w:r w:rsidRPr="00B527AF">
        <w:rPr>
          <w:rFonts w:ascii="Times New Roman" w:hAnsi="Times New Roman" w:cs="Times New Roman"/>
          <w:color w:val="222222"/>
          <w:sz w:val="24"/>
          <w:szCs w:val="24"/>
          <w:shd w:val="clear" w:color="auto" w:fill="FFFFFF"/>
        </w:rPr>
        <w:t>Quiroga et al. 2022</w:t>
      </w:r>
      <w:r w:rsidRPr="00B527AF">
        <w:rPr>
          <w:rFonts w:ascii="Times New Roman" w:hAnsi="Times New Roman" w:cs="Times New Roman"/>
          <w:sz w:val="24"/>
          <w:szCs w:val="24"/>
        </w:rPr>
        <w:t>). In addition, governments often regulate drug prices and limit how much companies can charge for certain drugs, reducing their ability to raise prices significantly. AstraZeneca must take these factors into account when setting its pricing strategy to remain competitive in the market. The company must also focus on providing value-added services such as patient support programs and dedicated customer service teams to ensure that its customers remain loyal. As a result, the bargaining power of customers is moderate for AstraZeneca.</w:t>
      </w:r>
    </w:p>
    <w:p w14:paraId="1340BACF" w14:textId="77777777" w:rsidR="00AD3962" w:rsidRPr="00B527AF" w:rsidRDefault="00AD3962" w:rsidP="00D81E25">
      <w:pPr>
        <w:pStyle w:val="Heading2"/>
        <w:rPr>
          <w:rFonts w:cs="Times New Roman"/>
          <w:szCs w:val="24"/>
        </w:rPr>
      </w:pPr>
      <w:bookmarkStart w:id="9" w:name="_Toc131331160"/>
      <w:r w:rsidRPr="00B527AF">
        <w:rPr>
          <w:rFonts w:cs="Times New Roman"/>
          <w:szCs w:val="24"/>
        </w:rPr>
        <w:t>Market Analysis of AstraZeneca</w:t>
      </w:r>
      <w:bookmarkEnd w:id="9"/>
    </w:p>
    <w:p w14:paraId="354B44D5" w14:textId="77777777"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AstraZeneca is a global, science-led biopharmaceutical company that focuses on the discovery, development, and commercialization of prescription medicines, primarily for the treatment of diseases in three therapy areas- Oncology, Cardiovascular &amp; Metabolic Disease, and Respiratory. In 2018, AstraZeneca generated $24.9 billion in total revenues, of which 64% came from external sources (</w:t>
      </w:r>
      <w:r w:rsidRPr="00B527AF">
        <w:rPr>
          <w:rFonts w:ascii="Times New Roman" w:hAnsi="Times New Roman" w:cs="Times New Roman"/>
          <w:color w:val="222222"/>
          <w:sz w:val="24"/>
          <w:szCs w:val="24"/>
          <w:shd w:val="clear" w:color="auto" w:fill="FFFFFF"/>
        </w:rPr>
        <w:t>Wrobel et al. 2022</w:t>
      </w:r>
      <w:r w:rsidRPr="00B527AF">
        <w:rPr>
          <w:rFonts w:ascii="Times New Roman" w:hAnsi="Times New Roman" w:cs="Times New Roman"/>
          <w:sz w:val="24"/>
          <w:szCs w:val="24"/>
        </w:rPr>
        <w:t>). The company has a strong presence in over 100 countries and its products are sold in over 175 markets. The company's key markets are the United States, China, and the United Kingdom. AstraZeneca is one of the world's leading pharmaceutical companies, with a strong portfolio of products in oncology, cardiovascular &amp; metabolic disease, and respiratory. The company has a strong presence in developed markets as well as emerging markets.</w:t>
      </w:r>
      <w:r w:rsidRPr="00B527AF">
        <w:rPr>
          <w:rFonts w:ascii="Times New Roman" w:hAnsi="Times New Roman" w:cs="Times New Roman"/>
          <w:sz w:val="24"/>
          <w:szCs w:val="24"/>
        </w:rPr>
        <w:br/>
      </w:r>
      <w:r w:rsidRPr="00B527AF">
        <w:rPr>
          <w:rFonts w:ascii="Times New Roman" w:hAnsi="Times New Roman" w:cs="Times New Roman"/>
          <w:sz w:val="24"/>
          <w:szCs w:val="24"/>
        </w:rPr>
        <w:br/>
        <w:t xml:space="preserve">The company's oncology portfolio includes some of the world's best-selling cancer medicines such as </w:t>
      </w:r>
      <w:proofErr w:type="spellStart"/>
      <w:r w:rsidRPr="00B527AF">
        <w:rPr>
          <w:rFonts w:ascii="Times New Roman" w:hAnsi="Times New Roman" w:cs="Times New Roman"/>
          <w:sz w:val="24"/>
          <w:szCs w:val="24"/>
        </w:rPr>
        <w:t>Tagrisso</w:t>
      </w:r>
      <w:proofErr w:type="spellEnd"/>
      <w:r w:rsidRPr="00B527AF">
        <w:rPr>
          <w:rFonts w:ascii="Times New Roman" w:hAnsi="Times New Roman" w:cs="Times New Roman"/>
          <w:sz w:val="24"/>
          <w:szCs w:val="24"/>
        </w:rPr>
        <w:t xml:space="preserve"> (EGFR inhibitor), Lynparza (PARP inhibitor), and Imfinzi (PD-L1 inhibitor). In 2018, AstraZeneca's oncology business generated $6.7 billion in sales, representing 27% of the company's total revenues.</w:t>
      </w:r>
    </w:p>
    <w:p w14:paraId="239C6A9C" w14:textId="0327496B" w:rsidR="00AD3962" w:rsidRPr="00B527AF" w:rsidRDefault="00AD3962" w:rsidP="00AD3962">
      <w:pPr>
        <w:pStyle w:val="ListParagraph"/>
        <w:numPr>
          <w:ilvl w:val="0"/>
          <w:numId w:val="12"/>
        </w:num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lastRenderedPageBreak/>
        <w:t xml:space="preserve">The cardiovascular &amp; metabolic disease portfolio includes treatments for heart disease, diabetes, and obesity. Some of the key products in this portfolio are Crestor (cholesterol-lowering agent), </w:t>
      </w:r>
      <w:proofErr w:type="spellStart"/>
      <w:r w:rsidRPr="00B527AF">
        <w:rPr>
          <w:rFonts w:ascii="Times New Roman" w:hAnsi="Times New Roman" w:cs="Times New Roman"/>
          <w:sz w:val="24"/>
          <w:szCs w:val="24"/>
        </w:rPr>
        <w:t>Bydureon</w:t>
      </w:r>
      <w:proofErr w:type="spellEnd"/>
      <w:r w:rsidRPr="00B527AF">
        <w:rPr>
          <w:rFonts w:ascii="Times New Roman" w:hAnsi="Times New Roman" w:cs="Times New Roman"/>
          <w:sz w:val="24"/>
          <w:szCs w:val="24"/>
        </w:rPr>
        <w:t xml:space="preserve"> (type 2 diabetes), and Symbicort (asthma). In 2018, the cardiovascular &amp; metabolic disease business generated $6.8 billion in sales, representing 28% of the company's total revenues (</w:t>
      </w:r>
      <w:r w:rsidRPr="00B527AF">
        <w:rPr>
          <w:rFonts w:ascii="Times New Roman" w:hAnsi="Times New Roman" w:cs="Times New Roman"/>
          <w:color w:val="222222"/>
          <w:sz w:val="24"/>
          <w:szCs w:val="24"/>
          <w:shd w:val="clear" w:color="auto" w:fill="FFFFFF"/>
        </w:rPr>
        <w:t>Sami, 2022</w:t>
      </w:r>
      <w:r w:rsidRPr="00B527AF">
        <w:rPr>
          <w:rFonts w:ascii="Times New Roman" w:hAnsi="Times New Roman" w:cs="Times New Roman"/>
          <w:sz w:val="24"/>
          <w:szCs w:val="24"/>
        </w:rPr>
        <w:t>).</w:t>
      </w:r>
    </w:p>
    <w:p w14:paraId="42B2A43C" w14:textId="35F1E097" w:rsidR="00AD3962" w:rsidRPr="00B527AF" w:rsidRDefault="00AD3962" w:rsidP="00AD3962">
      <w:pPr>
        <w:pStyle w:val="ListParagraph"/>
        <w:numPr>
          <w:ilvl w:val="0"/>
          <w:numId w:val="12"/>
        </w:num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 xml:space="preserve">The respiratory portfolio includes treatments for asthma and chronic obstructive pulmonary disease (COPD). Some of the key products in this portfolio are Symbicort, Pulmicort, and </w:t>
      </w:r>
      <w:proofErr w:type="spellStart"/>
      <w:r w:rsidRPr="00B527AF">
        <w:rPr>
          <w:rFonts w:ascii="Times New Roman" w:hAnsi="Times New Roman" w:cs="Times New Roman"/>
          <w:sz w:val="24"/>
          <w:szCs w:val="24"/>
        </w:rPr>
        <w:t>Duaklir</w:t>
      </w:r>
      <w:proofErr w:type="spellEnd"/>
      <w:r w:rsidRPr="00B527AF">
        <w:rPr>
          <w:rFonts w:ascii="Times New Roman" w:hAnsi="Times New Roman" w:cs="Times New Roman"/>
          <w:sz w:val="24"/>
          <w:szCs w:val="24"/>
        </w:rPr>
        <w:t>. In 2018, AstraZeneca's respiratory business generated $2.9 billion in sales, representing 12% of the company's total revenues</w:t>
      </w:r>
      <w:r w:rsidR="0030262C" w:rsidRPr="00B527AF">
        <w:rPr>
          <w:rFonts w:ascii="Times New Roman" w:hAnsi="Times New Roman" w:cs="Times New Roman"/>
          <w:sz w:val="24"/>
          <w:szCs w:val="24"/>
        </w:rPr>
        <w:t xml:space="preserve"> (</w:t>
      </w:r>
      <w:r w:rsidR="0030262C" w:rsidRPr="00B527AF">
        <w:rPr>
          <w:rFonts w:ascii="Times New Roman" w:hAnsi="Times New Roman" w:cs="Times New Roman"/>
          <w:color w:val="222222"/>
          <w:sz w:val="24"/>
          <w:szCs w:val="24"/>
          <w:shd w:val="clear" w:color="auto" w:fill="FFFFFF"/>
        </w:rPr>
        <w:t>Savage, 2020</w:t>
      </w:r>
      <w:r w:rsidR="0030262C" w:rsidRPr="00B527AF">
        <w:rPr>
          <w:rFonts w:ascii="Times New Roman" w:hAnsi="Times New Roman" w:cs="Times New Roman"/>
          <w:sz w:val="24"/>
          <w:szCs w:val="24"/>
        </w:rPr>
        <w:t>)</w:t>
      </w:r>
      <w:r w:rsidRPr="00B527AF">
        <w:rPr>
          <w:rFonts w:ascii="Times New Roman" w:hAnsi="Times New Roman" w:cs="Times New Roman"/>
          <w:sz w:val="24"/>
          <w:szCs w:val="24"/>
        </w:rPr>
        <w:t>.</w:t>
      </w:r>
    </w:p>
    <w:p w14:paraId="5A536929" w14:textId="77777777"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Overall, AstraZeneca has a strong presence in the pharmaceuticals market and is well-positioned to capitalize on the growing demand for its products in both developed and emerging markets. The company also has a robust pipeline of new products, which will help drive future growth and enable it to stay ahead of its competitors.</w:t>
      </w:r>
    </w:p>
    <w:p w14:paraId="19C25D48" w14:textId="4D87B4F3" w:rsidR="00D81E25" w:rsidRPr="00B527AF" w:rsidRDefault="00D81E25" w:rsidP="00D81E25">
      <w:pPr>
        <w:pStyle w:val="Heading1"/>
        <w:rPr>
          <w:rFonts w:cs="Times New Roman"/>
          <w:szCs w:val="24"/>
        </w:rPr>
      </w:pPr>
      <w:bookmarkStart w:id="10" w:name="_Toc131331161"/>
      <w:r w:rsidRPr="00B527AF">
        <w:rPr>
          <w:rFonts w:cs="Times New Roman"/>
          <w:szCs w:val="24"/>
        </w:rPr>
        <w:t>Host Country Analysis</w:t>
      </w:r>
      <w:bookmarkEnd w:id="10"/>
    </w:p>
    <w:p w14:paraId="1E54C077" w14:textId="7F812DAE" w:rsidR="00AD3962" w:rsidRPr="00B527AF" w:rsidRDefault="00AD3962" w:rsidP="00D81E25">
      <w:pPr>
        <w:pStyle w:val="Heading2"/>
        <w:rPr>
          <w:rFonts w:cs="Times New Roman"/>
          <w:szCs w:val="24"/>
        </w:rPr>
      </w:pPr>
      <w:bookmarkStart w:id="11" w:name="_Toc131331162"/>
      <w:r w:rsidRPr="00B527AF">
        <w:rPr>
          <w:rFonts w:cs="Times New Roman"/>
          <w:szCs w:val="24"/>
        </w:rPr>
        <w:t>Country’s National Diamond</w:t>
      </w:r>
      <w:bookmarkEnd w:id="11"/>
    </w:p>
    <w:p w14:paraId="34685718" w14:textId="1FD21FA6"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AstraZeneca is a global pharmaceutical company with a strong presence in India. The company has a long history in the country, dating back to the early s. AstraZeneca operates several production sites and research centers in India, as well as numerous pharmacies. The company aims to provide quality pharmaceutical products at an affordable price to consumers in India.</w:t>
      </w:r>
      <w:r w:rsidR="000746A6" w:rsidRPr="00B527AF">
        <w:rPr>
          <w:rFonts w:ascii="Times New Roman" w:hAnsi="Times New Roman" w:cs="Times New Roman"/>
          <w:sz w:val="24"/>
          <w:szCs w:val="24"/>
        </w:rPr>
        <w:t xml:space="preserve"> </w:t>
      </w:r>
      <w:r w:rsidRPr="00B527AF">
        <w:rPr>
          <w:rFonts w:ascii="Times New Roman" w:hAnsi="Times New Roman" w:cs="Times New Roman"/>
          <w:sz w:val="24"/>
          <w:szCs w:val="24"/>
        </w:rPr>
        <w:t>AstraZeneca is committed to contributing to the Indian healthcare system and raising standards of care. The company works with local partners and healthcare providers to ensure that all medications are correctly prescribed and taken according to instructions. AstraZeneca also has strict quality control systems in place to ensure the accuracy and consistency of medicines dispensed from its pharmacies</w:t>
      </w:r>
      <w:r w:rsidR="0030262C" w:rsidRPr="00B527AF">
        <w:rPr>
          <w:rFonts w:ascii="Times New Roman" w:hAnsi="Times New Roman" w:cs="Times New Roman"/>
          <w:sz w:val="24"/>
          <w:szCs w:val="24"/>
        </w:rPr>
        <w:t xml:space="preserve"> (</w:t>
      </w:r>
      <w:r w:rsidR="0030262C" w:rsidRPr="00B527AF">
        <w:rPr>
          <w:rFonts w:ascii="Times New Roman" w:hAnsi="Times New Roman" w:cs="Times New Roman"/>
          <w:color w:val="222222"/>
          <w:sz w:val="24"/>
          <w:szCs w:val="24"/>
          <w:shd w:val="clear" w:color="auto" w:fill="FFFFFF"/>
        </w:rPr>
        <w:t>Wang et al. 2022</w:t>
      </w:r>
      <w:r w:rsidR="0030262C" w:rsidRPr="00B527AF">
        <w:rPr>
          <w:rFonts w:ascii="Times New Roman" w:hAnsi="Times New Roman" w:cs="Times New Roman"/>
          <w:sz w:val="24"/>
          <w:szCs w:val="24"/>
        </w:rPr>
        <w:t>)</w:t>
      </w:r>
      <w:r w:rsidRPr="00B527AF">
        <w:rPr>
          <w:rFonts w:ascii="Times New Roman" w:hAnsi="Times New Roman" w:cs="Times New Roman"/>
          <w:sz w:val="24"/>
          <w:szCs w:val="24"/>
        </w:rPr>
        <w:t>. Due to India's vast population size and cultural diversity, AstraZeneca must carefully tailor its marketing strategies and activities to suit locals. However, the company's commitment to quality and accessibility of care makes it a trusted partner in the Indian healthcare system.</w:t>
      </w:r>
    </w:p>
    <w:p w14:paraId="21E20099" w14:textId="77777777" w:rsidR="00AD3962" w:rsidRPr="00B527AF" w:rsidRDefault="00AD3962" w:rsidP="00AD3962">
      <w:pPr>
        <w:spacing w:before="240" w:line="360" w:lineRule="auto"/>
        <w:jc w:val="both"/>
        <w:rPr>
          <w:rFonts w:ascii="Times New Roman" w:hAnsi="Times New Roman" w:cs="Times New Roman"/>
          <w:sz w:val="24"/>
          <w:szCs w:val="24"/>
        </w:rPr>
      </w:pPr>
    </w:p>
    <w:p w14:paraId="376F3611" w14:textId="1B2E5CC4"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lastRenderedPageBreak/>
        <w:t>India has a unique healthcare system that combines both public and private services. The Indian government provides free or subsidized healthcare through a network of public hospitals, primary healthcare centers, and dispensaries. However, most people rely on the private sector for their health needs due to the limited availability of public services in many areas. The Indian government has implemented various policies to improve access to healthcare for all citizens (</w:t>
      </w:r>
      <w:proofErr w:type="spellStart"/>
      <w:r w:rsidRPr="00B527AF">
        <w:rPr>
          <w:rFonts w:ascii="Times New Roman" w:hAnsi="Times New Roman" w:cs="Times New Roman"/>
          <w:color w:val="222222"/>
          <w:sz w:val="24"/>
          <w:szCs w:val="24"/>
          <w:shd w:val="clear" w:color="auto" w:fill="FFFFFF"/>
        </w:rPr>
        <w:t>Izquierdo</w:t>
      </w:r>
      <w:proofErr w:type="spellEnd"/>
      <w:r w:rsidRPr="00B527AF">
        <w:rPr>
          <w:rFonts w:ascii="Times New Roman" w:hAnsi="Times New Roman" w:cs="Times New Roman"/>
          <w:color w:val="222222"/>
          <w:sz w:val="24"/>
          <w:szCs w:val="24"/>
          <w:shd w:val="clear" w:color="auto" w:fill="FFFFFF"/>
        </w:rPr>
        <w:t xml:space="preserve"> et al. 2022</w:t>
      </w:r>
      <w:r w:rsidRPr="00B527AF">
        <w:rPr>
          <w:rFonts w:ascii="Times New Roman" w:hAnsi="Times New Roman" w:cs="Times New Roman"/>
          <w:sz w:val="24"/>
          <w:szCs w:val="24"/>
        </w:rPr>
        <w:t>). These include mandatory health insurance for low-income families and programs to subsidize medical expenses for those living below the poverty line. There are also initiatives in place to increase access to pharmaceuticals, particularly generic drugs, which are much more affordable than branded medicines</w:t>
      </w:r>
      <w:r w:rsidR="00893FE2" w:rsidRPr="00B527AF">
        <w:rPr>
          <w:rFonts w:ascii="Times New Roman" w:hAnsi="Times New Roman" w:cs="Times New Roman"/>
          <w:sz w:val="24"/>
          <w:szCs w:val="24"/>
        </w:rPr>
        <w:t xml:space="preserve"> (</w:t>
      </w:r>
      <w:r w:rsidR="00893FE2" w:rsidRPr="00B527AF">
        <w:rPr>
          <w:rFonts w:ascii="Times New Roman" w:hAnsi="Times New Roman" w:cs="Times New Roman"/>
          <w:color w:val="222222"/>
          <w:sz w:val="24"/>
          <w:szCs w:val="24"/>
          <w:shd w:val="clear" w:color="auto" w:fill="FFFFFF"/>
        </w:rPr>
        <w:t>Costanzo et al. 2022</w:t>
      </w:r>
      <w:r w:rsidR="00893FE2" w:rsidRPr="00B527AF">
        <w:rPr>
          <w:rFonts w:ascii="Times New Roman" w:hAnsi="Times New Roman" w:cs="Times New Roman"/>
          <w:sz w:val="24"/>
          <w:szCs w:val="24"/>
        </w:rPr>
        <w:t>)</w:t>
      </w:r>
      <w:r w:rsidRPr="00B527AF">
        <w:rPr>
          <w:rFonts w:ascii="Times New Roman" w:hAnsi="Times New Roman" w:cs="Times New Roman"/>
          <w:sz w:val="24"/>
          <w:szCs w:val="24"/>
        </w:rPr>
        <w:t>. In addition, the government has introduced several measures to regulate medical practices in India such as registering qualified doctors, regulating pharmacies, and controlling the costs of medical treatments. It has also established systems for monitoring drug safety and quality control standards to protect consumers from substandard medications. </w:t>
      </w:r>
    </w:p>
    <w:p w14:paraId="407A0451" w14:textId="77777777" w:rsidR="00AD3962" w:rsidRPr="00B527AF" w:rsidRDefault="00AD3962" w:rsidP="00D81E25">
      <w:pPr>
        <w:pStyle w:val="Heading2"/>
        <w:rPr>
          <w:rFonts w:cs="Times New Roman"/>
          <w:szCs w:val="24"/>
        </w:rPr>
      </w:pPr>
      <w:bookmarkStart w:id="12" w:name="_Toc131331163"/>
      <w:r w:rsidRPr="00B527AF">
        <w:rPr>
          <w:rFonts w:cs="Times New Roman"/>
          <w:szCs w:val="24"/>
        </w:rPr>
        <w:t>Country Business Risks</w:t>
      </w:r>
      <w:bookmarkEnd w:id="12"/>
    </w:p>
    <w:p w14:paraId="56AE4F93" w14:textId="7C3DCC98"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AstraZeneca is a global pharmaceutical company with a long history in India, dating back to the early s. The company has since established a strong presence in the country, with over 78% of its global sales coming from India (</w:t>
      </w:r>
      <w:r w:rsidRPr="00B527AF">
        <w:rPr>
          <w:rFonts w:ascii="Times New Roman" w:hAnsi="Times New Roman" w:cs="Times New Roman"/>
          <w:color w:val="222222"/>
          <w:sz w:val="24"/>
          <w:szCs w:val="24"/>
        </w:rPr>
        <w:t>Semeraro et al. 2022</w:t>
      </w:r>
      <w:r w:rsidRPr="00B527AF">
        <w:rPr>
          <w:rFonts w:ascii="Times New Roman" w:hAnsi="Times New Roman" w:cs="Times New Roman"/>
          <w:sz w:val="24"/>
          <w:szCs w:val="24"/>
        </w:rPr>
        <w:t>). AstraZeneca operates several production sites and research centers in India, as well as numerous pharmacies. AstraZeneca is also a major contributor to the Indian healthcare system, providing access to its innovative medicines and helping to raise standards of care.</w:t>
      </w:r>
    </w:p>
    <w:p w14:paraId="58928F70" w14:textId="69DECC57"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 xml:space="preserve">However, operating in India also comes with certain risks that AstraZeneca must manage carefully to be successful. One key risk is the strict regulation of the pharmaceutical industry by the Indian government. This includes tight controls on the pricing, marketing, and distribution of medicines. As a result, AstraZeneca must ensure that it complies with all relevant regulations and that its operations are carried out ethically and transparently. Another risk faced by AstraZeneca in India is the potential for counterfeiting and adulteration of medicines. This is a particular concern in developing countries like India where there is less stringent enforcement of intellectual property rights. To combat this, AstraZeneca employs sophisticated anti-counterfeiting measures such as tamper-proof packaging and product tracing technologies. In addition, the company educates </w:t>
      </w:r>
      <w:r w:rsidRPr="00B527AF">
        <w:rPr>
          <w:rFonts w:ascii="Times New Roman" w:hAnsi="Times New Roman" w:cs="Times New Roman"/>
          <w:sz w:val="24"/>
          <w:szCs w:val="24"/>
        </w:rPr>
        <w:lastRenderedPageBreak/>
        <w:t>consumers on how to identify fake medicines and encourages them to only purchase products from reputable sources. Despite these risks, AstraZeneca remains committed to doing business in India due to its large and growing market potential. With the right strategy, AstraZeneca can continue to benefit from the opportunities offered by the Indian market while mitigating any associated risks.</w:t>
      </w:r>
    </w:p>
    <w:p w14:paraId="0995A869" w14:textId="77777777" w:rsidR="00AD3962" w:rsidRPr="00B527AF" w:rsidRDefault="00AD3962" w:rsidP="00D81E25">
      <w:pPr>
        <w:pStyle w:val="Heading1"/>
        <w:rPr>
          <w:rFonts w:cs="Times New Roman"/>
          <w:szCs w:val="24"/>
        </w:rPr>
      </w:pPr>
      <w:bookmarkStart w:id="13" w:name="_Toc131331164"/>
      <w:r w:rsidRPr="00B527AF">
        <w:rPr>
          <w:rFonts w:cs="Times New Roman"/>
          <w:szCs w:val="24"/>
        </w:rPr>
        <w:t>Internal Analysis</w:t>
      </w:r>
      <w:bookmarkEnd w:id="13"/>
      <w:r w:rsidRPr="00B527AF">
        <w:rPr>
          <w:rFonts w:cs="Times New Roman"/>
          <w:szCs w:val="24"/>
        </w:rPr>
        <w:t> </w:t>
      </w:r>
    </w:p>
    <w:p w14:paraId="4D6A8D20" w14:textId="77777777" w:rsidR="00AD3962" w:rsidRPr="00B527AF" w:rsidRDefault="00AD3962" w:rsidP="00D81E25">
      <w:pPr>
        <w:pStyle w:val="Heading2"/>
        <w:rPr>
          <w:rFonts w:cs="Times New Roman"/>
          <w:szCs w:val="24"/>
        </w:rPr>
      </w:pPr>
      <w:bookmarkStart w:id="14" w:name="_Toc131331165"/>
      <w:r w:rsidRPr="00B527AF">
        <w:rPr>
          <w:rFonts w:cs="Times New Roman"/>
          <w:szCs w:val="24"/>
        </w:rPr>
        <w:t>Global value chain</w:t>
      </w:r>
      <w:bookmarkEnd w:id="14"/>
    </w:p>
    <w:p w14:paraId="7C296DDE" w14:textId="7BDB85C4" w:rsidR="00AD3962" w:rsidRPr="00B527AF" w:rsidRDefault="00AD3962" w:rsidP="00AD3962">
      <w:pPr>
        <w:pStyle w:val="ListParagraph"/>
        <w:numPr>
          <w:ilvl w:val="0"/>
          <w:numId w:val="13"/>
        </w:numPr>
        <w:spacing w:before="240" w:line="360" w:lineRule="auto"/>
        <w:jc w:val="both"/>
        <w:rPr>
          <w:rFonts w:ascii="Times New Roman" w:hAnsi="Times New Roman" w:cs="Times New Roman"/>
          <w:sz w:val="24"/>
          <w:szCs w:val="24"/>
        </w:rPr>
      </w:pPr>
      <w:r w:rsidRPr="00B527AF">
        <w:rPr>
          <w:rFonts w:ascii="Times New Roman" w:hAnsi="Times New Roman" w:cs="Times New Roman"/>
          <w:b/>
          <w:bCs/>
          <w:i/>
          <w:iCs/>
          <w:sz w:val="24"/>
          <w:szCs w:val="24"/>
        </w:rPr>
        <w:t>Global Production</w:t>
      </w:r>
      <w:r w:rsidRPr="00B527AF">
        <w:rPr>
          <w:rFonts w:ascii="Times New Roman" w:hAnsi="Times New Roman" w:cs="Times New Roman"/>
          <w:sz w:val="24"/>
          <w:szCs w:val="24"/>
        </w:rPr>
        <w:t>—-- AstraZeneca is a global, science-led biopharmaceutical business and innovative medicines are used by millions of patients worldwide. They are passionate about the potential of science to change lives and their aim to deliver new therapies that make a real difference in patients’ lives</w:t>
      </w:r>
      <w:r w:rsidR="00893FE2" w:rsidRPr="00B527AF">
        <w:rPr>
          <w:rFonts w:ascii="Times New Roman" w:hAnsi="Times New Roman" w:cs="Times New Roman"/>
          <w:sz w:val="24"/>
          <w:szCs w:val="24"/>
        </w:rPr>
        <w:t xml:space="preserve"> (</w:t>
      </w:r>
      <w:proofErr w:type="spellStart"/>
      <w:r w:rsidR="00893FE2" w:rsidRPr="00B527AF">
        <w:rPr>
          <w:rFonts w:ascii="Times New Roman" w:hAnsi="Times New Roman" w:cs="Times New Roman"/>
          <w:color w:val="222222"/>
          <w:sz w:val="24"/>
          <w:szCs w:val="24"/>
          <w:shd w:val="clear" w:color="auto" w:fill="FFFFFF"/>
        </w:rPr>
        <w:t>Balawejder</w:t>
      </w:r>
      <w:proofErr w:type="spellEnd"/>
      <w:r w:rsidR="00893FE2" w:rsidRPr="00B527AF">
        <w:rPr>
          <w:rFonts w:ascii="Times New Roman" w:hAnsi="Times New Roman" w:cs="Times New Roman"/>
          <w:color w:val="222222"/>
          <w:sz w:val="24"/>
          <w:szCs w:val="24"/>
          <w:shd w:val="clear" w:color="auto" w:fill="FFFFFF"/>
        </w:rPr>
        <w:t xml:space="preserve"> et al. 2021</w:t>
      </w:r>
      <w:r w:rsidR="00893FE2" w:rsidRPr="00B527AF">
        <w:rPr>
          <w:rFonts w:ascii="Times New Roman" w:hAnsi="Times New Roman" w:cs="Times New Roman"/>
          <w:sz w:val="24"/>
          <w:szCs w:val="24"/>
        </w:rPr>
        <w:t>)</w:t>
      </w:r>
      <w:r w:rsidRPr="00B527AF">
        <w:rPr>
          <w:rFonts w:ascii="Times New Roman" w:hAnsi="Times New Roman" w:cs="Times New Roman"/>
          <w:sz w:val="24"/>
          <w:szCs w:val="24"/>
        </w:rPr>
        <w:t>.  They are also proud to provide a broad portfolio of products that meet the needs of patients and customers around the world. They have a comprehensive portfolio of products spanning all major disease areas including cancer, cardiovascular, gastrointestinal, infection, neuroscience, respiratory, and inflammation. Their products are available in more than 100 countries and They continue to invest in research and development (R&amp;D) to bring new treatments to patients across the globe (</w:t>
      </w:r>
      <w:proofErr w:type="spellStart"/>
      <w:r w:rsidRPr="00B527AF">
        <w:rPr>
          <w:rFonts w:ascii="Times New Roman" w:hAnsi="Times New Roman" w:cs="Times New Roman"/>
          <w:color w:val="222222"/>
          <w:sz w:val="24"/>
          <w:szCs w:val="24"/>
          <w:shd w:val="clear" w:color="auto" w:fill="FFFFFF"/>
        </w:rPr>
        <w:t>Bardia</w:t>
      </w:r>
      <w:proofErr w:type="spellEnd"/>
      <w:r w:rsidRPr="00B527AF">
        <w:rPr>
          <w:rFonts w:ascii="Times New Roman" w:hAnsi="Times New Roman" w:cs="Times New Roman"/>
          <w:color w:val="222222"/>
          <w:sz w:val="24"/>
          <w:szCs w:val="24"/>
          <w:shd w:val="clear" w:color="auto" w:fill="FFFFFF"/>
        </w:rPr>
        <w:t xml:space="preserve"> et al. 2022</w:t>
      </w:r>
      <w:r w:rsidRPr="00B527AF">
        <w:rPr>
          <w:rFonts w:ascii="Times New Roman" w:hAnsi="Times New Roman" w:cs="Times New Roman"/>
          <w:sz w:val="24"/>
          <w:szCs w:val="24"/>
        </w:rPr>
        <w:t>). To bring innovative medicines to patients globally operate an extensive network of manufacturing sites, research facilities, and commercial operations. This enables us to develop and manufacture products close to where they are needed most. They are committed to ensuring that products are affordable and accessible to as many people as possible</w:t>
      </w:r>
      <w:r w:rsidR="0030262C" w:rsidRPr="00B527AF">
        <w:rPr>
          <w:rFonts w:ascii="Times New Roman" w:hAnsi="Times New Roman" w:cs="Times New Roman"/>
          <w:sz w:val="24"/>
          <w:szCs w:val="24"/>
        </w:rPr>
        <w:t xml:space="preserve"> (</w:t>
      </w:r>
      <w:r w:rsidR="0030262C" w:rsidRPr="00B527AF">
        <w:rPr>
          <w:rFonts w:ascii="Times New Roman" w:hAnsi="Times New Roman" w:cs="Times New Roman"/>
          <w:color w:val="222222"/>
          <w:sz w:val="24"/>
          <w:szCs w:val="24"/>
          <w:shd w:val="clear" w:color="auto" w:fill="FFFFFF"/>
        </w:rPr>
        <w:t>Al Ghanem et al. 2021</w:t>
      </w:r>
      <w:r w:rsidR="0030262C" w:rsidRPr="00B527AF">
        <w:rPr>
          <w:rFonts w:ascii="Times New Roman" w:hAnsi="Times New Roman" w:cs="Times New Roman"/>
          <w:sz w:val="24"/>
          <w:szCs w:val="24"/>
        </w:rPr>
        <w:t>)</w:t>
      </w:r>
      <w:r w:rsidRPr="00B527AF">
        <w:rPr>
          <w:rFonts w:ascii="Times New Roman" w:hAnsi="Times New Roman" w:cs="Times New Roman"/>
          <w:sz w:val="24"/>
          <w:szCs w:val="24"/>
        </w:rPr>
        <w:t>. In 2017 launched an initiative called ‘Patients First’ which is designed to help us put patients at the heart of everything do. Part of this involves working with healthcare systems around the world to find sustainable ways to make medicines affordable for them.</w:t>
      </w:r>
    </w:p>
    <w:p w14:paraId="3FDCD174" w14:textId="25F5CF9E" w:rsidR="00AD3962" w:rsidRPr="00B527AF" w:rsidRDefault="00AD3962" w:rsidP="00AD3962">
      <w:pPr>
        <w:pStyle w:val="ListParagraph"/>
        <w:numPr>
          <w:ilvl w:val="0"/>
          <w:numId w:val="13"/>
        </w:numPr>
        <w:spacing w:before="240" w:line="360" w:lineRule="auto"/>
        <w:jc w:val="both"/>
        <w:rPr>
          <w:rFonts w:ascii="Times New Roman" w:hAnsi="Times New Roman" w:cs="Times New Roman"/>
          <w:sz w:val="24"/>
          <w:szCs w:val="24"/>
        </w:rPr>
      </w:pPr>
      <w:r w:rsidRPr="00B527AF">
        <w:rPr>
          <w:rFonts w:ascii="Times New Roman" w:hAnsi="Times New Roman" w:cs="Times New Roman"/>
          <w:b/>
          <w:bCs/>
          <w:i/>
          <w:iCs/>
          <w:sz w:val="24"/>
          <w:szCs w:val="24"/>
        </w:rPr>
        <w:t>Global Marketing</w:t>
      </w:r>
      <w:r w:rsidRPr="00B527AF">
        <w:rPr>
          <w:rFonts w:ascii="Times New Roman" w:hAnsi="Times New Roman" w:cs="Times New Roman"/>
          <w:sz w:val="24"/>
          <w:szCs w:val="24"/>
        </w:rPr>
        <w:t xml:space="preserve">— Global value chain analysis is a key tool for understanding how AstraZeneca creates value for its customers, employees, shareholders, and other stakeholders across the world. Their global value chain includes R&amp;D activities, manufacturing processes, and a global supply and distribution network. It also incorporates corporate social responsibility initiatives which range from providing access to medicines </w:t>
      </w:r>
      <w:r w:rsidRPr="00B527AF">
        <w:rPr>
          <w:rFonts w:ascii="Times New Roman" w:hAnsi="Times New Roman" w:cs="Times New Roman"/>
          <w:sz w:val="24"/>
          <w:szCs w:val="24"/>
        </w:rPr>
        <w:lastRenderedPageBreak/>
        <w:t>in developing countries to helping protect the environment. This means that there can create shared value for all of the stakeholders and make a positive contribution to society. Their global reach means that are uniquely placed to tackle some of the world’s most pressing healthcare challenges. They are working on multiple fronts – from developing new antibiotics against the growing threat of antimicrobial resistance to exploring new ways to prevent and treat chronic diseases.</w:t>
      </w:r>
    </w:p>
    <w:p w14:paraId="44126369" w14:textId="7C8A6E85" w:rsidR="00AD3962" w:rsidRPr="00B527AF" w:rsidRDefault="00AD3962" w:rsidP="00AD3962">
      <w:pPr>
        <w:pStyle w:val="ListParagraph"/>
        <w:numPr>
          <w:ilvl w:val="0"/>
          <w:numId w:val="13"/>
        </w:numPr>
        <w:spacing w:before="240" w:line="360" w:lineRule="auto"/>
        <w:jc w:val="both"/>
        <w:rPr>
          <w:rFonts w:ascii="Times New Roman" w:hAnsi="Times New Roman" w:cs="Times New Roman"/>
          <w:sz w:val="24"/>
          <w:szCs w:val="24"/>
        </w:rPr>
      </w:pPr>
      <w:r w:rsidRPr="00B527AF">
        <w:rPr>
          <w:rFonts w:ascii="Times New Roman" w:hAnsi="Times New Roman" w:cs="Times New Roman"/>
          <w:b/>
          <w:bCs/>
          <w:i/>
          <w:iCs/>
          <w:sz w:val="24"/>
          <w:szCs w:val="24"/>
        </w:rPr>
        <w:t>Global HRM—-</w:t>
      </w:r>
      <w:r w:rsidRPr="00B527AF">
        <w:rPr>
          <w:rFonts w:ascii="Times New Roman" w:hAnsi="Times New Roman" w:cs="Times New Roman"/>
          <w:sz w:val="24"/>
          <w:szCs w:val="24"/>
        </w:rPr>
        <w:t>The global value chain can identify areas where can make improvements to create more sustainable growth and ensure that all of the stakeholders benefit from activities. This includes improving the operational efficiency of HRM, reducing waste, strengthening relationships with suppliers and distributors of HRM, and ensuring that products are delivered on time and to the right quality standards</w:t>
      </w:r>
      <w:r w:rsidR="0030262C" w:rsidRPr="00B527AF">
        <w:rPr>
          <w:rFonts w:ascii="Times New Roman" w:hAnsi="Times New Roman" w:cs="Times New Roman"/>
          <w:sz w:val="24"/>
          <w:szCs w:val="24"/>
        </w:rPr>
        <w:t xml:space="preserve"> (</w:t>
      </w:r>
      <w:proofErr w:type="spellStart"/>
      <w:r w:rsidR="0030262C" w:rsidRPr="00B527AF">
        <w:rPr>
          <w:rFonts w:ascii="Times New Roman" w:hAnsi="Times New Roman" w:cs="Times New Roman"/>
          <w:color w:val="222222"/>
          <w:sz w:val="24"/>
          <w:szCs w:val="24"/>
          <w:shd w:val="clear" w:color="auto" w:fill="FFFFFF"/>
        </w:rPr>
        <w:t>Ghiasi</w:t>
      </w:r>
      <w:proofErr w:type="spellEnd"/>
      <w:r w:rsidR="0030262C" w:rsidRPr="00B527AF">
        <w:rPr>
          <w:rFonts w:ascii="Times New Roman" w:hAnsi="Times New Roman" w:cs="Times New Roman"/>
          <w:color w:val="222222"/>
          <w:sz w:val="24"/>
          <w:szCs w:val="24"/>
          <w:shd w:val="clear" w:color="auto" w:fill="FFFFFF"/>
        </w:rPr>
        <w:t xml:space="preserve"> et al. 2022</w:t>
      </w:r>
      <w:r w:rsidR="0030262C" w:rsidRPr="00B527AF">
        <w:rPr>
          <w:rFonts w:ascii="Times New Roman" w:hAnsi="Times New Roman" w:cs="Times New Roman"/>
          <w:sz w:val="24"/>
          <w:szCs w:val="24"/>
        </w:rPr>
        <w:t>)</w:t>
      </w:r>
      <w:r w:rsidRPr="00B527AF">
        <w:rPr>
          <w:rFonts w:ascii="Times New Roman" w:hAnsi="Times New Roman" w:cs="Times New Roman"/>
          <w:sz w:val="24"/>
          <w:szCs w:val="24"/>
        </w:rPr>
        <w:t>. Furthermore, it allows us to assess how are delivering on sustainability commitments. Overall global value chain analysis helps us to better understand how AstraZeneca creates value for all of its stakeholders and HRM. Taking a holistic approach and analyzing the entire system can ensure that products and services reach those who need them most, efficiently and responsibly.</w:t>
      </w:r>
    </w:p>
    <w:p w14:paraId="107C795B" w14:textId="77777777" w:rsidR="00AD3962" w:rsidRPr="00B527AF" w:rsidRDefault="00AD3962" w:rsidP="00D81E25">
      <w:pPr>
        <w:pStyle w:val="Heading2"/>
        <w:rPr>
          <w:rFonts w:cs="Times New Roman"/>
          <w:szCs w:val="24"/>
        </w:rPr>
      </w:pPr>
      <w:bookmarkStart w:id="15" w:name="_Toc131331166"/>
      <w:r w:rsidRPr="00B527AF">
        <w:rPr>
          <w:rFonts w:cs="Times New Roman"/>
          <w:szCs w:val="24"/>
        </w:rPr>
        <w:t>SWOT analysis</w:t>
      </w:r>
      <w:bookmarkEnd w:id="15"/>
      <w:r w:rsidRPr="00B527AF">
        <w:rPr>
          <w:rFonts w:cs="Times New Roman"/>
          <w:szCs w:val="24"/>
        </w:rPr>
        <w:t> </w:t>
      </w:r>
    </w:p>
    <w:p w14:paraId="1248531B" w14:textId="77777777"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A SWOT analysis is a useful tool for assessing the strengths, weaknesses, opportunities, and threats of a company. It can help identify areas where the company has an advantage over its competitors, as well as areas where it may be vulnerable. In the SWOT analysis of AstraZeneca can see that the company has many strengths that it can build on to maintain its position as a leading player in the pharmaceutical industry. However, it also needs to address some weaknesses and threats if it is to continue to be successful in the future.</w:t>
      </w:r>
    </w:p>
    <w:p w14:paraId="7BA8EB60" w14:textId="77777777" w:rsidR="00AD3962" w:rsidRPr="00B527AF" w:rsidRDefault="00AD3962" w:rsidP="00AD3962">
      <w:pPr>
        <w:pStyle w:val="ListParagraph"/>
        <w:numPr>
          <w:ilvl w:val="0"/>
          <w:numId w:val="14"/>
        </w:numPr>
        <w:spacing w:before="240" w:line="360" w:lineRule="auto"/>
        <w:jc w:val="both"/>
        <w:rPr>
          <w:rFonts w:ascii="Times New Roman" w:hAnsi="Times New Roman" w:cs="Times New Roman"/>
          <w:b/>
          <w:bCs/>
          <w:i/>
          <w:iCs/>
          <w:sz w:val="24"/>
          <w:szCs w:val="24"/>
        </w:rPr>
      </w:pPr>
      <w:r w:rsidRPr="00B527AF">
        <w:rPr>
          <w:rFonts w:ascii="Times New Roman" w:hAnsi="Times New Roman" w:cs="Times New Roman"/>
          <w:b/>
          <w:bCs/>
          <w:i/>
          <w:iCs/>
          <w:sz w:val="24"/>
          <w:szCs w:val="24"/>
        </w:rPr>
        <w:t>Strengths:</w:t>
      </w:r>
    </w:p>
    <w:p w14:paraId="1A5AC766" w14:textId="3D961355" w:rsidR="00AD3962" w:rsidRPr="00B527AF" w:rsidRDefault="00AD3962" w:rsidP="00AD3962">
      <w:pPr>
        <w:spacing w:before="240" w:line="360" w:lineRule="auto"/>
        <w:ind w:left="360"/>
        <w:jc w:val="both"/>
        <w:rPr>
          <w:rFonts w:ascii="Times New Roman" w:hAnsi="Times New Roman" w:cs="Times New Roman"/>
          <w:sz w:val="24"/>
          <w:szCs w:val="24"/>
        </w:rPr>
      </w:pPr>
      <w:r w:rsidRPr="00B527AF">
        <w:rPr>
          <w:rFonts w:ascii="Times New Roman" w:hAnsi="Times New Roman" w:cs="Times New Roman"/>
          <w:i/>
          <w:iCs/>
          <w:sz w:val="24"/>
          <w:szCs w:val="24"/>
        </w:rPr>
        <w:t xml:space="preserve">Diversified product portfolio </w:t>
      </w:r>
      <w:r w:rsidRPr="00B527AF">
        <w:rPr>
          <w:rFonts w:ascii="Times New Roman" w:hAnsi="Times New Roman" w:cs="Times New Roman"/>
          <w:sz w:val="24"/>
          <w:szCs w:val="24"/>
        </w:rPr>
        <w:t>– AstraZeneca has a wide range of products and services, including prescription medicines, over-the-counter medicines, biologics, and medical devices. This diversity provides the company with a competitive edge.</w:t>
      </w:r>
      <w:r w:rsidRPr="00B527AF">
        <w:rPr>
          <w:rFonts w:ascii="Times New Roman" w:hAnsi="Times New Roman" w:cs="Times New Roman"/>
          <w:sz w:val="24"/>
          <w:szCs w:val="24"/>
        </w:rPr>
        <w:br/>
      </w:r>
      <w:r w:rsidRPr="00B527AF">
        <w:rPr>
          <w:rFonts w:ascii="Times New Roman" w:hAnsi="Times New Roman" w:cs="Times New Roman"/>
          <w:i/>
          <w:iCs/>
          <w:sz w:val="24"/>
          <w:szCs w:val="24"/>
        </w:rPr>
        <w:t>Global reach</w:t>
      </w:r>
      <w:r w:rsidRPr="00B527AF">
        <w:rPr>
          <w:rFonts w:ascii="Times New Roman" w:hAnsi="Times New Roman" w:cs="Times New Roman"/>
          <w:sz w:val="24"/>
          <w:szCs w:val="24"/>
        </w:rPr>
        <w:t xml:space="preserve"> – AstraZeneca has an international presence in more than 100 countries</w:t>
      </w:r>
      <w:r w:rsidR="0030262C" w:rsidRPr="00B527AF">
        <w:rPr>
          <w:rFonts w:ascii="Times New Roman" w:hAnsi="Times New Roman" w:cs="Times New Roman"/>
          <w:sz w:val="24"/>
          <w:szCs w:val="24"/>
        </w:rPr>
        <w:t xml:space="preserve"> (</w:t>
      </w:r>
      <w:r w:rsidR="0030262C" w:rsidRPr="00B527AF">
        <w:rPr>
          <w:rFonts w:ascii="Times New Roman" w:hAnsi="Times New Roman" w:cs="Times New Roman"/>
          <w:color w:val="222222"/>
          <w:sz w:val="24"/>
          <w:szCs w:val="24"/>
          <w:shd w:val="clear" w:color="auto" w:fill="FFFFFF"/>
        </w:rPr>
        <w:t>Schechter et al. 2022</w:t>
      </w:r>
      <w:r w:rsidR="0030262C" w:rsidRPr="00B527AF">
        <w:rPr>
          <w:rFonts w:ascii="Times New Roman" w:hAnsi="Times New Roman" w:cs="Times New Roman"/>
          <w:sz w:val="24"/>
          <w:szCs w:val="24"/>
        </w:rPr>
        <w:t>)</w:t>
      </w:r>
      <w:r w:rsidRPr="00B527AF">
        <w:rPr>
          <w:rFonts w:ascii="Times New Roman" w:hAnsi="Times New Roman" w:cs="Times New Roman"/>
          <w:sz w:val="24"/>
          <w:szCs w:val="24"/>
        </w:rPr>
        <w:t xml:space="preserve">. This gives it access to diverse markets with varying levels of healthcare </w:t>
      </w:r>
      <w:r w:rsidRPr="00B527AF">
        <w:rPr>
          <w:rFonts w:ascii="Times New Roman" w:hAnsi="Times New Roman" w:cs="Times New Roman"/>
          <w:sz w:val="24"/>
          <w:szCs w:val="24"/>
        </w:rPr>
        <w:lastRenderedPageBreak/>
        <w:t>access and regulatory environments (</w:t>
      </w:r>
      <w:r w:rsidRPr="00B527AF">
        <w:rPr>
          <w:rFonts w:ascii="Times New Roman" w:hAnsi="Times New Roman" w:cs="Times New Roman"/>
          <w:color w:val="222222"/>
          <w:sz w:val="24"/>
          <w:szCs w:val="24"/>
          <w:shd w:val="clear" w:color="auto" w:fill="FFFFFF"/>
        </w:rPr>
        <w:t>Sun et al. 2022</w:t>
      </w:r>
      <w:r w:rsidRPr="00B527AF">
        <w:rPr>
          <w:rFonts w:ascii="Times New Roman" w:hAnsi="Times New Roman" w:cs="Times New Roman"/>
          <w:sz w:val="24"/>
          <w:szCs w:val="24"/>
        </w:rPr>
        <w:t>).</w:t>
      </w:r>
      <w:r w:rsidRPr="00B527AF">
        <w:rPr>
          <w:rFonts w:ascii="Times New Roman" w:hAnsi="Times New Roman" w:cs="Times New Roman"/>
          <w:sz w:val="24"/>
          <w:szCs w:val="24"/>
        </w:rPr>
        <w:br/>
      </w:r>
      <w:r w:rsidRPr="00B527AF">
        <w:rPr>
          <w:rFonts w:ascii="Times New Roman" w:hAnsi="Times New Roman" w:cs="Times New Roman"/>
          <w:i/>
          <w:iCs/>
          <w:sz w:val="24"/>
          <w:szCs w:val="24"/>
        </w:rPr>
        <w:t>Strong financial position</w:t>
      </w:r>
      <w:r w:rsidRPr="00B527AF">
        <w:rPr>
          <w:rFonts w:ascii="Times New Roman" w:hAnsi="Times New Roman" w:cs="Times New Roman"/>
          <w:sz w:val="24"/>
          <w:szCs w:val="24"/>
        </w:rPr>
        <w:t xml:space="preserve"> – With strong revenue growth and solid operating margins, AstraZeneca is well-positioned for future growth. The company also has strong cash flow, which provides it with flexibility in its operations</w:t>
      </w:r>
      <w:r w:rsidR="00893FE2" w:rsidRPr="00B527AF">
        <w:rPr>
          <w:rFonts w:ascii="Times New Roman" w:hAnsi="Times New Roman" w:cs="Times New Roman"/>
          <w:sz w:val="24"/>
          <w:szCs w:val="24"/>
        </w:rPr>
        <w:t xml:space="preserve"> (</w:t>
      </w:r>
      <w:proofErr w:type="spellStart"/>
      <w:r w:rsidR="00893FE2" w:rsidRPr="00B527AF">
        <w:rPr>
          <w:rFonts w:ascii="Times New Roman" w:hAnsi="Times New Roman" w:cs="Times New Roman"/>
          <w:color w:val="222222"/>
          <w:sz w:val="24"/>
          <w:szCs w:val="24"/>
          <w:shd w:val="clear" w:color="auto" w:fill="FFFFFF"/>
        </w:rPr>
        <w:t>Ghiasi</w:t>
      </w:r>
      <w:proofErr w:type="spellEnd"/>
      <w:r w:rsidR="00893FE2" w:rsidRPr="00B527AF">
        <w:rPr>
          <w:rFonts w:ascii="Times New Roman" w:hAnsi="Times New Roman" w:cs="Times New Roman"/>
          <w:color w:val="222222"/>
          <w:sz w:val="24"/>
          <w:szCs w:val="24"/>
          <w:shd w:val="clear" w:color="auto" w:fill="FFFFFF"/>
        </w:rPr>
        <w:t xml:space="preserve"> et al. 2021</w:t>
      </w:r>
      <w:r w:rsidR="00893FE2" w:rsidRPr="00B527AF">
        <w:rPr>
          <w:rFonts w:ascii="Times New Roman" w:hAnsi="Times New Roman" w:cs="Times New Roman"/>
          <w:sz w:val="24"/>
          <w:szCs w:val="24"/>
        </w:rPr>
        <w:t>)</w:t>
      </w:r>
      <w:r w:rsidRPr="00B527AF">
        <w:rPr>
          <w:rFonts w:ascii="Times New Roman" w:hAnsi="Times New Roman" w:cs="Times New Roman"/>
          <w:sz w:val="24"/>
          <w:szCs w:val="24"/>
        </w:rPr>
        <w:t>.</w:t>
      </w:r>
    </w:p>
    <w:p w14:paraId="27A061E8" w14:textId="77777777" w:rsidR="00AD3962" w:rsidRPr="00B527AF" w:rsidRDefault="00AD3962" w:rsidP="00AD3962">
      <w:pPr>
        <w:pStyle w:val="ListParagraph"/>
        <w:numPr>
          <w:ilvl w:val="0"/>
          <w:numId w:val="14"/>
        </w:numPr>
        <w:spacing w:before="240" w:line="360" w:lineRule="auto"/>
        <w:jc w:val="both"/>
        <w:rPr>
          <w:rFonts w:ascii="Times New Roman" w:hAnsi="Times New Roman" w:cs="Times New Roman"/>
          <w:b/>
          <w:bCs/>
          <w:sz w:val="24"/>
          <w:szCs w:val="24"/>
        </w:rPr>
      </w:pPr>
      <w:r w:rsidRPr="00B527AF">
        <w:rPr>
          <w:rFonts w:ascii="Times New Roman" w:hAnsi="Times New Roman" w:cs="Times New Roman"/>
          <w:b/>
          <w:bCs/>
          <w:sz w:val="24"/>
          <w:szCs w:val="24"/>
        </w:rPr>
        <w:t>Weaknesses:</w:t>
      </w:r>
    </w:p>
    <w:p w14:paraId="4ED8D08E" w14:textId="77777777" w:rsidR="00AD3962" w:rsidRPr="00B527AF" w:rsidRDefault="00AD3962" w:rsidP="00AD3962">
      <w:pPr>
        <w:spacing w:before="240" w:line="360" w:lineRule="auto"/>
        <w:ind w:left="360"/>
        <w:jc w:val="both"/>
        <w:rPr>
          <w:rFonts w:ascii="Times New Roman" w:hAnsi="Times New Roman" w:cs="Times New Roman"/>
          <w:sz w:val="24"/>
          <w:szCs w:val="24"/>
        </w:rPr>
      </w:pPr>
      <w:r w:rsidRPr="00B527AF">
        <w:rPr>
          <w:rFonts w:ascii="Times New Roman" w:hAnsi="Times New Roman" w:cs="Times New Roman"/>
          <w:i/>
          <w:iCs/>
          <w:sz w:val="24"/>
          <w:szCs w:val="24"/>
        </w:rPr>
        <w:t>Declining sales of key products</w:t>
      </w:r>
      <w:r w:rsidRPr="00B527AF">
        <w:rPr>
          <w:rFonts w:ascii="Times New Roman" w:hAnsi="Times New Roman" w:cs="Times New Roman"/>
          <w:sz w:val="24"/>
          <w:szCs w:val="24"/>
        </w:rPr>
        <w:t xml:space="preserve"> – Some of AstraZeneca’s key drugs are facing declining sales due to generic competition or patent expiry. This could hurt the company’s bottom line if not addressed swiftly.</w:t>
      </w:r>
      <w:r w:rsidRPr="00B527AF">
        <w:rPr>
          <w:rFonts w:ascii="Times New Roman" w:hAnsi="Times New Roman" w:cs="Times New Roman"/>
          <w:sz w:val="24"/>
          <w:szCs w:val="24"/>
        </w:rPr>
        <w:br/>
      </w:r>
      <w:r w:rsidRPr="00B527AF">
        <w:rPr>
          <w:rFonts w:ascii="Times New Roman" w:hAnsi="Times New Roman" w:cs="Times New Roman"/>
          <w:i/>
          <w:iCs/>
          <w:sz w:val="24"/>
          <w:szCs w:val="24"/>
        </w:rPr>
        <w:t xml:space="preserve">Intensifying competition </w:t>
      </w:r>
      <w:r w:rsidRPr="00B527AF">
        <w:rPr>
          <w:rFonts w:ascii="Times New Roman" w:hAnsi="Times New Roman" w:cs="Times New Roman"/>
          <w:sz w:val="24"/>
          <w:szCs w:val="24"/>
        </w:rPr>
        <w:t>– The pharmaceutical industry is becoming increasingly competitive as new players enter the market and existing companies fight for market share. This could make it difficult for AstraZeneca to maintain its leading position in the industry.</w:t>
      </w:r>
      <w:r w:rsidRPr="00B527AF">
        <w:rPr>
          <w:rFonts w:ascii="Times New Roman" w:hAnsi="Times New Roman" w:cs="Times New Roman"/>
          <w:sz w:val="24"/>
          <w:szCs w:val="24"/>
        </w:rPr>
        <w:br/>
      </w:r>
      <w:r w:rsidRPr="00B527AF">
        <w:rPr>
          <w:rFonts w:ascii="Times New Roman" w:hAnsi="Times New Roman" w:cs="Times New Roman"/>
          <w:i/>
          <w:iCs/>
          <w:sz w:val="24"/>
          <w:szCs w:val="24"/>
        </w:rPr>
        <w:t xml:space="preserve">Regulatory pressures </w:t>
      </w:r>
      <w:r w:rsidRPr="00B527AF">
        <w:rPr>
          <w:rFonts w:ascii="Times New Roman" w:hAnsi="Times New Roman" w:cs="Times New Roman"/>
          <w:sz w:val="24"/>
          <w:szCs w:val="24"/>
        </w:rPr>
        <w:t>– Regulatory policies can have a major impact on the development and marketing of pharmaceuticals. AstraZeneca may need to adjust its strategies to comply with changing regulations.</w:t>
      </w:r>
    </w:p>
    <w:p w14:paraId="6EC5B82A" w14:textId="77777777" w:rsidR="00AD3962" w:rsidRPr="00B527AF" w:rsidRDefault="00AD3962" w:rsidP="00AD3962">
      <w:pPr>
        <w:pStyle w:val="ListParagraph"/>
        <w:numPr>
          <w:ilvl w:val="0"/>
          <w:numId w:val="14"/>
        </w:numPr>
        <w:spacing w:before="240" w:line="360" w:lineRule="auto"/>
        <w:jc w:val="both"/>
        <w:rPr>
          <w:rFonts w:ascii="Times New Roman" w:hAnsi="Times New Roman" w:cs="Times New Roman"/>
          <w:b/>
          <w:bCs/>
          <w:sz w:val="24"/>
          <w:szCs w:val="24"/>
        </w:rPr>
      </w:pPr>
      <w:r w:rsidRPr="00B527AF">
        <w:rPr>
          <w:rFonts w:ascii="Times New Roman" w:hAnsi="Times New Roman" w:cs="Times New Roman"/>
          <w:b/>
          <w:bCs/>
          <w:sz w:val="24"/>
          <w:szCs w:val="24"/>
        </w:rPr>
        <w:t>Opportunities:</w:t>
      </w:r>
    </w:p>
    <w:p w14:paraId="5F9D17AE" w14:textId="77777777" w:rsidR="0030262C" w:rsidRPr="00B527AF" w:rsidRDefault="00AD3962" w:rsidP="00AD3962">
      <w:pPr>
        <w:spacing w:before="240" w:line="360" w:lineRule="auto"/>
        <w:ind w:left="360"/>
        <w:jc w:val="both"/>
        <w:rPr>
          <w:rFonts w:ascii="Times New Roman" w:hAnsi="Times New Roman" w:cs="Times New Roman"/>
          <w:sz w:val="24"/>
          <w:szCs w:val="24"/>
        </w:rPr>
      </w:pPr>
      <w:r w:rsidRPr="00B527AF">
        <w:rPr>
          <w:rFonts w:ascii="Times New Roman" w:hAnsi="Times New Roman" w:cs="Times New Roman"/>
          <w:i/>
          <w:iCs/>
          <w:sz w:val="24"/>
          <w:szCs w:val="24"/>
        </w:rPr>
        <w:t>Emerging markets</w:t>
      </w:r>
      <w:r w:rsidRPr="00B527AF">
        <w:rPr>
          <w:rFonts w:ascii="Times New Roman" w:hAnsi="Times New Roman" w:cs="Times New Roman"/>
          <w:sz w:val="24"/>
          <w:szCs w:val="24"/>
        </w:rPr>
        <w:t xml:space="preserve"> – AstraZeneca has made significant investments in emerging markets, which offer the potential for growth and expansion. The company should continue to focus on these markets as they become increasingly important drivers of revenue.</w:t>
      </w:r>
      <w:r w:rsidRPr="00B527AF">
        <w:rPr>
          <w:rFonts w:ascii="Times New Roman" w:hAnsi="Times New Roman" w:cs="Times New Roman"/>
          <w:sz w:val="24"/>
          <w:szCs w:val="24"/>
        </w:rPr>
        <w:br/>
      </w:r>
      <w:r w:rsidRPr="00B527AF">
        <w:rPr>
          <w:rFonts w:ascii="Times New Roman" w:hAnsi="Times New Roman" w:cs="Times New Roman"/>
          <w:i/>
          <w:iCs/>
          <w:sz w:val="24"/>
          <w:szCs w:val="24"/>
        </w:rPr>
        <w:t>Innovative products</w:t>
      </w:r>
      <w:r w:rsidRPr="00B527AF">
        <w:rPr>
          <w:rFonts w:ascii="Times New Roman" w:hAnsi="Times New Roman" w:cs="Times New Roman"/>
          <w:sz w:val="24"/>
          <w:szCs w:val="24"/>
        </w:rPr>
        <w:t xml:space="preserve"> – By investing in research and development, AstraZeneca can develop innovative products that meet the needs of customers and help the company gain a competitive edge</w:t>
      </w:r>
      <w:r w:rsidR="0030262C" w:rsidRPr="00B527AF">
        <w:rPr>
          <w:rFonts w:ascii="Times New Roman" w:hAnsi="Times New Roman" w:cs="Times New Roman"/>
          <w:sz w:val="24"/>
          <w:szCs w:val="24"/>
        </w:rPr>
        <w:t xml:space="preserve"> (</w:t>
      </w:r>
      <w:proofErr w:type="spellStart"/>
      <w:r w:rsidR="0030262C" w:rsidRPr="00B527AF">
        <w:rPr>
          <w:rFonts w:ascii="Times New Roman" w:hAnsi="Times New Roman" w:cs="Times New Roman"/>
          <w:color w:val="222222"/>
          <w:sz w:val="24"/>
          <w:szCs w:val="24"/>
          <w:shd w:val="clear" w:color="auto" w:fill="FFFFFF"/>
        </w:rPr>
        <w:t>Runiewicz-Wardyn</w:t>
      </w:r>
      <w:proofErr w:type="spellEnd"/>
      <w:r w:rsidR="0030262C" w:rsidRPr="00B527AF">
        <w:rPr>
          <w:rFonts w:ascii="Times New Roman" w:hAnsi="Times New Roman" w:cs="Times New Roman"/>
          <w:color w:val="222222"/>
          <w:sz w:val="24"/>
          <w:szCs w:val="24"/>
          <w:shd w:val="clear" w:color="auto" w:fill="FFFFFF"/>
        </w:rPr>
        <w:t xml:space="preserve"> and </w:t>
      </w:r>
      <w:proofErr w:type="spellStart"/>
      <w:r w:rsidR="0030262C" w:rsidRPr="00B527AF">
        <w:rPr>
          <w:rFonts w:ascii="Times New Roman" w:hAnsi="Times New Roman" w:cs="Times New Roman"/>
          <w:color w:val="222222"/>
          <w:sz w:val="24"/>
          <w:szCs w:val="24"/>
          <w:shd w:val="clear" w:color="auto" w:fill="FFFFFF"/>
        </w:rPr>
        <w:t>Eliashvili</w:t>
      </w:r>
      <w:proofErr w:type="spellEnd"/>
      <w:r w:rsidR="0030262C" w:rsidRPr="00B527AF">
        <w:rPr>
          <w:rFonts w:ascii="Times New Roman" w:hAnsi="Times New Roman" w:cs="Times New Roman"/>
          <w:color w:val="222222"/>
          <w:sz w:val="24"/>
          <w:szCs w:val="24"/>
          <w:shd w:val="clear" w:color="auto" w:fill="FFFFFF"/>
        </w:rPr>
        <w:t>, 2022</w:t>
      </w:r>
      <w:r w:rsidR="0030262C" w:rsidRPr="00B527AF">
        <w:rPr>
          <w:rFonts w:ascii="Times New Roman" w:hAnsi="Times New Roman" w:cs="Times New Roman"/>
          <w:sz w:val="24"/>
          <w:szCs w:val="24"/>
        </w:rPr>
        <w:t>)</w:t>
      </w:r>
      <w:r w:rsidRPr="00B527AF">
        <w:rPr>
          <w:rFonts w:ascii="Times New Roman" w:hAnsi="Times New Roman" w:cs="Times New Roman"/>
          <w:sz w:val="24"/>
          <w:szCs w:val="24"/>
        </w:rPr>
        <w:t>.</w:t>
      </w:r>
    </w:p>
    <w:p w14:paraId="323728A2" w14:textId="28A255FD" w:rsidR="00AD3962" w:rsidRPr="00B527AF" w:rsidRDefault="00AD3962" w:rsidP="00AD3962">
      <w:pPr>
        <w:spacing w:before="240" w:line="360" w:lineRule="auto"/>
        <w:ind w:left="360"/>
        <w:jc w:val="both"/>
        <w:rPr>
          <w:rFonts w:ascii="Times New Roman" w:hAnsi="Times New Roman" w:cs="Times New Roman"/>
          <w:sz w:val="24"/>
          <w:szCs w:val="24"/>
        </w:rPr>
      </w:pPr>
      <w:r w:rsidRPr="00B527AF">
        <w:rPr>
          <w:rFonts w:ascii="Times New Roman" w:hAnsi="Times New Roman" w:cs="Times New Roman"/>
          <w:i/>
          <w:iCs/>
          <w:sz w:val="24"/>
          <w:szCs w:val="24"/>
        </w:rPr>
        <w:t>Partnerships</w:t>
      </w:r>
      <w:r w:rsidRPr="00B527AF">
        <w:rPr>
          <w:rFonts w:ascii="Times New Roman" w:hAnsi="Times New Roman" w:cs="Times New Roman"/>
          <w:sz w:val="24"/>
          <w:szCs w:val="24"/>
        </w:rPr>
        <w:t xml:space="preserve"> – Strategic partnerships can be beneficial for both parties involved. AstraZeneca can leverage such partnerships to expand its reach and access new markets (</w:t>
      </w:r>
      <w:proofErr w:type="spellStart"/>
      <w:r w:rsidRPr="00B527AF">
        <w:rPr>
          <w:rFonts w:ascii="Times New Roman" w:hAnsi="Times New Roman" w:cs="Times New Roman"/>
          <w:color w:val="222222"/>
          <w:sz w:val="24"/>
          <w:szCs w:val="24"/>
          <w:shd w:val="clear" w:color="auto" w:fill="FFFFFF"/>
        </w:rPr>
        <w:t>Khalfaoui</w:t>
      </w:r>
      <w:proofErr w:type="spellEnd"/>
      <w:r w:rsidRPr="00B527AF">
        <w:rPr>
          <w:rFonts w:ascii="Times New Roman" w:hAnsi="Times New Roman" w:cs="Times New Roman"/>
          <w:color w:val="222222"/>
          <w:sz w:val="24"/>
          <w:szCs w:val="24"/>
          <w:shd w:val="clear" w:color="auto" w:fill="FFFFFF"/>
        </w:rPr>
        <w:t xml:space="preserve"> et al. 2022</w:t>
      </w:r>
      <w:r w:rsidRPr="00B527AF">
        <w:rPr>
          <w:rFonts w:ascii="Times New Roman" w:hAnsi="Times New Roman" w:cs="Times New Roman"/>
          <w:sz w:val="24"/>
          <w:szCs w:val="24"/>
        </w:rPr>
        <w:t>).</w:t>
      </w:r>
    </w:p>
    <w:p w14:paraId="091E8E9F" w14:textId="77777777" w:rsidR="00AD3962" w:rsidRPr="00B527AF" w:rsidRDefault="00AD3962" w:rsidP="00AD3962">
      <w:pPr>
        <w:pStyle w:val="ListParagraph"/>
        <w:numPr>
          <w:ilvl w:val="0"/>
          <w:numId w:val="14"/>
        </w:numPr>
        <w:spacing w:before="240" w:line="360" w:lineRule="auto"/>
        <w:jc w:val="both"/>
        <w:rPr>
          <w:rFonts w:ascii="Times New Roman" w:hAnsi="Times New Roman" w:cs="Times New Roman"/>
          <w:b/>
          <w:bCs/>
          <w:sz w:val="24"/>
          <w:szCs w:val="24"/>
        </w:rPr>
      </w:pPr>
      <w:r w:rsidRPr="00B527AF">
        <w:rPr>
          <w:rFonts w:ascii="Times New Roman" w:hAnsi="Times New Roman" w:cs="Times New Roman"/>
          <w:b/>
          <w:bCs/>
          <w:sz w:val="24"/>
          <w:szCs w:val="24"/>
        </w:rPr>
        <w:t>Threats:</w:t>
      </w:r>
    </w:p>
    <w:p w14:paraId="74520CFA" w14:textId="5E3A8B2B" w:rsidR="00AD3962" w:rsidRPr="00B527AF" w:rsidRDefault="00AD3962" w:rsidP="00AD3962">
      <w:pPr>
        <w:spacing w:before="240" w:line="360" w:lineRule="auto"/>
        <w:ind w:left="360"/>
        <w:jc w:val="both"/>
        <w:rPr>
          <w:rFonts w:ascii="Times New Roman" w:hAnsi="Times New Roman" w:cs="Times New Roman"/>
          <w:sz w:val="24"/>
          <w:szCs w:val="24"/>
        </w:rPr>
      </w:pPr>
      <w:r w:rsidRPr="00B527AF">
        <w:rPr>
          <w:rFonts w:ascii="Times New Roman" w:hAnsi="Times New Roman" w:cs="Times New Roman"/>
          <w:i/>
          <w:iCs/>
          <w:sz w:val="24"/>
          <w:szCs w:val="24"/>
        </w:rPr>
        <w:t>Patent expiry</w:t>
      </w:r>
      <w:r w:rsidRPr="00B527AF">
        <w:rPr>
          <w:rFonts w:ascii="Times New Roman" w:hAnsi="Times New Roman" w:cs="Times New Roman"/>
          <w:sz w:val="24"/>
          <w:szCs w:val="24"/>
        </w:rPr>
        <w:t xml:space="preserve"> – As patents expire, generic competition often arises, driving down prices and reducing profit margins. This could have a major impact on AstraZeneca’s bottom line if not </w:t>
      </w:r>
      <w:r w:rsidRPr="00B527AF">
        <w:rPr>
          <w:rFonts w:ascii="Times New Roman" w:hAnsi="Times New Roman" w:cs="Times New Roman"/>
          <w:sz w:val="24"/>
          <w:szCs w:val="24"/>
        </w:rPr>
        <w:lastRenderedPageBreak/>
        <w:t>addressed swiftly.</w:t>
      </w:r>
      <w:r w:rsidRPr="00B527AF">
        <w:rPr>
          <w:rFonts w:ascii="Times New Roman" w:hAnsi="Times New Roman" w:cs="Times New Roman"/>
          <w:sz w:val="24"/>
          <w:szCs w:val="24"/>
        </w:rPr>
        <w:br/>
        <w:t xml:space="preserve"> </w:t>
      </w:r>
      <w:r w:rsidRPr="00B527AF">
        <w:rPr>
          <w:rFonts w:ascii="Times New Roman" w:hAnsi="Times New Roman" w:cs="Times New Roman"/>
          <w:i/>
          <w:iCs/>
          <w:sz w:val="24"/>
          <w:szCs w:val="24"/>
        </w:rPr>
        <w:t xml:space="preserve">Regulatory changes </w:t>
      </w:r>
      <w:r w:rsidRPr="00B527AF">
        <w:rPr>
          <w:rFonts w:ascii="Times New Roman" w:hAnsi="Times New Roman" w:cs="Times New Roman"/>
          <w:sz w:val="24"/>
          <w:szCs w:val="24"/>
        </w:rPr>
        <w:t>– Changes in healthcare regulations can lead to increased costs or restrictions on drug marketing activities, which could negatively affect the company’s performance.</w:t>
      </w:r>
      <w:r w:rsidRPr="00B527AF">
        <w:rPr>
          <w:rFonts w:ascii="Times New Roman" w:hAnsi="Times New Roman" w:cs="Times New Roman"/>
          <w:sz w:val="24"/>
          <w:szCs w:val="24"/>
        </w:rPr>
        <w:br/>
      </w:r>
      <w:r w:rsidRPr="00B527AF">
        <w:rPr>
          <w:rFonts w:ascii="Times New Roman" w:hAnsi="Times New Roman" w:cs="Times New Roman"/>
          <w:i/>
          <w:iCs/>
          <w:sz w:val="24"/>
          <w:szCs w:val="24"/>
        </w:rPr>
        <w:t xml:space="preserve">Competition from generics </w:t>
      </w:r>
      <w:r w:rsidRPr="00B527AF">
        <w:rPr>
          <w:rFonts w:ascii="Times New Roman" w:hAnsi="Times New Roman" w:cs="Times New Roman"/>
          <w:sz w:val="24"/>
          <w:szCs w:val="24"/>
        </w:rPr>
        <w:t>– Generic drugs are becoming increasingly popular due to their lower cost compared to branded drugs. This increased competition could reduce sales of AstraZeneca’s branded drugs.</w:t>
      </w:r>
    </w:p>
    <w:p w14:paraId="0AC8BAE6" w14:textId="77777777" w:rsidR="00AD3962" w:rsidRPr="00B527AF" w:rsidRDefault="00AD3962" w:rsidP="00D81E25">
      <w:pPr>
        <w:pStyle w:val="Heading1"/>
        <w:rPr>
          <w:rFonts w:cs="Times New Roman"/>
          <w:szCs w:val="24"/>
        </w:rPr>
      </w:pPr>
      <w:bookmarkStart w:id="16" w:name="_Toc131331167"/>
      <w:r w:rsidRPr="00B527AF">
        <w:rPr>
          <w:rFonts w:cs="Times New Roman"/>
          <w:szCs w:val="24"/>
        </w:rPr>
        <w:t>International Strategies</w:t>
      </w:r>
      <w:bookmarkEnd w:id="16"/>
      <w:r w:rsidRPr="00B527AF">
        <w:rPr>
          <w:rFonts w:cs="Times New Roman"/>
          <w:szCs w:val="24"/>
        </w:rPr>
        <w:t> </w:t>
      </w:r>
    </w:p>
    <w:p w14:paraId="6C3959A9" w14:textId="5FD9FCA2"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 xml:space="preserve">AstraZeneca's international expansion began in earnest in the early 2000s with the acquisition of several small companies outside of Europe. In 2003, the company made its first major acquisition with the purchase of </w:t>
      </w:r>
      <w:proofErr w:type="spellStart"/>
      <w:r w:rsidRPr="00B527AF">
        <w:rPr>
          <w:rFonts w:ascii="Times New Roman" w:hAnsi="Times New Roman" w:cs="Times New Roman"/>
          <w:sz w:val="24"/>
          <w:szCs w:val="24"/>
        </w:rPr>
        <w:t>MedImmune</w:t>
      </w:r>
      <w:proofErr w:type="spellEnd"/>
      <w:r w:rsidRPr="00B527AF">
        <w:rPr>
          <w:rFonts w:ascii="Times New Roman" w:hAnsi="Times New Roman" w:cs="Times New Roman"/>
          <w:sz w:val="24"/>
          <w:szCs w:val="24"/>
        </w:rPr>
        <w:t xml:space="preserve">, a Maryland-based biotech firm. This was followed by the acquisitions of Cambridge Antibody Technology (2004), Drug discovery company Aquila </w:t>
      </w:r>
      <w:proofErr w:type="spellStart"/>
      <w:r w:rsidRPr="00B527AF">
        <w:rPr>
          <w:rFonts w:ascii="Times New Roman" w:hAnsi="Times New Roman" w:cs="Times New Roman"/>
          <w:sz w:val="24"/>
          <w:szCs w:val="24"/>
        </w:rPr>
        <w:t>BioMedical</w:t>
      </w:r>
      <w:proofErr w:type="spellEnd"/>
      <w:r w:rsidRPr="00B527AF">
        <w:rPr>
          <w:rFonts w:ascii="Times New Roman" w:hAnsi="Times New Roman" w:cs="Times New Roman"/>
          <w:sz w:val="24"/>
          <w:szCs w:val="24"/>
        </w:rPr>
        <w:t xml:space="preserve"> (2005), US generic drug manufacturer Zeneca Pharmaceuticals (1999), and Swedish pharmaceutical company </w:t>
      </w:r>
      <w:proofErr w:type="spellStart"/>
      <w:r w:rsidRPr="00B527AF">
        <w:rPr>
          <w:rFonts w:ascii="Times New Roman" w:hAnsi="Times New Roman" w:cs="Times New Roman"/>
          <w:sz w:val="24"/>
          <w:szCs w:val="24"/>
        </w:rPr>
        <w:t>Kabi</w:t>
      </w:r>
      <w:proofErr w:type="spellEnd"/>
      <w:r w:rsidRPr="00B527AF">
        <w:rPr>
          <w:rFonts w:ascii="Times New Roman" w:hAnsi="Times New Roman" w:cs="Times New Roman"/>
          <w:sz w:val="24"/>
          <w:szCs w:val="24"/>
        </w:rPr>
        <w:t xml:space="preserve"> Pharmacia (2000)</w:t>
      </w:r>
      <w:r w:rsidR="00893FE2" w:rsidRPr="00B527AF">
        <w:rPr>
          <w:rFonts w:ascii="Times New Roman" w:hAnsi="Times New Roman" w:cs="Times New Roman"/>
          <w:sz w:val="24"/>
          <w:szCs w:val="24"/>
        </w:rPr>
        <w:t xml:space="preserve"> (</w:t>
      </w:r>
      <w:r w:rsidR="00893FE2" w:rsidRPr="00B527AF">
        <w:rPr>
          <w:rFonts w:ascii="Times New Roman" w:hAnsi="Times New Roman" w:cs="Times New Roman"/>
          <w:color w:val="222222"/>
          <w:sz w:val="24"/>
          <w:szCs w:val="24"/>
          <w:shd w:val="clear" w:color="auto" w:fill="FFFFFF"/>
        </w:rPr>
        <w:t>Willigers, 2020</w:t>
      </w:r>
      <w:r w:rsidR="00893FE2" w:rsidRPr="00B527AF">
        <w:rPr>
          <w:rFonts w:ascii="Times New Roman" w:hAnsi="Times New Roman" w:cs="Times New Roman"/>
          <w:sz w:val="24"/>
          <w:szCs w:val="24"/>
        </w:rPr>
        <w:t>)</w:t>
      </w:r>
      <w:r w:rsidRPr="00B527AF">
        <w:rPr>
          <w:rFonts w:ascii="Times New Roman" w:hAnsi="Times New Roman" w:cs="Times New Roman"/>
          <w:sz w:val="24"/>
          <w:szCs w:val="24"/>
        </w:rPr>
        <w:t>. These acquisitions helped to establish AstraZeneca as a major player in the global pharmaceutical market.</w:t>
      </w:r>
    </w:p>
    <w:p w14:paraId="5BED6C0E" w14:textId="5755EB43"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 xml:space="preserve">The company has continued to grow through both organic growth and strategic acquisitions. In 2013, AstraZeneca acquired </w:t>
      </w:r>
      <w:proofErr w:type="spellStart"/>
      <w:r w:rsidRPr="00B527AF">
        <w:rPr>
          <w:rFonts w:ascii="Times New Roman" w:hAnsi="Times New Roman" w:cs="Times New Roman"/>
          <w:sz w:val="24"/>
          <w:szCs w:val="24"/>
        </w:rPr>
        <w:t>Omthera</w:t>
      </w:r>
      <w:proofErr w:type="spellEnd"/>
      <w:r w:rsidRPr="00B527AF">
        <w:rPr>
          <w:rFonts w:ascii="Times New Roman" w:hAnsi="Times New Roman" w:cs="Times New Roman"/>
          <w:sz w:val="24"/>
          <w:szCs w:val="24"/>
        </w:rPr>
        <w:t xml:space="preserve"> Pharmaceuticals, Inc., a biopharmaceutical company focused on developing treatments for dyslipidemia. In 2015, the company completed the purchase of </w:t>
      </w:r>
      <w:proofErr w:type="spellStart"/>
      <w:r w:rsidRPr="00B527AF">
        <w:rPr>
          <w:rFonts w:ascii="Times New Roman" w:hAnsi="Times New Roman" w:cs="Times New Roman"/>
          <w:sz w:val="24"/>
          <w:szCs w:val="24"/>
        </w:rPr>
        <w:t>NovellusDx</w:t>
      </w:r>
      <w:proofErr w:type="spellEnd"/>
      <w:r w:rsidRPr="00B527AF">
        <w:rPr>
          <w:rFonts w:ascii="Times New Roman" w:hAnsi="Times New Roman" w:cs="Times New Roman"/>
          <w:sz w:val="24"/>
          <w:szCs w:val="24"/>
        </w:rPr>
        <w:t xml:space="preserve"> Limited, a United Kingdom-based diagnostics company. Most recently, in 2020, AstraZeneca acquired US-based </w:t>
      </w:r>
      <w:proofErr w:type="spellStart"/>
      <w:r w:rsidRPr="00B527AF">
        <w:rPr>
          <w:rFonts w:ascii="Times New Roman" w:hAnsi="Times New Roman" w:cs="Times New Roman"/>
          <w:sz w:val="24"/>
          <w:szCs w:val="24"/>
        </w:rPr>
        <w:t>Viela</w:t>
      </w:r>
      <w:proofErr w:type="spellEnd"/>
      <w:r w:rsidRPr="00B527AF">
        <w:rPr>
          <w:rFonts w:ascii="Times New Roman" w:hAnsi="Times New Roman" w:cs="Times New Roman"/>
          <w:sz w:val="24"/>
          <w:szCs w:val="24"/>
        </w:rPr>
        <w:t xml:space="preserve"> Bio, a clinical-stage biotechnology company.</w:t>
      </w:r>
    </w:p>
    <w:p w14:paraId="35985EC4" w14:textId="162F5B3C"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To support its international expansion strategy, AstraZeneca has adopted a multi-pronged approach that includes both organic and inorganic growth. The company has invested heavily in research and development (R&amp;D) to create innovative products that meet the needs of patients around the world. It has also invested in production capacity to ensure that its products are available to customers globally. In addition, the company has acquired strategic partnerships with local players to gain access to new markets and expand its presence internationally.</w:t>
      </w:r>
    </w:p>
    <w:p w14:paraId="17A165EF" w14:textId="26D8C381"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 xml:space="preserve">Finally, AstraZeneca has been actively leveraging digital technologies to engage with customers across borders and increase efficiency. Through its online patient support program AZ </w:t>
      </w:r>
      <w:proofErr w:type="spellStart"/>
      <w:r w:rsidRPr="00B527AF">
        <w:rPr>
          <w:rFonts w:ascii="Times New Roman" w:hAnsi="Times New Roman" w:cs="Times New Roman"/>
          <w:sz w:val="24"/>
          <w:szCs w:val="24"/>
        </w:rPr>
        <w:lastRenderedPageBreak/>
        <w:t>HealthConnect</w:t>
      </w:r>
      <w:proofErr w:type="spellEnd"/>
      <w:r w:rsidRPr="00B527AF">
        <w:rPr>
          <w:rFonts w:ascii="Times New Roman" w:hAnsi="Times New Roman" w:cs="Times New Roman"/>
          <w:sz w:val="24"/>
          <w:szCs w:val="24"/>
        </w:rPr>
        <w:t>, the company can provide personalized care for patients regardless of their location. Additionally, AstraZeneca’s digital platform enables them to offer personalized data analytics services for healthcare professionals worldwide</w:t>
      </w:r>
      <w:r w:rsidR="00893FE2" w:rsidRPr="00B527AF">
        <w:rPr>
          <w:rFonts w:ascii="Times New Roman" w:hAnsi="Times New Roman" w:cs="Times New Roman"/>
          <w:sz w:val="24"/>
          <w:szCs w:val="24"/>
        </w:rPr>
        <w:t xml:space="preserve"> (</w:t>
      </w:r>
      <w:r w:rsidR="00893FE2" w:rsidRPr="00B527AF">
        <w:rPr>
          <w:rFonts w:ascii="Times New Roman" w:hAnsi="Times New Roman" w:cs="Times New Roman"/>
          <w:color w:val="222222"/>
          <w:sz w:val="24"/>
          <w:szCs w:val="24"/>
          <w:shd w:val="clear" w:color="auto" w:fill="FFFFFF"/>
        </w:rPr>
        <w:t xml:space="preserve">Vogel and </w:t>
      </w:r>
      <w:proofErr w:type="spellStart"/>
      <w:r w:rsidR="00893FE2" w:rsidRPr="00B527AF">
        <w:rPr>
          <w:rFonts w:ascii="Times New Roman" w:hAnsi="Times New Roman" w:cs="Times New Roman"/>
          <w:color w:val="222222"/>
          <w:sz w:val="24"/>
          <w:szCs w:val="24"/>
          <w:shd w:val="clear" w:color="auto" w:fill="FFFFFF"/>
        </w:rPr>
        <w:t>Kupferschmidt</w:t>
      </w:r>
      <w:proofErr w:type="spellEnd"/>
      <w:r w:rsidR="00893FE2" w:rsidRPr="00B527AF">
        <w:rPr>
          <w:rFonts w:ascii="Times New Roman" w:hAnsi="Times New Roman" w:cs="Times New Roman"/>
          <w:color w:val="222222"/>
          <w:sz w:val="24"/>
          <w:szCs w:val="24"/>
          <w:shd w:val="clear" w:color="auto" w:fill="FFFFFF"/>
        </w:rPr>
        <w:t>, 2021</w:t>
      </w:r>
      <w:r w:rsidR="00893FE2" w:rsidRPr="00B527AF">
        <w:rPr>
          <w:rFonts w:ascii="Times New Roman" w:hAnsi="Times New Roman" w:cs="Times New Roman"/>
          <w:sz w:val="24"/>
          <w:szCs w:val="24"/>
        </w:rPr>
        <w:t>)</w:t>
      </w:r>
      <w:r w:rsidRPr="00B527AF">
        <w:rPr>
          <w:rFonts w:ascii="Times New Roman" w:hAnsi="Times New Roman" w:cs="Times New Roman"/>
          <w:sz w:val="24"/>
          <w:szCs w:val="24"/>
        </w:rPr>
        <w:t>. In conclusion, AstraZeneca is well positioned for continued global growth as it continues to invest in R&amp;D, acquire strategic partnerships, and leverage digital technologies for increased efficiency and customer engagement</w:t>
      </w:r>
      <w:r w:rsidR="0030262C" w:rsidRPr="00B527AF">
        <w:rPr>
          <w:rFonts w:ascii="Times New Roman" w:hAnsi="Times New Roman" w:cs="Times New Roman"/>
          <w:sz w:val="24"/>
          <w:szCs w:val="24"/>
        </w:rPr>
        <w:t xml:space="preserve"> (</w:t>
      </w:r>
      <w:proofErr w:type="spellStart"/>
      <w:r w:rsidR="0030262C" w:rsidRPr="00B527AF">
        <w:rPr>
          <w:rFonts w:ascii="Times New Roman" w:hAnsi="Times New Roman" w:cs="Times New Roman"/>
          <w:color w:val="222222"/>
          <w:sz w:val="24"/>
          <w:szCs w:val="24"/>
          <w:shd w:val="clear" w:color="auto" w:fill="FFFFFF"/>
        </w:rPr>
        <w:t>Creelan</w:t>
      </w:r>
      <w:proofErr w:type="spellEnd"/>
      <w:r w:rsidR="0030262C" w:rsidRPr="00B527AF">
        <w:rPr>
          <w:rFonts w:ascii="Times New Roman" w:hAnsi="Times New Roman" w:cs="Times New Roman"/>
          <w:color w:val="222222"/>
          <w:sz w:val="24"/>
          <w:szCs w:val="24"/>
          <w:shd w:val="clear" w:color="auto" w:fill="FFFFFF"/>
        </w:rPr>
        <w:t xml:space="preserve"> et al. 2021</w:t>
      </w:r>
      <w:r w:rsidR="0030262C" w:rsidRPr="00B527AF">
        <w:rPr>
          <w:rFonts w:ascii="Times New Roman" w:hAnsi="Times New Roman" w:cs="Times New Roman"/>
          <w:sz w:val="24"/>
          <w:szCs w:val="24"/>
        </w:rPr>
        <w:t>)</w:t>
      </w:r>
      <w:r w:rsidRPr="00B527AF">
        <w:rPr>
          <w:rFonts w:ascii="Times New Roman" w:hAnsi="Times New Roman" w:cs="Times New Roman"/>
          <w:sz w:val="24"/>
          <w:szCs w:val="24"/>
        </w:rPr>
        <w:t>. Through these strategies, the company is paving the way for successful global expansion and creating value for customers around the world.</w:t>
      </w:r>
    </w:p>
    <w:p w14:paraId="25D04304" w14:textId="77777777" w:rsidR="00AD3962" w:rsidRPr="00B527AF" w:rsidRDefault="00AD3962" w:rsidP="00D81E25">
      <w:pPr>
        <w:pStyle w:val="Heading1"/>
        <w:rPr>
          <w:rFonts w:cs="Times New Roman"/>
          <w:szCs w:val="24"/>
        </w:rPr>
      </w:pPr>
      <w:bookmarkStart w:id="17" w:name="_Toc131331168"/>
      <w:r w:rsidRPr="00B527AF">
        <w:rPr>
          <w:rFonts w:cs="Times New Roman"/>
          <w:szCs w:val="24"/>
        </w:rPr>
        <w:t>Entry Modes</w:t>
      </w:r>
      <w:bookmarkEnd w:id="17"/>
      <w:r w:rsidRPr="00B527AF">
        <w:rPr>
          <w:rFonts w:cs="Times New Roman"/>
          <w:szCs w:val="24"/>
        </w:rPr>
        <w:t> </w:t>
      </w:r>
    </w:p>
    <w:p w14:paraId="5770F152" w14:textId="22A88F93"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The company's strict quality control systems ensure the accuracy and consistency of medicines dispensed from its pharmacies. AstraZeneca also works with local partners and healthcare providers to ensure that all medications are correctly prescribed and taken according to instructions. In addition, AstraZeneca carefully tailors its marketing strategies and activities to suit locals due to India's vast population size and cultural diversity.</w:t>
      </w:r>
    </w:p>
    <w:p w14:paraId="22E6C336" w14:textId="01D2C1BC"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AstraZeneca is committed to providing quality pharmaceutical products at an affordable price to consumers in India. The company's long history and strong presence in the country make it a trusted partner for Indian patients and healthcare providers alike. AstraZeneca has adopted various entry modes to enter the Indian market</w:t>
      </w:r>
      <w:r w:rsidR="0030262C" w:rsidRPr="00B527AF">
        <w:rPr>
          <w:rFonts w:ascii="Times New Roman" w:hAnsi="Times New Roman" w:cs="Times New Roman"/>
          <w:sz w:val="24"/>
          <w:szCs w:val="24"/>
        </w:rPr>
        <w:t xml:space="preserve"> (</w:t>
      </w:r>
      <w:proofErr w:type="spellStart"/>
      <w:r w:rsidR="0030262C" w:rsidRPr="00B527AF">
        <w:rPr>
          <w:rFonts w:ascii="Times New Roman" w:hAnsi="Times New Roman" w:cs="Times New Roman"/>
          <w:color w:val="222222"/>
          <w:sz w:val="24"/>
          <w:szCs w:val="24"/>
          <w:shd w:val="clear" w:color="auto" w:fill="FFFFFF"/>
        </w:rPr>
        <w:t>Bachanova</w:t>
      </w:r>
      <w:proofErr w:type="spellEnd"/>
      <w:r w:rsidR="0030262C" w:rsidRPr="00B527AF">
        <w:rPr>
          <w:rFonts w:ascii="Times New Roman" w:hAnsi="Times New Roman" w:cs="Times New Roman"/>
          <w:color w:val="222222"/>
          <w:sz w:val="24"/>
          <w:szCs w:val="24"/>
          <w:shd w:val="clear" w:color="auto" w:fill="FFFFFF"/>
        </w:rPr>
        <w:t xml:space="preserve"> et al. 2019</w:t>
      </w:r>
      <w:r w:rsidR="0030262C" w:rsidRPr="00B527AF">
        <w:rPr>
          <w:rFonts w:ascii="Times New Roman" w:hAnsi="Times New Roman" w:cs="Times New Roman"/>
          <w:sz w:val="24"/>
          <w:szCs w:val="24"/>
        </w:rPr>
        <w:t>)</w:t>
      </w:r>
      <w:r w:rsidRPr="00B527AF">
        <w:rPr>
          <w:rFonts w:ascii="Times New Roman" w:hAnsi="Times New Roman" w:cs="Times New Roman"/>
          <w:sz w:val="24"/>
          <w:szCs w:val="24"/>
        </w:rPr>
        <w:t>. The company has subsidiaries, joint venture agreements, and collaborations with local partners. It also operates an import-export business model, providing quality pharmaceutical products to Indian customers at competitive prices. AstraZeneca is a member of the Pharmaceuticals Export Promotion Council of India (</w:t>
      </w:r>
      <w:proofErr w:type="spellStart"/>
      <w:r w:rsidRPr="00B527AF">
        <w:rPr>
          <w:rFonts w:ascii="Times New Roman" w:hAnsi="Times New Roman" w:cs="Times New Roman"/>
          <w:sz w:val="24"/>
          <w:szCs w:val="24"/>
        </w:rPr>
        <w:t>Pharmexcil</w:t>
      </w:r>
      <w:proofErr w:type="spellEnd"/>
      <w:r w:rsidRPr="00B527AF">
        <w:rPr>
          <w:rFonts w:ascii="Times New Roman" w:hAnsi="Times New Roman" w:cs="Times New Roman"/>
          <w:sz w:val="24"/>
          <w:szCs w:val="24"/>
        </w:rPr>
        <w:t>) and has been approved for direct tax exemption by the government of India.</w:t>
      </w:r>
    </w:p>
    <w:p w14:paraId="4EB1AD2B" w14:textId="7AA07C63"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Moreover, AstraZeneca has a strategic partnership with Apollo Pharmacy, the largest chain of pharmacies in India. This collaboration provides customers access to high-quality medicines and medical equipment. In conclusion, AstraZeneca has used a variety of entry modes to enter the Indian market. The company has subsidiaries, joint venture agreements, collaborations with local partners, and an import-export business model. Its strategic partnership with Apollo Pharmacy provides customers access to quality medicines and medical equipment. As a result, AstraZeneca has become a trusted partner for Indian patients and healthcare providers alike.</w:t>
      </w:r>
    </w:p>
    <w:p w14:paraId="114D2909" w14:textId="77777777" w:rsidR="00AD3962" w:rsidRPr="00B527AF" w:rsidRDefault="00AD3962" w:rsidP="00D81E25">
      <w:pPr>
        <w:pStyle w:val="Heading1"/>
        <w:rPr>
          <w:rFonts w:cs="Times New Roman"/>
          <w:szCs w:val="24"/>
        </w:rPr>
      </w:pPr>
      <w:bookmarkStart w:id="18" w:name="_Toc131331169"/>
      <w:r w:rsidRPr="00B527AF">
        <w:rPr>
          <w:rFonts w:cs="Times New Roman"/>
          <w:szCs w:val="24"/>
        </w:rPr>
        <w:lastRenderedPageBreak/>
        <w:t>Corporate Social Responsibility</w:t>
      </w:r>
      <w:bookmarkEnd w:id="18"/>
      <w:r w:rsidRPr="00B527AF">
        <w:rPr>
          <w:rFonts w:cs="Times New Roman"/>
          <w:szCs w:val="24"/>
        </w:rPr>
        <w:t> </w:t>
      </w:r>
    </w:p>
    <w:p w14:paraId="282286DB" w14:textId="79D0CB63"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AstraZeneca is committed to corporate social responsibility (CSR).  believe that business has a role to play in addressing societal challenges and delivering sustainable value for all stakeholders – patients, shareholders, employees, customers, and society as a whole. They have three core CSR focus areas: patient health, employee development, and environmental sustainability. Their approach to CSR is guided by the purpose of inventing for life and values of patient focus, integrity, courage, and excellence. Patient health is at the heart of everything they do. They are passionate about improving patient health and unlocking the potential of life-changing medicines (</w:t>
      </w:r>
      <w:proofErr w:type="spellStart"/>
      <w:r w:rsidRPr="00B527AF">
        <w:rPr>
          <w:rFonts w:ascii="Times New Roman" w:hAnsi="Times New Roman" w:cs="Times New Roman"/>
          <w:color w:val="222222"/>
          <w:sz w:val="24"/>
          <w:szCs w:val="24"/>
          <w:shd w:val="clear" w:color="auto" w:fill="FFFFFF"/>
        </w:rPr>
        <w:t>Khalfaoui</w:t>
      </w:r>
      <w:proofErr w:type="spellEnd"/>
      <w:r w:rsidRPr="00B527AF">
        <w:rPr>
          <w:rFonts w:ascii="Times New Roman" w:hAnsi="Times New Roman" w:cs="Times New Roman"/>
          <w:color w:val="222222"/>
          <w:sz w:val="24"/>
          <w:szCs w:val="24"/>
          <w:shd w:val="clear" w:color="auto" w:fill="FFFFFF"/>
        </w:rPr>
        <w:t xml:space="preserve"> et al. 2022</w:t>
      </w:r>
      <w:r w:rsidRPr="00B527AF">
        <w:rPr>
          <w:rFonts w:ascii="Times New Roman" w:hAnsi="Times New Roman" w:cs="Times New Roman"/>
          <w:sz w:val="24"/>
          <w:szCs w:val="24"/>
        </w:rPr>
        <w:t>). They are constantly looking for ways to make medicines more affordable and accessible to patients around the world.</w:t>
      </w:r>
    </w:p>
    <w:p w14:paraId="380DDE8B" w14:textId="5A1784AF"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Employee development is essential to AstraZeneca’s success. They invest in people so they can reach their full potential. They offer opportunities for employee learning and development at all levels of the organization. And They strive to create an inclusive culture where everyone feels valued and respected. Environmental sustainability is key to AstraZeneca’s long-term success. They are focused on reducing environmental impact across the entire value chain – from the sourcing of raw materials to the disposal of finished products. And They are committed to mitigating climate change by reducing greenhouse gas emissions from operations.</w:t>
      </w:r>
    </w:p>
    <w:p w14:paraId="071F4F8B" w14:textId="77777777"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AstraZeneca believes in doing the right thing for stakeholders and the communities in which They operate. They are proud to be a responsible partner in society and to be helping to create a better future for all. AstraZeneca’s commitment to corporate social responsibility (CSR) is a key part of its strategy for creating long-term sustainable value for all stakeholders. Their approach to CSR focuses on three core areas: patient health, employee development, and environmental sustainability (</w:t>
      </w:r>
      <w:proofErr w:type="spellStart"/>
      <w:r w:rsidRPr="00B527AF">
        <w:rPr>
          <w:rFonts w:ascii="Times New Roman" w:hAnsi="Times New Roman" w:cs="Times New Roman"/>
          <w:color w:val="222222"/>
          <w:sz w:val="24"/>
          <w:szCs w:val="24"/>
          <w:shd w:val="clear" w:color="auto" w:fill="FFFFFF"/>
        </w:rPr>
        <w:t>Khalfaoui</w:t>
      </w:r>
      <w:proofErr w:type="spellEnd"/>
      <w:r w:rsidRPr="00B527AF">
        <w:rPr>
          <w:rFonts w:ascii="Times New Roman" w:hAnsi="Times New Roman" w:cs="Times New Roman"/>
          <w:color w:val="222222"/>
          <w:sz w:val="24"/>
          <w:szCs w:val="24"/>
          <w:shd w:val="clear" w:color="auto" w:fill="FFFFFF"/>
        </w:rPr>
        <w:t xml:space="preserve"> et al. 2022</w:t>
      </w:r>
      <w:r w:rsidRPr="00B527AF">
        <w:rPr>
          <w:rFonts w:ascii="Times New Roman" w:hAnsi="Times New Roman" w:cs="Times New Roman"/>
          <w:sz w:val="24"/>
          <w:szCs w:val="24"/>
        </w:rPr>
        <w:t>). They are passionate about improving patient health and unlocking the potential of life-changing medicines, investing in people so they can reach their full potential, and reducing environmental impact across the entire value chain. They strive to create an inclusive culture where everyone feels valued and respected while mitigating climate change by reducing greenhouse gas emissions from operations. At AstraZeneca believe in doing the right thing for stakeholders and the communities in which they operate.</w:t>
      </w:r>
    </w:p>
    <w:p w14:paraId="1740C966" w14:textId="77777777" w:rsidR="00AD3962" w:rsidRPr="00B527AF" w:rsidRDefault="00AD3962" w:rsidP="00D81E25">
      <w:pPr>
        <w:pStyle w:val="Heading1"/>
        <w:rPr>
          <w:rFonts w:cs="Times New Roman"/>
          <w:szCs w:val="24"/>
        </w:rPr>
      </w:pPr>
      <w:bookmarkStart w:id="19" w:name="_Toc131331170"/>
      <w:r w:rsidRPr="00B527AF">
        <w:rPr>
          <w:rFonts w:cs="Times New Roman"/>
          <w:szCs w:val="24"/>
        </w:rPr>
        <w:lastRenderedPageBreak/>
        <w:t>Conclusion</w:t>
      </w:r>
      <w:bookmarkEnd w:id="19"/>
      <w:r w:rsidRPr="00B527AF">
        <w:rPr>
          <w:rFonts w:cs="Times New Roman"/>
          <w:szCs w:val="24"/>
        </w:rPr>
        <w:t> </w:t>
      </w:r>
    </w:p>
    <w:p w14:paraId="2B7B044E" w14:textId="4B954662" w:rsidR="00AD3962" w:rsidRPr="00B527AF" w:rsidRDefault="00AD3962"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sz w:val="24"/>
          <w:szCs w:val="24"/>
        </w:rPr>
        <w:t>The report has been done about AstraZeneca, one of the world's leading pharmaceutical companies, and its host country India. Operating a network of over 200 pharmacies across major cities in India, AstraZeneca has established a strong presence in the country with a focus on providing quality medicines at an affordable price. However, doing business in India is not without its challenges - from navigating local laws and regulations to tailoring marketing strategies for a culturally diverse population. In the conclusion, AstraZeneca has several entry modes into India, including direct investment, joint ventures, and licensing agreements. Through direct investment, AstraZeneca can establish a physical presence in the country and operate its pharmacies under Indian law. Through joint ventures, AstraZeneca can partner with an Indian company to enter the Indian market. Finally, through licensing agreements, AstraZeneca can license its products to local companies in India and then receive royalties or fees in return.</w:t>
      </w:r>
    </w:p>
    <w:p w14:paraId="2960EB4B" w14:textId="77777777" w:rsidR="00AD3962" w:rsidRPr="00B527AF" w:rsidRDefault="00AD3962" w:rsidP="00AD3962">
      <w:pPr>
        <w:spacing w:before="240" w:line="360" w:lineRule="auto"/>
        <w:jc w:val="both"/>
        <w:rPr>
          <w:rFonts w:ascii="Times New Roman" w:hAnsi="Times New Roman" w:cs="Times New Roman"/>
          <w:sz w:val="24"/>
          <w:szCs w:val="24"/>
        </w:rPr>
      </w:pPr>
    </w:p>
    <w:p w14:paraId="515F1B55" w14:textId="77777777" w:rsidR="00AD3962" w:rsidRPr="00B527AF" w:rsidRDefault="00AD3962" w:rsidP="00AD3962">
      <w:pPr>
        <w:spacing w:before="240" w:line="360" w:lineRule="auto"/>
        <w:jc w:val="both"/>
        <w:rPr>
          <w:rFonts w:ascii="Times New Roman" w:eastAsia="Times New Roman" w:hAnsi="Times New Roman" w:cs="Times New Roman"/>
          <w:sz w:val="24"/>
          <w:szCs w:val="24"/>
          <w:lang w:val="en-IN"/>
        </w:rPr>
      </w:pPr>
      <w:r w:rsidRPr="00B527AF">
        <w:rPr>
          <w:rFonts w:ascii="Times New Roman" w:hAnsi="Times New Roman" w:cs="Times New Roman"/>
          <w:sz w:val="24"/>
          <w:szCs w:val="24"/>
        </w:rPr>
        <w:br w:type="page"/>
      </w:r>
    </w:p>
    <w:p w14:paraId="6B8786E3" w14:textId="77777777" w:rsidR="00AD3962" w:rsidRPr="00B527AF" w:rsidRDefault="00AD3962" w:rsidP="00D81E25">
      <w:pPr>
        <w:pStyle w:val="Heading1"/>
        <w:rPr>
          <w:rFonts w:cs="Times New Roman"/>
          <w:szCs w:val="24"/>
        </w:rPr>
      </w:pPr>
      <w:bookmarkStart w:id="20" w:name="_Toc131331171"/>
      <w:r w:rsidRPr="00B527AF">
        <w:rPr>
          <w:rFonts w:cs="Times New Roman"/>
          <w:szCs w:val="24"/>
        </w:rPr>
        <w:lastRenderedPageBreak/>
        <w:t>References</w:t>
      </w:r>
      <w:bookmarkEnd w:id="20"/>
    </w:p>
    <w:p w14:paraId="10174612"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p>
    <w:p w14:paraId="67E7D669"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r w:rsidRPr="00B527AF">
        <w:rPr>
          <w:rFonts w:ascii="Times New Roman" w:hAnsi="Times New Roman" w:cs="Times New Roman"/>
          <w:color w:val="222222"/>
          <w:sz w:val="24"/>
          <w:szCs w:val="24"/>
          <w:shd w:val="clear" w:color="auto" w:fill="FFFFFF"/>
        </w:rPr>
        <w:t xml:space="preserve">Al Ghanem, K., Al Qubaisi, N., Al Zaabi, H., Al </w:t>
      </w:r>
      <w:proofErr w:type="spellStart"/>
      <w:r w:rsidRPr="00B527AF">
        <w:rPr>
          <w:rFonts w:ascii="Times New Roman" w:hAnsi="Times New Roman" w:cs="Times New Roman"/>
          <w:color w:val="222222"/>
          <w:sz w:val="24"/>
          <w:szCs w:val="24"/>
          <w:shd w:val="clear" w:color="auto" w:fill="FFFFFF"/>
        </w:rPr>
        <w:t>Dhahmani</w:t>
      </w:r>
      <w:proofErr w:type="spellEnd"/>
      <w:r w:rsidRPr="00B527AF">
        <w:rPr>
          <w:rFonts w:ascii="Times New Roman" w:hAnsi="Times New Roman" w:cs="Times New Roman"/>
          <w:color w:val="222222"/>
          <w:sz w:val="24"/>
          <w:szCs w:val="24"/>
          <w:shd w:val="clear" w:color="auto" w:fill="FFFFFF"/>
        </w:rPr>
        <w:t xml:space="preserve">, L., Al </w:t>
      </w:r>
      <w:proofErr w:type="spellStart"/>
      <w:r w:rsidRPr="00B527AF">
        <w:rPr>
          <w:rFonts w:ascii="Times New Roman" w:hAnsi="Times New Roman" w:cs="Times New Roman"/>
          <w:color w:val="222222"/>
          <w:sz w:val="24"/>
          <w:szCs w:val="24"/>
          <w:shd w:val="clear" w:color="auto" w:fill="FFFFFF"/>
        </w:rPr>
        <w:t>Naqbi</w:t>
      </w:r>
      <w:proofErr w:type="spellEnd"/>
      <w:r w:rsidRPr="00B527AF">
        <w:rPr>
          <w:rFonts w:ascii="Times New Roman" w:hAnsi="Times New Roman" w:cs="Times New Roman"/>
          <w:color w:val="222222"/>
          <w:sz w:val="24"/>
          <w:szCs w:val="24"/>
          <w:shd w:val="clear" w:color="auto" w:fill="FFFFFF"/>
        </w:rPr>
        <w:t xml:space="preserve">, A., Al </w:t>
      </w:r>
      <w:proofErr w:type="spellStart"/>
      <w:r w:rsidRPr="00B527AF">
        <w:rPr>
          <w:rFonts w:ascii="Times New Roman" w:hAnsi="Times New Roman" w:cs="Times New Roman"/>
          <w:color w:val="222222"/>
          <w:sz w:val="24"/>
          <w:szCs w:val="24"/>
          <w:shd w:val="clear" w:color="auto" w:fill="FFFFFF"/>
        </w:rPr>
        <w:t>Dhanhani</w:t>
      </w:r>
      <w:proofErr w:type="spellEnd"/>
      <w:r w:rsidRPr="00B527AF">
        <w:rPr>
          <w:rFonts w:ascii="Times New Roman" w:hAnsi="Times New Roman" w:cs="Times New Roman"/>
          <w:color w:val="222222"/>
          <w:sz w:val="24"/>
          <w:szCs w:val="24"/>
          <w:shd w:val="clear" w:color="auto" w:fill="FFFFFF"/>
        </w:rPr>
        <w:t xml:space="preserve">, H., Al </w:t>
      </w:r>
      <w:proofErr w:type="spellStart"/>
      <w:r w:rsidRPr="00B527AF">
        <w:rPr>
          <w:rFonts w:ascii="Times New Roman" w:hAnsi="Times New Roman" w:cs="Times New Roman"/>
          <w:color w:val="222222"/>
          <w:sz w:val="24"/>
          <w:szCs w:val="24"/>
          <w:shd w:val="clear" w:color="auto" w:fill="FFFFFF"/>
        </w:rPr>
        <w:t>Shamisi</w:t>
      </w:r>
      <w:proofErr w:type="spellEnd"/>
      <w:r w:rsidRPr="00B527AF">
        <w:rPr>
          <w:rFonts w:ascii="Times New Roman" w:hAnsi="Times New Roman" w:cs="Times New Roman"/>
          <w:color w:val="222222"/>
          <w:sz w:val="24"/>
          <w:szCs w:val="24"/>
          <w:shd w:val="clear" w:color="auto" w:fill="FFFFFF"/>
        </w:rPr>
        <w:t xml:space="preserve">, F. and </w:t>
      </w:r>
      <w:proofErr w:type="spellStart"/>
      <w:r w:rsidRPr="00B527AF">
        <w:rPr>
          <w:rFonts w:ascii="Times New Roman" w:hAnsi="Times New Roman" w:cs="Times New Roman"/>
          <w:color w:val="222222"/>
          <w:sz w:val="24"/>
          <w:szCs w:val="24"/>
          <w:shd w:val="clear" w:color="auto" w:fill="FFFFFF"/>
        </w:rPr>
        <w:t>Nobanee</w:t>
      </w:r>
      <w:proofErr w:type="spellEnd"/>
      <w:r w:rsidRPr="00B527AF">
        <w:rPr>
          <w:rFonts w:ascii="Times New Roman" w:hAnsi="Times New Roman" w:cs="Times New Roman"/>
          <w:color w:val="222222"/>
          <w:sz w:val="24"/>
          <w:szCs w:val="24"/>
          <w:shd w:val="clear" w:color="auto" w:fill="FFFFFF"/>
        </w:rPr>
        <w:t>, H., 2021. Financial Analysis of AstraZeneca. </w:t>
      </w:r>
      <w:r w:rsidRPr="00B527AF">
        <w:rPr>
          <w:rFonts w:ascii="Times New Roman" w:hAnsi="Times New Roman" w:cs="Times New Roman"/>
          <w:i/>
          <w:iCs/>
          <w:color w:val="222222"/>
          <w:sz w:val="24"/>
          <w:szCs w:val="24"/>
          <w:shd w:val="clear" w:color="auto" w:fill="FFFFFF"/>
        </w:rPr>
        <w:t>Available at SSRN 3895292</w:t>
      </w:r>
      <w:r w:rsidRPr="00B527AF">
        <w:rPr>
          <w:rFonts w:ascii="Times New Roman" w:hAnsi="Times New Roman" w:cs="Times New Roman"/>
          <w:color w:val="222222"/>
          <w:sz w:val="24"/>
          <w:szCs w:val="24"/>
          <w:shd w:val="clear" w:color="auto" w:fill="FFFFFF"/>
        </w:rPr>
        <w:t xml:space="preserve">. </w:t>
      </w:r>
    </w:p>
    <w:p w14:paraId="44196AFD"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r w:rsidRPr="00B527AF">
        <w:rPr>
          <w:rFonts w:ascii="Times New Roman" w:hAnsi="Times New Roman" w:cs="Times New Roman"/>
          <w:color w:val="222222"/>
          <w:sz w:val="24"/>
          <w:szCs w:val="24"/>
          <w:shd w:val="clear" w:color="auto" w:fill="FFFFFF"/>
        </w:rPr>
        <w:t xml:space="preserve">Arslan, S., Fleming, S., Jain, N., Martinelli, G., Stein, A.S., </w:t>
      </w:r>
      <w:proofErr w:type="spellStart"/>
      <w:r w:rsidRPr="00B527AF">
        <w:rPr>
          <w:rFonts w:ascii="Times New Roman" w:hAnsi="Times New Roman" w:cs="Times New Roman"/>
          <w:color w:val="222222"/>
          <w:sz w:val="24"/>
          <w:szCs w:val="24"/>
          <w:shd w:val="clear" w:color="auto" w:fill="FFFFFF"/>
        </w:rPr>
        <w:t>Blachly</w:t>
      </w:r>
      <w:proofErr w:type="spellEnd"/>
      <w:r w:rsidRPr="00B527AF">
        <w:rPr>
          <w:rFonts w:ascii="Times New Roman" w:hAnsi="Times New Roman" w:cs="Times New Roman"/>
          <w:color w:val="222222"/>
          <w:sz w:val="24"/>
          <w:szCs w:val="24"/>
          <w:shd w:val="clear" w:color="auto" w:fill="FFFFFF"/>
        </w:rPr>
        <w:t xml:space="preserve">, J.S., </w:t>
      </w:r>
      <w:proofErr w:type="spellStart"/>
      <w:r w:rsidRPr="00B527AF">
        <w:rPr>
          <w:rFonts w:ascii="Times New Roman" w:hAnsi="Times New Roman" w:cs="Times New Roman"/>
          <w:color w:val="222222"/>
          <w:sz w:val="24"/>
          <w:szCs w:val="24"/>
          <w:shd w:val="clear" w:color="auto" w:fill="FFFFFF"/>
        </w:rPr>
        <w:t>Bajel</w:t>
      </w:r>
      <w:proofErr w:type="spellEnd"/>
      <w:r w:rsidRPr="00B527AF">
        <w:rPr>
          <w:rFonts w:ascii="Times New Roman" w:hAnsi="Times New Roman" w:cs="Times New Roman"/>
          <w:color w:val="222222"/>
          <w:sz w:val="24"/>
          <w:szCs w:val="24"/>
          <w:shd w:val="clear" w:color="auto" w:fill="FFFFFF"/>
        </w:rPr>
        <w:t xml:space="preserve">, A., </w:t>
      </w:r>
      <w:proofErr w:type="spellStart"/>
      <w:r w:rsidRPr="00B527AF">
        <w:rPr>
          <w:rFonts w:ascii="Times New Roman" w:hAnsi="Times New Roman" w:cs="Times New Roman"/>
          <w:color w:val="222222"/>
          <w:sz w:val="24"/>
          <w:szCs w:val="24"/>
          <w:shd w:val="clear" w:color="auto" w:fill="FFFFFF"/>
        </w:rPr>
        <w:t>Curti</w:t>
      </w:r>
      <w:proofErr w:type="spellEnd"/>
      <w:r w:rsidRPr="00B527AF">
        <w:rPr>
          <w:rFonts w:ascii="Times New Roman" w:hAnsi="Times New Roman" w:cs="Times New Roman"/>
          <w:color w:val="222222"/>
          <w:sz w:val="24"/>
          <w:szCs w:val="24"/>
          <w:shd w:val="clear" w:color="auto" w:fill="FFFFFF"/>
        </w:rPr>
        <w:t xml:space="preserve">, A., Marconi, G., </w:t>
      </w:r>
      <w:proofErr w:type="spellStart"/>
      <w:r w:rsidRPr="00B527AF">
        <w:rPr>
          <w:rFonts w:ascii="Times New Roman" w:hAnsi="Times New Roman" w:cs="Times New Roman"/>
          <w:color w:val="222222"/>
          <w:sz w:val="24"/>
          <w:szCs w:val="24"/>
          <w:shd w:val="clear" w:color="auto" w:fill="FFFFFF"/>
        </w:rPr>
        <w:t>Fabbri</w:t>
      </w:r>
      <w:proofErr w:type="spellEnd"/>
      <w:r w:rsidRPr="00B527AF">
        <w:rPr>
          <w:rFonts w:ascii="Times New Roman" w:hAnsi="Times New Roman" w:cs="Times New Roman"/>
          <w:color w:val="222222"/>
          <w:sz w:val="24"/>
          <w:szCs w:val="24"/>
          <w:shd w:val="clear" w:color="auto" w:fill="FFFFFF"/>
        </w:rPr>
        <w:t xml:space="preserve">, G. and </w:t>
      </w:r>
      <w:proofErr w:type="spellStart"/>
      <w:r w:rsidRPr="00B527AF">
        <w:rPr>
          <w:rFonts w:ascii="Times New Roman" w:hAnsi="Times New Roman" w:cs="Times New Roman"/>
          <w:color w:val="222222"/>
          <w:sz w:val="24"/>
          <w:szCs w:val="24"/>
          <w:shd w:val="clear" w:color="auto" w:fill="FFFFFF"/>
        </w:rPr>
        <w:t>Marmor</w:t>
      </w:r>
      <w:proofErr w:type="spellEnd"/>
      <w:r w:rsidRPr="00B527AF">
        <w:rPr>
          <w:rFonts w:ascii="Times New Roman" w:hAnsi="Times New Roman" w:cs="Times New Roman"/>
          <w:color w:val="222222"/>
          <w:sz w:val="24"/>
          <w:szCs w:val="24"/>
          <w:shd w:val="clear" w:color="auto" w:fill="FFFFFF"/>
        </w:rPr>
        <w:t>, Y., 2022. Safety and Tolerability of AZD0466 As Monotherapy for Patients with Advanced Hematological Malignancies. Preliminary Results from an Ongoing Phase I/II Trial. </w:t>
      </w:r>
      <w:r w:rsidRPr="00B527AF">
        <w:rPr>
          <w:rFonts w:ascii="Times New Roman" w:hAnsi="Times New Roman" w:cs="Times New Roman"/>
          <w:i/>
          <w:iCs/>
          <w:color w:val="222222"/>
          <w:sz w:val="24"/>
          <w:szCs w:val="24"/>
          <w:shd w:val="clear" w:color="auto" w:fill="FFFFFF"/>
        </w:rPr>
        <w:t>Blood</w:t>
      </w:r>
      <w:r w:rsidRPr="00B527AF">
        <w:rPr>
          <w:rFonts w:ascii="Times New Roman" w:hAnsi="Times New Roman" w:cs="Times New Roman"/>
          <w:color w:val="222222"/>
          <w:sz w:val="24"/>
          <w:szCs w:val="24"/>
          <w:shd w:val="clear" w:color="auto" w:fill="FFFFFF"/>
        </w:rPr>
        <w:t>, </w:t>
      </w:r>
      <w:r w:rsidRPr="00B527AF">
        <w:rPr>
          <w:rFonts w:ascii="Times New Roman" w:hAnsi="Times New Roman" w:cs="Times New Roman"/>
          <w:i/>
          <w:iCs/>
          <w:color w:val="222222"/>
          <w:sz w:val="24"/>
          <w:szCs w:val="24"/>
          <w:shd w:val="clear" w:color="auto" w:fill="FFFFFF"/>
        </w:rPr>
        <w:t>140</w:t>
      </w:r>
      <w:r w:rsidRPr="00B527AF">
        <w:rPr>
          <w:rFonts w:ascii="Times New Roman" w:hAnsi="Times New Roman" w:cs="Times New Roman"/>
          <w:color w:val="222222"/>
          <w:sz w:val="24"/>
          <w:szCs w:val="24"/>
          <w:shd w:val="clear" w:color="auto" w:fill="FFFFFF"/>
        </w:rPr>
        <w:t>(Supplement 1), pp.9091-9093.</w:t>
      </w:r>
    </w:p>
    <w:p w14:paraId="1E2A3485"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proofErr w:type="spellStart"/>
      <w:r w:rsidRPr="00B527AF">
        <w:rPr>
          <w:rFonts w:ascii="Times New Roman" w:hAnsi="Times New Roman" w:cs="Times New Roman"/>
          <w:color w:val="222222"/>
          <w:sz w:val="24"/>
          <w:szCs w:val="24"/>
          <w:shd w:val="clear" w:color="auto" w:fill="FFFFFF"/>
        </w:rPr>
        <w:t>Bachanova</w:t>
      </w:r>
      <w:proofErr w:type="spellEnd"/>
      <w:r w:rsidRPr="00B527AF">
        <w:rPr>
          <w:rFonts w:ascii="Times New Roman" w:hAnsi="Times New Roman" w:cs="Times New Roman"/>
          <w:color w:val="222222"/>
          <w:sz w:val="24"/>
          <w:szCs w:val="24"/>
          <w:shd w:val="clear" w:color="auto" w:fill="FFFFFF"/>
        </w:rPr>
        <w:t xml:space="preserve">, V., Ghobadi, A., Patel, K., Park, J.H., Flinn, I.W., Shah, P., Wong, C., Bickers, C., Szabo, P., Wong, L. and </w:t>
      </w:r>
      <w:proofErr w:type="spellStart"/>
      <w:r w:rsidRPr="00B527AF">
        <w:rPr>
          <w:rFonts w:ascii="Times New Roman" w:hAnsi="Times New Roman" w:cs="Times New Roman"/>
          <w:color w:val="222222"/>
          <w:sz w:val="24"/>
          <w:szCs w:val="24"/>
          <w:shd w:val="clear" w:color="auto" w:fill="FFFFFF"/>
        </w:rPr>
        <w:t>Valamehr</w:t>
      </w:r>
      <w:proofErr w:type="spellEnd"/>
      <w:r w:rsidRPr="00B527AF">
        <w:rPr>
          <w:rFonts w:ascii="Times New Roman" w:hAnsi="Times New Roman" w:cs="Times New Roman"/>
          <w:color w:val="222222"/>
          <w:sz w:val="24"/>
          <w:szCs w:val="24"/>
          <w:shd w:val="clear" w:color="auto" w:fill="FFFFFF"/>
        </w:rPr>
        <w:t>, B., 2021. Safety and efficacy of FT596, a first-in-class, multi-antigen targeted, off-the-shelf, iPSC-derived CD19 CAR NK cell therapy in relapsed/refractory B-cell lymphoma. </w:t>
      </w:r>
      <w:r w:rsidRPr="00B527AF">
        <w:rPr>
          <w:rFonts w:ascii="Times New Roman" w:hAnsi="Times New Roman" w:cs="Times New Roman"/>
          <w:i/>
          <w:iCs/>
          <w:color w:val="222222"/>
          <w:sz w:val="24"/>
          <w:szCs w:val="24"/>
          <w:shd w:val="clear" w:color="auto" w:fill="FFFFFF"/>
        </w:rPr>
        <w:t>Blood</w:t>
      </w:r>
      <w:r w:rsidRPr="00B527AF">
        <w:rPr>
          <w:rFonts w:ascii="Times New Roman" w:hAnsi="Times New Roman" w:cs="Times New Roman"/>
          <w:color w:val="222222"/>
          <w:sz w:val="24"/>
          <w:szCs w:val="24"/>
          <w:shd w:val="clear" w:color="auto" w:fill="FFFFFF"/>
        </w:rPr>
        <w:t>, </w:t>
      </w:r>
      <w:r w:rsidRPr="00B527AF">
        <w:rPr>
          <w:rFonts w:ascii="Times New Roman" w:hAnsi="Times New Roman" w:cs="Times New Roman"/>
          <w:i/>
          <w:iCs/>
          <w:color w:val="222222"/>
          <w:sz w:val="24"/>
          <w:szCs w:val="24"/>
          <w:shd w:val="clear" w:color="auto" w:fill="FFFFFF"/>
        </w:rPr>
        <w:t>138</w:t>
      </w:r>
      <w:r w:rsidRPr="00B527AF">
        <w:rPr>
          <w:rFonts w:ascii="Times New Roman" w:hAnsi="Times New Roman" w:cs="Times New Roman"/>
          <w:color w:val="222222"/>
          <w:sz w:val="24"/>
          <w:szCs w:val="24"/>
          <w:shd w:val="clear" w:color="auto" w:fill="FFFFFF"/>
        </w:rPr>
        <w:t>, p.823.</w:t>
      </w:r>
    </w:p>
    <w:p w14:paraId="542D862A"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proofErr w:type="spellStart"/>
      <w:r w:rsidRPr="00B527AF">
        <w:rPr>
          <w:rFonts w:ascii="Times New Roman" w:hAnsi="Times New Roman" w:cs="Times New Roman"/>
          <w:color w:val="222222"/>
          <w:sz w:val="24"/>
          <w:szCs w:val="24"/>
          <w:shd w:val="clear" w:color="auto" w:fill="FFFFFF"/>
        </w:rPr>
        <w:t>Balawejder</w:t>
      </w:r>
      <w:proofErr w:type="spellEnd"/>
      <w:r w:rsidRPr="00B527AF">
        <w:rPr>
          <w:rFonts w:ascii="Times New Roman" w:hAnsi="Times New Roman" w:cs="Times New Roman"/>
          <w:color w:val="222222"/>
          <w:sz w:val="24"/>
          <w:szCs w:val="24"/>
          <w:shd w:val="clear" w:color="auto" w:fill="FFFFFF"/>
        </w:rPr>
        <w:t>, F., Sampson, S. and Stratton, T., 2021. Lessons for industrial policy from development of the Oxford/AstraZeneca Covid-19 vaccine. </w:t>
      </w:r>
      <w:r w:rsidRPr="00B527AF">
        <w:rPr>
          <w:rFonts w:ascii="Times New Roman" w:hAnsi="Times New Roman" w:cs="Times New Roman"/>
          <w:i/>
          <w:iCs/>
          <w:color w:val="222222"/>
          <w:sz w:val="24"/>
          <w:szCs w:val="24"/>
          <w:shd w:val="clear" w:color="auto" w:fill="FFFFFF"/>
        </w:rPr>
        <w:t>Industrial Strategy Council Research Paper</w:t>
      </w:r>
      <w:r w:rsidRPr="00B527AF">
        <w:rPr>
          <w:rFonts w:ascii="Times New Roman" w:hAnsi="Times New Roman" w:cs="Times New Roman"/>
          <w:color w:val="222222"/>
          <w:sz w:val="24"/>
          <w:szCs w:val="24"/>
          <w:shd w:val="clear" w:color="auto" w:fill="FFFFFF"/>
        </w:rPr>
        <w:t>.</w:t>
      </w:r>
    </w:p>
    <w:p w14:paraId="7180EDC5" w14:textId="77777777" w:rsidR="00563A70" w:rsidRPr="00B527AF" w:rsidRDefault="00563A70" w:rsidP="00AD3962">
      <w:pPr>
        <w:spacing w:before="240" w:line="360" w:lineRule="auto"/>
        <w:jc w:val="both"/>
        <w:rPr>
          <w:rFonts w:ascii="Times New Roman" w:hAnsi="Times New Roman" w:cs="Times New Roman"/>
          <w:b/>
          <w:bCs/>
          <w:sz w:val="24"/>
          <w:szCs w:val="24"/>
        </w:rPr>
      </w:pPr>
      <w:proofErr w:type="spellStart"/>
      <w:r w:rsidRPr="00B527AF">
        <w:rPr>
          <w:rFonts w:ascii="Times New Roman" w:hAnsi="Times New Roman" w:cs="Times New Roman"/>
          <w:color w:val="222222"/>
          <w:sz w:val="24"/>
          <w:szCs w:val="24"/>
          <w:shd w:val="clear" w:color="auto" w:fill="FFFFFF"/>
        </w:rPr>
        <w:t>Bardia</w:t>
      </w:r>
      <w:proofErr w:type="spellEnd"/>
      <w:r w:rsidRPr="00B527AF">
        <w:rPr>
          <w:rFonts w:ascii="Times New Roman" w:hAnsi="Times New Roman" w:cs="Times New Roman"/>
          <w:color w:val="222222"/>
          <w:sz w:val="24"/>
          <w:szCs w:val="24"/>
          <w:shd w:val="clear" w:color="auto" w:fill="FFFFFF"/>
        </w:rPr>
        <w:t xml:space="preserve">, A., Cortes, J., </w:t>
      </w:r>
      <w:proofErr w:type="spellStart"/>
      <w:r w:rsidRPr="00B527AF">
        <w:rPr>
          <w:rFonts w:ascii="Times New Roman" w:hAnsi="Times New Roman" w:cs="Times New Roman"/>
          <w:color w:val="222222"/>
          <w:sz w:val="24"/>
          <w:szCs w:val="24"/>
          <w:shd w:val="clear" w:color="auto" w:fill="FFFFFF"/>
        </w:rPr>
        <w:t>Hurvitz</w:t>
      </w:r>
      <w:proofErr w:type="spellEnd"/>
      <w:r w:rsidRPr="00B527AF">
        <w:rPr>
          <w:rFonts w:ascii="Times New Roman" w:hAnsi="Times New Roman" w:cs="Times New Roman"/>
          <w:color w:val="222222"/>
          <w:sz w:val="24"/>
          <w:szCs w:val="24"/>
          <w:shd w:val="clear" w:color="auto" w:fill="FFFFFF"/>
        </w:rPr>
        <w:t xml:space="preserve">, S.A., </w:t>
      </w:r>
      <w:proofErr w:type="spellStart"/>
      <w:r w:rsidRPr="00B527AF">
        <w:rPr>
          <w:rFonts w:ascii="Times New Roman" w:hAnsi="Times New Roman" w:cs="Times New Roman"/>
          <w:color w:val="222222"/>
          <w:sz w:val="24"/>
          <w:szCs w:val="24"/>
          <w:shd w:val="clear" w:color="auto" w:fill="FFFFFF"/>
        </w:rPr>
        <w:t>Delaloge</w:t>
      </w:r>
      <w:proofErr w:type="spellEnd"/>
      <w:r w:rsidRPr="00B527AF">
        <w:rPr>
          <w:rFonts w:ascii="Times New Roman" w:hAnsi="Times New Roman" w:cs="Times New Roman"/>
          <w:color w:val="222222"/>
          <w:sz w:val="24"/>
          <w:szCs w:val="24"/>
          <w:shd w:val="clear" w:color="auto" w:fill="FFFFFF"/>
        </w:rPr>
        <w:t xml:space="preserve">, S., Iwata, H., Shao, Z.M., </w:t>
      </w:r>
      <w:proofErr w:type="spellStart"/>
      <w:r w:rsidRPr="00B527AF">
        <w:rPr>
          <w:rFonts w:ascii="Times New Roman" w:hAnsi="Times New Roman" w:cs="Times New Roman"/>
          <w:color w:val="222222"/>
          <w:sz w:val="24"/>
          <w:szCs w:val="24"/>
          <w:shd w:val="clear" w:color="auto" w:fill="FFFFFF"/>
        </w:rPr>
        <w:t>Kanagavel</w:t>
      </w:r>
      <w:proofErr w:type="spellEnd"/>
      <w:r w:rsidRPr="00B527AF">
        <w:rPr>
          <w:rFonts w:ascii="Times New Roman" w:hAnsi="Times New Roman" w:cs="Times New Roman"/>
          <w:color w:val="222222"/>
          <w:sz w:val="24"/>
          <w:szCs w:val="24"/>
          <w:shd w:val="clear" w:color="auto" w:fill="FFFFFF"/>
        </w:rPr>
        <w:t xml:space="preserve">, D., Cohen, P., Liu, Q., </w:t>
      </w:r>
      <w:proofErr w:type="spellStart"/>
      <w:r w:rsidRPr="00B527AF">
        <w:rPr>
          <w:rFonts w:ascii="Times New Roman" w:hAnsi="Times New Roman" w:cs="Times New Roman"/>
          <w:color w:val="222222"/>
          <w:sz w:val="24"/>
          <w:szCs w:val="24"/>
          <w:shd w:val="clear" w:color="auto" w:fill="FFFFFF"/>
        </w:rPr>
        <w:t>Cartot</w:t>
      </w:r>
      <w:proofErr w:type="spellEnd"/>
      <w:r w:rsidRPr="00B527AF">
        <w:rPr>
          <w:rFonts w:ascii="Times New Roman" w:hAnsi="Times New Roman" w:cs="Times New Roman"/>
          <w:color w:val="222222"/>
          <w:sz w:val="24"/>
          <w:szCs w:val="24"/>
          <w:shd w:val="clear" w:color="auto" w:fill="FFFFFF"/>
        </w:rPr>
        <w:t xml:space="preserve">-Cotton, S. and </w:t>
      </w:r>
      <w:proofErr w:type="spellStart"/>
      <w:r w:rsidRPr="00B527AF">
        <w:rPr>
          <w:rFonts w:ascii="Times New Roman" w:hAnsi="Times New Roman" w:cs="Times New Roman"/>
          <w:color w:val="222222"/>
          <w:sz w:val="24"/>
          <w:szCs w:val="24"/>
          <w:shd w:val="clear" w:color="auto" w:fill="FFFFFF"/>
        </w:rPr>
        <w:t>Pelekanou</w:t>
      </w:r>
      <w:proofErr w:type="spellEnd"/>
      <w:r w:rsidRPr="00B527AF">
        <w:rPr>
          <w:rFonts w:ascii="Times New Roman" w:hAnsi="Times New Roman" w:cs="Times New Roman"/>
          <w:color w:val="222222"/>
          <w:sz w:val="24"/>
          <w:szCs w:val="24"/>
          <w:shd w:val="clear" w:color="auto" w:fill="FFFFFF"/>
        </w:rPr>
        <w:t xml:space="preserve">, V., 2022. AMEERA-5: a randomized, double-blind phase 3 study of </w:t>
      </w:r>
      <w:proofErr w:type="spellStart"/>
      <w:r w:rsidRPr="00B527AF">
        <w:rPr>
          <w:rFonts w:ascii="Times New Roman" w:hAnsi="Times New Roman" w:cs="Times New Roman"/>
          <w:color w:val="222222"/>
          <w:sz w:val="24"/>
          <w:szCs w:val="24"/>
          <w:shd w:val="clear" w:color="auto" w:fill="FFFFFF"/>
        </w:rPr>
        <w:t>amcenestrant</w:t>
      </w:r>
      <w:proofErr w:type="spellEnd"/>
      <w:r w:rsidRPr="00B527AF">
        <w:rPr>
          <w:rFonts w:ascii="Times New Roman" w:hAnsi="Times New Roman" w:cs="Times New Roman"/>
          <w:color w:val="222222"/>
          <w:sz w:val="24"/>
          <w:szCs w:val="24"/>
          <w:shd w:val="clear" w:color="auto" w:fill="FFFFFF"/>
        </w:rPr>
        <w:t xml:space="preserve"> plus </w:t>
      </w:r>
      <w:proofErr w:type="spellStart"/>
      <w:r w:rsidRPr="00B527AF">
        <w:rPr>
          <w:rFonts w:ascii="Times New Roman" w:hAnsi="Times New Roman" w:cs="Times New Roman"/>
          <w:color w:val="222222"/>
          <w:sz w:val="24"/>
          <w:szCs w:val="24"/>
          <w:shd w:val="clear" w:color="auto" w:fill="FFFFFF"/>
        </w:rPr>
        <w:t>palbociclib</w:t>
      </w:r>
      <w:proofErr w:type="spellEnd"/>
      <w:r w:rsidRPr="00B527AF">
        <w:rPr>
          <w:rFonts w:ascii="Times New Roman" w:hAnsi="Times New Roman" w:cs="Times New Roman"/>
          <w:color w:val="222222"/>
          <w:sz w:val="24"/>
          <w:szCs w:val="24"/>
          <w:shd w:val="clear" w:color="auto" w:fill="FFFFFF"/>
        </w:rPr>
        <w:t xml:space="preserve"> versus letrozole plus </w:t>
      </w:r>
      <w:proofErr w:type="spellStart"/>
      <w:r w:rsidRPr="00B527AF">
        <w:rPr>
          <w:rFonts w:ascii="Times New Roman" w:hAnsi="Times New Roman" w:cs="Times New Roman"/>
          <w:color w:val="222222"/>
          <w:sz w:val="24"/>
          <w:szCs w:val="24"/>
          <w:shd w:val="clear" w:color="auto" w:fill="FFFFFF"/>
        </w:rPr>
        <w:t>palbociclib</w:t>
      </w:r>
      <w:proofErr w:type="spellEnd"/>
      <w:r w:rsidRPr="00B527AF">
        <w:rPr>
          <w:rFonts w:ascii="Times New Roman" w:hAnsi="Times New Roman" w:cs="Times New Roman"/>
          <w:color w:val="222222"/>
          <w:sz w:val="24"/>
          <w:szCs w:val="24"/>
          <w:shd w:val="clear" w:color="auto" w:fill="FFFFFF"/>
        </w:rPr>
        <w:t xml:space="preserve"> for previously untreated ER+/HER2–advanced breast cancer. </w:t>
      </w:r>
      <w:r w:rsidRPr="00B527AF">
        <w:rPr>
          <w:rFonts w:ascii="Times New Roman" w:hAnsi="Times New Roman" w:cs="Times New Roman"/>
          <w:i/>
          <w:iCs/>
          <w:color w:val="222222"/>
          <w:sz w:val="24"/>
          <w:szCs w:val="24"/>
          <w:shd w:val="clear" w:color="auto" w:fill="FFFFFF"/>
        </w:rPr>
        <w:t>Therapeutic Advances in Medical Oncology</w:t>
      </w:r>
      <w:r w:rsidRPr="00B527AF">
        <w:rPr>
          <w:rFonts w:ascii="Times New Roman" w:hAnsi="Times New Roman" w:cs="Times New Roman"/>
          <w:color w:val="222222"/>
          <w:sz w:val="24"/>
          <w:szCs w:val="24"/>
          <w:shd w:val="clear" w:color="auto" w:fill="FFFFFF"/>
        </w:rPr>
        <w:t xml:space="preserve">, </w:t>
      </w:r>
      <w:r w:rsidRPr="00B527AF">
        <w:rPr>
          <w:rFonts w:ascii="Times New Roman" w:hAnsi="Times New Roman" w:cs="Times New Roman"/>
          <w:i/>
          <w:iCs/>
          <w:color w:val="222222"/>
          <w:sz w:val="24"/>
          <w:szCs w:val="24"/>
          <w:shd w:val="clear" w:color="auto" w:fill="FFFFFF"/>
        </w:rPr>
        <w:t>14</w:t>
      </w:r>
      <w:r w:rsidRPr="00B527AF">
        <w:rPr>
          <w:rFonts w:ascii="Times New Roman" w:hAnsi="Times New Roman" w:cs="Times New Roman"/>
          <w:color w:val="222222"/>
          <w:sz w:val="24"/>
          <w:szCs w:val="24"/>
          <w:shd w:val="clear" w:color="auto" w:fill="FFFFFF"/>
        </w:rPr>
        <w:t>, p.17588359221083956.</w:t>
      </w:r>
    </w:p>
    <w:p w14:paraId="7A2E89B6"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r w:rsidRPr="00B527AF">
        <w:rPr>
          <w:rFonts w:ascii="Times New Roman" w:hAnsi="Times New Roman" w:cs="Times New Roman"/>
          <w:color w:val="222222"/>
          <w:sz w:val="24"/>
          <w:szCs w:val="24"/>
          <w:shd w:val="clear" w:color="auto" w:fill="FFFFFF"/>
        </w:rPr>
        <w:t xml:space="preserve">Costanzo, M., De Giglio, M.A. and </w:t>
      </w:r>
      <w:proofErr w:type="spellStart"/>
      <w:r w:rsidRPr="00B527AF">
        <w:rPr>
          <w:rFonts w:ascii="Times New Roman" w:hAnsi="Times New Roman" w:cs="Times New Roman"/>
          <w:color w:val="222222"/>
          <w:sz w:val="24"/>
          <w:szCs w:val="24"/>
          <w:shd w:val="clear" w:color="auto" w:fill="FFFFFF"/>
        </w:rPr>
        <w:t>Roviello</w:t>
      </w:r>
      <w:proofErr w:type="spellEnd"/>
      <w:r w:rsidRPr="00B527AF">
        <w:rPr>
          <w:rFonts w:ascii="Times New Roman" w:hAnsi="Times New Roman" w:cs="Times New Roman"/>
          <w:color w:val="222222"/>
          <w:sz w:val="24"/>
          <w:szCs w:val="24"/>
          <w:shd w:val="clear" w:color="auto" w:fill="FFFFFF"/>
        </w:rPr>
        <w:t>, G.N., 2022. Anti-coronavirus vaccines: past investigations on SARS-CoV-1 and MERS-</w:t>
      </w:r>
      <w:proofErr w:type="spellStart"/>
      <w:r w:rsidRPr="00B527AF">
        <w:rPr>
          <w:rFonts w:ascii="Times New Roman" w:hAnsi="Times New Roman" w:cs="Times New Roman"/>
          <w:color w:val="222222"/>
          <w:sz w:val="24"/>
          <w:szCs w:val="24"/>
          <w:shd w:val="clear" w:color="auto" w:fill="FFFFFF"/>
        </w:rPr>
        <w:t>CoV</w:t>
      </w:r>
      <w:proofErr w:type="spellEnd"/>
      <w:r w:rsidRPr="00B527AF">
        <w:rPr>
          <w:rFonts w:ascii="Times New Roman" w:hAnsi="Times New Roman" w:cs="Times New Roman"/>
          <w:color w:val="222222"/>
          <w:sz w:val="24"/>
          <w:szCs w:val="24"/>
          <w:shd w:val="clear" w:color="auto" w:fill="FFFFFF"/>
        </w:rPr>
        <w:t>, the approved vaccines from BioNTech/Pfizer, Moderna, Oxford/AstraZeneca and others under Development Against SARSCoV-2 Infection. </w:t>
      </w:r>
      <w:r w:rsidRPr="00B527AF">
        <w:rPr>
          <w:rFonts w:ascii="Times New Roman" w:hAnsi="Times New Roman" w:cs="Times New Roman"/>
          <w:i/>
          <w:iCs/>
          <w:color w:val="222222"/>
          <w:sz w:val="24"/>
          <w:szCs w:val="24"/>
          <w:shd w:val="clear" w:color="auto" w:fill="FFFFFF"/>
        </w:rPr>
        <w:t>Current Medicinal Chemistry</w:t>
      </w:r>
      <w:r w:rsidRPr="00B527AF">
        <w:rPr>
          <w:rFonts w:ascii="Times New Roman" w:hAnsi="Times New Roman" w:cs="Times New Roman"/>
          <w:color w:val="222222"/>
          <w:sz w:val="24"/>
          <w:szCs w:val="24"/>
          <w:shd w:val="clear" w:color="auto" w:fill="FFFFFF"/>
        </w:rPr>
        <w:t>, </w:t>
      </w:r>
      <w:r w:rsidRPr="00B527AF">
        <w:rPr>
          <w:rFonts w:ascii="Times New Roman" w:hAnsi="Times New Roman" w:cs="Times New Roman"/>
          <w:i/>
          <w:iCs/>
          <w:color w:val="222222"/>
          <w:sz w:val="24"/>
          <w:szCs w:val="24"/>
          <w:shd w:val="clear" w:color="auto" w:fill="FFFFFF"/>
        </w:rPr>
        <w:t>29</w:t>
      </w:r>
      <w:r w:rsidRPr="00B527AF">
        <w:rPr>
          <w:rFonts w:ascii="Times New Roman" w:hAnsi="Times New Roman" w:cs="Times New Roman"/>
          <w:color w:val="222222"/>
          <w:sz w:val="24"/>
          <w:szCs w:val="24"/>
          <w:shd w:val="clear" w:color="auto" w:fill="FFFFFF"/>
        </w:rPr>
        <w:t>(1), pp.4-18.</w:t>
      </w:r>
    </w:p>
    <w:p w14:paraId="666601BA"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proofErr w:type="spellStart"/>
      <w:r w:rsidRPr="00B527AF">
        <w:rPr>
          <w:rFonts w:ascii="Times New Roman" w:hAnsi="Times New Roman" w:cs="Times New Roman"/>
          <w:color w:val="222222"/>
          <w:sz w:val="24"/>
          <w:szCs w:val="24"/>
          <w:shd w:val="clear" w:color="auto" w:fill="FFFFFF"/>
        </w:rPr>
        <w:t>Creelan</w:t>
      </w:r>
      <w:proofErr w:type="spellEnd"/>
      <w:r w:rsidRPr="00B527AF">
        <w:rPr>
          <w:rFonts w:ascii="Times New Roman" w:hAnsi="Times New Roman" w:cs="Times New Roman"/>
          <w:color w:val="222222"/>
          <w:sz w:val="24"/>
          <w:szCs w:val="24"/>
          <w:shd w:val="clear" w:color="auto" w:fill="FFFFFF"/>
        </w:rPr>
        <w:t xml:space="preserve">, B.C., Yeh, T., Kim, S.W., </w:t>
      </w:r>
      <w:proofErr w:type="spellStart"/>
      <w:r w:rsidRPr="00B527AF">
        <w:rPr>
          <w:rFonts w:ascii="Times New Roman" w:hAnsi="Times New Roman" w:cs="Times New Roman"/>
          <w:color w:val="222222"/>
          <w:sz w:val="24"/>
          <w:szCs w:val="24"/>
          <w:shd w:val="clear" w:color="auto" w:fill="FFFFFF"/>
        </w:rPr>
        <w:t>Nogami</w:t>
      </w:r>
      <w:proofErr w:type="spellEnd"/>
      <w:r w:rsidRPr="00B527AF">
        <w:rPr>
          <w:rFonts w:ascii="Times New Roman" w:hAnsi="Times New Roman" w:cs="Times New Roman"/>
          <w:color w:val="222222"/>
          <w:sz w:val="24"/>
          <w:szCs w:val="24"/>
          <w:shd w:val="clear" w:color="auto" w:fill="FFFFFF"/>
        </w:rPr>
        <w:t xml:space="preserve">, N., Kim, D.W., Chow, L.Q., Kanda, S., Taylor, R., Tang, W., Tang, M. and Angell, H.K., 2019. Phase I study of gefitinib (G)+ durvalumab (D) for </w:t>
      </w:r>
      <w:r w:rsidRPr="00B527AF">
        <w:rPr>
          <w:rFonts w:ascii="Times New Roman" w:hAnsi="Times New Roman" w:cs="Times New Roman"/>
          <w:color w:val="222222"/>
          <w:sz w:val="24"/>
          <w:szCs w:val="24"/>
          <w:shd w:val="clear" w:color="auto" w:fill="FFFFFF"/>
        </w:rPr>
        <w:lastRenderedPageBreak/>
        <w:t xml:space="preserve">locally advanced/metastatic non-small cell lung cancer (NSCLC) </w:t>
      </w:r>
      <w:proofErr w:type="spellStart"/>
      <w:r w:rsidRPr="00B527AF">
        <w:rPr>
          <w:rFonts w:ascii="Times New Roman" w:hAnsi="Times New Roman" w:cs="Times New Roman"/>
          <w:color w:val="222222"/>
          <w:sz w:val="24"/>
          <w:szCs w:val="24"/>
          <w:shd w:val="clear" w:color="auto" w:fill="FFFFFF"/>
        </w:rPr>
        <w:t>harbouring</w:t>
      </w:r>
      <w:proofErr w:type="spellEnd"/>
      <w:r w:rsidRPr="00B527AF">
        <w:rPr>
          <w:rFonts w:ascii="Times New Roman" w:hAnsi="Times New Roman" w:cs="Times New Roman"/>
          <w:color w:val="222222"/>
          <w:sz w:val="24"/>
          <w:szCs w:val="24"/>
          <w:shd w:val="clear" w:color="auto" w:fill="FFFFFF"/>
        </w:rPr>
        <w:t xml:space="preserve"> epidermal growth factor receptor (EGFR) </w:t>
      </w:r>
      <w:proofErr w:type="spellStart"/>
      <w:r w:rsidRPr="00B527AF">
        <w:rPr>
          <w:rFonts w:ascii="Times New Roman" w:hAnsi="Times New Roman" w:cs="Times New Roman"/>
          <w:color w:val="222222"/>
          <w:sz w:val="24"/>
          <w:szCs w:val="24"/>
          <w:shd w:val="clear" w:color="auto" w:fill="FFFFFF"/>
        </w:rPr>
        <w:t>sensitising</w:t>
      </w:r>
      <w:proofErr w:type="spellEnd"/>
      <w:r w:rsidRPr="00B527AF">
        <w:rPr>
          <w:rFonts w:ascii="Times New Roman" w:hAnsi="Times New Roman" w:cs="Times New Roman"/>
          <w:color w:val="222222"/>
          <w:sz w:val="24"/>
          <w:szCs w:val="24"/>
          <w:shd w:val="clear" w:color="auto" w:fill="FFFFFF"/>
        </w:rPr>
        <w:t xml:space="preserve"> mutations. </w:t>
      </w:r>
      <w:r w:rsidRPr="00B527AF">
        <w:rPr>
          <w:rFonts w:ascii="Times New Roman" w:hAnsi="Times New Roman" w:cs="Times New Roman"/>
          <w:i/>
          <w:iCs/>
          <w:color w:val="222222"/>
          <w:sz w:val="24"/>
          <w:szCs w:val="24"/>
          <w:shd w:val="clear" w:color="auto" w:fill="FFFFFF"/>
        </w:rPr>
        <w:t>Annals of Oncology</w:t>
      </w:r>
      <w:r w:rsidRPr="00B527AF">
        <w:rPr>
          <w:rFonts w:ascii="Times New Roman" w:hAnsi="Times New Roman" w:cs="Times New Roman"/>
          <w:color w:val="222222"/>
          <w:sz w:val="24"/>
          <w:szCs w:val="24"/>
          <w:shd w:val="clear" w:color="auto" w:fill="FFFFFF"/>
        </w:rPr>
        <w:t>, </w:t>
      </w:r>
      <w:r w:rsidRPr="00B527AF">
        <w:rPr>
          <w:rFonts w:ascii="Times New Roman" w:hAnsi="Times New Roman" w:cs="Times New Roman"/>
          <w:i/>
          <w:iCs/>
          <w:color w:val="222222"/>
          <w:sz w:val="24"/>
          <w:szCs w:val="24"/>
          <w:shd w:val="clear" w:color="auto" w:fill="FFFFFF"/>
        </w:rPr>
        <w:t>30</w:t>
      </w:r>
      <w:r w:rsidRPr="00B527AF">
        <w:rPr>
          <w:rFonts w:ascii="Times New Roman" w:hAnsi="Times New Roman" w:cs="Times New Roman"/>
          <w:color w:val="222222"/>
          <w:sz w:val="24"/>
          <w:szCs w:val="24"/>
          <w:shd w:val="clear" w:color="auto" w:fill="FFFFFF"/>
        </w:rPr>
        <w:t>, pp.ii31-ii32.</w:t>
      </w:r>
    </w:p>
    <w:p w14:paraId="725D2B16"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proofErr w:type="spellStart"/>
      <w:r w:rsidRPr="00B527AF">
        <w:rPr>
          <w:rFonts w:ascii="Times New Roman" w:hAnsi="Times New Roman" w:cs="Times New Roman"/>
          <w:color w:val="222222"/>
          <w:sz w:val="24"/>
          <w:szCs w:val="24"/>
          <w:shd w:val="clear" w:color="auto" w:fill="FFFFFF"/>
        </w:rPr>
        <w:t>Ghiasi</w:t>
      </w:r>
      <w:proofErr w:type="spellEnd"/>
      <w:r w:rsidRPr="00B527AF">
        <w:rPr>
          <w:rFonts w:ascii="Times New Roman" w:hAnsi="Times New Roman" w:cs="Times New Roman"/>
          <w:color w:val="222222"/>
          <w:sz w:val="24"/>
          <w:szCs w:val="24"/>
          <w:shd w:val="clear" w:color="auto" w:fill="FFFFFF"/>
        </w:rPr>
        <w:t xml:space="preserve">, N., </w:t>
      </w:r>
      <w:proofErr w:type="spellStart"/>
      <w:r w:rsidRPr="00B527AF">
        <w:rPr>
          <w:rFonts w:ascii="Times New Roman" w:hAnsi="Times New Roman" w:cs="Times New Roman"/>
          <w:color w:val="222222"/>
          <w:sz w:val="24"/>
          <w:szCs w:val="24"/>
          <w:shd w:val="clear" w:color="auto" w:fill="FFFFFF"/>
        </w:rPr>
        <w:t>Valizadeh</w:t>
      </w:r>
      <w:proofErr w:type="spellEnd"/>
      <w:r w:rsidRPr="00B527AF">
        <w:rPr>
          <w:rFonts w:ascii="Times New Roman" w:hAnsi="Times New Roman" w:cs="Times New Roman"/>
          <w:color w:val="222222"/>
          <w:sz w:val="24"/>
          <w:szCs w:val="24"/>
          <w:shd w:val="clear" w:color="auto" w:fill="FFFFFF"/>
        </w:rPr>
        <w:t xml:space="preserve">, R., </w:t>
      </w:r>
      <w:proofErr w:type="spellStart"/>
      <w:r w:rsidRPr="00B527AF">
        <w:rPr>
          <w:rFonts w:ascii="Times New Roman" w:hAnsi="Times New Roman" w:cs="Times New Roman"/>
          <w:color w:val="222222"/>
          <w:sz w:val="24"/>
          <w:szCs w:val="24"/>
          <w:shd w:val="clear" w:color="auto" w:fill="FFFFFF"/>
        </w:rPr>
        <w:t>Arabsorkhi</w:t>
      </w:r>
      <w:proofErr w:type="spellEnd"/>
      <w:r w:rsidRPr="00B527AF">
        <w:rPr>
          <w:rFonts w:ascii="Times New Roman" w:hAnsi="Times New Roman" w:cs="Times New Roman"/>
          <w:color w:val="222222"/>
          <w:sz w:val="24"/>
          <w:szCs w:val="24"/>
          <w:shd w:val="clear" w:color="auto" w:fill="FFFFFF"/>
        </w:rPr>
        <w:t xml:space="preserve">, M., </w:t>
      </w:r>
      <w:proofErr w:type="spellStart"/>
      <w:r w:rsidRPr="00B527AF">
        <w:rPr>
          <w:rFonts w:ascii="Times New Roman" w:hAnsi="Times New Roman" w:cs="Times New Roman"/>
          <w:color w:val="222222"/>
          <w:sz w:val="24"/>
          <w:szCs w:val="24"/>
          <w:shd w:val="clear" w:color="auto" w:fill="FFFFFF"/>
        </w:rPr>
        <w:t>Hoseyni</w:t>
      </w:r>
      <w:proofErr w:type="spellEnd"/>
      <w:r w:rsidRPr="00B527AF">
        <w:rPr>
          <w:rFonts w:ascii="Times New Roman" w:hAnsi="Times New Roman" w:cs="Times New Roman"/>
          <w:color w:val="222222"/>
          <w:sz w:val="24"/>
          <w:szCs w:val="24"/>
          <w:shd w:val="clear" w:color="auto" w:fill="FFFFFF"/>
        </w:rPr>
        <w:t xml:space="preserve">, T.S., Esfandiari, K., </w:t>
      </w:r>
      <w:proofErr w:type="spellStart"/>
      <w:r w:rsidRPr="00B527AF">
        <w:rPr>
          <w:rFonts w:ascii="Times New Roman" w:hAnsi="Times New Roman" w:cs="Times New Roman"/>
          <w:color w:val="222222"/>
          <w:sz w:val="24"/>
          <w:szCs w:val="24"/>
          <w:shd w:val="clear" w:color="auto" w:fill="FFFFFF"/>
        </w:rPr>
        <w:t>Sadighpour</w:t>
      </w:r>
      <w:proofErr w:type="spellEnd"/>
      <w:r w:rsidRPr="00B527AF">
        <w:rPr>
          <w:rFonts w:ascii="Times New Roman" w:hAnsi="Times New Roman" w:cs="Times New Roman"/>
          <w:color w:val="222222"/>
          <w:sz w:val="24"/>
          <w:szCs w:val="24"/>
          <w:shd w:val="clear" w:color="auto" w:fill="FFFFFF"/>
        </w:rPr>
        <w:t xml:space="preserve">, T. and </w:t>
      </w:r>
      <w:proofErr w:type="spellStart"/>
      <w:r w:rsidRPr="00B527AF">
        <w:rPr>
          <w:rFonts w:ascii="Times New Roman" w:hAnsi="Times New Roman" w:cs="Times New Roman"/>
          <w:color w:val="222222"/>
          <w:sz w:val="24"/>
          <w:szCs w:val="24"/>
          <w:shd w:val="clear" w:color="auto" w:fill="FFFFFF"/>
        </w:rPr>
        <w:t>Jahantigh</w:t>
      </w:r>
      <w:proofErr w:type="spellEnd"/>
      <w:r w:rsidRPr="00B527AF">
        <w:rPr>
          <w:rFonts w:ascii="Times New Roman" w:hAnsi="Times New Roman" w:cs="Times New Roman"/>
          <w:color w:val="222222"/>
          <w:sz w:val="24"/>
          <w:szCs w:val="24"/>
          <w:shd w:val="clear" w:color="auto" w:fill="FFFFFF"/>
        </w:rPr>
        <w:t>, H.R., 2021. Efficacy and side effects of Sputnik V, Sinopharm and AstraZeneca vaccines to stop COVID-19; a review and discussion. </w:t>
      </w:r>
      <w:proofErr w:type="spellStart"/>
      <w:r w:rsidRPr="00B527AF">
        <w:rPr>
          <w:rFonts w:ascii="Times New Roman" w:hAnsi="Times New Roman" w:cs="Times New Roman"/>
          <w:i/>
          <w:iCs/>
          <w:color w:val="222222"/>
          <w:sz w:val="24"/>
          <w:szCs w:val="24"/>
          <w:shd w:val="clear" w:color="auto" w:fill="FFFFFF"/>
        </w:rPr>
        <w:t>Immunopathologia</w:t>
      </w:r>
      <w:proofErr w:type="spellEnd"/>
      <w:r w:rsidRPr="00B527AF">
        <w:rPr>
          <w:rFonts w:ascii="Times New Roman" w:hAnsi="Times New Roman" w:cs="Times New Roman"/>
          <w:i/>
          <w:iCs/>
          <w:color w:val="222222"/>
          <w:sz w:val="24"/>
          <w:szCs w:val="24"/>
          <w:shd w:val="clear" w:color="auto" w:fill="FFFFFF"/>
        </w:rPr>
        <w:t xml:space="preserve"> </w:t>
      </w:r>
      <w:proofErr w:type="spellStart"/>
      <w:r w:rsidRPr="00B527AF">
        <w:rPr>
          <w:rFonts w:ascii="Times New Roman" w:hAnsi="Times New Roman" w:cs="Times New Roman"/>
          <w:i/>
          <w:iCs/>
          <w:color w:val="222222"/>
          <w:sz w:val="24"/>
          <w:szCs w:val="24"/>
          <w:shd w:val="clear" w:color="auto" w:fill="FFFFFF"/>
        </w:rPr>
        <w:t>Persa</w:t>
      </w:r>
      <w:proofErr w:type="spellEnd"/>
      <w:r w:rsidRPr="00B527AF">
        <w:rPr>
          <w:rFonts w:ascii="Times New Roman" w:hAnsi="Times New Roman" w:cs="Times New Roman"/>
          <w:color w:val="222222"/>
          <w:sz w:val="24"/>
          <w:szCs w:val="24"/>
          <w:shd w:val="clear" w:color="auto" w:fill="FFFFFF"/>
        </w:rPr>
        <w:t>, </w:t>
      </w:r>
      <w:r w:rsidRPr="00B527AF">
        <w:rPr>
          <w:rFonts w:ascii="Times New Roman" w:hAnsi="Times New Roman" w:cs="Times New Roman"/>
          <w:i/>
          <w:iCs/>
          <w:color w:val="222222"/>
          <w:sz w:val="24"/>
          <w:szCs w:val="24"/>
          <w:shd w:val="clear" w:color="auto" w:fill="FFFFFF"/>
        </w:rPr>
        <w:t>7</w:t>
      </w:r>
      <w:r w:rsidRPr="00B527AF">
        <w:rPr>
          <w:rFonts w:ascii="Times New Roman" w:hAnsi="Times New Roman" w:cs="Times New Roman"/>
          <w:color w:val="222222"/>
          <w:sz w:val="24"/>
          <w:szCs w:val="24"/>
          <w:shd w:val="clear" w:color="auto" w:fill="FFFFFF"/>
        </w:rPr>
        <w:t>(2), pp.e31-e31.</w:t>
      </w:r>
    </w:p>
    <w:p w14:paraId="7B4AE81F" w14:textId="77777777" w:rsidR="00563A70" w:rsidRPr="00B527AF" w:rsidRDefault="00563A70" w:rsidP="00AD3962">
      <w:pPr>
        <w:spacing w:before="240" w:line="360" w:lineRule="auto"/>
        <w:jc w:val="both"/>
        <w:rPr>
          <w:rFonts w:ascii="Times New Roman" w:hAnsi="Times New Roman" w:cs="Times New Roman"/>
          <w:sz w:val="24"/>
          <w:szCs w:val="24"/>
        </w:rPr>
      </w:pPr>
      <w:proofErr w:type="spellStart"/>
      <w:r w:rsidRPr="00B527AF">
        <w:rPr>
          <w:rFonts w:ascii="Times New Roman" w:hAnsi="Times New Roman" w:cs="Times New Roman"/>
          <w:color w:val="222222"/>
          <w:sz w:val="24"/>
          <w:szCs w:val="24"/>
          <w:shd w:val="clear" w:color="auto" w:fill="FFFFFF"/>
        </w:rPr>
        <w:t>Ghiasi</w:t>
      </w:r>
      <w:proofErr w:type="spellEnd"/>
      <w:r w:rsidRPr="00B527AF">
        <w:rPr>
          <w:rFonts w:ascii="Times New Roman" w:hAnsi="Times New Roman" w:cs="Times New Roman"/>
          <w:color w:val="222222"/>
          <w:sz w:val="24"/>
          <w:szCs w:val="24"/>
          <w:shd w:val="clear" w:color="auto" w:fill="FFFFFF"/>
        </w:rPr>
        <w:t xml:space="preserve">, N., </w:t>
      </w:r>
      <w:proofErr w:type="spellStart"/>
      <w:r w:rsidRPr="00B527AF">
        <w:rPr>
          <w:rFonts w:ascii="Times New Roman" w:hAnsi="Times New Roman" w:cs="Times New Roman"/>
          <w:color w:val="222222"/>
          <w:sz w:val="24"/>
          <w:szCs w:val="24"/>
          <w:shd w:val="clear" w:color="auto" w:fill="FFFFFF"/>
        </w:rPr>
        <w:t>Valizadeh</w:t>
      </w:r>
      <w:proofErr w:type="spellEnd"/>
      <w:r w:rsidRPr="00B527AF">
        <w:rPr>
          <w:rFonts w:ascii="Times New Roman" w:hAnsi="Times New Roman" w:cs="Times New Roman"/>
          <w:color w:val="222222"/>
          <w:sz w:val="24"/>
          <w:szCs w:val="24"/>
          <w:shd w:val="clear" w:color="auto" w:fill="FFFFFF"/>
        </w:rPr>
        <w:t xml:space="preserve">, R., </w:t>
      </w:r>
      <w:proofErr w:type="spellStart"/>
      <w:r w:rsidRPr="00B527AF">
        <w:rPr>
          <w:rFonts w:ascii="Times New Roman" w:hAnsi="Times New Roman" w:cs="Times New Roman"/>
          <w:color w:val="222222"/>
          <w:sz w:val="24"/>
          <w:szCs w:val="24"/>
          <w:shd w:val="clear" w:color="auto" w:fill="FFFFFF"/>
        </w:rPr>
        <w:t>Arabsorkhi</w:t>
      </w:r>
      <w:proofErr w:type="spellEnd"/>
      <w:r w:rsidRPr="00B527AF">
        <w:rPr>
          <w:rFonts w:ascii="Times New Roman" w:hAnsi="Times New Roman" w:cs="Times New Roman"/>
          <w:color w:val="222222"/>
          <w:sz w:val="24"/>
          <w:szCs w:val="24"/>
          <w:shd w:val="clear" w:color="auto" w:fill="FFFFFF"/>
        </w:rPr>
        <w:t xml:space="preserve">, M., </w:t>
      </w:r>
      <w:proofErr w:type="spellStart"/>
      <w:r w:rsidRPr="00B527AF">
        <w:rPr>
          <w:rFonts w:ascii="Times New Roman" w:hAnsi="Times New Roman" w:cs="Times New Roman"/>
          <w:color w:val="222222"/>
          <w:sz w:val="24"/>
          <w:szCs w:val="24"/>
          <w:shd w:val="clear" w:color="auto" w:fill="FFFFFF"/>
        </w:rPr>
        <w:t>Hoseyni</w:t>
      </w:r>
      <w:proofErr w:type="spellEnd"/>
      <w:r w:rsidRPr="00B527AF">
        <w:rPr>
          <w:rFonts w:ascii="Times New Roman" w:hAnsi="Times New Roman" w:cs="Times New Roman"/>
          <w:color w:val="222222"/>
          <w:sz w:val="24"/>
          <w:szCs w:val="24"/>
          <w:shd w:val="clear" w:color="auto" w:fill="FFFFFF"/>
        </w:rPr>
        <w:t xml:space="preserve">, T.S., Esfandiari, K., </w:t>
      </w:r>
      <w:proofErr w:type="spellStart"/>
      <w:r w:rsidRPr="00B527AF">
        <w:rPr>
          <w:rFonts w:ascii="Times New Roman" w:hAnsi="Times New Roman" w:cs="Times New Roman"/>
          <w:color w:val="222222"/>
          <w:sz w:val="24"/>
          <w:szCs w:val="24"/>
          <w:shd w:val="clear" w:color="auto" w:fill="FFFFFF"/>
        </w:rPr>
        <w:t>Sadighpour</w:t>
      </w:r>
      <w:proofErr w:type="spellEnd"/>
      <w:r w:rsidRPr="00B527AF">
        <w:rPr>
          <w:rFonts w:ascii="Times New Roman" w:hAnsi="Times New Roman" w:cs="Times New Roman"/>
          <w:color w:val="222222"/>
          <w:sz w:val="24"/>
          <w:szCs w:val="24"/>
          <w:shd w:val="clear" w:color="auto" w:fill="FFFFFF"/>
        </w:rPr>
        <w:t xml:space="preserve">, T. and </w:t>
      </w:r>
      <w:proofErr w:type="spellStart"/>
      <w:r w:rsidRPr="00B527AF">
        <w:rPr>
          <w:rFonts w:ascii="Times New Roman" w:hAnsi="Times New Roman" w:cs="Times New Roman"/>
          <w:color w:val="222222"/>
          <w:sz w:val="24"/>
          <w:szCs w:val="24"/>
          <w:shd w:val="clear" w:color="auto" w:fill="FFFFFF"/>
        </w:rPr>
        <w:t>Jahantigh</w:t>
      </w:r>
      <w:proofErr w:type="spellEnd"/>
      <w:r w:rsidRPr="00B527AF">
        <w:rPr>
          <w:rFonts w:ascii="Times New Roman" w:hAnsi="Times New Roman" w:cs="Times New Roman"/>
          <w:color w:val="222222"/>
          <w:sz w:val="24"/>
          <w:szCs w:val="24"/>
          <w:shd w:val="clear" w:color="auto" w:fill="FFFFFF"/>
        </w:rPr>
        <w:t>, H.R., 2021. Efficacy and side effects of Sputnik V, Sinopharm and AstraZeneca vaccines to stop COVID-19; a review and discussion. </w:t>
      </w:r>
      <w:proofErr w:type="spellStart"/>
      <w:r w:rsidRPr="00B527AF">
        <w:rPr>
          <w:rFonts w:ascii="Times New Roman" w:hAnsi="Times New Roman" w:cs="Times New Roman"/>
          <w:i/>
          <w:iCs/>
          <w:color w:val="222222"/>
          <w:sz w:val="24"/>
          <w:szCs w:val="24"/>
          <w:shd w:val="clear" w:color="auto" w:fill="FFFFFF"/>
        </w:rPr>
        <w:t>Immunopathologia</w:t>
      </w:r>
      <w:proofErr w:type="spellEnd"/>
      <w:r w:rsidRPr="00B527AF">
        <w:rPr>
          <w:rFonts w:ascii="Times New Roman" w:hAnsi="Times New Roman" w:cs="Times New Roman"/>
          <w:i/>
          <w:iCs/>
          <w:color w:val="222222"/>
          <w:sz w:val="24"/>
          <w:szCs w:val="24"/>
          <w:shd w:val="clear" w:color="auto" w:fill="FFFFFF"/>
        </w:rPr>
        <w:t xml:space="preserve"> </w:t>
      </w:r>
      <w:proofErr w:type="spellStart"/>
      <w:r w:rsidRPr="00B527AF">
        <w:rPr>
          <w:rFonts w:ascii="Times New Roman" w:hAnsi="Times New Roman" w:cs="Times New Roman"/>
          <w:i/>
          <w:iCs/>
          <w:color w:val="222222"/>
          <w:sz w:val="24"/>
          <w:szCs w:val="24"/>
          <w:shd w:val="clear" w:color="auto" w:fill="FFFFFF"/>
        </w:rPr>
        <w:t>Persa</w:t>
      </w:r>
      <w:proofErr w:type="spellEnd"/>
      <w:r w:rsidRPr="00B527AF">
        <w:rPr>
          <w:rFonts w:ascii="Times New Roman" w:hAnsi="Times New Roman" w:cs="Times New Roman"/>
          <w:color w:val="222222"/>
          <w:sz w:val="24"/>
          <w:szCs w:val="24"/>
          <w:shd w:val="clear" w:color="auto" w:fill="FFFFFF"/>
        </w:rPr>
        <w:t>, </w:t>
      </w:r>
      <w:r w:rsidRPr="00B527AF">
        <w:rPr>
          <w:rFonts w:ascii="Times New Roman" w:hAnsi="Times New Roman" w:cs="Times New Roman"/>
          <w:i/>
          <w:iCs/>
          <w:color w:val="222222"/>
          <w:sz w:val="24"/>
          <w:szCs w:val="24"/>
          <w:shd w:val="clear" w:color="auto" w:fill="FFFFFF"/>
        </w:rPr>
        <w:t>7</w:t>
      </w:r>
      <w:r w:rsidRPr="00B527AF">
        <w:rPr>
          <w:rFonts w:ascii="Times New Roman" w:hAnsi="Times New Roman" w:cs="Times New Roman"/>
          <w:color w:val="222222"/>
          <w:sz w:val="24"/>
          <w:szCs w:val="24"/>
          <w:shd w:val="clear" w:color="auto" w:fill="FFFFFF"/>
        </w:rPr>
        <w:t>(2), pp.e31-e31.</w:t>
      </w:r>
    </w:p>
    <w:p w14:paraId="03B7D44B" w14:textId="77777777" w:rsidR="00563A70" w:rsidRPr="00B527AF" w:rsidRDefault="00563A70" w:rsidP="00AD3962">
      <w:pPr>
        <w:spacing w:before="240" w:line="360" w:lineRule="auto"/>
        <w:jc w:val="both"/>
        <w:rPr>
          <w:rFonts w:ascii="Times New Roman" w:hAnsi="Times New Roman" w:cs="Times New Roman"/>
          <w:sz w:val="24"/>
          <w:szCs w:val="24"/>
        </w:rPr>
      </w:pPr>
      <w:proofErr w:type="spellStart"/>
      <w:r w:rsidRPr="00B527AF">
        <w:rPr>
          <w:rFonts w:ascii="Times New Roman" w:hAnsi="Times New Roman" w:cs="Times New Roman"/>
          <w:color w:val="222222"/>
          <w:sz w:val="24"/>
          <w:szCs w:val="24"/>
          <w:shd w:val="clear" w:color="auto" w:fill="FFFFFF"/>
        </w:rPr>
        <w:t>Izquierdo</w:t>
      </w:r>
      <w:proofErr w:type="spellEnd"/>
      <w:r w:rsidRPr="00B527AF">
        <w:rPr>
          <w:rFonts w:ascii="Times New Roman" w:hAnsi="Times New Roman" w:cs="Times New Roman"/>
          <w:color w:val="222222"/>
          <w:sz w:val="24"/>
          <w:szCs w:val="24"/>
          <w:shd w:val="clear" w:color="auto" w:fill="FFFFFF"/>
        </w:rPr>
        <w:t xml:space="preserve">, M.E., Marion, C.R., Moore, W.C., </w:t>
      </w:r>
      <w:proofErr w:type="spellStart"/>
      <w:r w:rsidRPr="00B527AF">
        <w:rPr>
          <w:rFonts w:ascii="Times New Roman" w:hAnsi="Times New Roman" w:cs="Times New Roman"/>
          <w:color w:val="222222"/>
          <w:sz w:val="24"/>
          <w:szCs w:val="24"/>
          <w:shd w:val="clear" w:color="auto" w:fill="FFFFFF"/>
        </w:rPr>
        <w:t>Raraigh</w:t>
      </w:r>
      <w:proofErr w:type="spellEnd"/>
      <w:r w:rsidRPr="00B527AF">
        <w:rPr>
          <w:rFonts w:ascii="Times New Roman" w:hAnsi="Times New Roman" w:cs="Times New Roman"/>
          <w:color w:val="222222"/>
          <w:sz w:val="24"/>
          <w:szCs w:val="24"/>
          <w:shd w:val="clear" w:color="auto" w:fill="FFFFFF"/>
        </w:rPr>
        <w:t>, K.S., Taylor‐</w:t>
      </w:r>
      <w:proofErr w:type="spellStart"/>
      <w:r w:rsidRPr="00B527AF">
        <w:rPr>
          <w:rFonts w:ascii="Times New Roman" w:hAnsi="Times New Roman" w:cs="Times New Roman"/>
          <w:color w:val="222222"/>
          <w:sz w:val="24"/>
          <w:szCs w:val="24"/>
          <w:shd w:val="clear" w:color="auto" w:fill="FFFFFF"/>
        </w:rPr>
        <w:t>Cousar</w:t>
      </w:r>
      <w:proofErr w:type="spellEnd"/>
      <w:r w:rsidRPr="00B527AF">
        <w:rPr>
          <w:rFonts w:ascii="Times New Roman" w:hAnsi="Times New Roman" w:cs="Times New Roman"/>
          <w:color w:val="222222"/>
          <w:sz w:val="24"/>
          <w:szCs w:val="24"/>
          <w:shd w:val="clear" w:color="auto" w:fill="FFFFFF"/>
        </w:rPr>
        <w:t xml:space="preserve">, J.L., Cutting, G.R., </w:t>
      </w:r>
      <w:proofErr w:type="spellStart"/>
      <w:r w:rsidRPr="00B527AF">
        <w:rPr>
          <w:rFonts w:ascii="Times New Roman" w:hAnsi="Times New Roman" w:cs="Times New Roman"/>
          <w:color w:val="222222"/>
          <w:sz w:val="24"/>
          <w:szCs w:val="24"/>
          <w:shd w:val="clear" w:color="auto" w:fill="FFFFFF"/>
        </w:rPr>
        <w:t>Ampleford</w:t>
      </w:r>
      <w:proofErr w:type="spellEnd"/>
      <w:r w:rsidRPr="00B527AF">
        <w:rPr>
          <w:rFonts w:ascii="Times New Roman" w:hAnsi="Times New Roman" w:cs="Times New Roman"/>
          <w:color w:val="222222"/>
          <w:sz w:val="24"/>
          <w:szCs w:val="24"/>
          <w:shd w:val="clear" w:color="auto" w:fill="FFFFFF"/>
        </w:rPr>
        <w:t xml:space="preserve">, E., Hawkins, G.A., Zein, J., Castro, M. and Denlinger, L.C., 2022. DNA sequencing analysis of cystic fibrosis transmembrane conductance regulator gene identifies cystic fibrosis‐associated variants in the Severe Asthma Research Program. </w:t>
      </w:r>
      <w:r w:rsidRPr="00B527AF">
        <w:rPr>
          <w:rFonts w:ascii="Times New Roman" w:hAnsi="Times New Roman" w:cs="Times New Roman"/>
          <w:i/>
          <w:iCs/>
          <w:color w:val="222222"/>
          <w:sz w:val="24"/>
          <w:szCs w:val="24"/>
          <w:shd w:val="clear" w:color="auto" w:fill="FFFFFF"/>
        </w:rPr>
        <w:t>Pediatric pulmonology</w:t>
      </w:r>
      <w:r w:rsidRPr="00B527AF">
        <w:rPr>
          <w:rFonts w:ascii="Times New Roman" w:hAnsi="Times New Roman" w:cs="Times New Roman"/>
          <w:color w:val="222222"/>
          <w:sz w:val="24"/>
          <w:szCs w:val="24"/>
          <w:shd w:val="clear" w:color="auto" w:fill="FFFFFF"/>
        </w:rPr>
        <w:t xml:space="preserve">, </w:t>
      </w:r>
      <w:r w:rsidRPr="00B527AF">
        <w:rPr>
          <w:rFonts w:ascii="Times New Roman" w:hAnsi="Times New Roman" w:cs="Times New Roman"/>
          <w:i/>
          <w:iCs/>
          <w:color w:val="222222"/>
          <w:sz w:val="24"/>
          <w:szCs w:val="24"/>
          <w:shd w:val="clear" w:color="auto" w:fill="FFFFFF"/>
        </w:rPr>
        <w:t>57</w:t>
      </w:r>
      <w:r w:rsidRPr="00B527AF">
        <w:rPr>
          <w:rFonts w:ascii="Times New Roman" w:hAnsi="Times New Roman" w:cs="Times New Roman"/>
          <w:color w:val="222222"/>
          <w:sz w:val="24"/>
          <w:szCs w:val="24"/>
          <w:shd w:val="clear" w:color="auto" w:fill="FFFFFF"/>
        </w:rPr>
        <w:t>(7), pp.1782-1788.</w:t>
      </w:r>
    </w:p>
    <w:p w14:paraId="3E57EB6E" w14:textId="77777777" w:rsidR="00563A70" w:rsidRPr="00B527AF" w:rsidRDefault="00563A70" w:rsidP="00AD3962">
      <w:pPr>
        <w:spacing w:before="240" w:line="360" w:lineRule="auto"/>
        <w:jc w:val="both"/>
        <w:rPr>
          <w:rFonts w:ascii="Times New Roman" w:hAnsi="Times New Roman" w:cs="Times New Roman"/>
          <w:sz w:val="24"/>
          <w:szCs w:val="24"/>
        </w:rPr>
      </w:pPr>
      <w:proofErr w:type="spellStart"/>
      <w:r w:rsidRPr="00B527AF">
        <w:rPr>
          <w:rFonts w:ascii="Times New Roman" w:hAnsi="Times New Roman" w:cs="Times New Roman"/>
          <w:color w:val="222222"/>
          <w:sz w:val="24"/>
          <w:szCs w:val="24"/>
          <w:shd w:val="clear" w:color="auto" w:fill="FFFFFF"/>
        </w:rPr>
        <w:t>Khalfaoui</w:t>
      </w:r>
      <w:proofErr w:type="spellEnd"/>
      <w:r w:rsidRPr="00B527AF">
        <w:rPr>
          <w:rFonts w:ascii="Times New Roman" w:hAnsi="Times New Roman" w:cs="Times New Roman"/>
          <w:color w:val="222222"/>
          <w:sz w:val="24"/>
          <w:szCs w:val="24"/>
          <w:shd w:val="clear" w:color="auto" w:fill="FFFFFF"/>
        </w:rPr>
        <w:t xml:space="preserve">, L., Symon, F.A., Couillard, S., Hargadon, B., Chaudhuri, R., Bicknell, S., Mansur, A.H., </w:t>
      </w:r>
      <w:proofErr w:type="spellStart"/>
      <w:r w:rsidRPr="00B527AF">
        <w:rPr>
          <w:rFonts w:ascii="Times New Roman" w:hAnsi="Times New Roman" w:cs="Times New Roman"/>
          <w:color w:val="222222"/>
          <w:sz w:val="24"/>
          <w:szCs w:val="24"/>
          <w:shd w:val="clear" w:color="auto" w:fill="FFFFFF"/>
        </w:rPr>
        <w:t>Shrimanker</w:t>
      </w:r>
      <w:proofErr w:type="spellEnd"/>
      <w:r w:rsidRPr="00B527AF">
        <w:rPr>
          <w:rFonts w:ascii="Times New Roman" w:hAnsi="Times New Roman" w:cs="Times New Roman"/>
          <w:color w:val="222222"/>
          <w:sz w:val="24"/>
          <w:szCs w:val="24"/>
          <w:shd w:val="clear" w:color="auto" w:fill="FFFFFF"/>
        </w:rPr>
        <w:t xml:space="preserve">, R., Hinks, T.S., </w:t>
      </w:r>
      <w:proofErr w:type="spellStart"/>
      <w:r w:rsidRPr="00B527AF">
        <w:rPr>
          <w:rFonts w:ascii="Times New Roman" w:hAnsi="Times New Roman" w:cs="Times New Roman"/>
          <w:color w:val="222222"/>
          <w:sz w:val="24"/>
          <w:szCs w:val="24"/>
          <w:shd w:val="clear" w:color="auto" w:fill="FFFFFF"/>
        </w:rPr>
        <w:t>Pavord</w:t>
      </w:r>
      <w:proofErr w:type="spellEnd"/>
      <w:r w:rsidRPr="00B527AF">
        <w:rPr>
          <w:rFonts w:ascii="Times New Roman" w:hAnsi="Times New Roman" w:cs="Times New Roman"/>
          <w:color w:val="222222"/>
          <w:sz w:val="24"/>
          <w:szCs w:val="24"/>
          <w:shd w:val="clear" w:color="auto" w:fill="FFFFFF"/>
        </w:rPr>
        <w:t xml:space="preserve">, I.D. and Fowler, S.J., 2022. Airway </w:t>
      </w:r>
      <w:proofErr w:type="spellStart"/>
      <w:r w:rsidRPr="00B527AF">
        <w:rPr>
          <w:rFonts w:ascii="Times New Roman" w:hAnsi="Times New Roman" w:cs="Times New Roman"/>
          <w:color w:val="222222"/>
          <w:sz w:val="24"/>
          <w:szCs w:val="24"/>
          <w:shd w:val="clear" w:color="auto" w:fill="FFFFFF"/>
        </w:rPr>
        <w:t>remodelling</w:t>
      </w:r>
      <w:proofErr w:type="spellEnd"/>
      <w:r w:rsidRPr="00B527AF">
        <w:rPr>
          <w:rFonts w:ascii="Times New Roman" w:hAnsi="Times New Roman" w:cs="Times New Roman"/>
          <w:color w:val="222222"/>
          <w:sz w:val="24"/>
          <w:szCs w:val="24"/>
          <w:shd w:val="clear" w:color="auto" w:fill="FFFFFF"/>
        </w:rPr>
        <w:t xml:space="preserve"> rather than cellular infiltration characterizes both type2 cytokine biomarker‐high and‐low severe asthma. </w:t>
      </w:r>
      <w:r w:rsidRPr="00B527AF">
        <w:rPr>
          <w:rFonts w:ascii="Times New Roman" w:hAnsi="Times New Roman" w:cs="Times New Roman"/>
          <w:i/>
          <w:iCs/>
          <w:color w:val="222222"/>
          <w:sz w:val="24"/>
          <w:szCs w:val="24"/>
          <w:shd w:val="clear" w:color="auto" w:fill="FFFFFF"/>
        </w:rPr>
        <w:t>Allergy</w:t>
      </w:r>
      <w:r w:rsidRPr="00B527AF">
        <w:rPr>
          <w:rFonts w:ascii="Times New Roman" w:hAnsi="Times New Roman" w:cs="Times New Roman"/>
          <w:color w:val="222222"/>
          <w:sz w:val="24"/>
          <w:szCs w:val="24"/>
          <w:shd w:val="clear" w:color="auto" w:fill="FFFFFF"/>
        </w:rPr>
        <w:t xml:space="preserve">, </w:t>
      </w:r>
      <w:r w:rsidRPr="00B527AF">
        <w:rPr>
          <w:rFonts w:ascii="Times New Roman" w:hAnsi="Times New Roman" w:cs="Times New Roman"/>
          <w:i/>
          <w:iCs/>
          <w:color w:val="222222"/>
          <w:sz w:val="24"/>
          <w:szCs w:val="24"/>
          <w:shd w:val="clear" w:color="auto" w:fill="FFFFFF"/>
        </w:rPr>
        <w:t>77</w:t>
      </w:r>
      <w:r w:rsidRPr="00B527AF">
        <w:rPr>
          <w:rFonts w:ascii="Times New Roman" w:hAnsi="Times New Roman" w:cs="Times New Roman"/>
          <w:color w:val="222222"/>
          <w:sz w:val="24"/>
          <w:szCs w:val="24"/>
          <w:shd w:val="clear" w:color="auto" w:fill="FFFFFF"/>
        </w:rPr>
        <w:t>(10), pp.2974-2986.</w:t>
      </w:r>
    </w:p>
    <w:p w14:paraId="4DEFBEEA" w14:textId="77777777" w:rsidR="00563A70" w:rsidRPr="00B527AF" w:rsidRDefault="00563A70"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color w:val="222222"/>
          <w:sz w:val="24"/>
          <w:szCs w:val="24"/>
          <w:shd w:val="clear" w:color="auto" w:fill="FFFFFF"/>
        </w:rPr>
        <w:t xml:space="preserve">Lim, E.A., </w:t>
      </w:r>
      <w:proofErr w:type="spellStart"/>
      <w:r w:rsidRPr="00B527AF">
        <w:rPr>
          <w:rFonts w:ascii="Times New Roman" w:hAnsi="Times New Roman" w:cs="Times New Roman"/>
          <w:color w:val="222222"/>
          <w:sz w:val="24"/>
          <w:szCs w:val="24"/>
          <w:shd w:val="clear" w:color="auto" w:fill="FFFFFF"/>
        </w:rPr>
        <w:t>Bendell</w:t>
      </w:r>
      <w:proofErr w:type="spellEnd"/>
      <w:r w:rsidRPr="00B527AF">
        <w:rPr>
          <w:rFonts w:ascii="Times New Roman" w:hAnsi="Times New Roman" w:cs="Times New Roman"/>
          <w:color w:val="222222"/>
          <w:sz w:val="24"/>
          <w:szCs w:val="24"/>
          <w:shd w:val="clear" w:color="auto" w:fill="FFFFFF"/>
        </w:rPr>
        <w:t xml:space="preserve">, J.C., </w:t>
      </w:r>
      <w:proofErr w:type="spellStart"/>
      <w:r w:rsidRPr="00B527AF">
        <w:rPr>
          <w:rFonts w:ascii="Times New Roman" w:hAnsi="Times New Roman" w:cs="Times New Roman"/>
          <w:color w:val="222222"/>
          <w:sz w:val="24"/>
          <w:szCs w:val="24"/>
          <w:shd w:val="clear" w:color="auto" w:fill="FFFFFF"/>
        </w:rPr>
        <w:t>Falchook</w:t>
      </w:r>
      <w:proofErr w:type="spellEnd"/>
      <w:r w:rsidRPr="00B527AF">
        <w:rPr>
          <w:rFonts w:ascii="Times New Roman" w:hAnsi="Times New Roman" w:cs="Times New Roman"/>
          <w:color w:val="222222"/>
          <w:sz w:val="24"/>
          <w:szCs w:val="24"/>
          <w:shd w:val="clear" w:color="auto" w:fill="FFFFFF"/>
        </w:rPr>
        <w:t xml:space="preserve">, G.S., Bauer, T.M., Drake, C.G., Choe, J.H., George, D.J., </w:t>
      </w:r>
      <w:proofErr w:type="spellStart"/>
      <w:r w:rsidRPr="00B527AF">
        <w:rPr>
          <w:rFonts w:ascii="Times New Roman" w:hAnsi="Times New Roman" w:cs="Times New Roman"/>
          <w:color w:val="222222"/>
          <w:sz w:val="24"/>
          <w:szCs w:val="24"/>
          <w:shd w:val="clear" w:color="auto" w:fill="FFFFFF"/>
        </w:rPr>
        <w:t>Karlix</w:t>
      </w:r>
      <w:proofErr w:type="spellEnd"/>
      <w:r w:rsidRPr="00B527AF">
        <w:rPr>
          <w:rFonts w:ascii="Times New Roman" w:hAnsi="Times New Roman" w:cs="Times New Roman"/>
          <w:color w:val="222222"/>
          <w:sz w:val="24"/>
          <w:szCs w:val="24"/>
          <w:shd w:val="clear" w:color="auto" w:fill="FFFFFF"/>
        </w:rPr>
        <w:t xml:space="preserve">, J.L., </w:t>
      </w:r>
      <w:proofErr w:type="spellStart"/>
      <w:r w:rsidRPr="00B527AF">
        <w:rPr>
          <w:rFonts w:ascii="Times New Roman" w:hAnsi="Times New Roman" w:cs="Times New Roman"/>
          <w:color w:val="222222"/>
          <w:sz w:val="24"/>
          <w:szCs w:val="24"/>
          <w:shd w:val="clear" w:color="auto" w:fill="FFFFFF"/>
        </w:rPr>
        <w:t>Ulahannan</w:t>
      </w:r>
      <w:proofErr w:type="spellEnd"/>
      <w:r w:rsidRPr="00B527AF">
        <w:rPr>
          <w:rFonts w:ascii="Times New Roman" w:hAnsi="Times New Roman" w:cs="Times New Roman"/>
          <w:color w:val="222222"/>
          <w:sz w:val="24"/>
          <w:szCs w:val="24"/>
          <w:shd w:val="clear" w:color="auto" w:fill="FFFFFF"/>
        </w:rPr>
        <w:t xml:space="preserve">, S., </w:t>
      </w:r>
      <w:proofErr w:type="spellStart"/>
      <w:r w:rsidRPr="00B527AF">
        <w:rPr>
          <w:rFonts w:ascii="Times New Roman" w:hAnsi="Times New Roman" w:cs="Times New Roman"/>
          <w:color w:val="222222"/>
          <w:sz w:val="24"/>
          <w:szCs w:val="24"/>
          <w:shd w:val="clear" w:color="auto" w:fill="FFFFFF"/>
        </w:rPr>
        <w:t>Sachsenmeier</w:t>
      </w:r>
      <w:proofErr w:type="spellEnd"/>
      <w:r w:rsidRPr="00B527AF">
        <w:rPr>
          <w:rFonts w:ascii="Times New Roman" w:hAnsi="Times New Roman" w:cs="Times New Roman"/>
          <w:color w:val="222222"/>
          <w:sz w:val="24"/>
          <w:szCs w:val="24"/>
          <w:shd w:val="clear" w:color="auto" w:fill="FFFFFF"/>
        </w:rPr>
        <w:t xml:space="preserve">, K.F. and Russell, D.L., 2022. Phase 1a/b, Open-label, Multicenter Study of AZD4635 (an Adenosine 2A Receptor Antagonist) as Monotherapy or Combined with Durvalumab, in Patients with Solid Tumors. </w:t>
      </w:r>
      <w:r w:rsidRPr="00B527AF">
        <w:rPr>
          <w:rFonts w:ascii="Times New Roman" w:hAnsi="Times New Roman" w:cs="Times New Roman"/>
          <w:i/>
          <w:iCs/>
          <w:color w:val="222222"/>
          <w:sz w:val="24"/>
          <w:szCs w:val="24"/>
          <w:shd w:val="clear" w:color="auto" w:fill="FFFFFF"/>
        </w:rPr>
        <w:t>Clinical Cancer Research: an Official Journal of the American Association for Cancer Research</w:t>
      </w:r>
      <w:r w:rsidRPr="00B527AF">
        <w:rPr>
          <w:rFonts w:ascii="Times New Roman" w:hAnsi="Times New Roman" w:cs="Times New Roman"/>
          <w:color w:val="222222"/>
          <w:sz w:val="24"/>
          <w:szCs w:val="24"/>
          <w:shd w:val="clear" w:color="auto" w:fill="FFFFFF"/>
        </w:rPr>
        <w:t>, pp.CCR-22.</w:t>
      </w:r>
    </w:p>
    <w:p w14:paraId="017BFCB1" w14:textId="77777777" w:rsidR="00563A70" w:rsidRPr="00B527AF" w:rsidRDefault="00563A70" w:rsidP="00AD3962">
      <w:pPr>
        <w:spacing w:before="240" w:line="360" w:lineRule="auto"/>
        <w:jc w:val="both"/>
        <w:rPr>
          <w:rFonts w:ascii="Times New Roman" w:hAnsi="Times New Roman" w:cs="Times New Roman"/>
          <w:sz w:val="24"/>
          <w:szCs w:val="24"/>
        </w:rPr>
      </w:pPr>
      <w:proofErr w:type="spellStart"/>
      <w:r w:rsidRPr="00B527AF">
        <w:rPr>
          <w:rFonts w:ascii="Times New Roman" w:hAnsi="Times New Roman" w:cs="Times New Roman"/>
          <w:color w:val="222222"/>
          <w:sz w:val="24"/>
          <w:szCs w:val="24"/>
        </w:rPr>
        <w:t>Mallapaty</w:t>
      </w:r>
      <w:proofErr w:type="spellEnd"/>
      <w:r w:rsidRPr="00B527AF">
        <w:rPr>
          <w:rFonts w:ascii="Times New Roman" w:hAnsi="Times New Roman" w:cs="Times New Roman"/>
          <w:color w:val="222222"/>
          <w:sz w:val="24"/>
          <w:szCs w:val="24"/>
        </w:rPr>
        <w:t xml:space="preserve">, S. and Callaway, E., 2021. What scientists do and don’t know about the Oxford-AstraZeneca COVID vaccine. </w:t>
      </w:r>
      <w:r w:rsidRPr="00B527AF">
        <w:rPr>
          <w:rFonts w:ascii="Times New Roman" w:hAnsi="Times New Roman" w:cs="Times New Roman"/>
          <w:i/>
          <w:iCs/>
          <w:color w:val="222222"/>
          <w:sz w:val="24"/>
          <w:szCs w:val="24"/>
        </w:rPr>
        <w:t>Nature</w:t>
      </w:r>
      <w:r w:rsidRPr="00B527AF">
        <w:rPr>
          <w:rFonts w:ascii="Times New Roman" w:hAnsi="Times New Roman" w:cs="Times New Roman"/>
          <w:color w:val="222222"/>
          <w:sz w:val="24"/>
          <w:szCs w:val="24"/>
        </w:rPr>
        <w:t xml:space="preserve">, </w:t>
      </w:r>
      <w:r w:rsidRPr="00B527AF">
        <w:rPr>
          <w:rFonts w:ascii="Times New Roman" w:hAnsi="Times New Roman" w:cs="Times New Roman"/>
          <w:i/>
          <w:iCs/>
          <w:color w:val="222222"/>
          <w:sz w:val="24"/>
          <w:szCs w:val="24"/>
        </w:rPr>
        <w:t>592</w:t>
      </w:r>
      <w:r w:rsidRPr="00B527AF">
        <w:rPr>
          <w:rFonts w:ascii="Times New Roman" w:hAnsi="Times New Roman" w:cs="Times New Roman"/>
          <w:color w:val="222222"/>
          <w:sz w:val="24"/>
          <w:szCs w:val="24"/>
        </w:rPr>
        <w:t>(7852), pp.15-17</w:t>
      </w:r>
    </w:p>
    <w:p w14:paraId="0C99B213"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proofErr w:type="spellStart"/>
      <w:r w:rsidRPr="00B527AF">
        <w:rPr>
          <w:rFonts w:ascii="Times New Roman" w:hAnsi="Times New Roman" w:cs="Times New Roman"/>
          <w:color w:val="222222"/>
          <w:sz w:val="24"/>
          <w:szCs w:val="24"/>
          <w:shd w:val="clear" w:color="auto" w:fill="FFFFFF"/>
        </w:rPr>
        <w:t>Neelapu</w:t>
      </w:r>
      <w:proofErr w:type="spellEnd"/>
      <w:r w:rsidRPr="00B527AF">
        <w:rPr>
          <w:rFonts w:ascii="Times New Roman" w:hAnsi="Times New Roman" w:cs="Times New Roman"/>
          <w:color w:val="222222"/>
          <w:sz w:val="24"/>
          <w:szCs w:val="24"/>
          <w:shd w:val="clear" w:color="auto" w:fill="FFFFFF"/>
        </w:rPr>
        <w:t xml:space="preserve">, S.S., Dickinson, M., Munoz, J., </w:t>
      </w:r>
      <w:proofErr w:type="spellStart"/>
      <w:r w:rsidRPr="00B527AF">
        <w:rPr>
          <w:rFonts w:ascii="Times New Roman" w:hAnsi="Times New Roman" w:cs="Times New Roman"/>
          <w:color w:val="222222"/>
          <w:sz w:val="24"/>
          <w:szCs w:val="24"/>
          <w:shd w:val="clear" w:color="auto" w:fill="FFFFFF"/>
        </w:rPr>
        <w:t>Ulrickson</w:t>
      </w:r>
      <w:proofErr w:type="spellEnd"/>
      <w:r w:rsidRPr="00B527AF">
        <w:rPr>
          <w:rFonts w:ascii="Times New Roman" w:hAnsi="Times New Roman" w:cs="Times New Roman"/>
          <w:color w:val="222222"/>
          <w:sz w:val="24"/>
          <w:szCs w:val="24"/>
          <w:shd w:val="clear" w:color="auto" w:fill="FFFFFF"/>
        </w:rPr>
        <w:t xml:space="preserve">, M.L., </w:t>
      </w:r>
      <w:proofErr w:type="spellStart"/>
      <w:r w:rsidRPr="00B527AF">
        <w:rPr>
          <w:rFonts w:ascii="Times New Roman" w:hAnsi="Times New Roman" w:cs="Times New Roman"/>
          <w:color w:val="222222"/>
          <w:sz w:val="24"/>
          <w:szCs w:val="24"/>
          <w:shd w:val="clear" w:color="auto" w:fill="FFFFFF"/>
        </w:rPr>
        <w:t>Thieblemont</w:t>
      </w:r>
      <w:proofErr w:type="spellEnd"/>
      <w:r w:rsidRPr="00B527AF">
        <w:rPr>
          <w:rFonts w:ascii="Times New Roman" w:hAnsi="Times New Roman" w:cs="Times New Roman"/>
          <w:color w:val="222222"/>
          <w:sz w:val="24"/>
          <w:szCs w:val="24"/>
          <w:shd w:val="clear" w:color="auto" w:fill="FFFFFF"/>
        </w:rPr>
        <w:t xml:space="preserve">, C., Oluwole, O.O., Herrera, A.F., </w:t>
      </w:r>
      <w:proofErr w:type="spellStart"/>
      <w:r w:rsidRPr="00B527AF">
        <w:rPr>
          <w:rFonts w:ascii="Times New Roman" w:hAnsi="Times New Roman" w:cs="Times New Roman"/>
          <w:color w:val="222222"/>
          <w:sz w:val="24"/>
          <w:szCs w:val="24"/>
          <w:shd w:val="clear" w:color="auto" w:fill="FFFFFF"/>
        </w:rPr>
        <w:t>Ujjani</w:t>
      </w:r>
      <w:proofErr w:type="spellEnd"/>
      <w:r w:rsidRPr="00B527AF">
        <w:rPr>
          <w:rFonts w:ascii="Times New Roman" w:hAnsi="Times New Roman" w:cs="Times New Roman"/>
          <w:color w:val="222222"/>
          <w:sz w:val="24"/>
          <w:szCs w:val="24"/>
          <w:shd w:val="clear" w:color="auto" w:fill="FFFFFF"/>
        </w:rPr>
        <w:t xml:space="preserve">, C.S., Lin, Y., Riedell, P.A. and </w:t>
      </w:r>
      <w:proofErr w:type="spellStart"/>
      <w:r w:rsidRPr="00B527AF">
        <w:rPr>
          <w:rFonts w:ascii="Times New Roman" w:hAnsi="Times New Roman" w:cs="Times New Roman"/>
          <w:color w:val="222222"/>
          <w:sz w:val="24"/>
          <w:szCs w:val="24"/>
          <w:shd w:val="clear" w:color="auto" w:fill="FFFFFF"/>
        </w:rPr>
        <w:t>Kekre</w:t>
      </w:r>
      <w:proofErr w:type="spellEnd"/>
      <w:r w:rsidRPr="00B527AF">
        <w:rPr>
          <w:rFonts w:ascii="Times New Roman" w:hAnsi="Times New Roman" w:cs="Times New Roman"/>
          <w:color w:val="222222"/>
          <w:sz w:val="24"/>
          <w:szCs w:val="24"/>
          <w:shd w:val="clear" w:color="auto" w:fill="FFFFFF"/>
        </w:rPr>
        <w:t>, N., 2021. Primary analysis of ZUMA-</w:t>
      </w:r>
      <w:r w:rsidRPr="00B527AF">
        <w:rPr>
          <w:rFonts w:ascii="Times New Roman" w:hAnsi="Times New Roman" w:cs="Times New Roman"/>
          <w:color w:val="222222"/>
          <w:sz w:val="24"/>
          <w:szCs w:val="24"/>
          <w:shd w:val="clear" w:color="auto" w:fill="FFFFFF"/>
        </w:rPr>
        <w:lastRenderedPageBreak/>
        <w:t xml:space="preserve">12: a phase 2 study of </w:t>
      </w:r>
      <w:proofErr w:type="spellStart"/>
      <w:r w:rsidRPr="00B527AF">
        <w:rPr>
          <w:rFonts w:ascii="Times New Roman" w:hAnsi="Times New Roman" w:cs="Times New Roman"/>
          <w:color w:val="222222"/>
          <w:sz w:val="24"/>
          <w:szCs w:val="24"/>
          <w:shd w:val="clear" w:color="auto" w:fill="FFFFFF"/>
        </w:rPr>
        <w:t>axicabtagene</w:t>
      </w:r>
      <w:proofErr w:type="spellEnd"/>
      <w:r w:rsidRPr="00B527AF">
        <w:rPr>
          <w:rFonts w:ascii="Times New Roman" w:hAnsi="Times New Roman" w:cs="Times New Roman"/>
          <w:color w:val="222222"/>
          <w:sz w:val="24"/>
          <w:szCs w:val="24"/>
          <w:shd w:val="clear" w:color="auto" w:fill="FFFFFF"/>
        </w:rPr>
        <w:t xml:space="preserve"> </w:t>
      </w:r>
      <w:proofErr w:type="spellStart"/>
      <w:r w:rsidRPr="00B527AF">
        <w:rPr>
          <w:rFonts w:ascii="Times New Roman" w:hAnsi="Times New Roman" w:cs="Times New Roman"/>
          <w:color w:val="222222"/>
          <w:sz w:val="24"/>
          <w:szCs w:val="24"/>
          <w:shd w:val="clear" w:color="auto" w:fill="FFFFFF"/>
        </w:rPr>
        <w:t>ciloleucel</w:t>
      </w:r>
      <w:proofErr w:type="spellEnd"/>
      <w:r w:rsidRPr="00B527AF">
        <w:rPr>
          <w:rFonts w:ascii="Times New Roman" w:hAnsi="Times New Roman" w:cs="Times New Roman"/>
          <w:color w:val="222222"/>
          <w:sz w:val="24"/>
          <w:szCs w:val="24"/>
          <w:shd w:val="clear" w:color="auto" w:fill="FFFFFF"/>
        </w:rPr>
        <w:t xml:space="preserve"> (</w:t>
      </w:r>
      <w:proofErr w:type="spellStart"/>
      <w:r w:rsidRPr="00B527AF">
        <w:rPr>
          <w:rFonts w:ascii="Times New Roman" w:hAnsi="Times New Roman" w:cs="Times New Roman"/>
          <w:color w:val="222222"/>
          <w:sz w:val="24"/>
          <w:szCs w:val="24"/>
          <w:shd w:val="clear" w:color="auto" w:fill="FFFFFF"/>
        </w:rPr>
        <w:t>axi-cel</w:t>
      </w:r>
      <w:proofErr w:type="spellEnd"/>
      <w:r w:rsidRPr="00B527AF">
        <w:rPr>
          <w:rFonts w:ascii="Times New Roman" w:hAnsi="Times New Roman" w:cs="Times New Roman"/>
          <w:color w:val="222222"/>
          <w:sz w:val="24"/>
          <w:szCs w:val="24"/>
          <w:shd w:val="clear" w:color="auto" w:fill="FFFFFF"/>
        </w:rPr>
        <w:t>) as first-line therapy in patients with high-risk large B-cell lymphoma (LBCL). </w:t>
      </w:r>
      <w:r w:rsidRPr="00B527AF">
        <w:rPr>
          <w:rFonts w:ascii="Times New Roman" w:hAnsi="Times New Roman" w:cs="Times New Roman"/>
          <w:i/>
          <w:iCs/>
          <w:color w:val="222222"/>
          <w:sz w:val="24"/>
          <w:szCs w:val="24"/>
          <w:shd w:val="clear" w:color="auto" w:fill="FFFFFF"/>
        </w:rPr>
        <w:t>Blood</w:t>
      </w:r>
      <w:r w:rsidRPr="00B527AF">
        <w:rPr>
          <w:rFonts w:ascii="Times New Roman" w:hAnsi="Times New Roman" w:cs="Times New Roman"/>
          <w:color w:val="222222"/>
          <w:sz w:val="24"/>
          <w:szCs w:val="24"/>
          <w:shd w:val="clear" w:color="auto" w:fill="FFFFFF"/>
        </w:rPr>
        <w:t>, </w:t>
      </w:r>
      <w:r w:rsidRPr="00B527AF">
        <w:rPr>
          <w:rFonts w:ascii="Times New Roman" w:hAnsi="Times New Roman" w:cs="Times New Roman"/>
          <w:i/>
          <w:iCs/>
          <w:color w:val="222222"/>
          <w:sz w:val="24"/>
          <w:szCs w:val="24"/>
          <w:shd w:val="clear" w:color="auto" w:fill="FFFFFF"/>
        </w:rPr>
        <w:t>138</w:t>
      </w:r>
      <w:r w:rsidRPr="00B527AF">
        <w:rPr>
          <w:rFonts w:ascii="Times New Roman" w:hAnsi="Times New Roman" w:cs="Times New Roman"/>
          <w:color w:val="222222"/>
          <w:sz w:val="24"/>
          <w:szCs w:val="24"/>
          <w:shd w:val="clear" w:color="auto" w:fill="FFFFFF"/>
        </w:rPr>
        <w:t>, p.739.</w:t>
      </w:r>
    </w:p>
    <w:p w14:paraId="7F5136FA"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r w:rsidRPr="00B527AF">
        <w:rPr>
          <w:rFonts w:ascii="Times New Roman" w:hAnsi="Times New Roman" w:cs="Times New Roman"/>
          <w:color w:val="222222"/>
          <w:sz w:val="24"/>
          <w:szCs w:val="24"/>
          <w:shd w:val="clear" w:color="auto" w:fill="FFFFFF"/>
        </w:rPr>
        <w:t xml:space="preserve">Quiroga, B., Soler, M.J., Ortiz, A., </w:t>
      </w:r>
      <w:proofErr w:type="spellStart"/>
      <w:r w:rsidRPr="00B527AF">
        <w:rPr>
          <w:rFonts w:ascii="Times New Roman" w:hAnsi="Times New Roman" w:cs="Times New Roman"/>
          <w:color w:val="222222"/>
          <w:sz w:val="24"/>
          <w:szCs w:val="24"/>
          <w:shd w:val="clear" w:color="auto" w:fill="FFFFFF"/>
        </w:rPr>
        <w:t>Orero</w:t>
      </w:r>
      <w:proofErr w:type="spellEnd"/>
      <w:r w:rsidRPr="00B527AF">
        <w:rPr>
          <w:rFonts w:ascii="Times New Roman" w:hAnsi="Times New Roman" w:cs="Times New Roman"/>
          <w:color w:val="222222"/>
          <w:sz w:val="24"/>
          <w:szCs w:val="24"/>
          <w:shd w:val="clear" w:color="auto" w:fill="FFFFFF"/>
        </w:rPr>
        <w:t xml:space="preserve">, E., </w:t>
      </w:r>
      <w:proofErr w:type="spellStart"/>
      <w:r w:rsidRPr="00B527AF">
        <w:rPr>
          <w:rFonts w:ascii="Times New Roman" w:hAnsi="Times New Roman" w:cs="Times New Roman"/>
          <w:color w:val="222222"/>
          <w:sz w:val="24"/>
          <w:szCs w:val="24"/>
          <w:shd w:val="clear" w:color="auto" w:fill="FFFFFF"/>
        </w:rPr>
        <w:t>Tejedor</w:t>
      </w:r>
      <w:proofErr w:type="spellEnd"/>
      <w:r w:rsidRPr="00B527AF">
        <w:rPr>
          <w:rFonts w:ascii="Times New Roman" w:hAnsi="Times New Roman" w:cs="Times New Roman"/>
          <w:color w:val="222222"/>
          <w:sz w:val="24"/>
          <w:szCs w:val="24"/>
          <w:shd w:val="clear" w:color="auto" w:fill="FFFFFF"/>
        </w:rPr>
        <w:t xml:space="preserve">, S., </w:t>
      </w:r>
      <w:proofErr w:type="spellStart"/>
      <w:r w:rsidRPr="00B527AF">
        <w:rPr>
          <w:rFonts w:ascii="Times New Roman" w:hAnsi="Times New Roman" w:cs="Times New Roman"/>
          <w:color w:val="222222"/>
          <w:sz w:val="24"/>
          <w:szCs w:val="24"/>
          <w:shd w:val="clear" w:color="auto" w:fill="FFFFFF"/>
        </w:rPr>
        <w:t>Mantecón</w:t>
      </w:r>
      <w:proofErr w:type="spellEnd"/>
      <w:r w:rsidRPr="00B527AF">
        <w:rPr>
          <w:rFonts w:ascii="Times New Roman" w:hAnsi="Times New Roman" w:cs="Times New Roman"/>
          <w:color w:val="222222"/>
          <w:sz w:val="24"/>
          <w:szCs w:val="24"/>
          <w:shd w:val="clear" w:color="auto" w:fill="FFFFFF"/>
        </w:rPr>
        <w:t xml:space="preserve">, C.J.J., Pérez, V.O.G., Franco, A.J.M., Sánchez, C.A., </w:t>
      </w:r>
      <w:proofErr w:type="spellStart"/>
      <w:r w:rsidRPr="00B527AF">
        <w:rPr>
          <w:rFonts w:ascii="Times New Roman" w:hAnsi="Times New Roman" w:cs="Times New Roman"/>
          <w:color w:val="222222"/>
          <w:sz w:val="24"/>
          <w:szCs w:val="24"/>
          <w:shd w:val="clear" w:color="auto" w:fill="FFFFFF"/>
        </w:rPr>
        <w:t>Carretero</w:t>
      </w:r>
      <w:proofErr w:type="spellEnd"/>
      <w:r w:rsidRPr="00B527AF">
        <w:rPr>
          <w:rFonts w:ascii="Times New Roman" w:hAnsi="Times New Roman" w:cs="Times New Roman"/>
          <w:color w:val="222222"/>
          <w:sz w:val="24"/>
          <w:szCs w:val="24"/>
          <w:shd w:val="clear" w:color="auto" w:fill="FFFFFF"/>
        </w:rPr>
        <w:t xml:space="preserve">, M.P. and Rodríguez, M.T.J., 2022. Humoral response to third dose of SARS-CoV-2 vaccines in the CKD spectrum. </w:t>
      </w:r>
      <w:r w:rsidRPr="00B527AF">
        <w:rPr>
          <w:rFonts w:ascii="Times New Roman" w:hAnsi="Times New Roman" w:cs="Times New Roman"/>
          <w:i/>
          <w:iCs/>
          <w:color w:val="222222"/>
          <w:sz w:val="24"/>
          <w:szCs w:val="24"/>
          <w:shd w:val="clear" w:color="auto" w:fill="FFFFFF"/>
        </w:rPr>
        <w:t>Clinical Journal of the American Society of Nephrology</w:t>
      </w:r>
      <w:r w:rsidRPr="00B527AF">
        <w:rPr>
          <w:rFonts w:ascii="Times New Roman" w:hAnsi="Times New Roman" w:cs="Times New Roman"/>
          <w:color w:val="222222"/>
          <w:sz w:val="24"/>
          <w:szCs w:val="24"/>
          <w:shd w:val="clear" w:color="auto" w:fill="FFFFFF"/>
        </w:rPr>
        <w:t xml:space="preserve">, </w:t>
      </w:r>
      <w:r w:rsidRPr="00B527AF">
        <w:rPr>
          <w:rFonts w:ascii="Times New Roman" w:hAnsi="Times New Roman" w:cs="Times New Roman"/>
          <w:i/>
          <w:iCs/>
          <w:color w:val="222222"/>
          <w:sz w:val="24"/>
          <w:szCs w:val="24"/>
          <w:shd w:val="clear" w:color="auto" w:fill="FFFFFF"/>
        </w:rPr>
        <w:t>17</w:t>
      </w:r>
      <w:r w:rsidRPr="00B527AF">
        <w:rPr>
          <w:rFonts w:ascii="Times New Roman" w:hAnsi="Times New Roman" w:cs="Times New Roman"/>
          <w:color w:val="222222"/>
          <w:sz w:val="24"/>
          <w:szCs w:val="24"/>
          <w:shd w:val="clear" w:color="auto" w:fill="FFFFFF"/>
        </w:rPr>
        <w:t>(6), pp.872-876.</w:t>
      </w:r>
    </w:p>
    <w:p w14:paraId="69B70360" w14:textId="77777777" w:rsidR="00563A70" w:rsidRPr="00B527AF" w:rsidRDefault="00563A70"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color w:val="222222"/>
          <w:sz w:val="24"/>
          <w:szCs w:val="24"/>
          <w:shd w:val="clear" w:color="auto" w:fill="FFFFFF"/>
        </w:rPr>
        <w:t xml:space="preserve">Ravi, A., </w:t>
      </w:r>
      <w:proofErr w:type="spellStart"/>
      <w:r w:rsidRPr="00B527AF">
        <w:rPr>
          <w:rFonts w:ascii="Times New Roman" w:hAnsi="Times New Roman" w:cs="Times New Roman"/>
          <w:color w:val="222222"/>
          <w:sz w:val="24"/>
          <w:szCs w:val="24"/>
          <w:shd w:val="clear" w:color="auto" w:fill="FFFFFF"/>
        </w:rPr>
        <w:t>Gainor</w:t>
      </w:r>
      <w:proofErr w:type="spellEnd"/>
      <w:r w:rsidRPr="00B527AF">
        <w:rPr>
          <w:rFonts w:ascii="Times New Roman" w:hAnsi="Times New Roman" w:cs="Times New Roman"/>
          <w:color w:val="222222"/>
          <w:sz w:val="24"/>
          <w:szCs w:val="24"/>
          <w:shd w:val="clear" w:color="auto" w:fill="FFFFFF"/>
        </w:rPr>
        <w:t xml:space="preserve">, J.F., </w:t>
      </w:r>
      <w:proofErr w:type="spellStart"/>
      <w:r w:rsidRPr="00B527AF">
        <w:rPr>
          <w:rFonts w:ascii="Times New Roman" w:hAnsi="Times New Roman" w:cs="Times New Roman"/>
          <w:color w:val="222222"/>
          <w:sz w:val="24"/>
          <w:szCs w:val="24"/>
          <w:shd w:val="clear" w:color="auto" w:fill="FFFFFF"/>
        </w:rPr>
        <w:t>Arniella</w:t>
      </w:r>
      <w:proofErr w:type="spellEnd"/>
      <w:r w:rsidRPr="00B527AF">
        <w:rPr>
          <w:rFonts w:ascii="Times New Roman" w:hAnsi="Times New Roman" w:cs="Times New Roman"/>
          <w:color w:val="222222"/>
          <w:sz w:val="24"/>
          <w:szCs w:val="24"/>
          <w:shd w:val="clear" w:color="auto" w:fill="FFFFFF"/>
        </w:rPr>
        <w:t xml:space="preserve">, M.B., Holton, M., Freeman, S.S., Stewart, C., </w:t>
      </w:r>
      <w:proofErr w:type="spellStart"/>
      <w:r w:rsidRPr="00B527AF">
        <w:rPr>
          <w:rFonts w:ascii="Times New Roman" w:hAnsi="Times New Roman" w:cs="Times New Roman"/>
          <w:color w:val="222222"/>
          <w:sz w:val="24"/>
          <w:szCs w:val="24"/>
          <w:shd w:val="clear" w:color="auto" w:fill="FFFFFF"/>
        </w:rPr>
        <w:t>Leshchiner</w:t>
      </w:r>
      <w:proofErr w:type="spellEnd"/>
      <w:r w:rsidRPr="00B527AF">
        <w:rPr>
          <w:rFonts w:ascii="Times New Roman" w:hAnsi="Times New Roman" w:cs="Times New Roman"/>
          <w:color w:val="222222"/>
          <w:sz w:val="24"/>
          <w:szCs w:val="24"/>
          <w:shd w:val="clear" w:color="auto" w:fill="FFFFFF"/>
        </w:rPr>
        <w:t xml:space="preserve">, I., Kim, J., Akiyama, Y., Griffin, A.T. and </w:t>
      </w:r>
      <w:proofErr w:type="spellStart"/>
      <w:r w:rsidRPr="00B527AF">
        <w:rPr>
          <w:rFonts w:ascii="Times New Roman" w:hAnsi="Times New Roman" w:cs="Times New Roman"/>
          <w:color w:val="222222"/>
          <w:sz w:val="24"/>
          <w:szCs w:val="24"/>
          <w:shd w:val="clear" w:color="auto" w:fill="FFFFFF"/>
        </w:rPr>
        <w:t>Vokes</w:t>
      </w:r>
      <w:proofErr w:type="spellEnd"/>
      <w:r w:rsidRPr="00B527AF">
        <w:rPr>
          <w:rFonts w:ascii="Times New Roman" w:hAnsi="Times New Roman" w:cs="Times New Roman"/>
          <w:color w:val="222222"/>
          <w:sz w:val="24"/>
          <w:szCs w:val="24"/>
          <w:shd w:val="clear" w:color="auto" w:fill="FFFFFF"/>
        </w:rPr>
        <w:t xml:space="preserve">, N.I., 2022. Integrative analysis of checkpoint blockade response in advanced non-small cell lung cancer. </w:t>
      </w:r>
      <w:proofErr w:type="spellStart"/>
      <w:r w:rsidRPr="00B527AF">
        <w:rPr>
          <w:rFonts w:ascii="Times New Roman" w:hAnsi="Times New Roman" w:cs="Times New Roman"/>
          <w:i/>
          <w:iCs/>
          <w:color w:val="222222"/>
          <w:sz w:val="24"/>
          <w:szCs w:val="24"/>
          <w:shd w:val="clear" w:color="auto" w:fill="FFFFFF"/>
        </w:rPr>
        <w:t>bioRxiv</w:t>
      </w:r>
      <w:proofErr w:type="spellEnd"/>
      <w:r w:rsidRPr="00B527AF">
        <w:rPr>
          <w:rFonts w:ascii="Times New Roman" w:hAnsi="Times New Roman" w:cs="Times New Roman"/>
          <w:color w:val="222222"/>
          <w:sz w:val="24"/>
          <w:szCs w:val="24"/>
          <w:shd w:val="clear" w:color="auto" w:fill="FFFFFF"/>
        </w:rPr>
        <w:t>, pp.2022-03.</w:t>
      </w:r>
    </w:p>
    <w:p w14:paraId="2D096759" w14:textId="77777777" w:rsidR="00563A70" w:rsidRPr="00B527AF" w:rsidRDefault="00563A70"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color w:val="222222"/>
          <w:sz w:val="24"/>
          <w:szCs w:val="24"/>
          <w:shd w:val="clear" w:color="auto" w:fill="FFFFFF"/>
        </w:rPr>
        <w:t xml:space="preserve">Rezaei, A. and </w:t>
      </w:r>
      <w:proofErr w:type="spellStart"/>
      <w:r w:rsidRPr="00B527AF">
        <w:rPr>
          <w:rFonts w:ascii="Times New Roman" w:hAnsi="Times New Roman" w:cs="Times New Roman"/>
          <w:color w:val="222222"/>
          <w:sz w:val="24"/>
          <w:szCs w:val="24"/>
          <w:shd w:val="clear" w:color="auto" w:fill="FFFFFF"/>
        </w:rPr>
        <w:t>Kamali</w:t>
      </w:r>
      <w:proofErr w:type="spellEnd"/>
      <w:r w:rsidRPr="00B527AF">
        <w:rPr>
          <w:rFonts w:ascii="Times New Roman" w:hAnsi="Times New Roman" w:cs="Times New Roman"/>
          <w:color w:val="222222"/>
          <w:sz w:val="24"/>
          <w:szCs w:val="24"/>
          <w:shd w:val="clear" w:color="auto" w:fill="FFFFFF"/>
        </w:rPr>
        <w:t xml:space="preserve">, A.R., 2022. Analysis of collaboration between AstraZeneca and the higher education sector in the UK. </w:t>
      </w:r>
      <w:r w:rsidRPr="00B527AF">
        <w:rPr>
          <w:rFonts w:ascii="Times New Roman" w:hAnsi="Times New Roman" w:cs="Times New Roman"/>
          <w:i/>
          <w:iCs/>
          <w:color w:val="222222"/>
          <w:sz w:val="24"/>
          <w:szCs w:val="24"/>
          <w:shd w:val="clear" w:color="auto" w:fill="FFFFFF"/>
        </w:rPr>
        <w:t>Industry and Higher Education</w:t>
      </w:r>
      <w:r w:rsidRPr="00B527AF">
        <w:rPr>
          <w:rFonts w:ascii="Times New Roman" w:hAnsi="Times New Roman" w:cs="Times New Roman"/>
          <w:color w:val="222222"/>
          <w:sz w:val="24"/>
          <w:szCs w:val="24"/>
          <w:shd w:val="clear" w:color="auto" w:fill="FFFFFF"/>
        </w:rPr>
        <w:t xml:space="preserve">, </w:t>
      </w:r>
      <w:r w:rsidRPr="00B527AF">
        <w:rPr>
          <w:rFonts w:ascii="Times New Roman" w:hAnsi="Times New Roman" w:cs="Times New Roman"/>
          <w:i/>
          <w:iCs/>
          <w:color w:val="222222"/>
          <w:sz w:val="24"/>
          <w:szCs w:val="24"/>
          <w:shd w:val="clear" w:color="auto" w:fill="FFFFFF"/>
        </w:rPr>
        <w:t>36</w:t>
      </w:r>
      <w:r w:rsidRPr="00B527AF">
        <w:rPr>
          <w:rFonts w:ascii="Times New Roman" w:hAnsi="Times New Roman" w:cs="Times New Roman"/>
          <w:color w:val="222222"/>
          <w:sz w:val="24"/>
          <w:szCs w:val="24"/>
          <w:shd w:val="clear" w:color="auto" w:fill="FFFFFF"/>
        </w:rPr>
        <w:t>(6), pp.861-869.</w:t>
      </w:r>
    </w:p>
    <w:p w14:paraId="5CCE8344"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proofErr w:type="spellStart"/>
      <w:r w:rsidRPr="00B527AF">
        <w:rPr>
          <w:rFonts w:ascii="Times New Roman" w:hAnsi="Times New Roman" w:cs="Times New Roman"/>
          <w:color w:val="222222"/>
          <w:sz w:val="24"/>
          <w:szCs w:val="24"/>
          <w:shd w:val="clear" w:color="auto" w:fill="FFFFFF"/>
        </w:rPr>
        <w:t>Runiewicz-Wardyn</w:t>
      </w:r>
      <w:proofErr w:type="spellEnd"/>
      <w:r w:rsidRPr="00B527AF">
        <w:rPr>
          <w:rFonts w:ascii="Times New Roman" w:hAnsi="Times New Roman" w:cs="Times New Roman"/>
          <w:color w:val="222222"/>
          <w:sz w:val="24"/>
          <w:szCs w:val="24"/>
          <w:shd w:val="clear" w:color="auto" w:fill="FFFFFF"/>
        </w:rPr>
        <w:t xml:space="preserve">, M. and </w:t>
      </w:r>
      <w:proofErr w:type="spellStart"/>
      <w:r w:rsidRPr="00B527AF">
        <w:rPr>
          <w:rFonts w:ascii="Times New Roman" w:hAnsi="Times New Roman" w:cs="Times New Roman"/>
          <w:color w:val="222222"/>
          <w:sz w:val="24"/>
          <w:szCs w:val="24"/>
          <w:shd w:val="clear" w:color="auto" w:fill="FFFFFF"/>
        </w:rPr>
        <w:t>Eliashvili</w:t>
      </w:r>
      <w:proofErr w:type="spellEnd"/>
      <w:r w:rsidRPr="00B527AF">
        <w:rPr>
          <w:rFonts w:ascii="Times New Roman" w:hAnsi="Times New Roman" w:cs="Times New Roman"/>
          <w:color w:val="222222"/>
          <w:sz w:val="24"/>
          <w:szCs w:val="24"/>
          <w:shd w:val="clear" w:color="auto" w:fill="FFFFFF"/>
        </w:rPr>
        <w:t>, T., 2022. Open Innovation Practices and Open Innovation Culture in the Life-Sciences Clusters. The Case of AstraZeneca. </w:t>
      </w:r>
      <w:r w:rsidRPr="00B527AF">
        <w:rPr>
          <w:rFonts w:ascii="Times New Roman" w:hAnsi="Times New Roman" w:cs="Times New Roman"/>
          <w:i/>
          <w:iCs/>
          <w:color w:val="222222"/>
          <w:sz w:val="24"/>
          <w:szCs w:val="24"/>
          <w:shd w:val="clear" w:color="auto" w:fill="FFFFFF"/>
        </w:rPr>
        <w:t>European Journal of Business and Management Research</w:t>
      </w:r>
      <w:r w:rsidRPr="00B527AF">
        <w:rPr>
          <w:rFonts w:ascii="Times New Roman" w:hAnsi="Times New Roman" w:cs="Times New Roman"/>
          <w:color w:val="222222"/>
          <w:sz w:val="24"/>
          <w:szCs w:val="24"/>
          <w:shd w:val="clear" w:color="auto" w:fill="FFFFFF"/>
        </w:rPr>
        <w:t>, </w:t>
      </w:r>
      <w:r w:rsidRPr="00B527AF">
        <w:rPr>
          <w:rFonts w:ascii="Times New Roman" w:hAnsi="Times New Roman" w:cs="Times New Roman"/>
          <w:i/>
          <w:iCs/>
          <w:color w:val="222222"/>
          <w:sz w:val="24"/>
          <w:szCs w:val="24"/>
          <w:shd w:val="clear" w:color="auto" w:fill="FFFFFF"/>
        </w:rPr>
        <w:t>7</w:t>
      </w:r>
      <w:r w:rsidRPr="00B527AF">
        <w:rPr>
          <w:rFonts w:ascii="Times New Roman" w:hAnsi="Times New Roman" w:cs="Times New Roman"/>
          <w:color w:val="222222"/>
          <w:sz w:val="24"/>
          <w:szCs w:val="24"/>
          <w:shd w:val="clear" w:color="auto" w:fill="FFFFFF"/>
        </w:rPr>
        <w:t>(1), pp.35-43.</w:t>
      </w:r>
    </w:p>
    <w:p w14:paraId="798EC1E8" w14:textId="77777777" w:rsidR="00563A70" w:rsidRPr="00B527AF" w:rsidRDefault="00563A70"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color w:val="222222"/>
          <w:sz w:val="24"/>
          <w:szCs w:val="24"/>
          <w:shd w:val="clear" w:color="auto" w:fill="FFFFFF"/>
        </w:rPr>
        <w:t xml:space="preserve">Sami, A., 2022. Corporate Social Responsibility is NOT an Option is an Investment: A Study of AstraZeneca. </w:t>
      </w:r>
      <w:r w:rsidRPr="00B527AF">
        <w:rPr>
          <w:rFonts w:ascii="Times New Roman" w:hAnsi="Times New Roman" w:cs="Times New Roman"/>
          <w:i/>
          <w:iCs/>
          <w:color w:val="222222"/>
          <w:sz w:val="24"/>
          <w:szCs w:val="24"/>
          <w:shd w:val="clear" w:color="auto" w:fill="FFFFFF"/>
        </w:rPr>
        <w:t>Asian Journal of Economics, Finance and Management</w:t>
      </w:r>
      <w:r w:rsidRPr="00B527AF">
        <w:rPr>
          <w:rFonts w:ascii="Times New Roman" w:hAnsi="Times New Roman" w:cs="Times New Roman"/>
          <w:color w:val="222222"/>
          <w:sz w:val="24"/>
          <w:szCs w:val="24"/>
          <w:shd w:val="clear" w:color="auto" w:fill="FFFFFF"/>
        </w:rPr>
        <w:t>, 45-52.</w:t>
      </w:r>
    </w:p>
    <w:p w14:paraId="74B1EB4C"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r w:rsidRPr="00B527AF">
        <w:rPr>
          <w:rFonts w:ascii="Times New Roman" w:hAnsi="Times New Roman" w:cs="Times New Roman"/>
          <w:color w:val="222222"/>
          <w:sz w:val="24"/>
          <w:szCs w:val="24"/>
          <w:shd w:val="clear" w:color="auto" w:fill="FFFFFF"/>
        </w:rPr>
        <w:t>Savage, N., 2020. Tapping into the drug discovery potential of AI. </w:t>
      </w:r>
      <w:r w:rsidRPr="00B527AF">
        <w:rPr>
          <w:rFonts w:ascii="Times New Roman" w:hAnsi="Times New Roman" w:cs="Times New Roman"/>
          <w:i/>
          <w:iCs/>
          <w:color w:val="222222"/>
          <w:sz w:val="24"/>
          <w:szCs w:val="24"/>
          <w:shd w:val="clear" w:color="auto" w:fill="FFFFFF"/>
        </w:rPr>
        <w:t>Nature. com</w:t>
      </w:r>
      <w:r w:rsidRPr="00B527AF">
        <w:rPr>
          <w:rFonts w:ascii="Times New Roman" w:hAnsi="Times New Roman" w:cs="Times New Roman"/>
          <w:color w:val="222222"/>
          <w:sz w:val="24"/>
          <w:szCs w:val="24"/>
          <w:shd w:val="clear" w:color="auto" w:fill="FFFFFF"/>
        </w:rPr>
        <w:t>.</w:t>
      </w:r>
    </w:p>
    <w:p w14:paraId="689CB2ED"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r w:rsidRPr="00B527AF">
        <w:rPr>
          <w:rFonts w:ascii="Times New Roman" w:hAnsi="Times New Roman" w:cs="Times New Roman"/>
          <w:color w:val="222222"/>
          <w:sz w:val="24"/>
          <w:szCs w:val="24"/>
          <w:shd w:val="clear" w:color="auto" w:fill="FFFFFF"/>
        </w:rPr>
        <w:t xml:space="preserve">Schechter, M., </w:t>
      </w:r>
      <w:proofErr w:type="spellStart"/>
      <w:r w:rsidRPr="00B527AF">
        <w:rPr>
          <w:rFonts w:ascii="Times New Roman" w:hAnsi="Times New Roman" w:cs="Times New Roman"/>
          <w:color w:val="222222"/>
          <w:sz w:val="24"/>
          <w:szCs w:val="24"/>
          <w:shd w:val="clear" w:color="auto" w:fill="FFFFFF"/>
        </w:rPr>
        <w:t>Wiviott</w:t>
      </w:r>
      <w:proofErr w:type="spellEnd"/>
      <w:r w:rsidRPr="00B527AF">
        <w:rPr>
          <w:rFonts w:ascii="Times New Roman" w:hAnsi="Times New Roman" w:cs="Times New Roman"/>
          <w:color w:val="222222"/>
          <w:sz w:val="24"/>
          <w:szCs w:val="24"/>
          <w:shd w:val="clear" w:color="auto" w:fill="FFFFFF"/>
        </w:rPr>
        <w:t xml:space="preserve">, S.D., Raz, I., Goodrich, E.L., Cahn, A., </w:t>
      </w:r>
      <w:proofErr w:type="spellStart"/>
      <w:r w:rsidRPr="00B527AF">
        <w:rPr>
          <w:rFonts w:ascii="Times New Roman" w:hAnsi="Times New Roman" w:cs="Times New Roman"/>
          <w:color w:val="222222"/>
          <w:sz w:val="24"/>
          <w:szCs w:val="24"/>
          <w:shd w:val="clear" w:color="auto" w:fill="FFFFFF"/>
        </w:rPr>
        <w:t>Langkilde</w:t>
      </w:r>
      <w:proofErr w:type="spellEnd"/>
      <w:r w:rsidRPr="00B527AF">
        <w:rPr>
          <w:rFonts w:ascii="Times New Roman" w:hAnsi="Times New Roman" w:cs="Times New Roman"/>
          <w:color w:val="222222"/>
          <w:sz w:val="24"/>
          <w:szCs w:val="24"/>
          <w:shd w:val="clear" w:color="auto" w:fill="FFFFFF"/>
        </w:rPr>
        <w:t xml:space="preserve">, A.M., </w:t>
      </w:r>
      <w:proofErr w:type="spellStart"/>
      <w:r w:rsidRPr="00B527AF">
        <w:rPr>
          <w:rFonts w:ascii="Times New Roman" w:hAnsi="Times New Roman" w:cs="Times New Roman"/>
          <w:color w:val="222222"/>
          <w:sz w:val="24"/>
          <w:szCs w:val="24"/>
          <w:shd w:val="clear" w:color="auto" w:fill="FFFFFF"/>
        </w:rPr>
        <w:t>Gause</w:t>
      </w:r>
      <w:proofErr w:type="spellEnd"/>
      <w:r w:rsidRPr="00B527AF">
        <w:rPr>
          <w:rFonts w:ascii="Times New Roman" w:hAnsi="Times New Roman" w:cs="Times New Roman"/>
          <w:color w:val="222222"/>
          <w:sz w:val="24"/>
          <w:szCs w:val="24"/>
          <w:shd w:val="clear" w:color="auto" w:fill="FFFFFF"/>
        </w:rPr>
        <w:t xml:space="preserve">-Nilsson, I.A., </w:t>
      </w:r>
      <w:proofErr w:type="spellStart"/>
      <w:r w:rsidRPr="00B527AF">
        <w:rPr>
          <w:rFonts w:ascii="Times New Roman" w:hAnsi="Times New Roman" w:cs="Times New Roman"/>
          <w:color w:val="222222"/>
          <w:sz w:val="24"/>
          <w:szCs w:val="24"/>
          <w:shd w:val="clear" w:color="auto" w:fill="FFFFFF"/>
        </w:rPr>
        <w:t>Sabatine</w:t>
      </w:r>
      <w:proofErr w:type="spellEnd"/>
      <w:r w:rsidRPr="00B527AF">
        <w:rPr>
          <w:rFonts w:ascii="Times New Roman" w:hAnsi="Times New Roman" w:cs="Times New Roman"/>
          <w:color w:val="222222"/>
          <w:sz w:val="24"/>
          <w:szCs w:val="24"/>
          <w:shd w:val="clear" w:color="auto" w:fill="FFFFFF"/>
        </w:rPr>
        <w:t xml:space="preserve">, M.S. and </w:t>
      </w:r>
      <w:proofErr w:type="spellStart"/>
      <w:r w:rsidRPr="00B527AF">
        <w:rPr>
          <w:rFonts w:ascii="Times New Roman" w:hAnsi="Times New Roman" w:cs="Times New Roman"/>
          <w:color w:val="222222"/>
          <w:sz w:val="24"/>
          <w:szCs w:val="24"/>
          <w:shd w:val="clear" w:color="auto" w:fill="FFFFFF"/>
        </w:rPr>
        <w:t>Mosenzon</w:t>
      </w:r>
      <w:proofErr w:type="spellEnd"/>
      <w:r w:rsidRPr="00B527AF">
        <w:rPr>
          <w:rFonts w:ascii="Times New Roman" w:hAnsi="Times New Roman" w:cs="Times New Roman"/>
          <w:color w:val="222222"/>
          <w:sz w:val="24"/>
          <w:szCs w:val="24"/>
          <w:shd w:val="clear" w:color="auto" w:fill="FFFFFF"/>
        </w:rPr>
        <w:t xml:space="preserve">, O., 2022, November. The Effect of Dapagliflozin on Hospital Admissions in Patients </w:t>
      </w:r>
      <w:proofErr w:type="gramStart"/>
      <w:r w:rsidRPr="00B527AF">
        <w:rPr>
          <w:rFonts w:ascii="Times New Roman" w:hAnsi="Times New Roman" w:cs="Times New Roman"/>
          <w:color w:val="222222"/>
          <w:sz w:val="24"/>
          <w:szCs w:val="24"/>
          <w:shd w:val="clear" w:color="auto" w:fill="FFFFFF"/>
        </w:rPr>
        <w:t>With</w:t>
      </w:r>
      <w:proofErr w:type="gramEnd"/>
      <w:r w:rsidRPr="00B527AF">
        <w:rPr>
          <w:rFonts w:ascii="Times New Roman" w:hAnsi="Times New Roman" w:cs="Times New Roman"/>
          <w:color w:val="222222"/>
          <w:sz w:val="24"/>
          <w:szCs w:val="24"/>
          <w:shd w:val="clear" w:color="auto" w:fill="FFFFFF"/>
        </w:rPr>
        <w:t xml:space="preserve"> Type 2 Diabetes: Post Hoc Analysis of the DECLARE-TIMI 58 Trial. In </w:t>
      </w:r>
      <w:r w:rsidRPr="00B527AF">
        <w:rPr>
          <w:rFonts w:ascii="Times New Roman" w:hAnsi="Times New Roman" w:cs="Times New Roman"/>
          <w:i/>
          <w:iCs/>
          <w:color w:val="222222"/>
          <w:sz w:val="24"/>
          <w:szCs w:val="24"/>
          <w:shd w:val="clear" w:color="auto" w:fill="FFFFFF"/>
        </w:rPr>
        <w:t>Circulation</w:t>
      </w:r>
      <w:r w:rsidRPr="00B527AF">
        <w:rPr>
          <w:rFonts w:ascii="Times New Roman" w:hAnsi="Times New Roman" w:cs="Times New Roman"/>
          <w:color w:val="222222"/>
          <w:sz w:val="24"/>
          <w:szCs w:val="24"/>
          <w:shd w:val="clear" w:color="auto" w:fill="FFFFFF"/>
        </w:rPr>
        <w:t> (Vol. 146). TWO COMMERCE SQ, 2001 MARKET ST, PHILADELPHIA, PA 19103 USA: Lippincott Williams &amp; Wilkins.</w:t>
      </w:r>
    </w:p>
    <w:p w14:paraId="5E8912BA" w14:textId="77777777" w:rsidR="00563A70" w:rsidRPr="00B527AF" w:rsidRDefault="00563A70"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color w:val="222222"/>
          <w:sz w:val="24"/>
          <w:szCs w:val="24"/>
        </w:rPr>
        <w:t xml:space="preserve">Semeraro, A., </w:t>
      </w:r>
      <w:proofErr w:type="spellStart"/>
      <w:r w:rsidRPr="00B527AF">
        <w:rPr>
          <w:rFonts w:ascii="Times New Roman" w:hAnsi="Times New Roman" w:cs="Times New Roman"/>
          <w:color w:val="222222"/>
          <w:sz w:val="24"/>
          <w:szCs w:val="24"/>
        </w:rPr>
        <w:t>Vilella</w:t>
      </w:r>
      <w:proofErr w:type="spellEnd"/>
      <w:r w:rsidRPr="00B527AF">
        <w:rPr>
          <w:rFonts w:ascii="Times New Roman" w:hAnsi="Times New Roman" w:cs="Times New Roman"/>
          <w:color w:val="222222"/>
          <w:sz w:val="24"/>
          <w:szCs w:val="24"/>
        </w:rPr>
        <w:t xml:space="preserve">, S., Ruffo, G. and Stella, M., 2022. Writing about COVID-19 vaccines: Emotional profiling unravels how mainstream and alternative press framed AstraZeneca, Pfizer and vaccination campaigns. </w:t>
      </w:r>
      <w:proofErr w:type="spellStart"/>
      <w:r w:rsidRPr="00B527AF">
        <w:rPr>
          <w:rFonts w:ascii="Times New Roman" w:hAnsi="Times New Roman" w:cs="Times New Roman"/>
          <w:i/>
          <w:iCs/>
          <w:color w:val="222222"/>
          <w:sz w:val="24"/>
          <w:szCs w:val="24"/>
        </w:rPr>
        <w:t>arXiv</w:t>
      </w:r>
      <w:proofErr w:type="spellEnd"/>
      <w:r w:rsidRPr="00B527AF">
        <w:rPr>
          <w:rFonts w:ascii="Times New Roman" w:hAnsi="Times New Roman" w:cs="Times New Roman"/>
          <w:i/>
          <w:iCs/>
          <w:color w:val="222222"/>
          <w:sz w:val="24"/>
          <w:szCs w:val="24"/>
        </w:rPr>
        <w:t xml:space="preserve"> preprint arXiv:2201.07538</w:t>
      </w:r>
      <w:r w:rsidRPr="00B527AF">
        <w:rPr>
          <w:rFonts w:ascii="Times New Roman" w:hAnsi="Times New Roman" w:cs="Times New Roman"/>
          <w:color w:val="222222"/>
          <w:sz w:val="24"/>
          <w:szCs w:val="24"/>
        </w:rPr>
        <w:t>.</w:t>
      </w:r>
    </w:p>
    <w:p w14:paraId="4BA0413C"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r w:rsidRPr="00B527AF">
        <w:rPr>
          <w:rFonts w:ascii="Times New Roman" w:hAnsi="Times New Roman" w:cs="Times New Roman"/>
          <w:color w:val="222222"/>
          <w:sz w:val="24"/>
          <w:szCs w:val="24"/>
          <w:shd w:val="clear" w:color="auto" w:fill="FFFFFF"/>
        </w:rPr>
        <w:lastRenderedPageBreak/>
        <w:t xml:space="preserve">Stone, G.W., </w:t>
      </w:r>
      <w:proofErr w:type="spellStart"/>
      <w:r w:rsidRPr="00B527AF">
        <w:rPr>
          <w:rFonts w:ascii="Times New Roman" w:hAnsi="Times New Roman" w:cs="Times New Roman"/>
          <w:color w:val="222222"/>
          <w:sz w:val="24"/>
          <w:szCs w:val="24"/>
          <w:shd w:val="clear" w:color="auto" w:fill="FFFFFF"/>
        </w:rPr>
        <w:t>Farkouh</w:t>
      </w:r>
      <w:proofErr w:type="spellEnd"/>
      <w:r w:rsidRPr="00B527AF">
        <w:rPr>
          <w:rFonts w:ascii="Times New Roman" w:hAnsi="Times New Roman" w:cs="Times New Roman"/>
          <w:color w:val="222222"/>
          <w:sz w:val="24"/>
          <w:szCs w:val="24"/>
          <w:shd w:val="clear" w:color="auto" w:fill="FFFFFF"/>
        </w:rPr>
        <w:t xml:space="preserve">, M.E., Lala, A., </w:t>
      </w:r>
      <w:proofErr w:type="spellStart"/>
      <w:r w:rsidRPr="00B527AF">
        <w:rPr>
          <w:rFonts w:ascii="Times New Roman" w:hAnsi="Times New Roman" w:cs="Times New Roman"/>
          <w:color w:val="222222"/>
          <w:sz w:val="24"/>
          <w:szCs w:val="24"/>
          <w:shd w:val="clear" w:color="auto" w:fill="FFFFFF"/>
        </w:rPr>
        <w:t>Tinuoye</w:t>
      </w:r>
      <w:proofErr w:type="spellEnd"/>
      <w:r w:rsidRPr="00B527AF">
        <w:rPr>
          <w:rFonts w:ascii="Times New Roman" w:hAnsi="Times New Roman" w:cs="Times New Roman"/>
          <w:color w:val="222222"/>
          <w:sz w:val="24"/>
          <w:szCs w:val="24"/>
          <w:shd w:val="clear" w:color="auto" w:fill="FFFFFF"/>
        </w:rPr>
        <w:t xml:space="preserve">, E., Dressler, O., Moreno, P.R., Palacios, I.F., Goodman, S.G., Esper, R.B., Abizaid, A. and </w:t>
      </w:r>
      <w:proofErr w:type="spellStart"/>
      <w:r w:rsidRPr="00B527AF">
        <w:rPr>
          <w:rFonts w:ascii="Times New Roman" w:hAnsi="Times New Roman" w:cs="Times New Roman"/>
          <w:color w:val="222222"/>
          <w:sz w:val="24"/>
          <w:szCs w:val="24"/>
          <w:shd w:val="clear" w:color="auto" w:fill="FFFFFF"/>
        </w:rPr>
        <w:t>Varade</w:t>
      </w:r>
      <w:proofErr w:type="spellEnd"/>
      <w:r w:rsidRPr="00B527AF">
        <w:rPr>
          <w:rFonts w:ascii="Times New Roman" w:hAnsi="Times New Roman" w:cs="Times New Roman"/>
          <w:color w:val="222222"/>
          <w:sz w:val="24"/>
          <w:szCs w:val="24"/>
          <w:shd w:val="clear" w:color="auto" w:fill="FFFFFF"/>
        </w:rPr>
        <w:t>, D., 2023. Anticoagulation Strategies in Non-Critically Ill Patients Hospitalized with COVID-19: A Randomized Clinical Trial. </w:t>
      </w:r>
      <w:r w:rsidRPr="00B527AF">
        <w:rPr>
          <w:rFonts w:ascii="Times New Roman" w:hAnsi="Times New Roman" w:cs="Times New Roman"/>
          <w:i/>
          <w:iCs/>
          <w:color w:val="222222"/>
          <w:sz w:val="24"/>
          <w:szCs w:val="24"/>
          <w:shd w:val="clear" w:color="auto" w:fill="FFFFFF"/>
        </w:rPr>
        <w:t>Journal of the American College of Cardiology</w:t>
      </w:r>
      <w:r w:rsidRPr="00B527AF">
        <w:rPr>
          <w:rFonts w:ascii="Times New Roman" w:hAnsi="Times New Roman" w:cs="Times New Roman"/>
          <w:color w:val="222222"/>
          <w:sz w:val="24"/>
          <w:szCs w:val="24"/>
          <w:shd w:val="clear" w:color="auto" w:fill="FFFFFF"/>
        </w:rPr>
        <w:t>.</w:t>
      </w:r>
    </w:p>
    <w:p w14:paraId="5DF38891" w14:textId="77777777" w:rsidR="00563A70" w:rsidRPr="00B527AF" w:rsidRDefault="00563A70"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color w:val="222222"/>
          <w:sz w:val="24"/>
          <w:szCs w:val="24"/>
          <w:shd w:val="clear" w:color="auto" w:fill="FFFFFF"/>
        </w:rPr>
        <w:t xml:space="preserve">Sun, B.B., </w:t>
      </w:r>
      <w:proofErr w:type="spellStart"/>
      <w:r w:rsidRPr="00B527AF">
        <w:rPr>
          <w:rFonts w:ascii="Times New Roman" w:hAnsi="Times New Roman" w:cs="Times New Roman"/>
          <w:color w:val="222222"/>
          <w:sz w:val="24"/>
          <w:szCs w:val="24"/>
          <w:shd w:val="clear" w:color="auto" w:fill="FFFFFF"/>
        </w:rPr>
        <w:t>Chiou</w:t>
      </w:r>
      <w:proofErr w:type="spellEnd"/>
      <w:r w:rsidRPr="00B527AF">
        <w:rPr>
          <w:rFonts w:ascii="Times New Roman" w:hAnsi="Times New Roman" w:cs="Times New Roman"/>
          <w:color w:val="222222"/>
          <w:sz w:val="24"/>
          <w:szCs w:val="24"/>
          <w:shd w:val="clear" w:color="auto" w:fill="FFFFFF"/>
        </w:rPr>
        <w:t xml:space="preserve">, J., Traylor, M., Benner, C., Hsu, Y.H., Richardson, T.G., </w:t>
      </w:r>
      <w:proofErr w:type="spellStart"/>
      <w:r w:rsidRPr="00B527AF">
        <w:rPr>
          <w:rFonts w:ascii="Times New Roman" w:hAnsi="Times New Roman" w:cs="Times New Roman"/>
          <w:color w:val="222222"/>
          <w:sz w:val="24"/>
          <w:szCs w:val="24"/>
          <w:shd w:val="clear" w:color="auto" w:fill="FFFFFF"/>
        </w:rPr>
        <w:t>Surendran</w:t>
      </w:r>
      <w:proofErr w:type="spellEnd"/>
      <w:r w:rsidRPr="00B527AF">
        <w:rPr>
          <w:rFonts w:ascii="Times New Roman" w:hAnsi="Times New Roman" w:cs="Times New Roman"/>
          <w:color w:val="222222"/>
          <w:sz w:val="24"/>
          <w:szCs w:val="24"/>
          <w:shd w:val="clear" w:color="auto" w:fill="FFFFFF"/>
        </w:rPr>
        <w:t xml:space="preserve">, P., Mahajan, A., Robins, C., Vasquez-Grinnell, S.G. and Hou, L., 2022. Genetic regulation of the human plasma proteome in 54,306 UK Biobank participants. </w:t>
      </w:r>
      <w:proofErr w:type="spellStart"/>
      <w:r w:rsidRPr="00B527AF">
        <w:rPr>
          <w:rFonts w:ascii="Times New Roman" w:hAnsi="Times New Roman" w:cs="Times New Roman"/>
          <w:i/>
          <w:iCs/>
          <w:color w:val="222222"/>
          <w:sz w:val="24"/>
          <w:szCs w:val="24"/>
          <w:shd w:val="clear" w:color="auto" w:fill="FFFFFF"/>
        </w:rPr>
        <w:t>BioRxiv</w:t>
      </w:r>
      <w:proofErr w:type="spellEnd"/>
      <w:r w:rsidRPr="00B527AF">
        <w:rPr>
          <w:rFonts w:ascii="Times New Roman" w:hAnsi="Times New Roman" w:cs="Times New Roman"/>
          <w:color w:val="222222"/>
          <w:sz w:val="24"/>
          <w:szCs w:val="24"/>
          <w:shd w:val="clear" w:color="auto" w:fill="FFFFFF"/>
        </w:rPr>
        <w:t>, pp.2022-06.</w:t>
      </w:r>
    </w:p>
    <w:p w14:paraId="62CB007C"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proofErr w:type="spellStart"/>
      <w:r w:rsidRPr="00B527AF">
        <w:rPr>
          <w:rFonts w:ascii="Times New Roman" w:hAnsi="Times New Roman" w:cs="Times New Roman"/>
          <w:color w:val="222222"/>
          <w:sz w:val="24"/>
          <w:szCs w:val="24"/>
          <w:shd w:val="clear" w:color="auto" w:fill="FFFFFF"/>
        </w:rPr>
        <w:t>Viña</w:t>
      </w:r>
      <w:proofErr w:type="spellEnd"/>
      <w:r w:rsidRPr="00B527AF">
        <w:rPr>
          <w:rFonts w:ascii="Times New Roman" w:hAnsi="Times New Roman" w:cs="Times New Roman"/>
          <w:color w:val="222222"/>
          <w:sz w:val="24"/>
          <w:szCs w:val="24"/>
          <w:shd w:val="clear" w:color="auto" w:fill="FFFFFF"/>
        </w:rPr>
        <w:t xml:space="preserve">, G., </w:t>
      </w:r>
      <w:proofErr w:type="spellStart"/>
      <w:r w:rsidRPr="00B527AF">
        <w:rPr>
          <w:rFonts w:ascii="Times New Roman" w:hAnsi="Times New Roman" w:cs="Times New Roman"/>
          <w:color w:val="222222"/>
          <w:sz w:val="24"/>
          <w:szCs w:val="24"/>
          <w:shd w:val="clear" w:color="auto" w:fill="FFFFFF"/>
        </w:rPr>
        <w:t>Skelding</w:t>
      </w:r>
      <w:proofErr w:type="spellEnd"/>
      <w:r w:rsidRPr="00B527AF">
        <w:rPr>
          <w:rFonts w:ascii="Times New Roman" w:hAnsi="Times New Roman" w:cs="Times New Roman"/>
          <w:color w:val="222222"/>
          <w:sz w:val="24"/>
          <w:szCs w:val="24"/>
          <w:shd w:val="clear" w:color="auto" w:fill="FFFFFF"/>
        </w:rPr>
        <w:t xml:space="preserve">, R., Einhorn, R., Kent, M., </w:t>
      </w:r>
      <w:proofErr w:type="spellStart"/>
      <w:r w:rsidRPr="00B527AF">
        <w:rPr>
          <w:rFonts w:ascii="Times New Roman" w:hAnsi="Times New Roman" w:cs="Times New Roman"/>
          <w:color w:val="222222"/>
          <w:sz w:val="24"/>
          <w:szCs w:val="24"/>
          <w:shd w:val="clear" w:color="auto" w:fill="FFFFFF"/>
        </w:rPr>
        <w:t>Fiorin</w:t>
      </w:r>
      <w:proofErr w:type="spellEnd"/>
      <w:r w:rsidRPr="00B527AF">
        <w:rPr>
          <w:rFonts w:ascii="Times New Roman" w:hAnsi="Times New Roman" w:cs="Times New Roman"/>
          <w:color w:val="222222"/>
          <w:sz w:val="24"/>
          <w:szCs w:val="24"/>
          <w:shd w:val="clear" w:color="auto" w:fill="FFFFFF"/>
        </w:rPr>
        <w:t xml:space="preserve">, A., </w:t>
      </w:r>
      <w:proofErr w:type="spellStart"/>
      <w:r w:rsidRPr="00B527AF">
        <w:rPr>
          <w:rFonts w:ascii="Times New Roman" w:hAnsi="Times New Roman" w:cs="Times New Roman"/>
          <w:color w:val="222222"/>
          <w:sz w:val="24"/>
          <w:szCs w:val="24"/>
          <w:shd w:val="clear" w:color="auto" w:fill="FFFFFF"/>
        </w:rPr>
        <w:t>Hursit</w:t>
      </w:r>
      <w:proofErr w:type="spellEnd"/>
      <w:r w:rsidRPr="00B527AF">
        <w:rPr>
          <w:rFonts w:ascii="Times New Roman" w:hAnsi="Times New Roman" w:cs="Times New Roman"/>
          <w:color w:val="222222"/>
          <w:sz w:val="24"/>
          <w:szCs w:val="24"/>
          <w:shd w:val="clear" w:color="auto" w:fill="FFFFFF"/>
        </w:rPr>
        <w:t xml:space="preserve">, J., </w:t>
      </w:r>
      <w:proofErr w:type="spellStart"/>
      <w:r w:rsidRPr="00B527AF">
        <w:rPr>
          <w:rFonts w:ascii="Times New Roman" w:hAnsi="Times New Roman" w:cs="Times New Roman"/>
          <w:color w:val="222222"/>
          <w:sz w:val="24"/>
          <w:szCs w:val="24"/>
          <w:shd w:val="clear" w:color="auto" w:fill="FFFFFF"/>
        </w:rPr>
        <w:t>Hägerstrand</w:t>
      </w:r>
      <w:proofErr w:type="spellEnd"/>
      <w:r w:rsidRPr="00B527AF">
        <w:rPr>
          <w:rFonts w:ascii="Times New Roman" w:hAnsi="Times New Roman" w:cs="Times New Roman"/>
          <w:color w:val="222222"/>
          <w:sz w:val="24"/>
          <w:szCs w:val="24"/>
          <w:shd w:val="clear" w:color="auto" w:fill="FFFFFF"/>
        </w:rPr>
        <w:t xml:space="preserve">, C.M., </w:t>
      </w:r>
      <w:proofErr w:type="spellStart"/>
      <w:r w:rsidRPr="00B527AF">
        <w:rPr>
          <w:rFonts w:ascii="Times New Roman" w:hAnsi="Times New Roman" w:cs="Times New Roman"/>
          <w:color w:val="222222"/>
          <w:sz w:val="24"/>
          <w:szCs w:val="24"/>
          <w:shd w:val="clear" w:color="auto" w:fill="FFFFFF"/>
        </w:rPr>
        <w:t>Meixell</w:t>
      </w:r>
      <w:proofErr w:type="spellEnd"/>
      <w:r w:rsidRPr="00B527AF">
        <w:rPr>
          <w:rFonts w:ascii="Times New Roman" w:hAnsi="Times New Roman" w:cs="Times New Roman"/>
          <w:color w:val="222222"/>
          <w:sz w:val="24"/>
          <w:szCs w:val="24"/>
          <w:shd w:val="clear" w:color="auto" w:fill="FFFFFF"/>
        </w:rPr>
        <w:t xml:space="preserve">, M., Larsen, T.K., Wheeler, H. and </w:t>
      </w:r>
      <w:proofErr w:type="spellStart"/>
      <w:r w:rsidRPr="00B527AF">
        <w:rPr>
          <w:rFonts w:ascii="Times New Roman" w:hAnsi="Times New Roman" w:cs="Times New Roman"/>
          <w:color w:val="222222"/>
          <w:sz w:val="24"/>
          <w:szCs w:val="24"/>
          <w:shd w:val="clear" w:color="auto" w:fill="FFFFFF"/>
        </w:rPr>
        <w:t>Gruvris</w:t>
      </w:r>
      <w:proofErr w:type="spellEnd"/>
      <w:r w:rsidRPr="00B527AF">
        <w:rPr>
          <w:rFonts w:ascii="Times New Roman" w:hAnsi="Times New Roman" w:cs="Times New Roman"/>
          <w:color w:val="222222"/>
          <w:sz w:val="24"/>
          <w:szCs w:val="24"/>
          <w:shd w:val="clear" w:color="auto" w:fill="FFFFFF"/>
        </w:rPr>
        <w:t xml:space="preserve">, C., 2020. Imfinzi and </w:t>
      </w:r>
      <w:proofErr w:type="spellStart"/>
      <w:r w:rsidRPr="00B527AF">
        <w:rPr>
          <w:rFonts w:ascii="Times New Roman" w:hAnsi="Times New Roman" w:cs="Times New Roman"/>
          <w:color w:val="222222"/>
          <w:sz w:val="24"/>
          <w:szCs w:val="24"/>
          <w:shd w:val="clear" w:color="auto" w:fill="FFFFFF"/>
        </w:rPr>
        <w:t>tremelimumab</w:t>
      </w:r>
      <w:proofErr w:type="spellEnd"/>
      <w:r w:rsidRPr="00B527AF">
        <w:rPr>
          <w:rFonts w:ascii="Times New Roman" w:hAnsi="Times New Roman" w:cs="Times New Roman"/>
          <w:color w:val="222222"/>
          <w:sz w:val="24"/>
          <w:szCs w:val="24"/>
          <w:shd w:val="clear" w:color="auto" w:fill="FFFFFF"/>
        </w:rPr>
        <w:t xml:space="preserve"> granted Orphan Drug Designation in the US for liver cancer.</w:t>
      </w:r>
    </w:p>
    <w:p w14:paraId="20DE7EC6"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r w:rsidRPr="00B527AF">
        <w:rPr>
          <w:rFonts w:ascii="Times New Roman" w:hAnsi="Times New Roman" w:cs="Times New Roman"/>
          <w:color w:val="222222"/>
          <w:sz w:val="24"/>
          <w:szCs w:val="24"/>
          <w:shd w:val="clear" w:color="auto" w:fill="FFFFFF"/>
        </w:rPr>
        <w:t xml:space="preserve">Vogel, G. and </w:t>
      </w:r>
      <w:proofErr w:type="spellStart"/>
      <w:r w:rsidRPr="00B527AF">
        <w:rPr>
          <w:rFonts w:ascii="Times New Roman" w:hAnsi="Times New Roman" w:cs="Times New Roman"/>
          <w:color w:val="222222"/>
          <w:sz w:val="24"/>
          <w:szCs w:val="24"/>
          <w:shd w:val="clear" w:color="auto" w:fill="FFFFFF"/>
        </w:rPr>
        <w:t>Kupferschmidt</w:t>
      </w:r>
      <w:proofErr w:type="spellEnd"/>
      <w:r w:rsidRPr="00B527AF">
        <w:rPr>
          <w:rFonts w:ascii="Times New Roman" w:hAnsi="Times New Roman" w:cs="Times New Roman"/>
          <w:color w:val="222222"/>
          <w:sz w:val="24"/>
          <w:szCs w:val="24"/>
          <w:shd w:val="clear" w:color="auto" w:fill="FFFFFF"/>
        </w:rPr>
        <w:t>, K., 2021. Side effect worry grows for AstraZeneca vaccine.</w:t>
      </w:r>
    </w:p>
    <w:p w14:paraId="12B230B9" w14:textId="77777777" w:rsidR="00563A70" w:rsidRPr="00B527AF" w:rsidRDefault="00563A70"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color w:val="222222"/>
          <w:sz w:val="24"/>
          <w:szCs w:val="24"/>
          <w:shd w:val="clear" w:color="auto" w:fill="FFFFFF"/>
        </w:rPr>
        <w:t xml:space="preserve">Wagner, D.N., 2022. The Broken Promise Doctrine: AstraZeneca Canada Inc v </w:t>
      </w:r>
      <w:proofErr w:type="spellStart"/>
      <w:r w:rsidRPr="00B527AF">
        <w:rPr>
          <w:rFonts w:ascii="Times New Roman" w:hAnsi="Times New Roman" w:cs="Times New Roman"/>
          <w:color w:val="222222"/>
          <w:sz w:val="24"/>
          <w:szCs w:val="24"/>
          <w:shd w:val="clear" w:color="auto" w:fill="FFFFFF"/>
        </w:rPr>
        <w:t>Apotex</w:t>
      </w:r>
      <w:proofErr w:type="spellEnd"/>
      <w:r w:rsidRPr="00B527AF">
        <w:rPr>
          <w:rFonts w:ascii="Times New Roman" w:hAnsi="Times New Roman" w:cs="Times New Roman"/>
          <w:color w:val="222222"/>
          <w:sz w:val="24"/>
          <w:szCs w:val="24"/>
          <w:shd w:val="clear" w:color="auto" w:fill="FFFFFF"/>
        </w:rPr>
        <w:t xml:space="preserve"> Inc and the Future of Pharmaceutical Patents. </w:t>
      </w:r>
      <w:r w:rsidRPr="00B527AF">
        <w:rPr>
          <w:rFonts w:ascii="Times New Roman" w:hAnsi="Times New Roman" w:cs="Times New Roman"/>
          <w:i/>
          <w:iCs/>
          <w:color w:val="222222"/>
          <w:sz w:val="24"/>
          <w:szCs w:val="24"/>
          <w:shd w:val="clear" w:color="auto" w:fill="FFFFFF"/>
        </w:rPr>
        <w:t>Appeal: Rev. Current L. &amp; L. Reform</w:t>
      </w:r>
      <w:r w:rsidRPr="00B527AF">
        <w:rPr>
          <w:rFonts w:ascii="Times New Roman" w:hAnsi="Times New Roman" w:cs="Times New Roman"/>
          <w:color w:val="222222"/>
          <w:sz w:val="24"/>
          <w:szCs w:val="24"/>
          <w:shd w:val="clear" w:color="auto" w:fill="FFFFFF"/>
        </w:rPr>
        <w:t xml:space="preserve">, </w:t>
      </w:r>
      <w:r w:rsidRPr="00B527AF">
        <w:rPr>
          <w:rFonts w:ascii="Times New Roman" w:hAnsi="Times New Roman" w:cs="Times New Roman"/>
          <w:i/>
          <w:iCs/>
          <w:color w:val="222222"/>
          <w:sz w:val="24"/>
          <w:szCs w:val="24"/>
          <w:shd w:val="clear" w:color="auto" w:fill="FFFFFF"/>
        </w:rPr>
        <w:t>27</w:t>
      </w:r>
      <w:r w:rsidRPr="00B527AF">
        <w:rPr>
          <w:rFonts w:ascii="Times New Roman" w:hAnsi="Times New Roman" w:cs="Times New Roman"/>
          <w:color w:val="222222"/>
          <w:sz w:val="24"/>
          <w:szCs w:val="24"/>
          <w:shd w:val="clear" w:color="auto" w:fill="FFFFFF"/>
        </w:rPr>
        <w:t>, p.70.</w:t>
      </w:r>
    </w:p>
    <w:p w14:paraId="5903E4EC"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r w:rsidRPr="00B527AF">
        <w:rPr>
          <w:rFonts w:ascii="Times New Roman" w:hAnsi="Times New Roman" w:cs="Times New Roman"/>
          <w:color w:val="222222"/>
          <w:sz w:val="24"/>
          <w:szCs w:val="24"/>
          <w:shd w:val="clear" w:color="auto" w:fill="FFFFFF"/>
        </w:rPr>
        <w:t xml:space="preserve">Wang, M., Munoz, J., Goy, A., Locke, F.L., Jacobson, C.A., Hill, B.T., Timmerman, J.M., Holmes, H., </w:t>
      </w:r>
      <w:proofErr w:type="spellStart"/>
      <w:r w:rsidRPr="00B527AF">
        <w:rPr>
          <w:rFonts w:ascii="Times New Roman" w:hAnsi="Times New Roman" w:cs="Times New Roman"/>
          <w:color w:val="222222"/>
          <w:sz w:val="24"/>
          <w:szCs w:val="24"/>
          <w:shd w:val="clear" w:color="auto" w:fill="FFFFFF"/>
        </w:rPr>
        <w:t>Jaglowski</w:t>
      </w:r>
      <w:proofErr w:type="spellEnd"/>
      <w:r w:rsidRPr="00B527AF">
        <w:rPr>
          <w:rFonts w:ascii="Times New Roman" w:hAnsi="Times New Roman" w:cs="Times New Roman"/>
          <w:color w:val="222222"/>
          <w:sz w:val="24"/>
          <w:szCs w:val="24"/>
          <w:shd w:val="clear" w:color="auto" w:fill="FFFFFF"/>
        </w:rPr>
        <w:t>, S., Flinn, I.W. and McSweeney, P.A., 2022. Three-year follow-up of KTE-X19 in patients with relapsed/refractory mantle cell lymphoma, including high-risk subgroups, in the ZUMA-2 study. </w:t>
      </w:r>
      <w:r w:rsidRPr="00B527AF">
        <w:rPr>
          <w:rFonts w:ascii="Times New Roman" w:hAnsi="Times New Roman" w:cs="Times New Roman"/>
          <w:i/>
          <w:iCs/>
          <w:color w:val="222222"/>
          <w:sz w:val="24"/>
          <w:szCs w:val="24"/>
          <w:shd w:val="clear" w:color="auto" w:fill="FFFFFF"/>
        </w:rPr>
        <w:t>Journal of clinical oncology</w:t>
      </w:r>
      <w:r w:rsidRPr="00B527AF">
        <w:rPr>
          <w:rFonts w:ascii="Times New Roman" w:hAnsi="Times New Roman" w:cs="Times New Roman"/>
          <w:color w:val="222222"/>
          <w:sz w:val="24"/>
          <w:szCs w:val="24"/>
          <w:shd w:val="clear" w:color="auto" w:fill="FFFFFF"/>
        </w:rPr>
        <w:t>, pp.JCO-21.</w:t>
      </w:r>
    </w:p>
    <w:p w14:paraId="05722906" w14:textId="77777777" w:rsidR="00563A70" w:rsidRPr="00B527AF" w:rsidRDefault="00563A70" w:rsidP="00AD3962">
      <w:pPr>
        <w:spacing w:before="240" w:line="360" w:lineRule="auto"/>
        <w:jc w:val="both"/>
        <w:rPr>
          <w:rFonts w:ascii="Times New Roman" w:hAnsi="Times New Roman" w:cs="Times New Roman"/>
          <w:color w:val="222222"/>
          <w:sz w:val="24"/>
          <w:szCs w:val="24"/>
          <w:shd w:val="clear" w:color="auto" w:fill="FFFFFF"/>
        </w:rPr>
      </w:pPr>
      <w:r w:rsidRPr="00B527AF">
        <w:rPr>
          <w:rFonts w:ascii="Times New Roman" w:hAnsi="Times New Roman" w:cs="Times New Roman"/>
          <w:color w:val="222222"/>
          <w:sz w:val="24"/>
          <w:szCs w:val="24"/>
          <w:shd w:val="clear" w:color="auto" w:fill="FFFFFF"/>
        </w:rPr>
        <w:t>Willigers, B., 2020. How advanced analytics create (Core) value: an example from a pharmaceutical company, AstraZeneca. </w:t>
      </w:r>
      <w:r w:rsidRPr="00B527AF">
        <w:rPr>
          <w:rFonts w:ascii="Times New Roman" w:hAnsi="Times New Roman" w:cs="Times New Roman"/>
          <w:i/>
          <w:iCs/>
          <w:color w:val="222222"/>
          <w:sz w:val="24"/>
          <w:szCs w:val="24"/>
          <w:shd w:val="clear" w:color="auto" w:fill="FFFFFF"/>
        </w:rPr>
        <w:t>Journal of Business Analytics</w:t>
      </w:r>
      <w:r w:rsidRPr="00B527AF">
        <w:rPr>
          <w:rFonts w:ascii="Times New Roman" w:hAnsi="Times New Roman" w:cs="Times New Roman"/>
          <w:color w:val="222222"/>
          <w:sz w:val="24"/>
          <w:szCs w:val="24"/>
          <w:shd w:val="clear" w:color="auto" w:fill="FFFFFF"/>
        </w:rPr>
        <w:t>, </w:t>
      </w:r>
      <w:r w:rsidRPr="00B527AF">
        <w:rPr>
          <w:rFonts w:ascii="Times New Roman" w:hAnsi="Times New Roman" w:cs="Times New Roman"/>
          <w:i/>
          <w:iCs/>
          <w:color w:val="222222"/>
          <w:sz w:val="24"/>
          <w:szCs w:val="24"/>
          <w:shd w:val="clear" w:color="auto" w:fill="FFFFFF"/>
        </w:rPr>
        <w:t>3</w:t>
      </w:r>
      <w:r w:rsidRPr="00B527AF">
        <w:rPr>
          <w:rFonts w:ascii="Times New Roman" w:hAnsi="Times New Roman" w:cs="Times New Roman"/>
          <w:color w:val="222222"/>
          <w:sz w:val="24"/>
          <w:szCs w:val="24"/>
          <w:shd w:val="clear" w:color="auto" w:fill="FFFFFF"/>
        </w:rPr>
        <w:t>(2), pp.122-137.</w:t>
      </w:r>
    </w:p>
    <w:p w14:paraId="079C8541" w14:textId="77777777" w:rsidR="00563A70" w:rsidRPr="00B527AF" w:rsidRDefault="00563A70" w:rsidP="00AD3962">
      <w:pPr>
        <w:spacing w:before="240" w:line="360" w:lineRule="auto"/>
        <w:jc w:val="both"/>
        <w:rPr>
          <w:rFonts w:ascii="Times New Roman" w:hAnsi="Times New Roman" w:cs="Times New Roman"/>
          <w:sz w:val="24"/>
          <w:szCs w:val="24"/>
        </w:rPr>
      </w:pPr>
      <w:r w:rsidRPr="00B527AF">
        <w:rPr>
          <w:rFonts w:ascii="Times New Roman" w:hAnsi="Times New Roman" w:cs="Times New Roman"/>
          <w:color w:val="222222"/>
          <w:sz w:val="24"/>
          <w:szCs w:val="24"/>
          <w:shd w:val="clear" w:color="auto" w:fill="FFFFFF"/>
        </w:rPr>
        <w:t xml:space="preserve">Wrobel, A.L., Köhler‐Forsberg, O., Sylvia, L.G., Russell, S.E., Dean, O.M., Cotton, S.M., </w:t>
      </w:r>
      <w:proofErr w:type="spellStart"/>
      <w:r w:rsidRPr="00B527AF">
        <w:rPr>
          <w:rFonts w:ascii="Times New Roman" w:hAnsi="Times New Roman" w:cs="Times New Roman"/>
          <w:color w:val="222222"/>
          <w:sz w:val="24"/>
          <w:szCs w:val="24"/>
          <w:shd w:val="clear" w:color="auto" w:fill="FFFFFF"/>
        </w:rPr>
        <w:t>Thase</w:t>
      </w:r>
      <w:proofErr w:type="spellEnd"/>
      <w:r w:rsidRPr="00B527AF">
        <w:rPr>
          <w:rFonts w:ascii="Times New Roman" w:hAnsi="Times New Roman" w:cs="Times New Roman"/>
          <w:color w:val="222222"/>
          <w:sz w:val="24"/>
          <w:szCs w:val="24"/>
          <w:shd w:val="clear" w:color="auto" w:fill="FFFFFF"/>
        </w:rPr>
        <w:t xml:space="preserve">, M., Calabrese, J.R., </w:t>
      </w:r>
      <w:proofErr w:type="spellStart"/>
      <w:r w:rsidRPr="00B527AF">
        <w:rPr>
          <w:rFonts w:ascii="Times New Roman" w:hAnsi="Times New Roman" w:cs="Times New Roman"/>
          <w:color w:val="222222"/>
          <w:sz w:val="24"/>
          <w:szCs w:val="24"/>
          <w:shd w:val="clear" w:color="auto" w:fill="FFFFFF"/>
        </w:rPr>
        <w:t>Deckersbach</w:t>
      </w:r>
      <w:proofErr w:type="spellEnd"/>
      <w:r w:rsidRPr="00B527AF">
        <w:rPr>
          <w:rFonts w:ascii="Times New Roman" w:hAnsi="Times New Roman" w:cs="Times New Roman"/>
          <w:color w:val="222222"/>
          <w:sz w:val="24"/>
          <w:szCs w:val="24"/>
          <w:shd w:val="clear" w:color="auto" w:fill="FFFFFF"/>
        </w:rPr>
        <w:t xml:space="preserve">, T., </w:t>
      </w:r>
      <w:proofErr w:type="spellStart"/>
      <w:r w:rsidRPr="00B527AF">
        <w:rPr>
          <w:rFonts w:ascii="Times New Roman" w:hAnsi="Times New Roman" w:cs="Times New Roman"/>
          <w:color w:val="222222"/>
          <w:sz w:val="24"/>
          <w:szCs w:val="24"/>
          <w:shd w:val="clear" w:color="auto" w:fill="FFFFFF"/>
        </w:rPr>
        <w:t>Tohen</w:t>
      </w:r>
      <w:proofErr w:type="spellEnd"/>
      <w:r w:rsidRPr="00B527AF">
        <w:rPr>
          <w:rFonts w:ascii="Times New Roman" w:hAnsi="Times New Roman" w:cs="Times New Roman"/>
          <w:color w:val="222222"/>
          <w:sz w:val="24"/>
          <w:szCs w:val="24"/>
          <w:shd w:val="clear" w:color="auto" w:fill="FFFFFF"/>
        </w:rPr>
        <w:t>, M. and Bowden, C.L., 2022. Childhood trauma and treatment outcomes during mood‐</w:t>
      </w:r>
      <w:proofErr w:type="spellStart"/>
      <w:r w:rsidRPr="00B527AF">
        <w:rPr>
          <w:rFonts w:ascii="Times New Roman" w:hAnsi="Times New Roman" w:cs="Times New Roman"/>
          <w:color w:val="222222"/>
          <w:sz w:val="24"/>
          <w:szCs w:val="24"/>
          <w:shd w:val="clear" w:color="auto" w:fill="FFFFFF"/>
        </w:rPr>
        <w:t>stabilising</w:t>
      </w:r>
      <w:proofErr w:type="spellEnd"/>
      <w:r w:rsidRPr="00B527AF">
        <w:rPr>
          <w:rFonts w:ascii="Times New Roman" w:hAnsi="Times New Roman" w:cs="Times New Roman"/>
          <w:color w:val="222222"/>
          <w:sz w:val="24"/>
          <w:szCs w:val="24"/>
          <w:shd w:val="clear" w:color="auto" w:fill="FFFFFF"/>
        </w:rPr>
        <w:t xml:space="preserve"> treatment with lithium or quetiapine among outpatients with bipolar disorder. </w:t>
      </w:r>
      <w:r w:rsidRPr="00B527AF">
        <w:rPr>
          <w:rFonts w:ascii="Times New Roman" w:hAnsi="Times New Roman" w:cs="Times New Roman"/>
          <w:i/>
          <w:iCs/>
          <w:color w:val="222222"/>
          <w:sz w:val="24"/>
          <w:szCs w:val="24"/>
          <w:shd w:val="clear" w:color="auto" w:fill="FFFFFF"/>
        </w:rPr>
        <w:t xml:space="preserve">Acta </w:t>
      </w:r>
      <w:proofErr w:type="spellStart"/>
      <w:r w:rsidRPr="00B527AF">
        <w:rPr>
          <w:rFonts w:ascii="Times New Roman" w:hAnsi="Times New Roman" w:cs="Times New Roman"/>
          <w:i/>
          <w:iCs/>
          <w:color w:val="222222"/>
          <w:sz w:val="24"/>
          <w:szCs w:val="24"/>
          <w:shd w:val="clear" w:color="auto" w:fill="FFFFFF"/>
        </w:rPr>
        <w:t>Psychiatrica</w:t>
      </w:r>
      <w:proofErr w:type="spellEnd"/>
      <w:r w:rsidRPr="00B527AF">
        <w:rPr>
          <w:rFonts w:ascii="Times New Roman" w:hAnsi="Times New Roman" w:cs="Times New Roman"/>
          <w:i/>
          <w:iCs/>
          <w:color w:val="222222"/>
          <w:sz w:val="24"/>
          <w:szCs w:val="24"/>
          <w:shd w:val="clear" w:color="auto" w:fill="FFFFFF"/>
        </w:rPr>
        <w:t xml:space="preserve"> Scandinavica</w:t>
      </w:r>
      <w:r w:rsidRPr="00B527AF">
        <w:rPr>
          <w:rFonts w:ascii="Times New Roman" w:hAnsi="Times New Roman" w:cs="Times New Roman"/>
          <w:color w:val="222222"/>
          <w:sz w:val="24"/>
          <w:szCs w:val="24"/>
          <w:shd w:val="clear" w:color="auto" w:fill="FFFFFF"/>
        </w:rPr>
        <w:t xml:space="preserve">, </w:t>
      </w:r>
      <w:r w:rsidRPr="00B527AF">
        <w:rPr>
          <w:rFonts w:ascii="Times New Roman" w:hAnsi="Times New Roman" w:cs="Times New Roman"/>
          <w:i/>
          <w:iCs/>
          <w:color w:val="222222"/>
          <w:sz w:val="24"/>
          <w:szCs w:val="24"/>
          <w:shd w:val="clear" w:color="auto" w:fill="FFFFFF"/>
        </w:rPr>
        <w:t>145</w:t>
      </w:r>
      <w:r w:rsidRPr="00B527AF">
        <w:rPr>
          <w:rFonts w:ascii="Times New Roman" w:hAnsi="Times New Roman" w:cs="Times New Roman"/>
          <w:color w:val="222222"/>
          <w:sz w:val="24"/>
          <w:szCs w:val="24"/>
          <w:shd w:val="clear" w:color="auto" w:fill="FFFFFF"/>
        </w:rPr>
        <w:t>(6), pp.615-627.</w:t>
      </w:r>
    </w:p>
    <w:sectPr w:rsidR="00563A70" w:rsidRPr="00B527AF" w:rsidSect="001B58F9">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4C702" w14:textId="77777777" w:rsidR="00675482" w:rsidRDefault="00675482" w:rsidP="00D81E25">
      <w:pPr>
        <w:spacing w:line="240" w:lineRule="auto"/>
      </w:pPr>
      <w:r>
        <w:separator/>
      </w:r>
    </w:p>
  </w:endnote>
  <w:endnote w:type="continuationSeparator" w:id="0">
    <w:p w14:paraId="64FA0E7B" w14:textId="77777777" w:rsidR="00675482" w:rsidRDefault="00675482" w:rsidP="00D81E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4848633"/>
      <w:docPartObj>
        <w:docPartGallery w:val="Page Numbers (Bottom of Page)"/>
        <w:docPartUnique/>
      </w:docPartObj>
    </w:sdtPr>
    <w:sdtEndPr>
      <w:rPr>
        <w:rFonts w:ascii="Times New Roman" w:hAnsi="Times New Roman" w:cs="Times New Roman"/>
        <w:noProof/>
        <w:sz w:val="20"/>
        <w:szCs w:val="20"/>
      </w:rPr>
    </w:sdtEndPr>
    <w:sdtContent>
      <w:p w14:paraId="73D241C5" w14:textId="0159558A" w:rsidR="008B4939" w:rsidRPr="008B4939" w:rsidRDefault="008B4939">
        <w:pPr>
          <w:pStyle w:val="Footer"/>
          <w:jc w:val="right"/>
          <w:rPr>
            <w:rFonts w:ascii="Times New Roman" w:hAnsi="Times New Roman" w:cs="Times New Roman"/>
            <w:sz w:val="20"/>
            <w:szCs w:val="20"/>
          </w:rPr>
        </w:pPr>
        <w:r w:rsidRPr="008B4939">
          <w:rPr>
            <w:rFonts w:ascii="Times New Roman" w:hAnsi="Times New Roman" w:cs="Times New Roman"/>
            <w:sz w:val="20"/>
            <w:szCs w:val="20"/>
          </w:rPr>
          <w:fldChar w:fldCharType="begin"/>
        </w:r>
        <w:r w:rsidRPr="008B4939">
          <w:rPr>
            <w:rFonts w:ascii="Times New Roman" w:hAnsi="Times New Roman" w:cs="Times New Roman"/>
            <w:sz w:val="20"/>
            <w:szCs w:val="20"/>
          </w:rPr>
          <w:instrText xml:space="preserve"> PAGE   \* MERGEFORMAT </w:instrText>
        </w:r>
        <w:r w:rsidRPr="008B4939">
          <w:rPr>
            <w:rFonts w:ascii="Times New Roman" w:hAnsi="Times New Roman" w:cs="Times New Roman"/>
            <w:sz w:val="20"/>
            <w:szCs w:val="20"/>
          </w:rPr>
          <w:fldChar w:fldCharType="separate"/>
        </w:r>
        <w:r w:rsidR="00563A70">
          <w:rPr>
            <w:rFonts w:ascii="Times New Roman" w:hAnsi="Times New Roman" w:cs="Times New Roman"/>
            <w:noProof/>
            <w:sz w:val="20"/>
            <w:szCs w:val="20"/>
          </w:rPr>
          <w:t>21</w:t>
        </w:r>
        <w:r w:rsidRPr="008B4939">
          <w:rPr>
            <w:rFonts w:ascii="Times New Roman" w:hAnsi="Times New Roman" w:cs="Times New Roman"/>
            <w:noProof/>
            <w:sz w:val="20"/>
            <w:szCs w:val="20"/>
          </w:rPr>
          <w:fldChar w:fldCharType="end"/>
        </w:r>
      </w:p>
    </w:sdtContent>
  </w:sdt>
  <w:p w14:paraId="0CE881C5" w14:textId="77777777" w:rsidR="008B4939" w:rsidRDefault="008B4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D4447" w14:textId="77777777" w:rsidR="00675482" w:rsidRDefault="00675482" w:rsidP="00D81E25">
      <w:pPr>
        <w:spacing w:line="240" w:lineRule="auto"/>
      </w:pPr>
      <w:r>
        <w:separator/>
      </w:r>
    </w:p>
  </w:footnote>
  <w:footnote w:type="continuationSeparator" w:id="0">
    <w:p w14:paraId="6597E374" w14:textId="77777777" w:rsidR="00675482" w:rsidRDefault="00675482" w:rsidP="00D81E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A3AC2"/>
    <w:multiLevelType w:val="hybridMultilevel"/>
    <w:tmpl w:val="EBF48B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A503F7A"/>
    <w:multiLevelType w:val="multilevel"/>
    <w:tmpl w:val="E03C02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8460FC"/>
    <w:multiLevelType w:val="multilevel"/>
    <w:tmpl w:val="C33C4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C55D5E"/>
    <w:multiLevelType w:val="multilevel"/>
    <w:tmpl w:val="687E0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584021"/>
    <w:multiLevelType w:val="multilevel"/>
    <w:tmpl w:val="DDBAD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C93155"/>
    <w:multiLevelType w:val="hybridMultilevel"/>
    <w:tmpl w:val="7974ED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E8D0B2A"/>
    <w:multiLevelType w:val="hybridMultilevel"/>
    <w:tmpl w:val="13E8F7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689643F"/>
    <w:multiLevelType w:val="multilevel"/>
    <w:tmpl w:val="24DC8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8A7CA7"/>
    <w:multiLevelType w:val="multilevel"/>
    <w:tmpl w:val="D612F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D26D65"/>
    <w:multiLevelType w:val="multilevel"/>
    <w:tmpl w:val="3ABA7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9D47E1"/>
    <w:multiLevelType w:val="hybridMultilevel"/>
    <w:tmpl w:val="AD4A5B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54A21AB7"/>
    <w:multiLevelType w:val="multilevel"/>
    <w:tmpl w:val="2E862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414075"/>
    <w:multiLevelType w:val="multilevel"/>
    <w:tmpl w:val="F0F0B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F93A52"/>
    <w:multiLevelType w:val="hybridMultilevel"/>
    <w:tmpl w:val="2C620A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53014507">
    <w:abstractNumId w:val="1"/>
  </w:num>
  <w:num w:numId="2" w16cid:durableId="1156921370">
    <w:abstractNumId w:val="2"/>
  </w:num>
  <w:num w:numId="3" w16cid:durableId="178398909">
    <w:abstractNumId w:val="11"/>
  </w:num>
  <w:num w:numId="4" w16cid:durableId="1747221608">
    <w:abstractNumId w:val="3"/>
  </w:num>
  <w:num w:numId="5" w16cid:durableId="45573161">
    <w:abstractNumId w:val="8"/>
  </w:num>
  <w:num w:numId="6" w16cid:durableId="774711362">
    <w:abstractNumId w:val="7"/>
  </w:num>
  <w:num w:numId="7" w16cid:durableId="1268853780">
    <w:abstractNumId w:val="9"/>
  </w:num>
  <w:num w:numId="8" w16cid:durableId="1999259927">
    <w:abstractNumId w:val="12"/>
  </w:num>
  <w:num w:numId="9" w16cid:durableId="97649063">
    <w:abstractNumId w:val="4"/>
  </w:num>
  <w:num w:numId="10" w16cid:durableId="1119495618">
    <w:abstractNumId w:val="10"/>
  </w:num>
  <w:num w:numId="11" w16cid:durableId="256984035">
    <w:abstractNumId w:val="5"/>
  </w:num>
  <w:num w:numId="12" w16cid:durableId="1307709755">
    <w:abstractNumId w:val="0"/>
  </w:num>
  <w:num w:numId="13" w16cid:durableId="462309868">
    <w:abstractNumId w:val="13"/>
  </w:num>
  <w:num w:numId="14" w16cid:durableId="10688410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0CC"/>
    <w:rsid w:val="0002667A"/>
    <w:rsid w:val="000746A6"/>
    <w:rsid w:val="00146740"/>
    <w:rsid w:val="001B58F9"/>
    <w:rsid w:val="0030262C"/>
    <w:rsid w:val="004A5D46"/>
    <w:rsid w:val="004B54EE"/>
    <w:rsid w:val="004D494D"/>
    <w:rsid w:val="00563A70"/>
    <w:rsid w:val="00675482"/>
    <w:rsid w:val="00777982"/>
    <w:rsid w:val="007E20CC"/>
    <w:rsid w:val="007E30E7"/>
    <w:rsid w:val="00802D36"/>
    <w:rsid w:val="00893FE2"/>
    <w:rsid w:val="008B4939"/>
    <w:rsid w:val="00940D2D"/>
    <w:rsid w:val="00960D6D"/>
    <w:rsid w:val="009E6628"/>
    <w:rsid w:val="00AD3962"/>
    <w:rsid w:val="00B527AF"/>
    <w:rsid w:val="00D81E25"/>
    <w:rsid w:val="00F97A2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E6A8C"/>
  <w15:docId w15:val="{E0F2C736-C856-48EB-91DE-C4493CA03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81E25"/>
    <w:pPr>
      <w:keepNext/>
      <w:keepLines/>
      <w:spacing w:before="400" w:after="120"/>
      <w:outlineLvl w:val="0"/>
    </w:pPr>
    <w:rPr>
      <w:rFonts w:ascii="Times New Roman" w:hAnsi="Times New Roman"/>
      <w:b/>
      <w:sz w:val="24"/>
      <w:szCs w:val="40"/>
    </w:rPr>
  </w:style>
  <w:style w:type="paragraph" w:styleId="Heading2">
    <w:name w:val="heading 2"/>
    <w:basedOn w:val="Normal"/>
    <w:next w:val="Normal"/>
    <w:uiPriority w:val="9"/>
    <w:unhideWhenUsed/>
    <w:qFormat/>
    <w:rsid w:val="00D81E25"/>
    <w:pPr>
      <w:keepNext/>
      <w:keepLines/>
      <w:spacing w:before="360" w:after="120"/>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apple-tab-span">
    <w:name w:val="apple-tab-span"/>
    <w:basedOn w:val="DefaultParagraphFont"/>
    <w:rsid w:val="00AD3962"/>
  </w:style>
  <w:style w:type="paragraph" w:styleId="NormalWeb">
    <w:name w:val="Normal (Web)"/>
    <w:basedOn w:val="Normal"/>
    <w:uiPriority w:val="99"/>
    <w:semiHidden/>
    <w:unhideWhenUsed/>
    <w:rsid w:val="00AD3962"/>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ListParagraph">
    <w:name w:val="List Paragraph"/>
    <w:basedOn w:val="Normal"/>
    <w:uiPriority w:val="34"/>
    <w:qFormat/>
    <w:rsid w:val="00AD3962"/>
    <w:pPr>
      <w:ind w:left="720"/>
      <w:contextualSpacing/>
    </w:pPr>
  </w:style>
  <w:style w:type="paragraph" w:styleId="TOCHeading">
    <w:name w:val="TOC Heading"/>
    <w:basedOn w:val="Heading1"/>
    <w:next w:val="Normal"/>
    <w:uiPriority w:val="39"/>
    <w:unhideWhenUsed/>
    <w:qFormat/>
    <w:rsid w:val="00D81E25"/>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81E25"/>
    <w:pPr>
      <w:spacing w:after="100"/>
    </w:pPr>
  </w:style>
  <w:style w:type="paragraph" w:styleId="TOC2">
    <w:name w:val="toc 2"/>
    <w:basedOn w:val="Normal"/>
    <w:next w:val="Normal"/>
    <w:autoRedefine/>
    <w:uiPriority w:val="39"/>
    <w:unhideWhenUsed/>
    <w:rsid w:val="00D81E25"/>
    <w:pPr>
      <w:spacing w:after="100"/>
      <w:ind w:left="220"/>
    </w:pPr>
  </w:style>
  <w:style w:type="character" w:styleId="Hyperlink">
    <w:name w:val="Hyperlink"/>
    <w:basedOn w:val="DefaultParagraphFont"/>
    <w:uiPriority w:val="99"/>
    <w:unhideWhenUsed/>
    <w:rsid w:val="00D81E25"/>
    <w:rPr>
      <w:color w:val="0000FF" w:themeColor="hyperlink"/>
      <w:u w:val="single"/>
    </w:rPr>
  </w:style>
  <w:style w:type="paragraph" w:styleId="Header">
    <w:name w:val="header"/>
    <w:basedOn w:val="Normal"/>
    <w:link w:val="HeaderChar"/>
    <w:uiPriority w:val="99"/>
    <w:unhideWhenUsed/>
    <w:rsid w:val="00D81E25"/>
    <w:pPr>
      <w:tabs>
        <w:tab w:val="center" w:pos="4513"/>
        <w:tab w:val="right" w:pos="9026"/>
      </w:tabs>
      <w:spacing w:line="240" w:lineRule="auto"/>
    </w:pPr>
  </w:style>
  <w:style w:type="character" w:customStyle="1" w:styleId="HeaderChar">
    <w:name w:val="Header Char"/>
    <w:basedOn w:val="DefaultParagraphFont"/>
    <w:link w:val="Header"/>
    <w:uiPriority w:val="99"/>
    <w:rsid w:val="00D81E25"/>
  </w:style>
  <w:style w:type="paragraph" w:styleId="Footer">
    <w:name w:val="footer"/>
    <w:basedOn w:val="Normal"/>
    <w:link w:val="FooterChar"/>
    <w:uiPriority w:val="99"/>
    <w:unhideWhenUsed/>
    <w:rsid w:val="00D81E25"/>
    <w:pPr>
      <w:tabs>
        <w:tab w:val="center" w:pos="4513"/>
        <w:tab w:val="right" w:pos="9026"/>
      </w:tabs>
      <w:spacing w:line="240" w:lineRule="auto"/>
    </w:pPr>
  </w:style>
  <w:style w:type="character" w:customStyle="1" w:styleId="FooterChar">
    <w:name w:val="Footer Char"/>
    <w:basedOn w:val="DefaultParagraphFont"/>
    <w:link w:val="Footer"/>
    <w:uiPriority w:val="99"/>
    <w:rsid w:val="00D81E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5770384">
      <w:bodyDiv w:val="1"/>
      <w:marLeft w:val="0"/>
      <w:marRight w:val="0"/>
      <w:marTop w:val="0"/>
      <w:marBottom w:val="0"/>
      <w:divBdr>
        <w:top w:val="none" w:sz="0" w:space="0" w:color="auto"/>
        <w:left w:val="none" w:sz="0" w:space="0" w:color="auto"/>
        <w:bottom w:val="none" w:sz="0" w:space="0" w:color="auto"/>
        <w:right w:val="none" w:sz="0" w:space="0" w:color="auto"/>
      </w:divBdr>
    </w:div>
    <w:div w:id="1576238062">
      <w:bodyDiv w:val="1"/>
      <w:marLeft w:val="0"/>
      <w:marRight w:val="0"/>
      <w:marTop w:val="0"/>
      <w:marBottom w:val="0"/>
      <w:divBdr>
        <w:top w:val="none" w:sz="0" w:space="0" w:color="auto"/>
        <w:left w:val="none" w:sz="0" w:space="0" w:color="auto"/>
        <w:bottom w:val="none" w:sz="0" w:space="0" w:color="auto"/>
        <w:right w:val="none" w:sz="0" w:space="0" w:color="auto"/>
      </w:divBdr>
      <w:divsChild>
        <w:div w:id="1284851133">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9A73FA-3E46-41C3-B87E-12CDA0F54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6975</Words>
  <Characters>39758</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Ginnish arora</dc:creator>
  <cp:lastModifiedBy>Ginnish arora</cp:lastModifiedBy>
  <cp:revision>2</cp:revision>
  <dcterms:created xsi:type="dcterms:W3CDTF">2023-05-03T21:50:00Z</dcterms:created>
  <dcterms:modified xsi:type="dcterms:W3CDTF">2023-05-03T21:50:00Z</dcterms:modified>
</cp:coreProperties>
</file>