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923308093"/>
        <w:docPartObj>
          <w:docPartGallery w:val="Cover Pages"/>
          <w:docPartUnique/>
        </w:docPartObj>
      </w:sdtPr>
      <w:sdtEndPr>
        <w:rPr>
          <w:rFonts w:eastAsiaTheme="minorHAnsi"/>
          <w:color w:val="auto"/>
          <w:kern w:val="2"/>
          <w:sz w:val="24"/>
          <w:szCs w:val="24"/>
          <w:lang w:eastAsia="en-US"/>
          <w14:ligatures w14:val="standardContextual"/>
        </w:rPr>
      </w:sdtEndPr>
      <w:sdtContent>
        <w:p w14:paraId="2FBCCA16" w14:textId="30C1F299" w:rsidR="00415CAA" w:rsidRDefault="00415CAA">
          <w:pPr>
            <w:pStyle w:val="NoSpacing"/>
            <w:spacing w:before="1540" w:after="240"/>
            <w:jc w:val="center"/>
            <w:rPr>
              <w:color w:val="156082" w:themeColor="accent1"/>
            </w:rPr>
          </w:pPr>
          <w:r>
            <w:rPr>
              <w:noProof/>
              <w:color w:val="156082" w:themeColor="accent1"/>
            </w:rPr>
            <w:drawing>
              <wp:inline distT="0" distB="0" distL="0" distR="0" wp14:anchorId="190EC779" wp14:editId="67072D7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color w:val="156082" w:themeColor="accent1"/>
              <w:kern w:val="2"/>
              <w:sz w:val="32"/>
              <w:szCs w:val="32"/>
              <w:lang w:eastAsia="en-US"/>
              <w14:ligatures w14:val="standardContextual"/>
            </w:rPr>
            <w:alias w:val="Title"/>
            <w:tag w:val=""/>
            <w:id w:val="1735040861"/>
            <w:placeholder>
              <w:docPart w:val="884B19B9E66F4240851464FDD578D60B"/>
            </w:placeholder>
            <w:dataBinding w:prefixMappings="xmlns:ns0='http://purl.org/dc/elements/1.1/' xmlns:ns1='http://schemas.openxmlformats.org/package/2006/metadata/core-properties' " w:xpath="/ns1:coreProperties[1]/ns0:title[1]" w:storeItemID="{6C3C8BC8-F283-45AE-878A-BAB7291924A1}"/>
            <w:text/>
          </w:sdtPr>
          <w:sdtContent>
            <w:p w14:paraId="78A187FB" w14:textId="31C02252" w:rsidR="00415CAA" w:rsidRPr="001F5B81" w:rsidRDefault="00F82AEE" w:rsidP="00F82AEE">
              <w:pPr>
                <w:pStyle w:val="NoSpacing"/>
                <w:pBdr>
                  <w:top w:val="single" w:sz="6" w:space="6" w:color="156082" w:themeColor="accent1"/>
                  <w:bottom w:val="single" w:sz="6" w:space="6" w:color="156082" w:themeColor="accent1"/>
                </w:pBdr>
                <w:spacing w:after="240"/>
                <w:jc w:val="center"/>
                <w:rPr>
                  <w:rFonts w:ascii="Algerian" w:eastAsiaTheme="majorEastAsia" w:hAnsi="Algerian" w:cstheme="majorBidi"/>
                  <w:caps/>
                  <w:color w:val="156082" w:themeColor="accent1"/>
                  <w:sz w:val="32"/>
                  <w:szCs w:val="32"/>
                </w:rPr>
              </w:pPr>
              <w:r w:rsidRPr="001F5B81">
                <w:rPr>
                  <w:rFonts w:ascii="Algerian" w:eastAsiaTheme="majorEastAsia" w:hAnsi="Algerian" w:cstheme="majorBidi"/>
                  <w:caps/>
                  <w:color w:val="156082" w:themeColor="accent1"/>
                  <w:kern w:val="2"/>
                  <w:sz w:val="32"/>
                  <w:szCs w:val="32"/>
                  <w:lang w:eastAsia="en-US"/>
                  <w14:ligatures w14:val="standardContextual"/>
                </w:rPr>
                <w:t xml:space="preserve">Critically evaluate a range of entrepreneurial traits, motivations and characteristics using appropriate academic models and theories, further supported by examples of proven and successful entrepreneurs </w:t>
              </w:r>
            </w:p>
          </w:sdtContent>
        </w:sdt>
        <w:sdt>
          <w:sdtPr>
            <w:rPr>
              <w:rFonts w:ascii="Algerian" w:hAnsi="Algerian" w:cs="Times New Roman"/>
              <w:color w:val="156082" w:themeColor="accent1"/>
            </w:rPr>
            <w:alias w:val="Subtitle"/>
            <w:tag w:val=""/>
            <w:id w:val="328029620"/>
            <w:placeholder>
              <w:docPart w:val="EFFDF62F88BD4AD099B79F4BF82A5668"/>
            </w:placeholder>
            <w:dataBinding w:prefixMappings="xmlns:ns0='http://purl.org/dc/elements/1.1/' xmlns:ns1='http://schemas.openxmlformats.org/package/2006/metadata/core-properties' " w:xpath="/ns1:coreProperties[1]/ns0:subject[1]" w:storeItemID="{6C3C8BC8-F283-45AE-878A-BAB7291924A1}"/>
            <w:text/>
          </w:sdtPr>
          <w:sdtContent>
            <w:p w14:paraId="53FEE15A" w14:textId="0B2B4D26" w:rsidR="005836A9" w:rsidRDefault="005836A9">
              <w:pPr>
                <w:pStyle w:val="NoSpacing"/>
                <w:jc w:val="center"/>
                <w:rPr>
                  <w:color w:val="156082" w:themeColor="accent1"/>
                  <w:sz w:val="28"/>
                  <w:szCs w:val="28"/>
                </w:rPr>
              </w:pPr>
              <w:r w:rsidRPr="00E60797">
                <w:rPr>
                  <w:rFonts w:ascii="Algerian" w:hAnsi="Algerian" w:cs="Times New Roman"/>
                  <w:color w:val="156082" w:themeColor="accent1"/>
                </w:rPr>
                <w:t xml:space="preserve"> BMIH5001 Entrepreneurship</w:t>
              </w:r>
              <w:r w:rsidR="00FA1B84" w:rsidRPr="00E60797">
                <w:rPr>
                  <w:rFonts w:ascii="Algerian" w:hAnsi="Algerian" w:cs="Times New Roman"/>
                  <w:color w:val="156082" w:themeColor="accent1"/>
                </w:rPr>
                <w:t xml:space="preserve">                                                                                                     </w:t>
              </w:r>
              <w:r w:rsidR="00E60797" w:rsidRPr="00E60797">
                <w:rPr>
                  <w:rFonts w:ascii="Algerian" w:hAnsi="Algerian" w:cs="Times New Roman"/>
                  <w:color w:val="156082" w:themeColor="accent1"/>
                </w:rPr>
                <w:t xml:space="preserve">             </w:t>
              </w:r>
              <w:r w:rsidRPr="00E60797">
                <w:rPr>
                  <w:rFonts w:ascii="Algerian" w:hAnsi="Algerian" w:cs="Times New Roman"/>
                  <w:color w:val="156082" w:themeColor="accent1"/>
                </w:rPr>
                <w:t xml:space="preserve"> I acknowledge the use of Grammarly (https://www.grammarly.com/) on </w:t>
              </w:r>
              <w:r w:rsidR="0049635F">
                <w:rPr>
                  <w:rFonts w:ascii="Algerian" w:hAnsi="Algerian" w:cs="Times New Roman"/>
                  <w:color w:val="156082" w:themeColor="accent1"/>
                </w:rPr>
                <w:t>20</w:t>
              </w:r>
              <w:r w:rsidRPr="00E60797">
                <w:rPr>
                  <w:rFonts w:ascii="Algerian" w:hAnsi="Algerian" w:cs="Times New Roman"/>
                  <w:color w:val="156082" w:themeColor="accent1"/>
                </w:rPr>
                <w:t xml:space="preserve"> October 2024 to check my work using the prompt(s):  </w:t>
              </w:r>
            </w:p>
          </w:sdtContent>
        </w:sdt>
        <w:p w14:paraId="2EDAC044" w14:textId="4FA06456" w:rsidR="00415CAA" w:rsidRDefault="00415CA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9683D7F" wp14:editId="628A90E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0-21T00:00:00Z">
                                    <w:dateFormat w:val="dd MMMM yyyy"/>
                                    <w:lid w:val="en-GB"/>
                                    <w:storeMappedDataAs w:val="dateTime"/>
                                    <w:calendar w:val="gregorian"/>
                                  </w:date>
                                </w:sdtPr>
                                <w:sdtContent>
                                  <w:p w14:paraId="1911A71B" w14:textId="2A9032A6" w:rsidR="00415CAA" w:rsidRDefault="00D274EE">
                                    <w:pPr>
                                      <w:pStyle w:val="NoSpacing"/>
                                      <w:spacing w:after="40"/>
                                      <w:jc w:val="center"/>
                                      <w:rPr>
                                        <w:caps/>
                                        <w:color w:val="156082" w:themeColor="accent1"/>
                                        <w:sz w:val="28"/>
                                        <w:szCs w:val="28"/>
                                      </w:rPr>
                                    </w:pPr>
                                    <w:r w:rsidRPr="001F5B81">
                                      <w:rPr>
                                        <w:rFonts w:ascii="Algerian" w:hAnsi="Algerian"/>
                                        <w:caps/>
                                        <w:color w:val="156082" w:themeColor="accent1"/>
                                        <w:sz w:val="28"/>
                                        <w:szCs w:val="28"/>
                                      </w:rPr>
                                      <w:t>21 October 2024</w:t>
                                    </w:r>
                                  </w:p>
                                </w:sdtContent>
                              </w:sdt>
                              <w:p w14:paraId="55447154" w14:textId="4B57150A" w:rsidR="00415CAA" w:rsidRPr="001F5B81" w:rsidRDefault="00415CAA">
                                <w:pPr>
                                  <w:pStyle w:val="NoSpacing"/>
                                  <w:jc w:val="center"/>
                                  <w:rPr>
                                    <w:rFonts w:ascii="Algerian" w:hAnsi="Algerian"/>
                                    <w:color w:val="156082" w:themeColor="accent1"/>
                                  </w:rPr>
                                </w:pPr>
                                <w:sdt>
                                  <w:sdtPr>
                                    <w:rPr>
                                      <w:rFonts w:ascii="Algerian" w:hAnsi="Algerian"/>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274EE" w:rsidRPr="001F5B81">
                                      <w:rPr>
                                        <w:rFonts w:ascii="Algerian" w:hAnsi="Algerian"/>
                                        <w:caps/>
                                        <w:color w:val="156082" w:themeColor="accent1"/>
                                      </w:rPr>
                                      <w:t xml:space="preserve">Azeb </w:t>
                                    </w:r>
                                    <w:r w:rsidR="00843DCB" w:rsidRPr="001F5B81">
                                      <w:rPr>
                                        <w:rFonts w:ascii="Algerian" w:hAnsi="Algerian"/>
                                        <w:caps/>
                                        <w:color w:val="156082" w:themeColor="accent1"/>
                                      </w:rPr>
                                      <w:t>ATSEBHA (</w:t>
                                    </w:r>
                                    <w:r w:rsidR="00D274EE" w:rsidRPr="001F5B81">
                                      <w:rPr>
                                        <w:rFonts w:ascii="Algerian" w:hAnsi="Algerian"/>
                                        <w:caps/>
                                        <w:color w:val="156082" w:themeColor="accent1"/>
                                      </w:rPr>
                                      <w:t>2234854)</w:t>
                                    </w:r>
                                  </w:sdtContent>
                                </w:sdt>
                              </w:p>
                              <w:p w14:paraId="3DBC7809" w14:textId="5DF7F877" w:rsidR="00415CAA" w:rsidRPr="001F5B81" w:rsidRDefault="00700750" w:rsidP="00700750">
                                <w:pPr>
                                  <w:pStyle w:val="NoSpacing"/>
                                  <w:jc w:val="center"/>
                                  <w:rPr>
                                    <w:rFonts w:ascii="Algerian" w:hAnsi="Algerian"/>
                                    <w:color w:val="156082" w:themeColor="accent1"/>
                                  </w:rPr>
                                </w:pPr>
                                <w:sdt>
                                  <w:sdtPr>
                                    <w:rPr>
                                      <w:rFonts w:ascii="Algerian" w:eastAsiaTheme="minorHAnsi" w:hAnsi="Algerian"/>
                                      <w:color w:val="156082" w:themeColor="accent1"/>
                                      <w:kern w:val="2"/>
                                      <w:sz w:val="24"/>
                                      <w:szCs w:val="24"/>
                                      <w:lang w:eastAsia="en-US"/>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Content>
                                    <w:r w:rsidRPr="001F5B81">
                                      <w:rPr>
                                        <w:rFonts w:ascii="Algerian" w:eastAsiaTheme="minorHAnsi" w:hAnsi="Algerian"/>
                                        <w:color w:val="156082" w:themeColor="accent1"/>
                                        <w:kern w:val="2"/>
                                        <w:sz w:val="24"/>
                                        <w:szCs w:val="24"/>
                                        <w:lang w:eastAsia="en-US"/>
                                        <w14:ligatures w14:val="standardContextual"/>
                                      </w:rPr>
                                      <w:t xml:space="preserve">Charlotte Joyner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683D7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0-21T00:00:00Z">
                              <w:dateFormat w:val="dd MMMM yyyy"/>
                              <w:lid w:val="en-GB"/>
                              <w:storeMappedDataAs w:val="dateTime"/>
                              <w:calendar w:val="gregorian"/>
                            </w:date>
                          </w:sdtPr>
                          <w:sdtContent>
                            <w:p w14:paraId="1911A71B" w14:textId="2A9032A6" w:rsidR="00415CAA" w:rsidRDefault="00D274EE">
                              <w:pPr>
                                <w:pStyle w:val="NoSpacing"/>
                                <w:spacing w:after="40"/>
                                <w:jc w:val="center"/>
                                <w:rPr>
                                  <w:caps/>
                                  <w:color w:val="156082" w:themeColor="accent1"/>
                                  <w:sz w:val="28"/>
                                  <w:szCs w:val="28"/>
                                </w:rPr>
                              </w:pPr>
                              <w:r w:rsidRPr="001F5B81">
                                <w:rPr>
                                  <w:rFonts w:ascii="Algerian" w:hAnsi="Algerian"/>
                                  <w:caps/>
                                  <w:color w:val="156082" w:themeColor="accent1"/>
                                  <w:sz w:val="28"/>
                                  <w:szCs w:val="28"/>
                                </w:rPr>
                                <w:t>21 October 2024</w:t>
                              </w:r>
                            </w:p>
                          </w:sdtContent>
                        </w:sdt>
                        <w:p w14:paraId="55447154" w14:textId="4B57150A" w:rsidR="00415CAA" w:rsidRPr="001F5B81" w:rsidRDefault="00415CAA">
                          <w:pPr>
                            <w:pStyle w:val="NoSpacing"/>
                            <w:jc w:val="center"/>
                            <w:rPr>
                              <w:rFonts w:ascii="Algerian" w:hAnsi="Algerian"/>
                              <w:color w:val="156082" w:themeColor="accent1"/>
                            </w:rPr>
                          </w:pPr>
                          <w:sdt>
                            <w:sdtPr>
                              <w:rPr>
                                <w:rFonts w:ascii="Algerian" w:hAnsi="Algerian"/>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274EE" w:rsidRPr="001F5B81">
                                <w:rPr>
                                  <w:rFonts w:ascii="Algerian" w:hAnsi="Algerian"/>
                                  <w:caps/>
                                  <w:color w:val="156082" w:themeColor="accent1"/>
                                </w:rPr>
                                <w:t xml:space="preserve">Azeb </w:t>
                              </w:r>
                              <w:r w:rsidR="00843DCB" w:rsidRPr="001F5B81">
                                <w:rPr>
                                  <w:rFonts w:ascii="Algerian" w:hAnsi="Algerian"/>
                                  <w:caps/>
                                  <w:color w:val="156082" w:themeColor="accent1"/>
                                </w:rPr>
                                <w:t>ATSEBHA (</w:t>
                              </w:r>
                              <w:r w:rsidR="00D274EE" w:rsidRPr="001F5B81">
                                <w:rPr>
                                  <w:rFonts w:ascii="Algerian" w:hAnsi="Algerian"/>
                                  <w:caps/>
                                  <w:color w:val="156082" w:themeColor="accent1"/>
                                </w:rPr>
                                <w:t>2234854)</w:t>
                              </w:r>
                            </w:sdtContent>
                          </w:sdt>
                        </w:p>
                        <w:p w14:paraId="3DBC7809" w14:textId="5DF7F877" w:rsidR="00415CAA" w:rsidRPr="001F5B81" w:rsidRDefault="00700750" w:rsidP="00700750">
                          <w:pPr>
                            <w:pStyle w:val="NoSpacing"/>
                            <w:jc w:val="center"/>
                            <w:rPr>
                              <w:rFonts w:ascii="Algerian" w:hAnsi="Algerian"/>
                              <w:color w:val="156082" w:themeColor="accent1"/>
                            </w:rPr>
                          </w:pPr>
                          <w:sdt>
                            <w:sdtPr>
                              <w:rPr>
                                <w:rFonts w:ascii="Algerian" w:eastAsiaTheme="minorHAnsi" w:hAnsi="Algerian"/>
                                <w:color w:val="156082" w:themeColor="accent1"/>
                                <w:kern w:val="2"/>
                                <w:sz w:val="24"/>
                                <w:szCs w:val="24"/>
                                <w:lang w:eastAsia="en-US"/>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Content>
                              <w:r w:rsidRPr="001F5B81">
                                <w:rPr>
                                  <w:rFonts w:ascii="Algerian" w:eastAsiaTheme="minorHAnsi" w:hAnsi="Algerian"/>
                                  <w:color w:val="156082" w:themeColor="accent1"/>
                                  <w:kern w:val="2"/>
                                  <w:sz w:val="24"/>
                                  <w:szCs w:val="24"/>
                                  <w:lang w:eastAsia="en-US"/>
                                  <w14:ligatures w14:val="standardContextual"/>
                                </w:rPr>
                                <w:t xml:space="preserve">Charlotte Joyner </w:t>
                              </w:r>
                            </w:sdtContent>
                          </w:sdt>
                        </w:p>
                      </w:txbxContent>
                    </v:textbox>
                    <w10:wrap anchorx="margin" anchory="page"/>
                  </v:shape>
                </w:pict>
              </mc:Fallback>
            </mc:AlternateContent>
          </w:r>
          <w:r>
            <w:rPr>
              <w:noProof/>
              <w:color w:val="156082" w:themeColor="accent1"/>
            </w:rPr>
            <w:drawing>
              <wp:inline distT="0" distB="0" distL="0" distR="0" wp14:anchorId="1803190D" wp14:editId="49E4D48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312F36">
            <w:rPr>
              <w:rFonts w:ascii="Times New Roman" w:hAnsi="Times New Roman" w:cs="Times New Roman"/>
              <w:b/>
              <w:bCs/>
              <w:sz w:val="24"/>
              <w:szCs w:val="24"/>
            </w:rPr>
            <w:br w:type="page"/>
          </w:r>
        </w:p>
        <w:p w14:paraId="02A509FB" w14:textId="107C8B19" w:rsidR="0049635F" w:rsidRDefault="00415CAA" w:rsidP="0049635F"/>
      </w:sdtContent>
    </w:sdt>
    <w:p w14:paraId="406A43D3" w14:textId="48B92AA0" w:rsidR="00344455" w:rsidRPr="0049635F" w:rsidRDefault="00344455" w:rsidP="0049635F">
      <w:r w:rsidRPr="00344455">
        <w:rPr>
          <w:rFonts w:ascii="Times New Roman" w:eastAsia="MingLiU-ExtB" w:hAnsi="Times New Roman" w:cs="Times New Roman"/>
          <w:b/>
          <w:bCs/>
        </w:rPr>
        <w:t>Introduction</w:t>
      </w:r>
    </w:p>
    <w:p w14:paraId="517D1685" w14:textId="77777777" w:rsidR="00EE18ED" w:rsidRPr="00344455" w:rsidRDefault="00EE18ED" w:rsidP="007A59E6">
      <w:pPr>
        <w:spacing w:line="360" w:lineRule="auto"/>
        <w:jc w:val="both"/>
        <w:rPr>
          <w:rFonts w:ascii="Times New Roman" w:eastAsia="MingLiU-ExtB" w:hAnsi="Times New Roman" w:cs="Times New Roman"/>
        </w:rPr>
      </w:pPr>
    </w:p>
    <w:p w14:paraId="47B8D94F" w14:textId="77777777" w:rsidR="00344455" w:rsidRPr="007C4132"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Entrepreneurship has garnered significant attention from scholars and industry experts due to its pivotal role in fostering economic growth and driving innovation. Business owners or leaders have specific behaviours, desires, and attributes that enable them to create and operate effective business organizations. The present essay aims to critically evaluate four primary entrepreneurial characteristics and drivers based on fundamental theories. These traits will be elaborated on with examples of current entrepreneurs from the hospitality industry in the following parts of the work. It will also create a contrast of these traits between one entrepreneur and the other to show how various successful entrepreneurs' qualities may be beneficial in different ways. Finally, it considers what these results mean for the future of entrepreneurship.</w:t>
      </w:r>
    </w:p>
    <w:p w14:paraId="7C46C3CD" w14:textId="77777777" w:rsidR="00EE18ED" w:rsidRPr="007C4132" w:rsidRDefault="00EE18ED" w:rsidP="007A59E6">
      <w:pPr>
        <w:spacing w:line="360" w:lineRule="auto"/>
        <w:jc w:val="both"/>
        <w:rPr>
          <w:rFonts w:ascii="Times New Roman" w:eastAsia="MingLiU-ExtB" w:hAnsi="Times New Roman" w:cs="Times New Roman"/>
        </w:rPr>
      </w:pPr>
    </w:p>
    <w:p w14:paraId="440746CE" w14:textId="77777777" w:rsidR="00EE18ED" w:rsidRPr="007C4132" w:rsidRDefault="00EE18ED" w:rsidP="007A59E6">
      <w:pPr>
        <w:spacing w:line="360" w:lineRule="auto"/>
        <w:jc w:val="both"/>
        <w:rPr>
          <w:rFonts w:ascii="Times New Roman" w:eastAsia="MingLiU-ExtB" w:hAnsi="Times New Roman" w:cs="Times New Roman"/>
        </w:rPr>
      </w:pPr>
    </w:p>
    <w:p w14:paraId="78833A9D" w14:textId="77777777" w:rsidR="00EE18ED" w:rsidRPr="007C4132" w:rsidRDefault="00EE18ED" w:rsidP="007A59E6">
      <w:pPr>
        <w:spacing w:line="360" w:lineRule="auto"/>
        <w:jc w:val="both"/>
        <w:rPr>
          <w:rFonts w:ascii="Times New Roman" w:eastAsia="MingLiU-ExtB" w:hAnsi="Times New Roman" w:cs="Times New Roman"/>
        </w:rPr>
      </w:pPr>
    </w:p>
    <w:p w14:paraId="2881FEE1" w14:textId="77777777" w:rsidR="00EE18ED" w:rsidRPr="007C4132" w:rsidRDefault="00EE18ED" w:rsidP="007A59E6">
      <w:pPr>
        <w:spacing w:line="360" w:lineRule="auto"/>
        <w:jc w:val="both"/>
        <w:rPr>
          <w:rFonts w:ascii="Times New Roman" w:eastAsia="MingLiU-ExtB" w:hAnsi="Times New Roman" w:cs="Times New Roman"/>
        </w:rPr>
      </w:pPr>
    </w:p>
    <w:p w14:paraId="2B16525D" w14:textId="77777777" w:rsidR="00EE18ED" w:rsidRPr="007C4132" w:rsidRDefault="00EE18ED" w:rsidP="007A59E6">
      <w:pPr>
        <w:spacing w:line="360" w:lineRule="auto"/>
        <w:jc w:val="both"/>
        <w:rPr>
          <w:rFonts w:ascii="Times New Roman" w:eastAsia="MingLiU-ExtB" w:hAnsi="Times New Roman" w:cs="Times New Roman"/>
        </w:rPr>
      </w:pPr>
    </w:p>
    <w:p w14:paraId="69FA1BFA" w14:textId="77777777" w:rsidR="00EE18ED" w:rsidRPr="007C4132" w:rsidRDefault="00EE18ED" w:rsidP="007A59E6">
      <w:pPr>
        <w:spacing w:line="360" w:lineRule="auto"/>
        <w:jc w:val="both"/>
        <w:rPr>
          <w:rFonts w:ascii="Times New Roman" w:eastAsia="MingLiU-ExtB" w:hAnsi="Times New Roman" w:cs="Times New Roman"/>
        </w:rPr>
      </w:pPr>
    </w:p>
    <w:p w14:paraId="7824DF53" w14:textId="77777777" w:rsidR="00EE18ED" w:rsidRPr="007C4132" w:rsidRDefault="00EE18ED" w:rsidP="007A59E6">
      <w:pPr>
        <w:spacing w:line="360" w:lineRule="auto"/>
        <w:jc w:val="both"/>
        <w:rPr>
          <w:rFonts w:ascii="Times New Roman" w:eastAsia="MingLiU-ExtB" w:hAnsi="Times New Roman" w:cs="Times New Roman"/>
        </w:rPr>
      </w:pPr>
    </w:p>
    <w:p w14:paraId="296B91C6" w14:textId="77777777" w:rsidR="00EE18ED" w:rsidRPr="007C4132" w:rsidRDefault="00EE18ED" w:rsidP="007A59E6">
      <w:pPr>
        <w:spacing w:line="360" w:lineRule="auto"/>
        <w:jc w:val="both"/>
        <w:rPr>
          <w:rFonts w:ascii="Times New Roman" w:eastAsia="MingLiU-ExtB" w:hAnsi="Times New Roman" w:cs="Times New Roman"/>
        </w:rPr>
      </w:pPr>
    </w:p>
    <w:p w14:paraId="663BB3FD" w14:textId="77777777" w:rsidR="00EE18ED" w:rsidRPr="007C4132" w:rsidRDefault="00EE18ED" w:rsidP="007A59E6">
      <w:pPr>
        <w:spacing w:line="360" w:lineRule="auto"/>
        <w:jc w:val="both"/>
        <w:rPr>
          <w:rFonts w:ascii="Times New Roman" w:eastAsia="MingLiU-ExtB" w:hAnsi="Times New Roman" w:cs="Times New Roman"/>
        </w:rPr>
      </w:pPr>
    </w:p>
    <w:p w14:paraId="6DD1B40B" w14:textId="77777777" w:rsidR="00EE18ED" w:rsidRPr="007C4132" w:rsidRDefault="00EE18ED" w:rsidP="007A59E6">
      <w:pPr>
        <w:spacing w:line="360" w:lineRule="auto"/>
        <w:jc w:val="both"/>
        <w:rPr>
          <w:rFonts w:ascii="Times New Roman" w:eastAsia="MingLiU-ExtB" w:hAnsi="Times New Roman" w:cs="Times New Roman"/>
        </w:rPr>
      </w:pPr>
    </w:p>
    <w:p w14:paraId="7341BC19" w14:textId="77777777" w:rsidR="00EE18ED" w:rsidRPr="007C4132" w:rsidRDefault="00EE18ED" w:rsidP="007A59E6">
      <w:pPr>
        <w:spacing w:line="360" w:lineRule="auto"/>
        <w:jc w:val="both"/>
        <w:rPr>
          <w:rFonts w:ascii="Times New Roman" w:eastAsia="MingLiU-ExtB" w:hAnsi="Times New Roman" w:cs="Times New Roman"/>
        </w:rPr>
      </w:pPr>
    </w:p>
    <w:p w14:paraId="2E40C53D" w14:textId="77777777" w:rsidR="00EE18ED" w:rsidRDefault="00EE18ED" w:rsidP="007A59E6">
      <w:pPr>
        <w:spacing w:line="360" w:lineRule="auto"/>
        <w:jc w:val="both"/>
        <w:rPr>
          <w:rFonts w:ascii="Times New Roman" w:eastAsia="MingLiU-ExtB" w:hAnsi="Times New Roman" w:cs="Times New Roman"/>
        </w:rPr>
      </w:pPr>
    </w:p>
    <w:p w14:paraId="01EF217A" w14:textId="77777777" w:rsidR="00FF5A1B" w:rsidRPr="00344455" w:rsidRDefault="00FF5A1B" w:rsidP="007A59E6">
      <w:pPr>
        <w:spacing w:line="360" w:lineRule="auto"/>
        <w:jc w:val="both"/>
        <w:rPr>
          <w:rFonts w:ascii="Times New Roman" w:eastAsia="MingLiU-ExtB" w:hAnsi="Times New Roman" w:cs="Times New Roman"/>
        </w:rPr>
      </w:pPr>
    </w:p>
    <w:p w14:paraId="4A29AC7B" w14:textId="59DCC5BE"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lastRenderedPageBreak/>
        <w:t xml:space="preserve">The ability and willingness to take risks are among the most apparent characteristics of an entrepreneurial personality. According to Timmons and Spinelli (2008), entrepreneurs are members of society who are able and willing to take calculated risks in search of attractive opportunities. This is particularly evident in industries like hospitality, where uncertainties such as fluctuating demand, high operational costs, and unpredictable market conditions are prevalent. Entrepreneurs in hospitality must develop strategies to manage risks effectively and </w:t>
      </w:r>
      <w:r w:rsidR="00A152CB" w:rsidRPr="00344455">
        <w:rPr>
          <w:rFonts w:ascii="Times New Roman" w:eastAsia="MingLiU-ExtB" w:hAnsi="Times New Roman" w:cs="Times New Roman"/>
        </w:rPr>
        <w:t>could</w:t>
      </w:r>
      <w:r w:rsidRPr="00344455">
        <w:rPr>
          <w:rFonts w:ascii="Times New Roman" w:eastAsia="MingLiU-ExtB" w:hAnsi="Times New Roman" w:cs="Times New Roman"/>
        </w:rPr>
        <w:t xml:space="preserve"> evaluate the potential success of their business (Pappas &amp; Brown, 2021). The entrepreneurial mindset includes making swift decisions amid uncertainty and exploiting opportunities that may seem too risky for others to pursue. Risk-taking thus becomes central to entrepreneurship, enabling innovation and growth in challenging environments.</w:t>
      </w:r>
    </w:p>
    <w:p w14:paraId="3BCAC3A0"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 xml:space="preserve">Conrad Hilton, founder of Hilton Hotels, is a quintessential example of a hospitality entrepreneur who embraced risk-taking to achieve long-term success. During the Great Depression, when many businesses were scaling back, Hilton seized the opportunity to acquire several distressed properties, transforming them into profitable hotels (Austin &amp; </w:t>
      </w:r>
      <w:proofErr w:type="spellStart"/>
      <w:r w:rsidRPr="00344455">
        <w:rPr>
          <w:rFonts w:ascii="Times New Roman" w:eastAsia="MingLiU-ExtB" w:hAnsi="Times New Roman" w:cs="Times New Roman"/>
        </w:rPr>
        <w:t>Phalippou</w:t>
      </w:r>
      <w:proofErr w:type="spellEnd"/>
      <w:r w:rsidRPr="00344455">
        <w:rPr>
          <w:rFonts w:ascii="Times New Roman" w:eastAsia="MingLiU-ExtB" w:hAnsi="Times New Roman" w:cs="Times New Roman"/>
        </w:rPr>
        <w:t>, 2023). His ability to take calculated risks during economically challenging times underscores his entrepreneurial mindset. Hilton's success aligns with Barringer and Ireland's (2018) assertion that while successful entrepreneurs are willing to take risks, they are not reckless. They carefully assess the risks against potential rewards to ensure that their ventures are strategically positioned for growth and sustainability in the long term.</w:t>
      </w:r>
    </w:p>
    <w:p w14:paraId="6CBF9BE7"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It is essential to recognize that not all entrepreneurial risks are equal, and the type and level of risk entrepreneurs face can vary by industry. Hisrich, Peters, and Shepherd (2008) argue that entrepreneurs in different sectors encounter varying degrees of market volatility, competition, and regulatory challenges. Customer preferences can shift rapidly in the hospitality industry, requiring entrepreneurs to constantly adapt (Anning-Dorson &amp; Nyamekye, 2020). Risk-taking in this context involves not only venturing into the unknown but also understanding market trends, customer behaviour, and the broader economic environment. Thus, effective risk management is essential for achieving sustainable success in hospitality.</w:t>
      </w:r>
    </w:p>
    <w:p w14:paraId="0DCCD166" w14:textId="6312843F"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 xml:space="preserve">Innovation and creativity are integral to entrepreneurial success, allowing entrepreneurs to introduce novel ideas, products, and business models that set them apart. Burns (2022) emphasizes that innovation is the primary driver of entrepreneurial ventures, enabling them to create value by addressing unmet needs and solving complex problems. Since customers are always looking for new and exciting things, especially in the hospitality industry, the industry </w:t>
      </w:r>
      <w:r w:rsidRPr="00344455">
        <w:rPr>
          <w:rFonts w:ascii="Times New Roman" w:eastAsia="MingLiU-ExtB" w:hAnsi="Times New Roman" w:cs="Times New Roman"/>
        </w:rPr>
        <w:lastRenderedPageBreak/>
        <w:t xml:space="preserve">demands innovativeness from </w:t>
      </w:r>
      <w:r w:rsidR="007C4132" w:rsidRPr="00344455">
        <w:rPr>
          <w:rFonts w:ascii="Times New Roman" w:eastAsia="MingLiU-ExtB" w:hAnsi="Times New Roman" w:cs="Times New Roman"/>
        </w:rPr>
        <w:t>businesspeople</w:t>
      </w:r>
      <w:r w:rsidRPr="00344455">
        <w:rPr>
          <w:rFonts w:ascii="Times New Roman" w:eastAsia="MingLiU-ExtB" w:hAnsi="Times New Roman" w:cs="Times New Roman"/>
        </w:rPr>
        <w:t xml:space="preserve"> (Gelbman, 2021). As a versatile and invaluable concept, creativity helps entrepreneurs imagine improved ways to create and deliver value to clients and thus facilitate their company's growth and overall success within the complex and rapidly evolving environment of the hospitality industry.</w:t>
      </w:r>
    </w:p>
    <w:p w14:paraId="0589FFDD"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The case of Danny Meyer, an owner of Union Square Hospitality Group, is the best example of how innovation works for an entrepreneur, especially in the hospitality industry. Meyer first came up with enlightened hospitality, which makes customer service the foundation of the dining experience (Blackwell-Pal, 2020). His innovations revolutionized the way restaurants are run through the belief that customer feedback alone leads to success. When it comes to service delivery, Meyer is known to think outside the box and not just limited to food and beverages. His case also shows that innovation is not only in the product space but also in modifying existing business ways to suit the customers' needs for value creation.</w:t>
      </w:r>
    </w:p>
    <w:p w14:paraId="1A29718B"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Despite innovation being an essential attribute for entrepreneurs, it has never been without its vices. Innovations must be perfect transformations of a concept into reality and must meet financial imperatives to make them sustainable and scalable (</w:t>
      </w:r>
      <w:proofErr w:type="spellStart"/>
      <w:r w:rsidRPr="00344455">
        <w:rPr>
          <w:rFonts w:ascii="Times New Roman" w:eastAsia="MingLiU-ExtB" w:hAnsi="Times New Roman" w:cs="Times New Roman"/>
        </w:rPr>
        <w:t>Matzembacher</w:t>
      </w:r>
      <w:proofErr w:type="spellEnd"/>
      <w:r w:rsidRPr="00344455">
        <w:rPr>
          <w:rFonts w:ascii="Times New Roman" w:eastAsia="MingLiU-ExtB" w:hAnsi="Times New Roman" w:cs="Times New Roman"/>
        </w:rPr>
        <w:t xml:space="preserve"> et al., 2020). </w:t>
      </w:r>
      <w:proofErr w:type="gramStart"/>
      <w:r w:rsidRPr="00344455">
        <w:rPr>
          <w:rFonts w:ascii="Times New Roman" w:eastAsia="MingLiU-ExtB" w:hAnsi="Times New Roman" w:cs="Times New Roman"/>
        </w:rPr>
        <w:t>In order to</w:t>
      </w:r>
      <w:proofErr w:type="gramEnd"/>
      <w:r w:rsidRPr="00344455">
        <w:rPr>
          <w:rFonts w:ascii="Times New Roman" w:eastAsia="MingLiU-ExtB" w:hAnsi="Times New Roman" w:cs="Times New Roman"/>
        </w:rPr>
        <w:t xml:space="preserve"> achieve Meyer's service orientation strategy, which is aimed at offering high-quality services to consumers, a lot of capital would have to be spent on training its employees and organizational transformation. Nonetheless, an existential strategy of delivering a distinct approach to eating out was a success and patience, and future thinking should not be underestimated. This knowledge creates the understanding of operational feasibility, and </w:t>
      </w:r>
      <w:proofErr w:type="gramStart"/>
      <w:r w:rsidRPr="00344455">
        <w:rPr>
          <w:rFonts w:ascii="Times New Roman" w:eastAsia="MingLiU-ExtB" w:hAnsi="Times New Roman" w:cs="Times New Roman"/>
        </w:rPr>
        <w:t>as a result of</w:t>
      </w:r>
      <w:proofErr w:type="gramEnd"/>
      <w:r w:rsidRPr="00344455">
        <w:rPr>
          <w:rFonts w:ascii="Times New Roman" w:eastAsia="MingLiU-ExtB" w:hAnsi="Times New Roman" w:cs="Times New Roman"/>
        </w:rPr>
        <w:t xml:space="preserve"> innovation, financial management strategies have to exist to support innovation in hospitality and sustain it in the future.</w:t>
      </w:r>
    </w:p>
    <w:p w14:paraId="42F59413"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However, innovation considered in operational effectiveness is also a key area in the hospitality industry. Entrepreneurs who incorporate technological change within the organizations to improve efficiency and reduce the cost of operation stand to benefit enormously (Sutrisno et al., 2023). Hospitality companies commonly have small monetary edges, so functional transformation is imperative for endurance. Entrepreneurs who innovate across all facets of their business, including logistics, technology, and supply chain management, are better positioned to succeed in an industry characterized by fierce competition and rapidly changing customer expectations (Madhani, 2021). Thus, a holistic approach to innovation, encompassing both customer-facing and operational elements, is essential for sustained entrepreneurial success in hospitality.</w:t>
      </w:r>
    </w:p>
    <w:p w14:paraId="623E67AE"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lastRenderedPageBreak/>
        <w:t xml:space="preserve">According to Kiani et al. (2023), passion is frequently cited as a core motivator for entrepreneurs, driving their determination to overcome challenges, persist through difficult times, and achieve long-term success. Barringer and Ireland (2018) contend that passion sustains entrepreneurs through the highs and lows of business ventures. In the hospitality industry, where entrepreneurs face long working hours, high competition, and demanding customer expectations, passion is a vital source of motivation (Ensour, </w:t>
      </w:r>
      <w:proofErr w:type="spellStart"/>
      <w:r w:rsidRPr="00344455">
        <w:rPr>
          <w:rFonts w:ascii="Times New Roman" w:eastAsia="MingLiU-ExtB" w:hAnsi="Times New Roman" w:cs="Times New Roman"/>
        </w:rPr>
        <w:t>Zeglat</w:t>
      </w:r>
      <w:proofErr w:type="spellEnd"/>
      <w:r w:rsidRPr="00344455">
        <w:rPr>
          <w:rFonts w:ascii="Times New Roman" w:eastAsia="MingLiU-ExtB" w:hAnsi="Times New Roman" w:cs="Times New Roman"/>
        </w:rPr>
        <w:t>, and Al-</w:t>
      </w:r>
      <w:proofErr w:type="spellStart"/>
      <w:r w:rsidRPr="00344455">
        <w:rPr>
          <w:rFonts w:ascii="Times New Roman" w:eastAsia="MingLiU-ExtB" w:hAnsi="Times New Roman" w:cs="Times New Roman"/>
        </w:rPr>
        <w:t>Maaitah</w:t>
      </w:r>
      <w:proofErr w:type="spellEnd"/>
      <w:r w:rsidRPr="00344455">
        <w:rPr>
          <w:rFonts w:ascii="Times New Roman" w:eastAsia="MingLiU-ExtB" w:hAnsi="Times New Roman" w:cs="Times New Roman"/>
        </w:rPr>
        <w:t>, 2020). It provides the emotional resilience necessary to navigate the various obstacles encountered throughout the entrepreneurial journey. Passion fuels persistence and creates a strong sense of purpose, driving entrepreneurs to build businesses aligned with their personal values and long-term goals.</w:t>
      </w:r>
    </w:p>
    <w:p w14:paraId="0F1C62B1"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Ruth Fertel, founder of Ruth's Chris Steakhouse, is a prime example of how passion and commitment can drive entrepreneurial success. Fertel entered the restaurant industry without prior experience but was driven by her passion for delivering high-quality food and exceptional service. Her unwavering commitment to excellence allowed her to grow her single steakhouse into a renowned international chain. Fertel's passion motivated her to maintain high standards and consistently deliver an outstanding customer experience. Her story highlights how passion, dedication, and hard work can overcome steep learning curves and lead to remarkable achievements in the entrepreneurial world.</w:t>
      </w:r>
    </w:p>
    <w:p w14:paraId="4F02EA08"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While passion is a powerful driver of entrepreneurial success, it must be accompanied by strategic planning and sound business management. Blackwell (2011) emphasizes that passion alone is insufficient for sustaining a successful venture over the long term. Entrepreneurs must also possess the necessary skills, business acumen, and operational expertise to manage day-to-day tasks effectively. Fertel's passion was complemented by her meticulous attention to detail and her commitment to excellence, helping her establish a strong brand identity. Therefore, entrepreneurs must harness their passion in ways that drive strategic decision-making and operational efficiency to ensure the long-term sustainability of their businesses.</w:t>
      </w:r>
    </w:p>
    <w:p w14:paraId="3DD9048E"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 xml:space="preserve">While passion is a powerful motivator, it can sometimes lead entrepreneurs to overlook potential risks or pitfalls in their ventures (Hatak et al., 2021). Entrepreneurs must ensure that their passion is supported by a well-researched and financially sound business plan to avoid costly errors that could threaten the long-term sustainability of their business. Balancing passion with pragmatism is critical for the continued success of any entrepreneurial endeavour (Tyagi &amp; Verma, 2023). A carefully crafted strategy that incorporates passion, grounded in </w:t>
      </w:r>
      <w:r w:rsidRPr="00344455">
        <w:rPr>
          <w:rFonts w:ascii="Times New Roman" w:eastAsia="MingLiU-ExtB" w:hAnsi="Times New Roman" w:cs="Times New Roman"/>
        </w:rPr>
        <w:lastRenderedPageBreak/>
        <w:t>realistic financial and market assessments, ensures that entrepreneurs remain committed to their vision while safeguarding their business from unnecessary risks and challenges.</w:t>
      </w:r>
    </w:p>
    <w:p w14:paraId="499098A6"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Opportunity recognition is one of the most defining characteristics of successful entrepreneurs, enabling them to identify and capitalize on market gaps that others might overlook. Chang and Chen (2020) assert that opportunity recognition involves identifying potential opportunities and having the vision and resources to seize them effectively. Entrepreneurs must be attuned to emerging opportunities and act swiftly in the hospitality industry, where trends and consumer preferences constantly evolve (</w:t>
      </w:r>
      <w:proofErr w:type="spellStart"/>
      <w:r w:rsidRPr="00344455">
        <w:rPr>
          <w:rFonts w:ascii="Times New Roman" w:eastAsia="MingLiU-ExtB" w:hAnsi="Times New Roman" w:cs="Times New Roman"/>
        </w:rPr>
        <w:t>Giannoukou</w:t>
      </w:r>
      <w:proofErr w:type="spellEnd"/>
      <w:r w:rsidRPr="00344455">
        <w:rPr>
          <w:rFonts w:ascii="Times New Roman" w:eastAsia="MingLiU-ExtB" w:hAnsi="Times New Roman" w:cs="Times New Roman"/>
        </w:rPr>
        <w:t>, 2024). Those who adapt quickly to changing market conditions and customer demands are more likely to achieve long-term success as they constantly innovate and improve their business offerings.</w:t>
      </w:r>
    </w:p>
    <w:p w14:paraId="4B3CE2B5"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Sir Richard Branson, founder of Virgin Hotels, exemplifies an entrepreneur with an exceptional ability to recognize and act upon emerging opportunities (Braha, 2024). Branson identified a gap in the hospitality market for affordable yet high-quality hotels that catered to tech-savvy, experience-driven travellers. Branson created a brand that resonated strongly with younger customers, who prioritize technology and unique experiences by leveraging his knowledge from the entertainment and travel sectors (Madan &amp; Halkias, 2020). His ability to recognize market trends and seize opportunities allowed Virgin Hotels to carve out a niche in an otherwise highly competitive market, demonstrating the importance of opportunity recognition for entrepreneurial success.</w:t>
      </w:r>
    </w:p>
    <w:p w14:paraId="79D221C0"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 xml:space="preserve">Opportunity recognition is closely linked to other entrepreneurial traits, such as creativity and innovation. </w:t>
      </w:r>
      <w:proofErr w:type="gramStart"/>
      <w:r w:rsidRPr="00344455">
        <w:rPr>
          <w:rFonts w:ascii="Times New Roman" w:eastAsia="MingLiU-ExtB" w:hAnsi="Times New Roman" w:cs="Times New Roman"/>
        </w:rPr>
        <w:t>Entrepreneurs</w:t>
      </w:r>
      <w:proofErr w:type="gramEnd"/>
      <w:r w:rsidRPr="00344455">
        <w:rPr>
          <w:rFonts w:ascii="Times New Roman" w:eastAsia="MingLiU-ExtB" w:hAnsi="Times New Roman" w:cs="Times New Roman"/>
        </w:rPr>
        <w:t xml:space="preserve"> adept at recognizing opportunities often develop innovative solutions to address market demands (Randhawa, Wilden, and </w:t>
      </w:r>
      <w:proofErr w:type="spellStart"/>
      <w:r w:rsidRPr="00344455">
        <w:rPr>
          <w:rFonts w:ascii="Times New Roman" w:eastAsia="MingLiU-ExtB" w:hAnsi="Times New Roman" w:cs="Times New Roman"/>
        </w:rPr>
        <w:t>Gudergan</w:t>
      </w:r>
      <w:proofErr w:type="spellEnd"/>
      <w:r w:rsidRPr="00344455">
        <w:rPr>
          <w:rFonts w:ascii="Times New Roman" w:eastAsia="MingLiU-ExtB" w:hAnsi="Times New Roman" w:cs="Times New Roman"/>
        </w:rPr>
        <w:t>, 2021). Richard Branson's success in identifying new opportunities across different industries highlights the versatility required for long-term entrepreneurial achievement. Opportunity recognition is a skill that can be honed through continuous learning, networking, and exposure to diverse industries and markets (Lim, Lee, and Mamun, 2023). Entrepreneurs often rely on extensive networks of mentors, business partners, and advisors to help them identify new opportunities and successfully navigate challenges.</w:t>
      </w:r>
    </w:p>
    <w:p w14:paraId="0D65C774"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 xml:space="preserve">According to Boldureanu et al. (2020), recognizing an opportunity is the first step toward entrepreneurial success. Entrepreneurs must also possess the necessary resources and strategic vision to bring their ideas to fruition. Effective execution requires access to financial, human, and technological resources that can support the entrepreneurial venture. Entrepreneurs often </w:t>
      </w:r>
      <w:r w:rsidRPr="00344455">
        <w:rPr>
          <w:rFonts w:ascii="Times New Roman" w:eastAsia="MingLiU-ExtB" w:hAnsi="Times New Roman" w:cs="Times New Roman"/>
        </w:rPr>
        <w:lastRenderedPageBreak/>
        <w:t>build solid networks and establish strategic partnerships to gain access to these resources, enhancing their ability to capitalize on new opportunities (Corvello, Cimino, and Felicetti, 2023). Without the proper support, even the most promising opportunities can fall short. Therefore, successful entrepreneurs identify market gaps and ensure they have the tools to execute their vision effectively.</w:t>
      </w:r>
    </w:p>
    <w:p w14:paraId="14A154A1"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 xml:space="preserve">The traits and motivations discussed, risk-taking, innovation, passion, and opportunity recognition, are crucial to entrepreneurial success. These traits often interact with one another, with risk-taking complementing opportunity recognition and passion </w:t>
      </w:r>
      <w:proofErr w:type="spellStart"/>
      <w:r w:rsidRPr="00344455">
        <w:rPr>
          <w:rFonts w:ascii="Times New Roman" w:eastAsia="MingLiU-ExtB" w:hAnsi="Times New Roman" w:cs="Times New Roman"/>
        </w:rPr>
        <w:t>fueling</w:t>
      </w:r>
      <w:proofErr w:type="spellEnd"/>
      <w:r w:rsidRPr="00344455">
        <w:rPr>
          <w:rFonts w:ascii="Times New Roman" w:eastAsia="MingLiU-ExtB" w:hAnsi="Times New Roman" w:cs="Times New Roman"/>
        </w:rPr>
        <w:t xml:space="preserve"> innovation. Conrad Hilton and Richard Branson show that planned risks are the key to successfully identifying and exploiting new opportunities. Similarly, Danny Meyer and Ruth Fertel share the relationship between passion and innovation. Their passion for customer service lent them the energy required to focus time and effort on the emergence of the unique business model that placed them over other competing businesses.</w:t>
      </w:r>
    </w:p>
    <w:p w14:paraId="0C3873C4" w14:textId="77777777" w:rsidR="00344455" w:rsidRPr="007C4132"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 xml:space="preserve">While the traits discussed are essential for entrepreneurial success, there are notable differences in how they manifest among entrepreneurs. For example, the level of risk-taking is quite diverse. When it comes to risking their own money, some entrepreneurs, such as Conrad Hilton, are </w:t>
      </w:r>
      <w:proofErr w:type="gramStart"/>
      <w:r w:rsidRPr="00344455">
        <w:rPr>
          <w:rFonts w:ascii="Times New Roman" w:eastAsia="MingLiU-ExtB" w:hAnsi="Times New Roman" w:cs="Times New Roman"/>
        </w:rPr>
        <w:t>pretty happy</w:t>
      </w:r>
      <w:proofErr w:type="gramEnd"/>
      <w:r w:rsidRPr="00344455">
        <w:rPr>
          <w:rFonts w:ascii="Times New Roman" w:eastAsia="MingLiU-ExtB" w:hAnsi="Times New Roman" w:cs="Times New Roman"/>
        </w:rPr>
        <w:t xml:space="preserve"> to be putting a large amount on the line to expand their business, while others, such as Danny Meyer, look at risk in a far more simplistic manner. Similarly, passion may have variations depending on the motivation of an entrepreneur. Some may be motivated by a vision to change their industry, while others may be motivated by the desire to satisfy their ego or make money. These differences illustrate that there are several ways to be an entrepreneur and have different aims for success.</w:t>
      </w:r>
    </w:p>
    <w:p w14:paraId="110BCA9F" w14:textId="77777777" w:rsidR="00EE18ED" w:rsidRPr="007C4132" w:rsidRDefault="00EE18ED" w:rsidP="007A59E6">
      <w:pPr>
        <w:spacing w:line="360" w:lineRule="auto"/>
        <w:jc w:val="both"/>
        <w:rPr>
          <w:rFonts w:ascii="Times New Roman" w:eastAsia="MingLiU-ExtB" w:hAnsi="Times New Roman" w:cs="Times New Roman"/>
        </w:rPr>
      </w:pPr>
    </w:p>
    <w:p w14:paraId="318346EB" w14:textId="77777777" w:rsidR="00EE18ED" w:rsidRPr="007C4132" w:rsidRDefault="00EE18ED" w:rsidP="007A59E6">
      <w:pPr>
        <w:spacing w:line="360" w:lineRule="auto"/>
        <w:jc w:val="both"/>
        <w:rPr>
          <w:rFonts w:ascii="Times New Roman" w:eastAsia="MingLiU-ExtB" w:hAnsi="Times New Roman" w:cs="Times New Roman"/>
        </w:rPr>
      </w:pPr>
    </w:p>
    <w:p w14:paraId="1FA0B105" w14:textId="77777777" w:rsidR="00EE18ED" w:rsidRPr="007C4132" w:rsidRDefault="00EE18ED" w:rsidP="007A59E6">
      <w:pPr>
        <w:spacing w:line="360" w:lineRule="auto"/>
        <w:jc w:val="both"/>
        <w:rPr>
          <w:rFonts w:ascii="Times New Roman" w:eastAsia="MingLiU-ExtB" w:hAnsi="Times New Roman" w:cs="Times New Roman"/>
        </w:rPr>
      </w:pPr>
    </w:p>
    <w:p w14:paraId="77BEEE11" w14:textId="77777777" w:rsidR="00EE18ED" w:rsidRPr="007C4132" w:rsidRDefault="00EE18ED" w:rsidP="007A59E6">
      <w:pPr>
        <w:spacing w:line="360" w:lineRule="auto"/>
        <w:jc w:val="both"/>
        <w:rPr>
          <w:rFonts w:ascii="Times New Roman" w:eastAsia="MingLiU-ExtB" w:hAnsi="Times New Roman" w:cs="Times New Roman"/>
        </w:rPr>
      </w:pPr>
    </w:p>
    <w:p w14:paraId="497328A4" w14:textId="77777777" w:rsidR="00EE18ED" w:rsidRPr="007C4132" w:rsidRDefault="00EE18ED" w:rsidP="007A59E6">
      <w:pPr>
        <w:spacing w:line="360" w:lineRule="auto"/>
        <w:jc w:val="both"/>
        <w:rPr>
          <w:rFonts w:ascii="Times New Roman" w:eastAsia="MingLiU-ExtB" w:hAnsi="Times New Roman" w:cs="Times New Roman"/>
        </w:rPr>
      </w:pPr>
    </w:p>
    <w:p w14:paraId="10B5BA70" w14:textId="77777777" w:rsidR="00EE18ED" w:rsidRPr="007C4132" w:rsidRDefault="00EE18ED" w:rsidP="007A59E6">
      <w:pPr>
        <w:spacing w:line="360" w:lineRule="auto"/>
        <w:jc w:val="both"/>
        <w:rPr>
          <w:rFonts w:ascii="Times New Roman" w:eastAsia="MingLiU-ExtB" w:hAnsi="Times New Roman" w:cs="Times New Roman"/>
        </w:rPr>
      </w:pPr>
    </w:p>
    <w:p w14:paraId="067BE7BC" w14:textId="77777777" w:rsidR="00EE18ED" w:rsidRPr="007C4132" w:rsidRDefault="00EE18ED" w:rsidP="007A59E6">
      <w:pPr>
        <w:spacing w:line="360" w:lineRule="auto"/>
        <w:jc w:val="both"/>
        <w:rPr>
          <w:rFonts w:ascii="Times New Roman" w:eastAsia="MingLiU-ExtB" w:hAnsi="Times New Roman" w:cs="Times New Roman"/>
        </w:rPr>
      </w:pPr>
    </w:p>
    <w:p w14:paraId="74585AF1" w14:textId="77777777" w:rsidR="00EE18ED" w:rsidRPr="00344455" w:rsidRDefault="00EE18ED" w:rsidP="007A59E6">
      <w:pPr>
        <w:spacing w:line="360" w:lineRule="auto"/>
        <w:jc w:val="both"/>
        <w:rPr>
          <w:rFonts w:ascii="Times New Roman" w:eastAsia="MingLiU-ExtB" w:hAnsi="Times New Roman" w:cs="Times New Roman"/>
        </w:rPr>
      </w:pPr>
    </w:p>
    <w:p w14:paraId="6CBDE06C"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b/>
          <w:bCs/>
        </w:rPr>
        <w:lastRenderedPageBreak/>
        <w:t>Conclusion</w:t>
      </w:r>
    </w:p>
    <w:p w14:paraId="4B576E3E" w14:textId="77777777" w:rsidR="00344455" w:rsidRPr="00344455" w:rsidRDefault="00344455" w:rsidP="007A59E6">
      <w:pPr>
        <w:spacing w:line="360" w:lineRule="auto"/>
        <w:jc w:val="both"/>
        <w:rPr>
          <w:rFonts w:ascii="Times New Roman" w:eastAsia="MingLiU-ExtB" w:hAnsi="Times New Roman" w:cs="Times New Roman"/>
        </w:rPr>
      </w:pPr>
      <w:r w:rsidRPr="00344455">
        <w:rPr>
          <w:rFonts w:ascii="Times New Roman" w:eastAsia="MingLiU-ExtB" w:hAnsi="Times New Roman" w:cs="Times New Roman"/>
        </w:rPr>
        <w:t>The entrepreneurial traits of risk-taking, innovation, passion, and opportunity recognition are essential drivers of success within the hospitality industry. Conrad Hilton, Danny Meyer, Ruth Fertel, and Richard Branson show how these characteristics, adequately complemented by analytical thinking and resource management efficiency, can contribute to the stability of enterprises' growth and development. Although each of the traits under discussion is significant, their interaction is equally remarkable: passion may spark innovation just as risk-taking may help the recognition of the opportunity. Thus, in further developing the conditions at enterprises, client-oriented and creativity-oriented personalities with the traits outlined above will stay on top of the tendencies and succeed in the highly competitive sphere of the hospitality industry.</w:t>
      </w:r>
    </w:p>
    <w:p w14:paraId="3D7E599C" w14:textId="77777777" w:rsidR="00336991" w:rsidRPr="007C4132" w:rsidRDefault="00336991" w:rsidP="007A59E6">
      <w:pPr>
        <w:spacing w:line="360" w:lineRule="auto"/>
        <w:jc w:val="both"/>
        <w:rPr>
          <w:rFonts w:ascii="Times New Roman" w:eastAsia="MingLiU-ExtB" w:hAnsi="Times New Roman" w:cs="Times New Roman"/>
        </w:rPr>
      </w:pPr>
    </w:p>
    <w:p w14:paraId="7E65DDBD" w14:textId="77777777" w:rsidR="002022E0" w:rsidRPr="007C4132" w:rsidRDefault="002022E0">
      <w:pPr>
        <w:rPr>
          <w:rFonts w:ascii="Times New Roman" w:eastAsia="MingLiU-ExtB" w:hAnsi="Times New Roman" w:cs="Times New Roman"/>
        </w:rPr>
      </w:pPr>
    </w:p>
    <w:p w14:paraId="71FBADF5" w14:textId="77777777" w:rsidR="002022E0" w:rsidRPr="007C4132" w:rsidRDefault="002022E0">
      <w:pPr>
        <w:rPr>
          <w:rFonts w:ascii="Times New Roman" w:eastAsia="MingLiU-ExtB" w:hAnsi="Times New Roman" w:cs="Times New Roman"/>
        </w:rPr>
      </w:pPr>
    </w:p>
    <w:p w14:paraId="00D228D9" w14:textId="77777777" w:rsidR="00EE18ED" w:rsidRPr="007C4132" w:rsidRDefault="00EE18ED">
      <w:pPr>
        <w:rPr>
          <w:rFonts w:ascii="Times New Roman" w:eastAsia="MingLiU-ExtB" w:hAnsi="Times New Roman" w:cs="Times New Roman"/>
        </w:rPr>
      </w:pPr>
    </w:p>
    <w:p w14:paraId="5290C8B4" w14:textId="77777777" w:rsidR="00EE18ED" w:rsidRPr="007C4132" w:rsidRDefault="00EE18ED">
      <w:pPr>
        <w:rPr>
          <w:rFonts w:ascii="Times New Roman" w:eastAsia="MingLiU-ExtB" w:hAnsi="Times New Roman" w:cs="Times New Roman"/>
        </w:rPr>
      </w:pPr>
    </w:p>
    <w:p w14:paraId="52079EA3" w14:textId="77777777" w:rsidR="00EE18ED" w:rsidRPr="007C4132" w:rsidRDefault="00EE18ED">
      <w:pPr>
        <w:rPr>
          <w:rFonts w:ascii="Times New Roman" w:eastAsia="MingLiU-ExtB" w:hAnsi="Times New Roman" w:cs="Times New Roman"/>
        </w:rPr>
      </w:pPr>
    </w:p>
    <w:p w14:paraId="6AD2F799" w14:textId="77777777" w:rsidR="00EE18ED" w:rsidRPr="007C4132" w:rsidRDefault="00EE18ED">
      <w:pPr>
        <w:rPr>
          <w:rFonts w:ascii="Times New Roman" w:eastAsia="MingLiU-ExtB" w:hAnsi="Times New Roman" w:cs="Times New Roman"/>
        </w:rPr>
      </w:pPr>
    </w:p>
    <w:p w14:paraId="34C40002" w14:textId="77777777" w:rsidR="00EE18ED" w:rsidRPr="007C4132" w:rsidRDefault="00EE18ED">
      <w:pPr>
        <w:rPr>
          <w:rFonts w:ascii="Times New Roman" w:eastAsia="MingLiU-ExtB" w:hAnsi="Times New Roman" w:cs="Times New Roman"/>
        </w:rPr>
      </w:pPr>
    </w:p>
    <w:p w14:paraId="05826E11" w14:textId="77777777" w:rsidR="00EE18ED" w:rsidRPr="007C4132" w:rsidRDefault="00EE18ED">
      <w:pPr>
        <w:rPr>
          <w:rFonts w:ascii="Times New Roman" w:eastAsia="MingLiU-ExtB" w:hAnsi="Times New Roman" w:cs="Times New Roman"/>
        </w:rPr>
      </w:pPr>
    </w:p>
    <w:p w14:paraId="626907B1" w14:textId="77777777" w:rsidR="00EE18ED" w:rsidRPr="007C4132" w:rsidRDefault="00EE18ED">
      <w:pPr>
        <w:rPr>
          <w:rFonts w:ascii="Times New Roman" w:eastAsia="MingLiU-ExtB" w:hAnsi="Times New Roman" w:cs="Times New Roman"/>
        </w:rPr>
      </w:pPr>
    </w:p>
    <w:p w14:paraId="5D82D939" w14:textId="77777777" w:rsidR="00EE18ED" w:rsidRPr="007C4132" w:rsidRDefault="00EE18ED">
      <w:pPr>
        <w:rPr>
          <w:rFonts w:ascii="Times New Roman" w:eastAsia="MingLiU-ExtB" w:hAnsi="Times New Roman" w:cs="Times New Roman"/>
        </w:rPr>
      </w:pPr>
    </w:p>
    <w:p w14:paraId="0FD251F1" w14:textId="77777777" w:rsidR="00EE18ED" w:rsidRPr="007C4132" w:rsidRDefault="00EE18ED">
      <w:pPr>
        <w:rPr>
          <w:rFonts w:ascii="Times New Roman" w:eastAsia="MingLiU-ExtB" w:hAnsi="Times New Roman" w:cs="Times New Roman"/>
        </w:rPr>
      </w:pPr>
    </w:p>
    <w:p w14:paraId="5E64C5B1" w14:textId="77777777" w:rsidR="00EE18ED" w:rsidRPr="007C4132" w:rsidRDefault="00EE18ED">
      <w:pPr>
        <w:rPr>
          <w:rFonts w:ascii="Times New Roman" w:eastAsia="MingLiU-ExtB" w:hAnsi="Times New Roman" w:cs="Times New Roman"/>
        </w:rPr>
      </w:pPr>
    </w:p>
    <w:p w14:paraId="51D8D997" w14:textId="77777777" w:rsidR="00EE18ED" w:rsidRPr="007C4132" w:rsidRDefault="00EE18ED">
      <w:pPr>
        <w:rPr>
          <w:rFonts w:ascii="Times New Roman" w:eastAsia="MingLiU-ExtB" w:hAnsi="Times New Roman" w:cs="Times New Roman"/>
        </w:rPr>
      </w:pPr>
    </w:p>
    <w:p w14:paraId="7D703367" w14:textId="77777777" w:rsidR="00EE18ED" w:rsidRPr="007C4132" w:rsidRDefault="00EE18ED">
      <w:pPr>
        <w:rPr>
          <w:rFonts w:ascii="Times New Roman" w:eastAsia="MingLiU-ExtB" w:hAnsi="Times New Roman" w:cs="Times New Roman"/>
        </w:rPr>
      </w:pPr>
    </w:p>
    <w:p w14:paraId="4641BAEB" w14:textId="77777777" w:rsidR="00EE18ED" w:rsidRPr="007C4132" w:rsidRDefault="00EE18ED">
      <w:pPr>
        <w:rPr>
          <w:rFonts w:ascii="Times New Roman" w:eastAsia="MingLiU-ExtB" w:hAnsi="Times New Roman" w:cs="Times New Roman"/>
        </w:rPr>
      </w:pPr>
    </w:p>
    <w:p w14:paraId="31287C73" w14:textId="77777777" w:rsidR="002022E0" w:rsidRPr="007C4132" w:rsidRDefault="002022E0">
      <w:pPr>
        <w:rPr>
          <w:rFonts w:ascii="Times New Roman" w:eastAsia="MingLiU-ExtB" w:hAnsi="Times New Roman" w:cs="Times New Roman"/>
        </w:rPr>
      </w:pPr>
    </w:p>
    <w:p w14:paraId="422D6B6B" w14:textId="77777777" w:rsidR="00503245" w:rsidRPr="007C4132" w:rsidRDefault="00503245" w:rsidP="00503245">
      <w:pPr>
        <w:spacing w:line="240" w:lineRule="auto"/>
        <w:contextualSpacing/>
        <w:jc w:val="center"/>
        <w:rPr>
          <w:rFonts w:ascii="Times New Roman" w:eastAsia="MingLiU-ExtB" w:hAnsi="Times New Roman" w:cs="Times New Roman"/>
        </w:rPr>
      </w:pPr>
      <w:r w:rsidRPr="007C4132">
        <w:rPr>
          <w:rFonts w:ascii="Times New Roman" w:eastAsia="MingLiU-ExtB" w:hAnsi="Times New Roman" w:cs="Times New Roman"/>
        </w:rPr>
        <w:t>Reference List</w:t>
      </w:r>
    </w:p>
    <w:p w14:paraId="637ED005" w14:textId="133892BA"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lastRenderedPageBreak/>
        <w:t xml:space="preserve">Anning-Dorson, T. and Nyamekye, M.B., </w:t>
      </w:r>
      <w:r w:rsidR="00C25141">
        <w:rPr>
          <w:rFonts w:ascii="Times New Roman" w:eastAsia="MingLiU-ExtB" w:hAnsi="Times New Roman" w:cs="Times New Roman"/>
        </w:rPr>
        <w:t>(</w:t>
      </w:r>
      <w:r w:rsidRPr="007C4132">
        <w:rPr>
          <w:rFonts w:ascii="Times New Roman" w:eastAsia="MingLiU-ExtB" w:hAnsi="Times New Roman" w:cs="Times New Roman"/>
        </w:rPr>
        <w:t>2020</w:t>
      </w:r>
      <w:r w:rsidR="00C25141">
        <w:rPr>
          <w:rFonts w:ascii="Times New Roman" w:eastAsia="MingLiU-ExtB" w:hAnsi="Times New Roman" w:cs="Times New Roman"/>
        </w:rPr>
        <w:t>)</w:t>
      </w:r>
      <w:r w:rsidRPr="007C4132">
        <w:rPr>
          <w:rFonts w:ascii="Times New Roman" w:eastAsia="MingLiU-ExtB" w:hAnsi="Times New Roman" w:cs="Times New Roman"/>
        </w:rPr>
        <w:t>. Be flexible: turning innovativeness into competitive advantage in hospitality firms. </w:t>
      </w:r>
      <w:r w:rsidRPr="007C4132">
        <w:rPr>
          <w:rFonts w:ascii="Times New Roman" w:eastAsia="MingLiU-ExtB" w:hAnsi="Times New Roman" w:cs="Times New Roman"/>
          <w:i/>
          <w:iCs/>
        </w:rPr>
        <w:t>International Journal of Contemporary Hospitality Management</w:t>
      </w:r>
      <w:r w:rsidRPr="007C4132">
        <w:rPr>
          <w:rFonts w:ascii="Times New Roman" w:eastAsia="MingLiU-ExtB" w:hAnsi="Times New Roman" w:cs="Times New Roman"/>
        </w:rPr>
        <w:t>, </w:t>
      </w:r>
      <w:r w:rsidRPr="007C4132">
        <w:rPr>
          <w:rFonts w:ascii="Times New Roman" w:eastAsia="MingLiU-ExtB" w:hAnsi="Times New Roman" w:cs="Times New Roman"/>
          <w:i/>
          <w:iCs/>
        </w:rPr>
        <w:t>32</w:t>
      </w:r>
      <w:r w:rsidRPr="007C4132">
        <w:rPr>
          <w:rFonts w:ascii="Times New Roman" w:eastAsia="MingLiU-ExtB" w:hAnsi="Times New Roman" w:cs="Times New Roman"/>
        </w:rPr>
        <w:t>(2), pp.605-624.</w:t>
      </w:r>
    </w:p>
    <w:p w14:paraId="12FF3C17" w14:textId="0D5E79BC"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Austin, N. and </w:t>
      </w:r>
      <w:proofErr w:type="spellStart"/>
      <w:r w:rsidRPr="007C4132">
        <w:rPr>
          <w:rFonts w:ascii="Times New Roman" w:eastAsia="MingLiU-ExtB" w:hAnsi="Times New Roman" w:cs="Times New Roman"/>
        </w:rPr>
        <w:t>Phalippou</w:t>
      </w:r>
      <w:proofErr w:type="spellEnd"/>
      <w:r w:rsidRPr="007C4132">
        <w:rPr>
          <w:rFonts w:ascii="Times New Roman" w:eastAsia="MingLiU-ExtB" w:hAnsi="Times New Roman" w:cs="Times New Roman"/>
        </w:rPr>
        <w:t xml:space="preserve">, L., </w:t>
      </w:r>
      <w:r w:rsidR="0057129F">
        <w:rPr>
          <w:rFonts w:ascii="Times New Roman" w:eastAsia="MingLiU-ExtB" w:hAnsi="Times New Roman" w:cs="Times New Roman"/>
        </w:rPr>
        <w:t>(</w:t>
      </w:r>
      <w:r w:rsidRPr="007C4132">
        <w:rPr>
          <w:rFonts w:ascii="Times New Roman" w:eastAsia="MingLiU-ExtB" w:hAnsi="Times New Roman" w:cs="Times New Roman"/>
        </w:rPr>
        <w:t>2023</w:t>
      </w:r>
      <w:r w:rsidR="0057129F">
        <w:rPr>
          <w:rFonts w:ascii="Times New Roman" w:eastAsia="MingLiU-ExtB" w:hAnsi="Times New Roman" w:cs="Times New Roman"/>
        </w:rPr>
        <w:t>)</w:t>
      </w:r>
      <w:r w:rsidRPr="007C4132">
        <w:rPr>
          <w:rFonts w:ascii="Times New Roman" w:eastAsia="MingLiU-ExtB" w:hAnsi="Times New Roman" w:cs="Times New Roman"/>
        </w:rPr>
        <w:t>. Decomposing value gains–The case of the best</w:t>
      </w:r>
      <w:r w:rsidR="0057129F">
        <w:rPr>
          <w:rFonts w:ascii="Times New Roman" w:eastAsia="MingLiU-ExtB" w:hAnsi="Times New Roman" w:cs="Times New Roman"/>
        </w:rPr>
        <w:t>-</w:t>
      </w:r>
      <w:r w:rsidRPr="007C4132">
        <w:rPr>
          <w:rFonts w:ascii="Times New Roman" w:eastAsia="MingLiU-ExtB" w:hAnsi="Times New Roman" w:cs="Times New Roman"/>
        </w:rPr>
        <w:t>leveraged buy-out ever. </w:t>
      </w:r>
      <w:r w:rsidRPr="007C4132">
        <w:rPr>
          <w:rFonts w:ascii="Times New Roman" w:eastAsia="MingLiU-ExtB" w:hAnsi="Times New Roman" w:cs="Times New Roman"/>
          <w:i/>
          <w:iCs/>
        </w:rPr>
        <w:t>Journal of Corporate Finance</w:t>
      </w:r>
      <w:r w:rsidRPr="007C4132">
        <w:rPr>
          <w:rFonts w:ascii="Times New Roman" w:eastAsia="MingLiU-ExtB" w:hAnsi="Times New Roman" w:cs="Times New Roman"/>
        </w:rPr>
        <w:t>, </w:t>
      </w:r>
      <w:r w:rsidRPr="007C4132">
        <w:rPr>
          <w:rFonts w:ascii="Times New Roman" w:eastAsia="MingLiU-ExtB" w:hAnsi="Times New Roman" w:cs="Times New Roman"/>
          <w:i/>
          <w:iCs/>
        </w:rPr>
        <w:t>81</w:t>
      </w:r>
      <w:r w:rsidRPr="007C4132">
        <w:rPr>
          <w:rFonts w:ascii="Times New Roman" w:eastAsia="MingLiU-ExtB" w:hAnsi="Times New Roman" w:cs="Times New Roman"/>
        </w:rPr>
        <w:t>, p.102317.</w:t>
      </w:r>
    </w:p>
    <w:p w14:paraId="64B103E3" w14:textId="3D541DC1"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Barringer, B.R. and Barringer, R.D.I.B., </w:t>
      </w:r>
      <w:r w:rsidR="0057129F">
        <w:rPr>
          <w:rFonts w:ascii="Times New Roman" w:eastAsia="MingLiU-ExtB" w:hAnsi="Times New Roman" w:cs="Times New Roman"/>
        </w:rPr>
        <w:t>(</w:t>
      </w:r>
      <w:r w:rsidRPr="007C4132">
        <w:rPr>
          <w:rFonts w:ascii="Times New Roman" w:eastAsia="MingLiU-ExtB" w:hAnsi="Times New Roman" w:cs="Times New Roman"/>
        </w:rPr>
        <w:t>2018</w:t>
      </w:r>
      <w:r w:rsidR="0057129F">
        <w:rPr>
          <w:rFonts w:ascii="Times New Roman" w:eastAsia="MingLiU-ExtB" w:hAnsi="Times New Roman" w:cs="Times New Roman"/>
        </w:rPr>
        <w:t>)</w:t>
      </w:r>
      <w:r w:rsidRPr="007C4132">
        <w:rPr>
          <w:rFonts w:ascii="Times New Roman" w:eastAsia="MingLiU-ExtB" w:hAnsi="Times New Roman" w:cs="Times New Roman"/>
        </w:rPr>
        <w:t>. </w:t>
      </w:r>
      <w:r w:rsidRPr="007C4132">
        <w:rPr>
          <w:rFonts w:ascii="Times New Roman" w:eastAsia="MingLiU-ExtB" w:hAnsi="Times New Roman" w:cs="Times New Roman"/>
          <w:i/>
          <w:iCs/>
        </w:rPr>
        <w:t>Entrepreneurship: Successfully launching new ventures</w:t>
      </w:r>
      <w:r w:rsidRPr="007C4132">
        <w:rPr>
          <w:rFonts w:ascii="Times New Roman" w:eastAsia="MingLiU-ExtB" w:hAnsi="Times New Roman" w:cs="Times New Roman"/>
        </w:rPr>
        <w:t>. Pearson Education India.</w:t>
      </w:r>
    </w:p>
    <w:p w14:paraId="75EF0AE1" w14:textId="444C634B"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Blackwell, E., </w:t>
      </w:r>
      <w:r w:rsidR="0057129F">
        <w:rPr>
          <w:rFonts w:ascii="Times New Roman" w:eastAsia="MingLiU-ExtB" w:hAnsi="Times New Roman" w:cs="Times New Roman"/>
        </w:rPr>
        <w:t>(</w:t>
      </w:r>
      <w:r w:rsidRPr="007C4132">
        <w:rPr>
          <w:rFonts w:ascii="Times New Roman" w:eastAsia="MingLiU-ExtB" w:hAnsi="Times New Roman" w:cs="Times New Roman"/>
        </w:rPr>
        <w:t>2011</w:t>
      </w:r>
      <w:r w:rsidR="00AC3068">
        <w:rPr>
          <w:rFonts w:ascii="Times New Roman" w:eastAsia="MingLiU-ExtB" w:hAnsi="Times New Roman" w:cs="Times New Roman"/>
        </w:rPr>
        <w:t>)</w:t>
      </w:r>
      <w:r w:rsidRPr="007C4132">
        <w:rPr>
          <w:rFonts w:ascii="Times New Roman" w:eastAsia="MingLiU-ExtB" w:hAnsi="Times New Roman" w:cs="Times New Roman"/>
        </w:rPr>
        <w:t>. </w:t>
      </w:r>
      <w:r w:rsidRPr="007C4132">
        <w:rPr>
          <w:rFonts w:ascii="Times New Roman" w:eastAsia="MingLiU-ExtB" w:hAnsi="Times New Roman" w:cs="Times New Roman"/>
          <w:i/>
          <w:iCs/>
        </w:rPr>
        <w:t>How to prepare a business plan: Create your strategy; forecast your finances; produce that persuasive plan</w:t>
      </w:r>
      <w:r w:rsidRPr="007C4132">
        <w:rPr>
          <w:rFonts w:ascii="Times New Roman" w:eastAsia="MingLiU-ExtB" w:hAnsi="Times New Roman" w:cs="Times New Roman"/>
        </w:rPr>
        <w:t>. Kogan Page Publishers.</w:t>
      </w:r>
    </w:p>
    <w:p w14:paraId="6E815DC2" w14:textId="77777777"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Blackwell-Pal, J., 2020. Producing ‘The Joy of Pret’: Theatres of (Emotional) Labour in the Service Industry. </w:t>
      </w:r>
      <w:r w:rsidRPr="007C4132">
        <w:rPr>
          <w:rFonts w:ascii="Times New Roman" w:eastAsia="MingLiU-ExtB" w:hAnsi="Times New Roman" w:cs="Times New Roman"/>
          <w:i/>
          <w:iCs/>
        </w:rPr>
        <w:t>Platform (17510171)</w:t>
      </w:r>
      <w:r w:rsidRPr="007C4132">
        <w:rPr>
          <w:rFonts w:ascii="Times New Roman" w:eastAsia="MingLiU-ExtB" w:hAnsi="Times New Roman" w:cs="Times New Roman"/>
        </w:rPr>
        <w:t>, </w:t>
      </w:r>
      <w:r w:rsidRPr="007C4132">
        <w:rPr>
          <w:rFonts w:ascii="Times New Roman" w:eastAsia="MingLiU-ExtB" w:hAnsi="Times New Roman" w:cs="Times New Roman"/>
          <w:i/>
          <w:iCs/>
        </w:rPr>
        <w:t>14</w:t>
      </w:r>
      <w:r w:rsidRPr="007C4132">
        <w:rPr>
          <w:rFonts w:ascii="Times New Roman" w:eastAsia="MingLiU-ExtB" w:hAnsi="Times New Roman" w:cs="Times New Roman"/>
        </w:rPr>
        <w:t>(1).</w:t>
      </w:r>
    </w:p>
    <w:p w14:paraId="73F6DDC6" w14:textId="6673C8DF"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Boldureanu, G., Ionescu, A.M., Bercu, A.M., </w:t>
      </w:r>
      <w:proofErr w:type="spellStart"/>
      <w:r w:rsidRPr="007C4132">
        <w:rPr>
          <w:rFonts w:ascii="Times New Roman" w:eastAsia="MingLiU-ExtB" w:hAnsi="Times New Roman" w:cs="Times New Roman"/>
        </w:rPr>
        <w:t>Bedrule-Grigoruță</w:t>
      </w:r>
      <w:proofErr w:type="spellEnd"/>
      <w:r w:rsidRPr="007C4132">
        <w:rPr>
          <w:rFonts w:ascii="Times New Roman" w:eastAsia="MingLiU-ExtB" w:hAnsi="Times New Roman" w:cs="Times New Roman"/>
        </w:rPr>
        <w:t xml:space="preserve">, M.V. and Boldureanu, D., </w:t>
      </w:r>
      <w:r w:rsidR="00AC3068">
        <w:rPr>
          <w:rFonts w:ascii="Times New Roman" w:eastAsia="MingLiU-ExtB" w:hAnsi="Times New Roman" w:cs="Times New Roman"/>
        </w:rPr>
        <w:t>(</w:t>
      </w:r>
      <w:r w:rsidRPr="007C4132">
        <w:rPr>
          <w:rFonts w:ascii="Times New Roman" w:eastAsia="MingLiU-ExtB" w:hAnsi="Times New Roman" w:cs="Times New Roman"/>
        </w:rPr>
        <w:t>2020</w:t>
      </w:r>
      <w:r w:rsidR="00AC3068">
        <w:rPr>
          <w:rFonts w:ascii="Times New Roman" w:eastAsia="MingLiU-ExtB" w:hAnsi="Times New Roman" w:cs="Times New Roman"/>
        </w:rPr>
        <w:t>)</w:t>
      </w:r>
      <w:r w:rsidRPr="007C4132">
        <w:rPr>
          <w:rFonts w:ascii="Times New Roman" w:eastAsia="MingLiU-ExtB" w:hAnsi="Times New Roman" w:cs="Times New Roman"/>
        </w:rPr>
        <w:t>. Entrepreneurship education through successful entrepreneurial models in higher education institutions. </w:t>
      </w:r>
      <w:r w:rsidRPr="007C4132">
        <w:rPr>
          <w:rFonts w:ascii="Times New Roman" w:eastAsia="MingLiU-ExtB" w:hAnsi="Times New Roman" w:cs="Times New Roman"/>
          <w:i/>
          <w:iCs/>
        </w:rPr>
        <w:t>Sustainability</w:t>
      </w:r>
      <w:r w:rsidRPr="007C4132">
        <w:rPr>
          <w:rFonts w:ascii="Times New Roman" w:eastAsia="MingLiU-ExtB" w:hAnsi="Times New Roman" w:cs="Times New Roman"/>
        </w:rPr>
        <w:t>, </w:t>
      </w:r>
      <w:r w:rsidRPr="007C4132">
        <w:rPr>
          <w:rFonts w:ascii="Times New Roman" w:eastAsia="MingLiU-ExtB" w:hAnsi="Times New Roman" w:cs="Times New Roman"/>
          <w:i/>
          <w:iCs/>
        </w:rPr>
        <w:t>12</w:t>
      </w:r>
      <w:r w:rsidRPr="007C4132">
        <w:rPr>
          <w:rFonts w:ascii="Times New Roman" w:eastAsia="MingLiU-ExtB" w:hAnsi="Times New Roman" w:cs="Times New Roman"/>
        </w:rPr>
        <w:t>(3), p.1267.</w:t>
      </w:r>
    </w:p>
    <w:p w14:paraId="60A6F056" w14:textId="001F50C8"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Braha, M., </w:t>
      </w:r>
      <w:r w:rsidR="00AC3068">
        <w:rPr>
          <w:rFonts w:ascii="Times New Roman" w:eastAsia="MingLiU-ExtB" w:hAnsi="Times New Roman" w:cs="Times New Roman"/>
        </w:rPr>
        <w:t>(</w:t>
      </w:r>
      <w:r w:rsidRPr="007C4132">
        <w:rPr>
          <w:rFonts w:ascii="Times New Roman" w:eastAsia="MingLiU-ExtB" w:hAnsi="Times New Roman" w:cs="Times New Roman"/>
        </w:rPr>
        <w:t>2024</w:t>
      </w:r>
      <w:r w:rsidR="00AC3068">
        <w:rPr>
          <w:rFonts w:ascii="Times New Roman" w:eastAsia="MingLiU-ExtB" w:hAnsi="Times New Roman" w:cs="Times New Roman"/>
        </w:rPr>
        <w:t>)</w:t>
      </w:r>
      <w:r w:rsidRPr="007C4132">
        <w:rPr>
          <w:rFonts w:ascii="Times New Roman" w:eastAsia="MingLiU-ExtB" w:hAnsi="Times New Roman" w:cs="Times New Roman"/>
        </w:rPr>
        <w:t>. Sir Richard Branson: The Positively Energizing Leader. </w:t>
      </w:r>
      <w:r w:rsidRPr="007C4132">
        <w:rPr>
          <w:rFonts w:ascii="Times New Roman" w:eastAsia="MingLiU-ExtB" w:hAnsi="Times New Roman" w:cs="Times New Roman"/>
          <w:i/>
          <w:iCs/>
        </w:rPr>
        <w:t>Economic Alternatives</w:t>
      </w:r>
      <w:r w:rsidRPr="007C4132">
        <w:rPr>
          <w:rFonts w:ascii="Times New Roman" w:eastAsia="MingLiU-ExtB" w:hAnsi="Times New Roman" w:cs="Times New Roman"/>
        </w:rPr>
        <w:t>, (3), pp.663-678.</w:t>
      </w:r>
    </w:p>
    <w:p w14:paraId="7F5EF35F" w14:textId="77777777"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Burns, P. (2022). </w:t>
      </w:r>
      <w:r w:rsidRPr="007C4132">
        <w:rPr>
          <w:rFonts w:ascii="Times New Roman" w:eastAsia="MingLiU-ExtB" w:hAnsi="Times New Roman" w:cs="Times New Roman"/>
          <w:i/>
          <w:iCs/>
        </w:rPr>
        <w:t>Entrepreneurship and Small Business</w:t>
      </w:r>
      <w:r w:rsidRPr="007C4132">
        <w:rPr>
          <w:rFonts w:ascii="Times New Roman" w:eastAsia="MingLiU-ExtB" w:hAnsi="Times New Roman" w:cs="Times New Roman"/>
        </w:rPr>
        <w:t>, 5th Ed., Palgrave Macmillan.</w:t>
      </w:r>
    </w:p>
    <w:p w14:paraId="78AB856F" w14:textId="77777777"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Chang, Y.Y. and Chen, M.H., 2020. Creative entrepreneurs’ creativity, opportunity recognition, and career success: Is resource availability a double-edged </w:t>
      </w:r>
      <w:proofErr w:type="gramStart"/>
      <w:r w:rsidRPr="007C4132">
        <w:rPr>
          <w:rFonts w:ascii="Times New Roman" w:eastAsia="MingLiU-ExtB" w:hAnsi="Times New Roman" w:cs="Times New Roman"/>
        </w:rPr>
        <w:t>sword?.</w:t>
      </w:r>
      <w:proofErr w:type="gramEnd"/>
      <w:r w:rsidRPr="007C4132">
        <w:rPr>
          <w:rFonts w:ascii="Times New Roman" w:eastAsia="MingLiU-ExtB" w:hAnsi="Times New Roman" w:cs="Times New Roman"/>
        </w:rPr>
        <w:t> </w:t>
      </w:r>
      <w:r w:rsidRPr="007C4132">
        <w:rPr>
          <w:rFonts w:ascii="Times New Roman" w:eastAsia="MingLiU-ExtB" w:hAnsi="Times New Roman" w:cs="Times New Roman"/>
          <w:i/>
          <w:iCs/>
        </w:rPr>
        <w:t>European Management Journal</w:t>
      </w:r>
      <w:r w:rsidRPr="007C4132">
        <w:rPr>
          <w:rFonts w:ascii="Times New Roman" w:eastAsia="MingLiU-ExtB" w:hAnsi="Times New Roman" w:cs="Times New Roman"/>
        </w:rPr>
        <w:t>, </w:t>
      </w:r>
      <w:r w:rsidRPr="007C4132">
        <w:rPr>
          <w:rFonts w:ascii="Times New Roman" w:eastAsia="MingLiU-ExtB" w:hAnsi="Times New Roman" w:cs="Times New Roman"/>
          <w:i/>
          <w:iCs/>
        </w:rPr>
        <w:t>38</w:t>
      </w:r>
      <w:r w:rsidRPr="007C4132">
        <w:rPr>
          <w:rFonts w:ascii="Times New Roman" w:eastAsia="MingLiU-ExtB" w:hAnsi="Times New Roman" w:cs="Times New Roman"/>
        </w:rPr>
        <w:t>(5), pp.750-762.</w:t>
      </w:r>
    </w:p>
    <w:p w14:paraId="672AF253" w14:textId="33F461B7"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Corvello, V., Cimino, A. and Felicetti, A.M., </w:t>
      </w:r>
      <w:r w:rsidR="00AC3068">
        <w:rPr>
          <w:rFonts w:ascii="Times New Roman" w:eastAsia="MingLiU-ExtB" w:hAnsi="Times New Roman" w:cs="Times New Roman"/>
        </w:rPr>
        <w:t>(</w:t>
      </w:r>
      <w:r w:rsidRPr="007C4132">
        <w:rPr>
          <w:rFonts w:ascii="Times New Roman" w:eastAsia="MingLiU-ExtB" w:hAnsi="Times New Roman" w:cs="Times New Roman"/>
        </w:rPr>
        <w:t>2023</w:t>
      </w:r>
      <w:r w:rsidR="00AC3068">
        <w:rPr>
          <w:rFonts w:ascii="Times New Roman" w:eastAsia="MingLiU-ExtB" w:hAnsi="Times New Roman" w:cs="Times New Roman"/>
        </w:rPr>
        <w:t>)</w:t>
      </w:r>
      <w:r w:rsidRPr="007C4132">
        <w:rPr>
          <w:rFonts w:ascii="Times New Roman" w:eastAsia="MingLiU-ExtB" w:hAnsi="Times New Roman" w:cs="Times New Roman"/>
        </w:rPr>
        <w:t>. Building start-up acceleration capability: A dynamic capability framework for collaboration with start-ups. </w:t>
      </w:r>
      <w:r w:rsidRPr="007C4132">
        <w:rPr>
          <w:rFonts w:ascii="Times New Roman" w:eastAsia="MingLiU-ExtB" w:hAnsi="Times New Roman" w:cs="Times New Roman"/>
          <w:i/>
          <w:iCs/>
        </w:rPr>
        <w:t>Journal of Open Innovation: Technology, Market, and Complexity</w:t>
      </w:r>
      <w:r w:rsidRPr="007C4132">
        <w:rPr>
          <w:rFonts w:ascii="Times New Roman" w:eastAsia="MingLiU-ExtB" w:hAnsi="Times New Roman" w:cs="Times New Roman"/>
        </w:rPr>
        <w:t>, </w:t>
      </w:r>
      <w:r w:rsidRPr="007C4132">
        <w:rPr>
          <w:rFonts w:ascii="Times New Roman" w:eastAsia="MingLiU-ExtB" w:hAnsi="Times New Roman" w:cs="Times New Roman"/>
          <w:i/>
          <w:iCs/>
        </w:rPr>
        <w:t>9</w:t>
      </w:r>
      <w:r w:rsidRPr="007C4132">
        <w:rPr>
          <w:rFonts w:ascii="Times New Roman" w:eastAsia="MingLiU-ExtB" w:hAnsi="Times New Roman" w:cs="Times New Roman"/>
        </w:rPr>
        <w:t>(3), p.100104.</w:t>
      </w:r>
    </w:p>
    <w:p w14:paraId="759F55DB" w14:textId="75BFFD85"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Ensour, W., </w:t>
      </w:r>
      <w:proofErr w:type="spellStart"/>
      <w:r w:rsidRPr="007C4132">
        <w:rPr>
          <w:rFonts w:ascii="Times New Roman" w:eastAsia="MingLiU-ExtB" w:hAnsi="Times New Roman" w:cs="Times New Roman"/>
        </w:rPr>
        <w:t>Zeglat</w:t>
      </w:r>
      <w:proofErr w:type="spellEnd"/>
      <w:r w:rsidRPr="007C4132">
        <w:rPr>
          <w:rFonts w:ascii="Times New Roman" w:eastAsia="MingLiU-ExtB" w:hAnsi="Times New Roman" w:cs="Times New Roman"/>
        </w:rPr>
        <w:t>, D. and Al-</w:t>
      </w:r>
      <w:proofErr w:type="spellStart"/>
      <w:r w:rsidRPr="007C4132">
        <w:rPr>
          <w:rFonts w:ascii="Times New Roman" w:eastAsia="MingLiU-ExtB" w:hAnsi="Times New Roman" w:cs="Times New Roman"/>
        </w:rPr>
        <w:t>Maaitah</w:t>
      </w:r>
      <w:proofErr w:type="spellEnd"/>
      <w:r w:rsidRPr="007C4132">
        <w:rPr>
          <w:rFonts w:ascii="Times New Roman" w:eastAsia="MingLiU-ExtB" w:hAnsi="Times New Roman" w:cs="Times New Roman"/>
        </w:rPr>
        <w:t xml:space="preserve">, H., </w:t>
      </w:r>
      <w:r w:rsidR="005E2D4A">
        <w:rPr>
          <w:rFonts w:ascii="Times New Roman" w:eastAsia="MingLiU-ExtB" w:hAnsi="Times New Roman" w:cs="Times New Roman"/>
        </w:rPr>
        <w:t>(</w:t>
      </w:r>
      <w:r w:rsidRPr="007C4132">
        <w:rPr>
          <w:rFonts w:ascii="Times New Roman" w:eastAsia="MingLiU-ExtB" w:hAnsi="Times New Roman" w:cs="Times New Roman"/>
        </w:rPr>
        <w:t>2020</w:t>
      </w:r>
      <w:r w:rsidR="005E2D4A">
        <w:rPr>
          <w:rFonts w:ascii="Times New Roman" w:eastAsia="MingLiU-ExtB" w:hAnsi="Times New Roman" w:cs="Times New Roman"/>
        </w:rPr>
        <w:t>)</w:t>
      </w:r>
      <w:r w:rsidRPr="007C4132">
        <w:rPr>
          <w:rFonts w:ascii="Times New Roman" w:eastAsia="MingLiU-ExtB" w:hAnsi="Times New Roman" w:cs="Times New Roman"/>
        </w:rPr>
        <w:t>. Towards a new model of work passion. </w:t>
      </w:r>
      <w:r w:rsidRPr="007C4132">
        <w:rPr>
          <w:rFonts w:ascii="Times New Roman" w:eastAsia="MingLiU-ExtB" w:hAnsi="Times New Roman" w:cs="Times New Roman"/>
          <w:i/>
          <w:iCs/>
        </w:rPr>
        <w:t>International Journal of Services and Operations Management</w:t>
      </w:r>
      <w:r w:rsidRPr="007C4132">
        <w:rPr>
          <w:rFonts w:ascii="Times New Roman" w:eastAsia="MingLiU-ExtB" w:hAnsi="Times New Roman" w:cs="Times New Roman"/>
        </w:rPr>
        <w:t>, </w:t>
      </w:r>
      <w:r w:rsidRPr="007C4132">
        <w:rPr>
          <w:rFonts w:ascii="Times New Roman" w:eastAsia="MingLiU-ExtB" w:hAnsi="Times New Roman" w:cs="Times New Roman"/>
          <w:i/>
          <w:iCs/>
        </w:rPr>
        <w:t>35</w:t>
      </w:r>
      <w:r w:rsidRPr="007C4132">
        <w:rPr>
          <w:rFonts w:ascii="Times New Roman" w:eastAsia="MingLiU-ExtB" w:hAnsi="Times New Roman" w:cs="Times New Roman"/>
        </w:rPr>
        <w:t>(4), pp.482-503.</w:t>
      </w:r>
    </w:p>
    <w:p w14:paraId="7CADAE7D" w14:textId="77777777"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Gelbman, A., 2021. Tourist experience and innovative hospitality management in different cities. </w:t>
      </w:r>
      <w:r w:rsidRPr="007C4132">
        <w:rPr>
          <w:rFonts w:ascii="Times New Roman" w:eastAsia="MingLiU-ExtB" w:hAnsi="Times New Roman" w:cs="Times New Roman"/>
          <w:i/>
          <w:iCs/>
        </w:rPr>
        <w:t>Sustainability</w:t>
      </w:r>
      <w:r w:rsidRPr="007C4132">
        <w:rPr>
          <w:rFonts w:ascii="Times New Roman" w:eastAsia="MingLiU-ExtB" w:hAnsi="Times New Roman" w:cs="Times New Roman"/>
        </w:rPr>
        <w:t>, </w:t>
      </w:r>
      <w:r w:rsidRPr="007C4132">
        <w:rPr>
          <w:rFonts w:ascii="Times New Roman" w:eastAsia="MingLiU-ExtB" w:hAnsi="Times New Roman" w:cs="Times New Roman"/>
          <w:i/>
          <w:iCs/>
        </w:rPr>
        <w:t>13</w:t>
      </w:r>
      <w:r w:rsidRPr="007C4132">
        <w:rPr>
          <w:rFonts w:ascii="Times New Roman" w:eastAsia="MingLiU-ExtB" w:hAnsi="Times New Roman" w:cs="Times New Roman"/>
        </w:rPr>
        <w:t>(12), p.6578.</w:t>
      </w:r>
    </w:p>
    <w:p w14:paraId="2E0BDC09" w14:textId="4BE0F2DC" w:rsidR="00503245" w:rsidRPr="007C4132" w:rsidRDefault="00503245" w:rsidP="00503245">
      <w:pPr>
        <w:spacing w:line="240" w:lineRule="auto"/>
        <w:ind w:left="720" w:hanging="720"/>
        <w:contextualSpacing/>
        <w:rPr>
          <w:rFonts w:ascii="Times New Roman" w:eastAsia="MingLiU-ExtB" w:hAnsi="Times New Roman" w:cs="Times New Roman"/>
        </w:rPr>
      </w:pPr>
      <w:proofErr w:type="spellStart"/>
      <w:r w:rsidRPr="007C4132">
        <w:rPr>
          <w:rFonts w:ascii="Times New Roman" w:eastAsia="MingLiU-ExtB" w:hAnsi="Times New Roman" w:cs="Times New Roman"/>
        </w:rPr>
        <w:t>Giannoukou</w:t>
      </w:r>
      <w:proofErr w:type="spellEnd"/>
      <w:r w:rsidRPr="007C4132">
        <w:rPr>
          <w:rFonts w:ascii="Times New Roman" w:eastAsia="MingLiU-ExtB" w:hAnsi="Times New Roman" w:cs="Times New Roman"/>
        </w:rPr>
        <w:t xml:space="preserve">, I., </w:t>
      </w:r>
      <w:r w:rsidR="005E2D4A">
        <w:rPr>
          <w:rFonts w:ascii="Times New Roman" w:eastAsia="MingLiU-ExtB" w:hAnsi="Times New Roman" w:cs="Times New Roman"/>
        </w:rPr>
        <w:t>(</w:t>
      </w:r>
      <w:r w:rsidRPr="007C4132">
        <w:rPr>
          <w:rFonts w:ascii="Times New Roman" w:eastAsia="MingLiU-ExtB" w:hAnsi="Times New Roman" w:cs="Times New Roman"/>
        </w:rPr>
        <w:t>2024</w:t>
      </w:r>
      <w:r w:rsidR="005E2D4A">
        <w:rPr>
          <w:rFonts w:ascii="Times New Roman" w:eastAsia="MingLiU-ExtB" w:hAnsi="Times New Roman" w:cs="Times New Roman"/>
        </w:rPr>
        <w:t>)</w:t>
      </w:r>
      <w:r w:rsidRPr="007C4132">
        <w:rPr>
          <w:rFonts w:ascii="Times New Roman" w:eastAsia="MingLiU-ExtB" w:hAnsi="Times New Roman" w:cs="Times New Roman"/>
        </w:rPr>
        <w:t>. Revolutionizing Hospitality: Strategic Integration of Innovation Management Embracing Technological Innovation for Enhanced Customer Experiences. </w:t>
      </w:r>
      <w:proofErr w:type="spellStart"/>
      <w:r w:rsidRPr="007C4132">
        <w:rPr>
          <w:rFonts w:ascii="Times New Roman" w:eastAsia="MingLiU-ExtB" w:hAnsi="Times New Roman" w:cs="Times New Roman"/>
          <w:i/>
          <w:iCs/>
        </w:rPr>
        <w:t>Technium</w:t>
      </w:r>
      <w:proofErr w:type="spellEnd"/>
      <w:r w:rsidRPr="007C4132">
        <w:rPr>
          <w:rFonts w:ascii="Times New Roman" w:eastAsia="MingLiU-ExtB" w:hAnsi="Times New Roman" w:cs="Times New Roman"/>
          <w:i/>
          <w:iCs/>
        </w:rPr>
        <w:t xml:space="preserve"> Business and Management</w:t>
      </w:r>
      <w:r w:rsidRPr="007C4132">
        <w:rPr>
          <w:rFonts w:ascii="Times New Roman" w:eastAsia="MingLiU-ExtB" w:hAnsi="Times New Roman" w:cs="Times New Roman"/>
        </w:rPr>
        <w:t>, </w:t>
      </w:r>
      <w:r w:rsidRPr="007C4132">
        <w:rPr>
          <w:rFonts w:ascii="Times New Roman" w:eastAsia="MingLiU-ExtB" w:hAnsi="Times New Roman" w:cs="Times New Roman"/>
          <w:i/>
          <w:iCs/>
        </w:rPr>
        <w:t>7</w:t>
      </w:r>
      <w:r w:rsidRPr="007C4132">
        <w:rPr>
          <w:rFonts w:ascii="Times New Roman" w:eastAsia="MingLiU-ExtB" w:hAnsi="Times New Roman" w:cs="Times New Roman"/>
        </w:rPr>
        <w:t>, pp.24-39.</w:t>
      </w:r>
    </w:p>
    <w:p w14:paraId="18050B08" w14:textId="78D8E7B7"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Hatak, I., Chang, M., Harms, R. and Wiklund, J., </w:t>
      </w:r>
      <w:r w:rsidR="005E2D4A">
        <w:rPr>
          <w:rFonts w:ascii="Times New Roman" w:eastAsia="MingLiU-ExtB" w:hAnsi="Times New Roman" w:cs="Times New Roman"/>
        </w:rPr>
        <w:t>(</w:t>
      </w:r>
      <w:r w:rsidRPr="007C4132">
        <w:rPr>
          <w:rFonts w:ascii="Times New Roman" w:eastAsia="MingLiU-ExtB" w:hAnsi="Times New Roman" w:cs="Times New Roman"/>
        </w:rPr>
        <w:t>2021</w:t>
      </w:r>
      <w:r w:rsidR="005E2D4A">
        <w:rPr>
          <w:rFonts w:ascii="Times New Roman" w:eastAsia="MingLiU-ExtB" w:hAnsi="Times New Roman" w:cs="Times New Roman"/>
        </w:rPr>
        <w:t>)</w:t>
      </w:r>
      <w:r w:rsidRPr="007C4132">
        <w:rPr>
          <w:rFonts w:ascii="Times New Roman" w:eastAsia="MingLiU-ExtB" w:hAnsi="Times New Roman" w:cs="Times New Roman"/>
        </w:rPr>
        <w:t>. ADHD symptoms, entrepreneurial passion, and entrepreneurial performance. </w:t>
      </w:r>
      <w:r w:rsidRPr="007C4132">
        <w:rPr>
          <w:rFonts w:ascii="Times New Roman" w:eastAsia="MingLiU-ExtB" w:hAnsi="Times New Roman" w:cs="Times New Roman"/>
          <w:i/>
          <w:iCs/>
        </w:rPr>
        <w:t>Small business economics</w:t>
      </w:r>
      <w:r w:rsidRPr="007C4132">
        <w:rPr>
          <w:rFonts w:ascii="Times New Roman" w:eastAsia="MingLiU-ExtB" w:hAnsi="Times New Roman" w:cs="Times New Roman"/>
        </w:rPr>
        <w:t>, </w:t>
      </w:r>
      <w:r w:rsidRPr="007C4132">
        <w:rPr>
          <w:rFonts w:ascii="Times New Roman" w:eastAsia="MingLiU-ExtB" w:hAnsi="Times New Roman" w:cs="Times New Roman"/>
          <w:i/>
          <w:iCs/>
        </w:rPr>
        <w:t>57</w:t>
      </w:r>
      <w:r w:rsidRPr="007C4132">
        <w:rPr>
          <w:rFonts w:ascii="Times New Roman" w:eastAsia="MingLiU-ExtB" w:hAnsi="Times New Roman" w:cs="Times New Roman"/>
        </w:rPr>
        <w:t>, pp.1693-1713.</w:t>
      </w:r>
    </w:p>
    <w:p w14:paraId="1484E982" w14:textId="77777777"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Hisrich, D.R., Peters, M.P. and Dean, A.S. (2008) </w:t>
      </w:r>
      <w:r w:rsidRPr="007C4132">
        <w:rPr>
          <w:rFonts w:ascii="Times New Roman" w:eastAsia="MingLiU-ExtB" w:hAnsi="Times New Roman" w:cs="Times New Roman"/>
          <w:i/>
          <w:iCs/>
        </w:rPr>
        <w:t xml:space="preserve">Entrepreneurship. </w:t>
      </w:r>
      <w:r w:rsidRPr="007C4132">
        <w:rPr>
          <w:rFonts w:ascii="Times New Roman" w:eastAsia="MingLiU-ExtB" w:hAnsi="Times New Roman" w:cs="Times New Roman"/>
        </w:rPr>
        <w:t>7th Edition, McGraw-Hill International Edition, Boston.</w:t>
      </w:r>
    </w:p>
    <w:p w14:paraId="49FECB29" w14:textId="54C55CC5"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Kiani, A., Ali, A., </w:t>
      </w:r>
      <w:proofErr w:type="spellStart"/>
      <w:r w:rsidRPr="007C4132">
        <w:rPr>
          <w:rFonts w:ascii="Times New Roman" w:eastAsia="MingLiU-ExtB" w:hAnsi="Times New Roman" w:cs="Times New Roman"/>
        </w:rPr>
        <w:t>Biraglia</w:t>
      </w:r>
      <w:proofErr w:type="spellEnd"/>
      <w:r w:rsidRPr="007C4132">
        <w:rPr>
          <w:rFonts w:ascii="Times New Roman" w:eastAsia="MingLiU-ExtB" w:hAnsi="Times New Roman" w:cs="Times New Roman"/>
        </w:rPr>
        <w:t xml:space="preserve">, A. and Wang, D., </w:t>
      </w:r>
      <w:r w:rsidR="005E2D4A">
        <w:rPr>
          <w:rFonts w:ascii="Times New Roman" w:eastAsia="MingLiU-ExtB" w:hAnsi="Times New Roman" w:cs="Times New Roman"/>
        </w:rPr>
        <w:t>(</w:t>
      </w:r>
      <w:r w:rsidRPr="007C4132">
        <w:rPr>
          <w:rFonts w:ascii="Times New Roman" w:eastAsia="MingLiU-ExtB" w:hAnsi="Times New Roman" w:cs="Times New Roman"/>
        </w:rPr>
        <w:t>2023</w:t>
      </w:r>
      <w:r w:rsidR="005E2D4A">
        <w:rPr>
          <w:rFonts w:ascii="Times New Roman" w:eastAsia="MingLiU-ExtB" w:hAnsi="Times New Roman" w:cs="Times New Roman"/>
        </w:rPr>
        <w:t>)</w:t>
      </w:r>
      <w:r w:rsidRPr="007C4132">
        <w:rPr>
          <w:rFonts w:ascii="Times New Roman" w:eastAsia="MingLiU-ExtB" w:hAnsi="Times New Roman" w:cs="Times New Roman"/>
        </w:rPr>
        <w:t>. Why I persist while others leave? Investigating the path from passion to persistence in entrepreneurship. </w:t>
      </w:r>
      <w:r w:rsidRPr="007C4132">
        <w:rPr>
          <w:rFonts w:ascii="Times New Roman" w:eastAsia="MingLiU-ExtB" w:hAnsi="Times New Roman" w:cs="Times New Roman"/>
          <w:i/>
          <w:iCs/>
        </w:rPr>
        <w:t>Journal of Small Business Management</w:t>
      </w:r>
      <w:r w:rsidRPr="007C4132">
        <w:rPr>
          <w:rFonts w:ascii="Times New Roman" w:eastAsia="MingLiU-ExtB" w:hAnsi="Times New Roman" w:cs="Times New Roman"/>
        </w:rPr>
        <w:t>, </w:t>
      </w:r>
      <w:r w:rsidRPr="007C4132">
        <w:rPr>
          <w:rFonts w:ascii="Times New Roman" w:eastAsia="MingLiU-ExtB" w:hAnsi="Times New Roman" w:cs="Times New Roman"/>
          <w:i/>
          <w:iCs/>
        </w:rPr>
        <w:t>61</w:t>
      </w:r>
      <w:r w:rsidRPr="007C4132">
        <w:rPr>
          <w:rFonts w:ascii="Times New Roman" w:eastAsia="MingLiU-ExtB" w:hAnsi="Times New Roman" w:cs="Times New Roman"/>
        </w:rPr>
        <w:t>(6), pp.2818-2848.</w:t>
      </w:r>
    </w:p>
    <w:p w14:paraId="4EC4C0CE" w14:textId="2B1D4AB9"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Lim, W., Lee, Y. and Mamun, A.A., </w:t>
      </w:r>
      <w:r w:rsidR="005E2D4A">
        <w:rPr>
          <w:rFonts w:ascii="Times New Roman" w:eastAsia="MingLiU-ExtB" w:hAnsi="Times New Roman" w:cs="Times New Roman"/>
        </w:rPr>
        <w:t>(</w:t>
      </w:r>
      <w:r w:rsidRPr="007C4132">
        <w:rPr>
          <w:rFonts w:ascii="Times New Roman" w:eastAsia="MingLiU-ExtB" w:hAnsi="Times New Roman" w:cs="Times New Roman"/>
        </w:rPr>
        <w:t>2023</w:t>
      </w:r>
      <w:r w:rsidR="005E2D4A">
        <w:rPr>
          <w:rFonts w:ascii="Times New Roman" w:eastAsia="MingLiU-ExtB" w:hAnsi="Times New Roman" w:cs="Times New Roman"/>
        </w:rPr>
        <w:t>)</w:t>
      </w:r>
      <w:r w:rsidRPr="007C4132">
        <w:rPr>
          <w:rFonts w:ascii="Times New Roman" w:eastAsia="MingLiU-ExtB" w:hAnsi="Times New Roman" w:cs="Times New Roman"/>
        </w:rPr>
        <w:t>. Delineating competency and opportunity recognition in the entrepreneurial intention analysis framework. </w:t>
      </w:r>
      <w:r w:rsidRPr="007C4132">
        <w:rPr>
          <w:rFonts w:ascii="Times New Roman" w:eastAsia="MingLiU-ExtB" w:hAnsi="Times New Roman" w:cs="Times New Roman"/>
          <w:i/>
          <w:iCs/>
        </w:rPr>
        <w:t>Journal of Entrepreneurship in Emerging Economies</w:t>
      </w:r>
      <w:r w:rsidRPr="007C4132">
        <w:rPr>
          <w:rFonts w:ascii="Times New Roman" w:eastAsia="MingLiU-ExtB" w:hAnsi="Times New Roman" w:cs="Times New Roman"/>
        </w:rPr>
        <w:t>, </w:t>
      </w:r>
      <w:r w:rsidRPr="007C4132">
        <w:rPr>
          <w:rFonts w:ascii="Times New Roman" w:eastAsia="MingLiU-ExtB" w:hAnsi="Times New Roman" w:cs="Times New Roman"/>
          <w:i/>
          <w:iCs/>
        </w:rPr>
        <w:t>15</w:t>
      </w:r>
      <w:r w:rsidRPr="007C4132">
        <w:rPr>
          <w:rFonts w:ascii="Times New Roman" w:eastAsia="MingLiU-ExtB" w:hAnsi="Times New Roman" w:cs="Times New Roman"/>
        </w:rPr>
        <w:t>(1), pp.212-232.</w:t>
      </w:r>
    </w:p>
    <w:p w14:paraId="6D2581AA" w14:textId="2B901DF1"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Madan, B. and Halkias, D., </w:t>
      </w:r>
      <w:r w:rsidR="005E2D4A">
        <w:rPr>
          <w:rFonts w:ascii="Times New Roman" w:eastAsia="MingLiU-ExtB" w:hAnsi="Times New Roman" w:cs="Times New Roman"/>
        </w:rPr>
        <w:t>(</w:t>
      </w:r>
      <w:r w:rsidRPr="007C4132">
        <w:rPr>
          <w:rFonts w:ascii="Times New Roman" w:eastAsia="MingLiU-ExtB" w:hAnsi="Times New Roman" w:cs="Times New Roman"/>
        </w:rPr>
        <w:t>2020</w:t>
      </w:r>
      <w:r w:rsidR="005E2D4A">
        <w:rPr>
          <w:rFonts w:ascii="Times New Roman" w:eastAsia="MingLiU-ExtB" w:hAnsi="Times New Roman" w:cs="Times New Roman"/>
        </w:rPr>
        <w:t>)</w:t>
      </w:r>
      <w:r w:rsidRPr="007C4132">
        <w:rPr>
          <w:rFonts w:ascii="Times New Roman" w:eastAsia="MingLiU-ExtB" w:hAnsi="Times New Roman" w:cs="Times New Roman"/>
        </w:rPr>
        <w:t>. Virgin Galactic’s NASA Partnership and Space Tourism–A Teaching Case. </w:t>
      </w:r>
      <w:r w:rsidRPr="007C4132">
        <w:rPr>
          <w:rFonts w:ascii="Times New Roman" w:eastAsia="MingLiU-ExtB" w:hAnsi="Times New Roman" w:cs="Times New Roman"/>
          <w:i/>
          <w:iCs/>
        </w:rPr>
        <w:t>Available at SSRN 3820623</w:t>
      </w:r>
      <w:r w:rsidRPr="007C4132">
        <w:rPr>
          <w:rFonts w:ascii="Times New Roman" w:eastAsia="MingLiU-ExtB" w:hAnsi="Times New Roman" w:cs="Times New Roman"/>
        </w:rPr>
        <w:t>.</w:t>
      </w:r>
    </w:p>
    <w:p w14:paraId="52EC4700" w14:textId="7B2E045F"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Madhani, P.M., </w:t>
      </w:r>
      <w:r w:rsidR="005E2D4A">
        <w:rPr>
          <w:rFonts w:ascii="Times New Roman" w:eastAsia="MingLiU-ExtB" w:hAnsi="Times New Roman" w:cs="Times New Roman"/>
        </w:rPr>
        <w:t>(</w:t>
      </w:r>
      <w:r w:rsidRPr="007C4132">
        <w:rPr>
          <w:rFonts w:ascii="Times New Roman" w:eastAsia="MingLiU-ExtB" w:hAnsi="Times New Roman" w:cs="Times New Roman"/>
        </w:rPr>
        <w:t>2021</w:t>
      </w:r>
      <w:r w:rsidR="005E2D4A">
        <w:rPr>
          <w:rFonts w:ascii="Times New Roman" w:eastAsia="MingLiU-ExtB" w:hAnsi="Times New Roman" w:cs="Times New Roman"/>
        </w:rPr>
        <w:t>)</w:t>
      </w:r>
      <w:r w:rsidRPr="007C4132">
        <w:rPr>
          <w:rFonts w:ascii="Times New Roman" w:eastAsia="MingLiU-ExtB" w:hAnsi="Times New Roman" w:cs="Times New Roman"/>
        </w:rPr>
        <w:t>. Retail supply chain management: Building a customer-focused approach with competitive priorities. </w:t>
      </w:r>
      <w:r w:rsidRPr="007C4132">
        <w:rPr>
          <w:rFonts w:ascii="Times New Roman" w:eastAsia="MingLiU-ExtB" w:hAnsi="Times New Roman" w:cs="Times New Roman"/>
          <w:i/>
          <w:iCs/>
        </w:rPr>
        <w:t>The IUP Journal of Supply Chain Management</w:t>
      </w:r>
      <w:r w:rsidRPr="007C4132">
        <w:rPr>
          <w:rFonts w:ascii="Times New Roman" w:eastAsia="MingLiU-ExtB" w:hAnsi="Times New Roman" w:cs="Times New Roman"/>
        </w:rPr>
        <w:t>, </w:t>
      </w:r>
      <w:r w:rsidRPr="007C4132">
        <w:rPr>
          <w:rFonts w:ascii="Times New Roman" w:eastAsia="MingLiU-ExtB" w:hAnsi="Times New Roman" w:cs="Times New Roman"/>
          <w:i/>
          <w:iCs/>
        </w:rPr>
        <w:t>18</w:t>
      </w:r>
      <w:r w:rsidRPr="007C4132">
        <w:rPr>
          <w:rFonts w:ascii="Times New Roman" w:eastAsia="MingLiU-ExtB" w:hAnsi="Times New Roman" w:cs="Times New Roman"/>
        </w:rPr>
        <w:t>(2), pp.7-27.</w:t>
      </w:r>
    </w:p>
    <w:p w14:paraId="4D6CA8BC" w14:textId="2894AA7A" w:rsidR="00503245" w:rsidRPr="007C4132" w:rsidRDefault="00503245" w:rsidP="00503245">
      <w:pPr>
        <w:spacing w:line="240" w:lineRule="auto"/>
        <w:ind w:left="720" w:hanging="720"/>
        <w:contextualSpacing/>
        <w:rPr>
          <w:rFonts w:ascii="Times New Roman" w:eastAsia="MingLiU-ExtB" w:hAnsi="Times New Roman" w:cs="Times New Roman"/>
        </w:rPr>
      </w:pPr>
      <w:proofErr w:type="spellStart"/>
      <w:r w:rsidRPr="007C4132">
        <w:rPr>
          <w:rFonts w:ascii="Times New Roman" w:eastAsia="MingLiU-ExtB" w:hAnsi="Times New Roman" w:cs="Times New Roman"/>
        </w:rPr>
        <w:t>Matzembacher</w:t>
      </w:r>
      <w:proofErr w:type="spellEnd"/>
      <w:r w:rsidRPr="007C4132">
        <w:rPr>
          <w:rFonts w:ascii="Times New Roman" w:eastAsia="MingLiU-ExtB" w:hAnsi="Times New Roman" w:cs="Times New Roman"/>
        </w:rPr>
        <w:t xml:space="preserve">, D.E., </w:t>
      </w:r>
      <w:proofErr w:type="spellStart"/>
      <w:r w:rsidRPr="007C4132">
        <w:rPr>
          <w:rFonts w:ascii="Times New Roman" w:eastAsia="MingLiU-ExtB" w:hAnsi="Times New Roman" w:cs="Times New Roman"/>
        </w:rPr>
        <w:t>Raudsaar</w:t>
      </w:r>
      <w:proofErr w:type="spellEnd"/>
      <w:r w:rsidRPr="007C4132">
        <w:rPr>
          <w:rFonts w:ascii="Times New Roman" w:eastAsia="MingLiU-ExtB" w:hAnsi="Times New Roman" w:cs="Times New Roman"/>
        </w:rPr>
        <w:t xml:space="preserve">, M., Barcellos, M.D.D. and Mets, T., </w:t>
      </w:r>
      <w:r w:rsidR="005E2D4A">
        <w:rPr>
          <w:rFonts w:ascii="Times New Roman" w:eastAsia="MingLiU-ExtB" w:hAnsi="Times New Roman" w:cs="Times New Roman"/>
        </w:rPr>
        <w:t>(</w:t>
      </w:r>
      <w:r w:rsidRPr="007C4132">
        <w:rPr>
          <w:rFonts w:ascii="Times New Roman" w:eastAsia="MingLiU-ExtB" w:hAnsi="Times New Roman" w:cs="Times New Roman"/>
        </w:rPr>
        <w:t>2020</w:t>
      </w:r>
      <w:r w:rsidR="005E2D4A">
        <w:rPr>
          <w:rFonts w:ascii="Times New Roman" w:eastAsia="MingLiU-ExtB" w:hAnsi="Times New Roman" w:cs="Times New Roman"/>
        </w:rPr>
        <w:t>)</w:t>
      </w:r>
      <w:r w:rsidRPr="007C4132">
        <w:rPr>
          <w:rFonts w:ascii="Times New Roman" w:eastAsia="MingLiU-ExtB" w:hAnsi="Times New Roman" w:cs="Times New Roman"/>
        </w:rPr>
        <w:t>. Business models’ innovations to overcome hybridity-related tensions in sustainable entrepreneurship. </w:t>
      </w:r>
      <w:r w:rsidRPr="007C4132">
        <w:rPr>
          <w:rFonts w:ascii="Times New Roman" w:eastAsia="MingLiU-ExtB" w:hAnsi="Times New Roman" w:cs="Times New Roman"/>
          <w:i/>
          <w:iCs/>
        </w:rPr>
        <w:t>Sustainability</w:t>
      </w:r>
      <w:r w:rsidRPr="007C4132">
        <w:rPr>
          <w:rFonts w:ascii="Times New Roman" w:eastAsia="MingLiU-ExtB" w:hAnsi="Times New Roman" w:cs="Times New Roman"/>
        </w:rPr>
        <w:t>, </w:t>
      </w:r>
      <w:r w:rsidRPr="007C4132">
        <w:rPr>
          <w:rFonts w:ascii="Times New Roman" w:eastAsia="MingLiU-ExtB" w:hAnsi="Times New Roman" w:cs="Times New Roman"/>
          <w:i/>
          <w:iCs/>
        </w:rPr>
        <w:t>12</w:t>
      </w:r>
      <w:r w:rsidRPr="007C4132">
        <w:rPr>
          <w:rFonts w:ascii="Times New Roman" w:eastAsia="MingLiU-ExtB" w:hAnsi="Times New Roman" w:cs="Times New Roman"/>
        </w:rPr>
        <w:t>(11), p.4503.</w:t>
      </w:r>
    </w:p>
    <w:p w14:paraId="5C92170D" w14:textId="05DE0AC6"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lastRenderedPageBreak/>
        <w:t xml:space="preserve">Pappas, N. and Brown, A.E., </w:t>
      </w:r>
      <w:r w:rsidR="005E2D4A">
        <w:rPr>
          <w:rFonts w:ascii="Times New Roman" w:eastAsia="MingLiU-ExtB" w:hAnsi="Times New Roman" w:cs="Times New Roman"/>
        </w:rPr>
        <w:t>(</w:t>
      </w:r>
      <w:r w:rsidRPr="007C4132">
        <w:rPr>
          <w:rFonts w:ascii="Times New Roman" w:eastAsia="MingLiU-ExtB" w:hAnsi="Times New Roman" w:cs="Times New Roman"/>
        </w:rPr>
        <w:t>2021</w:t>
      </w:r>
      <w:r w:rsidR="005E2D4A">
        <w:rPr>
          <w:rFonts w:ascii="Times New Roman" w:eastAsia="MingLiU-ExtB" w:hAnsi="Times New Roman" w:cs="Times New Roman"/>
        </w:rPr>
        <w:t>)</w:t>
      </w:r>
      <w:r w:rsidRPr="007C4132">
        <w:rPr>
          <w:rFonts w:ascii="Times New Roman" w:eastAsia="MingLiU-ExtB" w:hAnsi="Times New Roman" w:cs="Times New Roman"/>
        </w:rPr>
        <w:t>. Entrepreneurial decisions in tourism and hospitality during crisis. </w:t>
      </w:r>
      <w:r w:rsidRPr="007C4132">
        <w:rPr>
          <w:rFonts w:ascii="Times New Roman" w:eastAsia="MingLiU-ExtB" w:hAnsi="Times New Roman" w:cs="Times New Roman"/>
          <w:i/>
          <w:iCs/>
        </w:rPr>
        <w:t>Management Decision</w:t>
      </w:r>
      <w:r w:rsidRPr="007C4132">
        <w:rPr>
          <w:rFonts w:ascii="Times New Roman" w:eastAsia="MingLiU-ExtB" w:hAnsi="Times New Roman" w:cs="Times New Roman"/>
        </w:rPr>
        <w:t>, </w:t>
      </w:r>
      <w:r w:rsidRPr="007C4132">
        <w:rPr>
          <w:rFonts w:ascii="Times New Roman" w:eastAsia="MingLiU-ExtB" w:hAnsi="Times New Roman" w:cs="Times New Roman"/>
          <w:i/>
          <w:iCs/>
        </w:rPr>
        <w:t>59</w:t>
      </w:r>
      <w:r w:rsidRPr="007C4132">
        <w:rPr>
          <w:rFonts w:ascii="Times New Roman" w:eastAsia="MingLiU-ExtB" w:hAnsi="Times New Roman" w:cs="Times New Roman"/>
        </w:rPr>
        <w:t>(5), pp.1025-1042.</w:t>
      </w:r>
    </w:p>
    <w:p w14:paraId="6B8B36FF" w14:textId="26879D8D"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Randhawa, K., Wilden, R. and </w:t>
      </w:r>
      <w:proofErr w:type="spellStart"/>
      <w:r w:rsidRPr="007C4132">
        <w:rPr>
          <w:rFonts w:ascii="Times New Roman" w:eastAsia="MingLiU-ExtB" w:hAnsi="Times New Roman" w:cs="Times New Roman"/>
        </w:rPr>
        <w:t>Gudergan</w:t>
      </w:r>
      <w:proofErr w:type="spellEnd"/>
      <w:r w:rsidRPr="007C4132">
        <w:rPr>
          <w:rFonts w:ascii="Times New Roman" w:eastAsia="MingLiU-ExtB" w:hAnsi="Times New Roman" w:cs="Times New Roman"/>
        </w:rPr>
        <w:t xml:space="preserve">, S., </w:t>
      </w:r>
      <w:r w:rsidR="00B51C93">
        <w:rPr>
          <w:rFonts w:ascii="Times New Roman" w:eastAsia="MingLiU-ExtB" w:hAnsi="Times New Roman" w:cs="Times New Roman"/>
        </w:rPr>
        <w:t>(</w:t>
      </w:r>
      <w:r w:rsidRPr="007C4132">
        <w:rPr>
          <w:rFonts w:ascii="Times New Roman" w:eastAsia="MingLiU-ExtB" w:hAnsi="Times New Roman" w:cs="Times New Roman"/>
        </w:rPr>
        <w:t>2021</w:t>
      </w:r>
      <w:r w:rsidR="00B51C93">
        <w:rPr>
          <w:rFonts w:ascii="Times New Roman" w:eastAsia="MingLiU-ExtB" w:hAnsi="Times New Roman" w:cs="Times New Roman"/>
        </w:rPr>
        <w:t>)</w:t>
      </w:r>
      <w:r w:rsidRPr="007C4132">
        <w:rPr>
          <w:rFonts w:ascii="Times New Roman" w:eastAsia="MingLiU-ExtB" w:hAnsi="Times New Roman" w:cs="Times New Roman"/>
        </w:rPr>
        <w:t>. How to innovate toward an ambidextrous business model? The role of dynamic capabilities and market orientation. </w:t>
      </w:r>
      <w:r w:rsidRPr="007C4132">
        <w:rPr>
          <w:rFonts w:ascii="Times New Roman" w:eastAsia="MingLiU-ExtB" w:hAnsi="Times New Roman" w:cs="Times New Roman"/>
          <w:i/>
          <w:iCs/>
        </w:rPr>
        <w:t>Journal of Business Research</w:t>
      </w:r>
      <w:r w:rsidRPr="007C4132">
        <w:rPr>
          <w:rFonts w:ascii="Times New Roman" w:eastAsia="MingLiU-ExtB" w:hAnsi="Times New Roman" w:cs="Times New Roman"/>
        </w:rPr>
        <w:t>, </w:t>
      </w:r>
      <w:r w:rsidRPr="007C4132">
        <w:rPr>
          <w:rFonts w:ascii="Times New Roman" w:eastAsia="MingLiU-ExtB" w:hAnsi="Times New Roman" w:cs="Times New Roman"/>
          <w:i/>
          <w:iCs/>
        </w:rPr>
        <w:t>130</w:t>
      </w:r>
      <w:r w:rsidRPr="007C4132">
        <w:rPr>
          <w:rFonts w:ascii="Times New Roman" w:eastAsia="MingLiU-ExtB" w:hAnsi="Times New Roman" w:cs="Times New Roman"/>
        </w:rPr>
        <w:t>, pp.618-634.</w:t>
      </w:r>
    </w:p>
    <w:p w14:paraId="56C9B658" w14:textId="03EFECC8"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Sutrisno, S., </w:t>
      </w:r>
      <w:proofErr w:type="spellStart"/>
      <w:r w:rsidRPr="007C4132">
        <w:rPr>
          <w:rFonts w:ascii="Times New Roman" w:eastAsia="MingLiU-ExtB" w:hAnsi="Times New Roman" w:cs="Times New Roman"/>
        </w:rPr>
        <w:t>Kuraesin</w:t>
      </w:r>
      <w:proofErr w:type="spellEnd"/>
      <w:r w:rsidRPr="007C4132">
        <w:rPr>
          <w:rFonts w:ascii="Times New Roman" w:eastAsia="MingLiU-ExtB" w:hAnsi="Times New Roman" w:cs="Times New Roman"/>
        </w:rPr>
        <w:t xml:space="preserve">, A.D., </w:t>
      </w:r>
      <w:proofErr w:type="spellStart"/>
      <w:r w:rsidRPr="007C4132">
        <w:rPr>
          <w:rFonts w:ascii="Times New Roman" w:eastAsia="MingLiU-ExtB" w:hAnsi="Times New Roman" w:cs="Times New Roman"/>
        </w:rPr>
        <w:t>Siminto</w:t>
      </w:r>
      <w:proofErr w:type="spellEnd"/>
      <w:r w:rsidRPr="007C4132">
        <w:rPr>
          <w:rFonts w:ascii="Times New Roman" w:eastAsia="MingLiU-ExtB" w:hAnsi="Times New Roman" w:cs="Times New Roman"/>
        </w:rPr>
        <w:t xml:space="preserve">, S., </w:t>
      </w:r>
      <w:proofErr w:type="spellStart"/>
      <w:r w:rsidRPr="007C4132">
        <w:rPr>
          <w:rFonts w:ascii="Times New Roman" w:eastAsia="MingLiU-ExtB" w:hAnsi="Times New Roman" w:cs="Times New Roman"/>
        </w:rPr>
        <w:t>Irawansyah</w:t>
      </w:r>
      <w:proofErr w:type="spellEnd"/>
      <w:r w:rsidRPr="007C4132">
        <w:rPr>
          <w:rFonts w:ascii="Times New Roman" w:eastAsia="MingLiU-ExtB" w:hAnsi="Times New Roman" w:cs="Times New Roman"/>
        </w:rPr>
        <w:t xml:space="preserve">, I. and </w:t>
      </w:r>
      <w:proofErr w:type="spellStart"/>
      <w:r w:rsidRPr="007C4132">
        <w:rPr>
          <w:rFonts w:ascii="Times New Roman" w:eastAsia="MingLiU-ExtB" w:hAnsi="Times New Roman" w:cs="Times New Roman"/>
        </w:rPr>
        <w:t>Ausat</w:t>
      </w:r>
      <w:proofErr w:type="spellEnd"/>
      <w:r w:rsidRPr="007C4132">
        <w:rPr>
          <w:rFonts w:ascii="Times New Roman" w:eastAsia="MingLiU-ExtB" w:hAnsi="Times New Roman" w:cs="Times New Roman"/>
        </w:rPr>
        <w:t xml:space="preserve">, A.M.A., </w:t>
      </w:r>
      <w:r w:rsidR="00B51C93">
        <w:rPr>
          <w:rFonts w:ascii="Times New Roman" w:eastAsia="MingLiU-ExtB" w:hAnsi="Times New Roman" w:cs="Times New Roman"/>
        </w:rPr>
        <w:t>(</w:t>
      </w:r>
      <w:r w:rsidRPr="007C4132">
        <w:rPr>
          <w:rFonts w:ascii="Times New Roman" w:eastAsia="MingLiU-ExtB" w:hAnsi="Times New Roman" w:cs="Times New Roman"/>
        </w:rPr>
        <w:t>2023</w:t>
      </w:r>
      <w:r w:rsidR="00B51C93">
        <w:rPr>
          <w:rFonts w:ascii="Times New Roman" w:eastAsia="MingLiU-ExtB" w:hAnsi="Times New Roman" w:cs="Times New Roman"/>
        </w:rPr>
        <w:t>)</w:t>
      </w:r>
      <w:r w:rsidRPr="007C4132">
        <w:rPr>
          <w:rFonts w:ascii="Times New Roman" w:eastAsia="MingLiU-ExtB" w:hAnsi="Times New Roman" w:cs="Times New Roman"/>
        </w:rPr>
        <w:t>. The role of information technology in driving innovation and entrepreneurial business growth. </w:t>
      </w:r>
      <w:proofErr w:type="spellStart"/>
      <w:r w:rsidRPr="007C4132">
        <w:rPr>
          <w:rFonts w:ascii="Times New Roman" w:eastAsia="MingLiU-ExtB" w:hAnsi="Times New Roman" w:cs="Times New Roman"/>
          <w:i/>
          <w:iCs/>
        </w:rPr>
        <w:t>Jurnal</w:t>
      </w:r>
      <w:proofErr w:type="spellEnd"/>
      <w:r w:rsidRPr="007C4132">
        <w:rPr>
          <w:rFonts w:ascii="Times New Roman" w:eastAsia="MingLiU-ExtB" w:hAnsi="Times New Roman" w:cs="Times New Roman"/>
          <w:i/>
          <w:iCs/>
        </w:rPr>
        <w:t xml:space="preserve"> </w:t>
      </w:r>
      <w:proofErr w:type="spellStart"/>
      <w:r w:rsidRPr="007C4132">
        <w:rPr>
          <w:rFonts w:ascii="Times New Roman" w:eastAsia="MingLiU-ExtB" w:hAnsi="Times New Roman" w:cs="Times New Roman"/>
          <w:i/>
          <w:iCs/>
        </w:rPr>
        <w:t>Minfo</w:t>
      </w:r>
      <w:proofErr w:type="spellEnd"/>
      <w:r w:rsidRPr="007C4132">
        <w:rPr>
          <w:rFonts w:ascii="Times New Roman" w:eastAsia="MingLiU-ExtB" w:hAnsi="Times New Roman" w:cs="Times New Roman"/>
          <w:i/>
          <w:iCs/>
        </w:rPr>
        <w:t xml:space="preserve"> </w:t>
      </w:r>
      <w:proofErr w:type="spellStart"/>
      <w:r w:rsidRPr="007C4132">
        <w:rPr>
          <w:rFonts w:ascii="Times New Roman" w:eastAsia="MingLiU-ExtB" w:hAnsi="Times New Roman" w:cs="Times New Roman"/>
          <w:i/>
          <w:iCs/>
        </w:rPr>
        <w:t>Polgan</w:t>
      </w:r>
      <w:proofErr w:type="spellEnd"/>
      <w:r w:rsidRPr="007C4132">
        <w:rPr>
          <w:rFonts w:ascii="Times New Roman" w:eastAsia="MingLiU-ExtB" w:hAnsi="Times New Roman" w:cs="Times New Roman"/>
        </w:rPr>
        <w:t>, </w:t>
      </w:r>
      <w:r w:rsidRPr="007C4132">
        <w:rPr>
          <w:rFonts w:ascii="Times New Roman" w:eastAsia="MingLiU-ExtB" w:hAnsi="Times New Roman" w:cs="Times New Roman"/>
          <w:i/>
          <w:iCs/>
        </w:rPr>
        <w:t>12</w:t>
      </w:r>
      <w:r w:rsidRPr="007C4132">
        <w:rPr>
          <w:rFonts w:ascii="Times New Roman" w:eastAsia="MingLiU-ExtB" w:hAnsi="Times New Roman" w:cs="Times New Roman"/>
        </w:rPr>
        <w:t>(1), pp.586-597.</w:t>
      </w:r>
    </w:p>
    <w:p w14:paraId="1365226A" w14:textId="1C12ADE3"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Timmons, J.A., Spinelli, S. and Tan, Y., </w:t>
      </w:r>
      <w:r w:rsidR="00B51C93">
        <w:rPr>
          <w:rFonts w:ascii="Times New Roman" w:eastAsia="MingLiU-ExtB" w:hAnsi="Times New Roman" w:cs="Times New Roman"/>
        </w:rPr>
        <w:t>(</w:t>
      </w:r>
      <w:r w:rsidRPr="007C4132">
        <w:rPr>
          <w:rFonts w:ascii="Times New Roman" w:eastAsia="MingLiU-ExtB" w:hAnsi="Times New Roman" w:cs="Times New Roman"/>
        </w:rPr>
        <w:t>2004</w:t>
      </w:r>
      <w:r w:rsidR="00B51C93">
        <w:rPr>
          <w:rFonts w:ascii="Times New Roman" w:eastAsia="MingLiU-ExtB" w:hAnsi="Times New Roman" w:cs="Times New Roman"/>
        </w:rPr>
        <w:t>)</w:t>
      </w:r>
      <w:r w:rsidRPr="007C4132">
        <w:rPr>
          <w:rFonts w:ascii="Times New Roman" w:eastAsia="MingLiU-ExtB" w:hAnsi="Times New Roman" w:cs="Times New Roman"/>
        </w:rPr>
        <w:t>. </w:t>
      </w:r>
      <w:r w:rsidRPr="007C4132">
        <w:rPr>
          <w:rFonts w:ascii="Times New Roman" w:eastAsia="MingLiU-ExtB" w:hAnsi="Times New Roman" w:cs="Times New Roman"/>
          <w:i/>
          <w:iCs/>
        </w:rPr>
        <w:t>New venture creation: Entrepreneurship for the 21st century</w:t>
      </w:r>
      <w:r w:rsidRPr="007C4132">
        <w:rPr>
          <w:rFonts w:ascii="Times New Roman" w:eastAsia="MingLiU-ExtB" w:hAnsi="Times New Roman" w:cs="Times New Roman"/>
        </w:rPr>
        <w:t> (Vol. 6). New York: McGraw-Hill/Irwin.</w:t>
      </w:r>
    </w:p>
    <w:p w14:paraId="29E60B2F" w14:textId="54E0DAC0" w:rsidR="00503245" w:rsidRPr="007C4132" w:rsidRDefault="00503245" w:rsidP="00503245">
      <w:pPr>
        <w:spacing w:line="240" w:lineRule="auto"/>
        <w:ind w:left="720" w:hanging="720"/>
        <w:contextualSpacing/>
        <w:rPr>
          <w:rFonts w:ascii="Times New Roman" w:eastAsia="MingLiU-ExtB" w:hAnsi="Times New Roman" w:cs="Times New Roman"/>
        </w:rPr>
      </w:pPr>
      <w:r w:rsidRPr="007C4132">
        <w:rPr>
          <w:rFonts w:ascii="Times New Roman" w:eastAsia="MingLiU-ExtB" w:hAnsi="Times New Roman" w:cs="Times New Roman"/>
        </w:rPr>
        <w:t xml:space="preserve">Tyagi, V. and Verma, A., </w:t>
      </w:r>
      <w:r w:rsidR="00B51C93">
        <w:rPr>
          <w:rFonts w:ascii="Times New Roman" w:eastAsia="MingLiU-ExtB" w:hAnsi="Times New Roman" w:cs="Times New Roman"/>
        </w:rPr>
        <w:t>(</w:t>
      </w:r>
      <w:r w:rsidRPr="007C4132">
        <w:rPr>
          <w:rFonts w:ascii="Times New Roman" w:eastAsia="MingLiU-ExtB" w:hAnsi="Times New Roman" w:cs="Times New Roman"/>
        </w:rPr>
        <w:t>2023</w:t>
      </w:r>
      <w:r w:rsidR="00B51C93">
        <w:rPr>
          <w:rFonts w:ascii="Times New Roman" w:eastAsia="MingLiU-ExtB" w:hAnsi="Times New Roman" w:cs="Times New Roman"/>
        </w:rPr>
        <w:t>)</w:t>
      </w:r>
      <w:r w:rsidRPr="007C4132">
        <w:rPr>
          <w:rFonts w:ascii="Times New Roman" w:eastAsia="MingLiU-ExtB" w:hAnsi="Times New Roman" w:cs="Times New Roman"/>
        </w:rPr>
        <w:t>. Innovating for Impact: The Power of Entrepreneurial Solution. </w:t>
      </w:r>
      <w:r w:rsidRPr="007C4132">
        <w:rPr>
          <w:rFonts w:ascii="Times New Roman" w:eastAsia="MingLiU-ExtB" w:hAnsi="Times New Roman" w:cs="Times New Roman"/>
          <w:i/>
          <w:iCs/>
        </w:rPr>
        <w:t>Innovative Research Thoughts</w:t>
      </w:r>
      <w:r w:rsidRPr="007C4132">
        <w:rPr>
          <w:rFonts w:ascii="Times New Roman" w:eastAsia="MingLiU-ExtB" w:hAnsi="Times New Roman" w:cs="Times New Roman"/>
        </w:rPr>
        <w:t>, </w:t>
      </w:r>
      <w:r w:rsidRPr="007C4132">
        <w:rPr>
          <w:rFonts w:ascii="Times New Roman" w:eastAsia="MingLiU-ExtB" w:hAnsi="Times New Roman" w:cs="Times New Roman"/>
          <w:i/>
          <w:iCs/>
        </w:rPr>
        <w:t>9</w:t>
      </w:r>
      <w:r w:rsidRPr="007C4132">
        <w:rPr>
          <w:rFonts w:ascii="Times New Roman" w:eastAsia="MingLiU-ExtB" w:hAnsi="Times New Roman" w:cs="Times New Roman"/>
        </w:rPr>
        <w:t>(3), pp.108-113.</w:t>
      </w:r>
    </w:p>
    <w:p w14:paraId="34126EB2" w14:textId="77777777" w:rsidR="00503245" w:rsidRPr="007C4132" w:rsidRDefault="00503245">
      <w:pPr>
        <w:rPr>
          <w:rFonts w:ascii="Times New Roman" w:eastAsia="MingLiU-ExtB" w:hAnsi="Times New Roman" w:cs="Times New Roman"/>
        </w:rPr>
      </w:pPr>
    </w:p>
    <w:sectPr w:rsidR="00503245" w:rsidRPr="007C4132" w:rsidSect="00415C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MingLiU-ExtB">
    <w:panose1 w:val="02020500000000000000"/>
    <w:charset w:val="88"/>
    <w:family w:val="roman"/>
    <w:pitch w:val="variable"/>
    <w:sig w:usb0="8000002F" w:usb1="0A080008" w:usb2="00000010" w:usb3="00000000" w:csb0="001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991"/>
    <w:rsid w:val="00007F38"/>
    <w:rsid w:val="00050E9A"/>
    <w:rsid w:val="00062916"/>
    <w:rsid w:val="001F5B81"/>
    <w:rsid w:val="002022E0"/>
    <w:rsid w:val="00312F36"/>
    <w:rsid w:val="00336991"/>
    <w:rsid w:val="00344455"/>
    <w:rsid w:val="00415CAA"/>
    <w:rsid w:val="0049635F"/>
    <w:rsid w:val="00503245"/>
    <w:rsid w:val="00554C64"/>
    <w:rsid w:val="0057129F"/>
    <w:rsid w:val="005836A9"/>
    <w:rsid w:val="005E2D4A"/>
    <w:rsid w:val="00700750"/>
    <w:rsid w:val="007A59E6"/>
    <w:rsid w:val="007C4132"/>
    <w:rsid w:val="00843DCB"/>
    <w:rsid w:val="00A015D9"/>
    <w:rsid w:val="00A152CB"/>
    <w:rsid w:val="00AA2628"/>
    <w:rsid w:val="00AC3068"/>
    <w:rsid w:val="00B51C93"/>
    <w:rsid w:val="00C25141"/>
    <w:rsid w:val="00D274EE"/>
    <w:rsid w:val="00E50F34"/>
    <w:rsid w:val="00E60797"/>
    <w:rsid w:val="00EE18ED"/>
    <w:rsid w:val="00F71A52"/>
    <w:rsid w:val="00F82AEE"/>
    <w:rsid w:val="00F94F15"/>
    <w:rsid w:val="00FA1B84"/>
    <w:rsid w:val="00FF5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1F0594"/>
  <w15:chartTrackingRefBased/>
  <w15:docId w15:val="{26C08B47-5176-452A-9CAF-8E7EF24FD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9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69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9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9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9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9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9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9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9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9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69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9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9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9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9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9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9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991"/>
    <w:rPr>
      <w:rFonts w:eastAsiaTheme="majorEastAsia" w:cstheme="majorBidi"/>
      <w:color w:val="272727" w:themeColor="text1" w:themeTint="D8"/>
    </w:rPr>
  </w:style>
  <w:style w:type="paragraph" w:styleId="Title">
    <w:name w:val="Title"/>
    <w:basedOn w:val="Normal"/>
    <w:next w:val="Normal"/>
    <w:link w:val="TitleChar"/>
    <w:uiPriority w:val="10"/>
    <w:qFormat/>
    <w:rsid w:val="003369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9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9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9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991"/>
    <w:pPr>
      <w:spacing w:before="160"/>
      <w:jc w:val="center"/>
    </w:pPr>
    <w:rPr>
      <w:i/>
      <w:iCs/>
      <w:color w:val="404040" w:themeColor="text1" w:themeTint="BF"/>
    </w:rPr>
  </w:style>
  <w:style w:type="character" w:customStyle="1" w:styleId="QuoteChar">
    <w:name w:val="Quote Char"/>
    <w:basedOn w:val="DefaultParagraphFont"/>
    <w:link w:val="Quote"/>
    <w:uiPriority w:val="29"/>
    <w:rsid w:val="00336991"/>
    <w:rPr>
      <w:i/>
      <w:iCs/>
      <w:color w:val="404040" w:themeColor="text1" w:themeTint="BF"/>
    </w:rPr>
  </w:style>
  <w:style w:type="paragraph" w:styleId="ListParagraph">
    <w:name w:val="List Paragraph"/>
    <w:basedOn w:val="Normal"/>
    <w:uiPriority w:val="34"/>
    <w:qFormat/>
    <w:rsid w:val="00336991"/>
    <w:pPr>
      <w:ind w:left="720"/>
      <w:contextualSpacing/>
    </w:pPr>
  </w:style>
  <w:style w:type="character" w:styleId="IntenseEmphasis">
    <w:name w:val="Intense Emphasis"/>
    <w:basedOn w:val="DefaultParagraphFont"/>
    <w:uiPriority w:val="21"/>
    <w:qFormat/>
    <w:rsid w:val="00336991"/>
    <w:rPr>
      <w:i/>
      <w:iCs/>
      <w:color w:val="0F4761" w:themeColor="accent1" w:themeShade="BF"/>
    </w:rPr>
  </w:style>
  <w:style w:type="paragraph" w:styleId="IntenseQuote">
    <w:name w:val="Intense Quote"/>
    <w:basedOn w:val="Normal"/>
    <w:next w:val="Normal"/>
    <w:link w:val="IntenseQuoteChar"/>
    <w:uiPriority w:val="30"/>
    <w:qFormat/>
    <w:rsid w:val="003369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991"/>
    <w:rPr>
      <w:i/>
      <w:iCs/>
      <w:color w:val="0F4761" w:themeColor="accent1" w:themeShade="BF"/>
    </w:rPr>
  </w:style>
  <w:style w:type="character" w:styleId="IntenseReference">
    <w:name w:val="Intense Reference"/>
    <w:basedOn w:val="DefaultParagraphFont"/>
    <w:uiPriority w:val="32"/>
    <w:qFormat/>
    <w:rsid w:val="00336991"/>
    <w:rPr>
      <w:b/>
      <w:bCs/>
      <w:smallCaps/>
      <w:color w:val="0F4761" w:themeColor="accent1" w:themeShade="BF"/>
      <w:spacing w:val="5"/>
    </w:rPr>
  </w:style>
  <w:style w:type="paragraph" w:styleId="NoSpacing">
    <w:name w:val="No Spacing"/>
    <w:link w:val="NoSpacingChar"/>
    <w:uiPriority w:val="1"/>
    <w:qFormat/>
    <w:rsid w:val="00415CA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15CAA"/>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8112633">
      <w:bodyDiv w:val="1"/>
      <w:marLeft w:val="0"/>
      <w:marRight w:val="0"/>
      <w:marTop w:val="0"/>
      <w:marBottom w:val="0"/>
      <w:divBdr>
        <w:top w:val="none" w:sz="0" w:space="0" w:color="auto"/>
        <w:left w:val="none" w:sz="0" w:space="0" w:color="auto"/>
        <w:bottom w:val="none" w:sz="0" w:space="0" w:color="auto"/>
        <w:right w:val="none" w:sz="0" w:space="0" w:color="auto"/>
      </w:divBdr>
    </w:div>
    <w:div w:id="985621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84B19B9E66F4240851464FDD578D60B"/>
        <w:category>
          <w:name w:val="General"/>
          <w:gallery w:val="placeholder"/>
        </w:category>
        <w:types>
          <w:type w:val="bbPlcHdr"/>
        </w:types>
        <w:behaviors>
          <w:behavior w:val="content"/>
        </w:behaviors>
        <w:guid w:val="{6052DE0C-88F1-43A8-8BF7-C9E85CC55399}"/>
      </w:docPartPr>
      <w:docPartBody>
        <w:p w:rsidR="00425E7A" w:rsidRDefault="00425E7A" w:rsidP="00425E7A">
          <w:pPr>
            <w:pStyle w:val="884B19B9E66F4240851464FDD578D60B"/>
          </w:pPr>
          <w:r>
            <w:rPr>
              <w:rFonts w:asciiTheme="majorHAnsi" w:eastAsiaTheme="majorEastAsia" w:hAnsiTheme="majorHAnsi" w:cstheme="majorBidi"/>
              <w:caps/>
              <w:color w:val="156082" w:themeColor="accent1"/>
              <w:sz w:val="80"/>
              <w:szCs w:val="80"/>
            </w:rPr>
            <w:t>[Document title]</w:t>
          </w:r>
        </w:p>
      </w:docPartBody>
    </w:docPart>
    <w:docPart>
      <w:docPartPr>
        <w:name w:val="EFFDF62F88BD4AD099B79F4BF82A5668"/>
        <w:category>
          <w:name w:val="General"/>
          <w:gallery w:val="placeholder"/>
        </w:category>
        <w:types>
          <w:type w:val="bbPlcHdr"/>
        </w:types>
        <w:behaviors>
          <w:behavior w:val="content"/>
        </w:behaviors>
        <w:guid w:val="{E56D3904-94F3-4650-8B71-B164DD9C7976}"/>
      </w:docPartPr>
      <w:docPartBody>
        <w:p w:rsidR="00425E7A" w:rsidRDefault="00425E7A" w:rsidP="00425E7A">
          <w:pPr>
            <w:pStyle w:val="EFFDF62F88BD4AD099B79F4BF82A566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MingLiU-ExtB">
    <w:panose1 w:val="02020500000000000000"/>
    <w:charset w:val="88"/>
    <w:family w:val="roman"/>
    <w:pitch w:val="variable"/>
    <w:sig w:usb0="8000002F" w:usb1="0A080008" w:usb2="00000010" w:usb3="00000000" w:csb0="001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E7A"/>
    <w:rsid w:val="00425E7A"/>
    <w:rsid w:val="00E50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4B19B9E66F4240851464FDD578D60B">
    <w:name w:val="884B19B9E66F4240851464FDD578D60B"/>
    <w:rsid w:val="00425E7A"/>
  </w:style>
  <w:style w:type="paragraph" w:customStyle="1" w:styleId="EFFDF62F88BD4AD099B79F4BF82A5668">
    <w:name w:val="EFFDF62F88BD4AD099B79F4BF82A5668"/>
    <w:rsid w:val="00425E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2024-10-21T00:00:00</PublishDate>
  <Abstract/>
  <CompanyAddress>Charlotte Joyner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2659</Words>
  <Characters>17066</Characters>
  <Application>Microsoft Office Word</Application>
  <DocSecurity>0</DocSecurity>
  <Lines>294</Lines>
  <Paragraphs>57</Paragraphs>
  <ScaleCrop>false</ScaleCrop>
  <HeadingPairs>
    <vt:vector size="2" baseType="variant">
      <vt:variant>
        <vt:lpstr>Title</vt:lpstr>
      </vt:variant>
      <vt:variant>
        <vt:i4>1</vt:i4>
      </vt:variant>
    </vt:vector>
  </HeadingPairs>
  <TitlesOfParts>
    <vt:vector size="1" baseType="lpstr">
      <vt:lpstr/>
    </vt:vector>
  </TitlesOfParts>
  <Company>Azeb ATSEBHA (2234854)</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entrepreneurial traits, motivations and characteristics using appropriate academic models and theories, further supported by examples of proven and successful entrepreneurs</dc:title>
  <dc:subject>BMIH5001 Entrepreneurship                                                                                                                   I acknowledge the use of Grammarly (https://www.grammarly.com/) on 20 October 2024 to check my work using the prompt(s):</dc:subject>
  <dc:creator>Azeb Adera</dc:creator>
  <cp:keywords/>
  <dc:description/>
  <cp:lastModifiedBy>Azeb Adera</cp:lastModifiedBy>
  <cp:revision>32</cp:revision>
  <dcterms:created xsi:type="dcterms:W3CDTF">2024-10-21T17:19:00Z</dcterms:created>
  <dcterms:modified xsi:type="dcterms:W3CDTF">2024-10-21T17:51:00Z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d7b99c6e-435a-4d87-af90-7be63e60cfc8</vt:lpwstr>
  </property>
</Properties>
</file>