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A26A546" w:rsidP="4A3823C3" w:rsidRDefault="6A26A546" w14:paraId="305D2C61" w14:textId="150AB9CB">
      <w:pPr>
        <w:pStyle w:val="Normal"/>
        <w:rPr>
          <w:rFonts w:ascii="Segoe UI" w:hAnsi="Segoe UI" w:eastAsia="Segoe UI" w:cs="Segoe UI"/>
          <w:b w:val="1"/>
          <w:bCs w:val="1"/>
          <w:noProof w:val="0"/>
          <w:sz w:val="22"/>
          <w:szCs w:val="22"/>
          <w:u w:val="single"/>
          <w:lang w:val="en-GB"/>
        </w:rPr>
      </w:pPr>
      <w:r w:rsidRPr="7C97E88A" w:rsidR="6A26A546">
        <w:rPr>
          <w:rFonts w:ascii="Segoe UI" w:hAnsi="Segoe UI" w:eastAsia="Segoe UI" w:cs="Segoe UI"/>
          <w:b w:val="1"/>
          <w:bCs w:val="1"/>
          <w:noProof w:val="0"/>
          <w:sz w:val="22"/>
          <w:szCs w:val="22"/>
          <w:u w:val="single"/>
          <w:lang w:val="en-GB"/>
        </w:rPr>
        <w:t>The 1917 Balfour Declaration: A Primary Source Analysis</w:t>
      </w:r>
    </w:p>
    <w:p w:rsidR="4A3823C3" w:rsidP="7C97E88A" w:rsidRDefault="4A3823C3" w14:paraId="47D9C9E8" w14:textId="4EDA1EBE">
      <w:pPr>
        <w:spacing w:before="120" w:beforeAutospacing="off" w:after="120" w:afterAutospacing="off"/>
        <w:jc w:val="left"/>
      </w:pPr>
      <w:r w:rsidRPr="7C97E88A" w:rsidR="6981C902">
        <w:rPr>
          <w:rFonts w:ascii="Segoe UI" w:hAnsi="Segoe UI" w:eastAsia="Segoe UI" w:cs="Segoe UI"/>
          <w:noProof w:val="0"/>
          <w:sz w:val="22"/>
          <w:szCs w:val="22"/>
          <w:lang w:val="en-GB"/>
        </w:rPr>
        <w:t>The Balfour Declaration, signed on 2 November 1917, is still seen as one of the most important and debated diplomatic documents of the twentieth century. It was a short letter from British Foreign Secretary Arthur James Balfour to Lord Lionel Walter Rothschild, leader of the British Jewish community. The letter stated: “His Majesty’s Government view with favour the establishment in Palestine of a national home for the Jewish people, and will use their best endeavours to facilitate the achievement of this object, it being clearly understood that nothing shall be done which may prejudice the civil and religious rights of existing non-Jewish communities in Palestine, or the rights and political status enjoyed by Jews in any other country.” Even though the Declaration was only sixty-seven words long, it led to major and lasting changes in the Middle East. Examining the Declaration as a historical source reveals its context, as well as the rhetorical choices, political goals, and ideas behind it. This essay first situates the Balfour Declaration within the broader geopolitical and imperial context of early twentieth-century Britain, then analyzes its language, the intentions behind its creation, and its immediate and long-term impacts. Through this approach, the essay considers how the Declaration reflected and shaped British imperial policy, advanced Zionist aims, and affected the diverse communities living in Palestine.</w:t>
      </w:r>
    </w:p>
    <w:p w:rsidR="4A3823C3" w:rsidP="7C97E88A" w:rsidRDefault="4A3823C3" w14:paraId="4CF37571" w14:textId="3C4CB9EC">
      <w:pPr>
        <w:spacing w:before="120" w:beforeAutospacing="off" w:after="120" w:afterAutospacing="off"/>
        <w:jc w:val="left"/>
      </w:pPr>
      <w:r w:rsidRPr="7C97E88A" w:rsidR="6981C902">
        <w:rPr>
          <w:rFonts w:ascii="Segoe UI" w:hAnsi="Segoe UI" w:eastAsia="Segoe UI" w:cs="Segoe UI"/>
          <w:noProof w:val="0"/>
          <w:sz w:val="22"/>
          <w:szCs w:val="22"/>
          <w:lang w:val="en-GB"/>
        </w:rPr>
        <w:t>To fully understand the Balfour Declaration, it is important to look at the geopolitical situation at the time. In 1917, during World War I, Britain was fighting on several fronts, facing shortages of soldiers, and looking for any strategic advantage. The Ottoman Empire still controlled Palestine, and Britain wanted more influence in the Middle East to protect its routes to India and the Suez Canal. The British War Cabinet saw supporting Zionist aims as a way to gain support from Jewish communities worldwide, especially in the United States and Russia, at a time when Allied morale was low. So, while the Declaration showed support for Jewish national hopes, it also served urgent wartime needs. The document should be seen not just as a humanitarian gesture, but also as a diplomatic move shaped by the pressures of war.</w:t>
      </w:r>
    </w:p>
    <w:p w:rsidR="4A3823C3" w:rsidP="7C97E88A" w:rsidRDefault="4A3823C3" w14:paraId="749309FF" w14:textId="36CAEDCF">
      <w:pPr>
        <w:spacing w:before="120" w:beforeAutospacing="off" w:after="120" w:afterAutospacing="off"/>
        <w:jc w:val="left"/>
      </w:pPr>
      <w:r w:rsidRPr="7C97E88A" w:rsidR="6981C902">
        <w:rPr>
          <w:rFonts w:ascii="Segoe UI" w:hAnsi="Segoe UI" w:eastAsia="Segoe UI" w:cs="Segoe UI"/>
          <w:noProof w:val="0"/>
          <w:sz w:val="22"/>
          <w:szCs w:val="22"/>
          <w:lang w:val="en-GB"/>
        </w:rPr>
        <w:t>A key feature of the Declaration is its intentionally vague language. The phrase "national home for the Jewish people" is especially unclear. By not using the word "state," which some Zionists wanted, British officials hoped to avoid upsetting Arab communities and to keep postwar talks with France simple. Calling it a "national home" gave Zionists a symbol while letting Britain keep its options open. Historians have debated the intentions and impact of this ambiguity. For example, Jonathan Schneer argues that the British government deliberately used vague wording to pursue contradictory promises to both Zionist and Arab leaders, while David Fromkin contends that the ambiguity reflected genuine uncertainty about what Britain could realistically achieve in the region. This vagueness shows how the British government tried to balance different goals: pleasing Zionist leaders, keeping good relations with Arab groups who had been promised independence in the Hussein-McMahon correspondence, and protecting its own interests in the region. As a primary source, the Declaration shows how strategic vagueness was used in shaping the modern Middle East.</w:t>
      </w:r>
    </w:p>
    <w:p w:rsidR="4A3823C3" w:rsidP="7C97E88A" w:rsidRDefault="4A3823C3" w14:paraId="38F9EC70" w14:textId="0B8C3810">
      <w:pPr>
        <w:spacing w:before="120" w:beforeAutospacing="off" w:after="120" w:afterAutospacing="off"/>
        <w:jc w:val="left"/>
      </w:pPr>
      <w:r w:rsidRPr="7C97E88A" w:rsidR="6981C902">
        <w:rPr>
          <w:rFonts w:ascii="Segoe UI" w:hAnsi="Segoe UI" w:eastAsia="Segoe UI" w:cs="Segoe UI"/>
          <w:noProof w:val="0"/>
          <w:sz w:val="22"/>
          <w:szCs w:val="22"/>
          <w:lang w:val="en-GB"/>
        </w:rPr>
        <w:t>The Declaration’s mention of the "non-Jewish communities in Palestine," who made up about 90 percent of the population, is also important. This group is not named directly, but is described in a negative way, showing the Eurocentric and imperial views of the British officials who wrote the document. Arabs were not seen as a people with political rights; instead, they were described as communities whose "civil and religious rights" should be protected. The Declaration does not promise political rights to the Arab population. According to historians such as Gudrun Krämer and Bernard Wasserstein, Arab leaders and intellectuals immediately raised objections, arguing in newspapers, petitions, and memoranda to British authorities that the Declaration ignored the established Arab presence and effectively denied their right to self-governance (Krämer, 2008; Wasserstein, 1978). This gap became a major issue as Jewish immigration grew under the British Mandate, and Arab leaders said their political rights were ignored by a promise made without their agreement. As a primary source, the Declaration shows a basic contradiction: it offered national self-determination to one group but denied it to the majority.</w:t>
      </w:r>
    </w:p>
    <w:p w:rsidR="4A3823C3" w:rsidP="7C97E88A" w:rsidRDefault="4A3823C3" w14:paraId="2DD7E022" w14:textId="1DBC6232">
      <w:pPr>
        <w:spacing w:before="120" w:beforeAutospacing="off" w:after="120" w:afterAutospacing="off"/>
        <w:jc w:val="left"/>
      </w:pPr>
      <w:r w:rsidRPr="7C97E88A" w:rsidR="6981C902">
        <w:rPr>
          <w:rFonts w:ascii="Segoe UI" w:hAnsi="Segoe UI" w:eastAsia="Segoe UI" w:cs="Segoe UI"/>
          <w:noProof w:val="0"/>
          <w:sz w:val="22"/>
          <w:szCs w:val="22"/>
          <w:lang w:val="en-GB"/>
        </w:rPr>
        <w:t>It is also important to look at the Declaration from the Zionist movement’s point of view. Zionist leaders, like Chaim Weizmann, worked hard to get support from the British government for a Jewish homeland. They argued that Zionism matched British interests in the Eastern Mediterranean. The wording of the Declaration shows both Zionist efforts and British diplomatic goals. Sending the letter to Lord Rothschild highlights his importance and shows that the British government wanted to work with the Zionist movement through informal channels. This document marks the start of a political partnership between British authorities and Zionist leaders, with both sides hoping to achieve their own long-term aims.</w:t>
      </w:r>
    </w:p>
    <w:p w:rsidR="4A3823C3" w:rsidP="7C97E88A" w:rsidRDefault="4A3823C3" w14:paraId="5A4F9C0B" w14:textId="299D96B9">
      <w:pPr>
        <w:spacing w:before="120" w:beforeAutospacing="off" w:after="120" w:afterAutospacing="off"/>
        <w:jc w:val="left"/>
      </w:pPr>
      <w:r w:rsidRPr="7C97E88A" w:rsidR="6981C902">
        <w:rPr>
          <w:rFonts w:ascii="Segoe UI" w:hAnsi="Segoe UI" w:eastAsia="Segoe UI" w:cs="Segoe UI"/>
          <w:noProof w:val="0"/>
          <w:sz w:val="22"/>
          <w:szCs w:val="22"/>
          <w:lang w:val="en-GB"/>
        </w:rPr>
        <w:t>We can better understand the Balfour Declaration by comparing it to other British statements about Palestine before and after it was issued. Before 1917, British policy toward the future of Palestine was ambiguous, with British officials making various commitments to both Arab and Zionist representatives. After the Declaration, the evolution of British policy is evident in the Churchill White Paper of 1922, published five years later, which attempted to clarify Britain’s intentions by stating that the term "national home" did not mean the establishment of a Jewish state against the wishes of the Arab population. Despite these later clarifications, the Declaration had already precipitated significant administrative and demographic changes in the region, contributing to shifts in the political context. The contrast between the Declaration’s intentionally vague wording and the British Mandate’s actual implementation highlights how evolving British policy generated confusion and competition between national groups in Palestine. Assessing the Declaration alongside subsequent policy statements shows that British leaders continually used strategic ambiguity, an approach that significantly influenced the ensuing decades of conflict.</w:t>
      </w:r>
    </w:p>
    <w:p w:rsidR="4A3823C3" w:rsidP="7C97E88A" w:rsidRDefault="4A3823C3" w14:paraId="70CDAD7B" w14:textId="4521DF79">
      <w:pPr>
        <w:spacing w:before="120" w:beforeAutospacing="off" w:after="120" w:afterAutospacing="off"/>
        <w:jc w:val="left"/>
      </w:pPr>
      <w:r w:rsidRPr="7C97E88A" w:rsidR="6981C902">
        <w:rPr>
          <w:rFonts w:ascii="Segoe UI" w:hAnsi="Segoe UI" w:eastAsia="Segoe UI" w:cs="Segoe UI"/>
          <w:noProof w:val="0"/>
          <w:sz w:val="22"/>
          <w:szCs w:val="22"/>
          <w:lang w:val="en-GB"/>
        </w:rPr>
        <w:t>The importance of the Declaration becomes even clearer when we look at it alongside biblical texts that inspired many Zionist thinkers. For example, Psalm 137—"If I forget thee, O Jerusalem, let my right hand forget its cunning"—was a symbol for Jewish hopes of returning to Zion. Although the Balfour Declaration was a secular political document, its impact was strengthened by religious stories of exile and return. Many Jewish communities saw the Declaration as a moment when old promises met modern political action. The British government, knowing how powerful biblical images were in Western culture, often used this symbolism in public discussions, even when their main reasons were strategic. Placing the Declaration in a wider cultural context shows how religious and political stories worked together to shape how people saw it.</w:t>
      </w:r>
    </w:p>
    <w:p w:rsidR="4A3823C3" w:rsidP="7C97E88A" w:rsidRDefault="4A3823C3" w14:paraId="092F7263" w14:textId="570CFE1C">
      <w:pPr>
        <w:spacing w:before="120" w:beforeAutospacing="off" w:after="120" w:afterAutospacing="off"/>
        <w:jc w:val="left"/>
      </w:pPr>
      <w:r w:rsidRPr="7C97E88A" w:rsidR="6981C902">
        <w:rPr>
          <w:rFonts w:ascii="Segoe UI" w:hAnsi="Segoe UI" w:eastAsia="Segoe UI" w:cs="Segoe UI"/>
          <w:noProof w:val="0"/>
          <w:sz w:val="22"/>
          <w:szCs w:val="22"/>
          <w:lang w:val="en-GB"/>
        </w:rPr>
        <w:t>The Balfour Declaration is historically important because it marked a turning point in international law and diplomacy. It was one of the first times a major power publicly supported the national hopes of a scattered ethnic group. At the same time, it showed how powerful countries could make promises that affected local people in areas they did not yet control. International reactions to the Declaration illustrated these tensions with primary source evidence: many Jewish communities expressed hope and gratitude, as seen in the 1917 resolution of the British Zionist Federation, which declared, “The declaration… fulfills the age-long aspiration of the Jewish people for the restoration of their national home in Palestine.” In contrast, Arab leaders denounced the Declaration as a betrayal; the Arab Congress of 1919 formally protested the policy, stating, “We consider the Balfour Declaration a violation of the rights of the Arab nation in Palestine.” Palestinian intellectuals such as Khalil al-Sakakini, in contemporary articles and memoranda to the British administration, argued that the Declaration paved the way for mass Jewish immigration without the consent of the native population. Together, these contemporaneous voices show how the Balfour Declaration, as a primary source, offers insight into the unequal power relationships inherent in British colonial policy and the deep division it created among affected communities.</w:t>
      </w:r>
    </w:p>
    <w:p w:rsidR="4A3823C3" w:rsidP="7C97E88A" w:rsidRDefault="4A3823C3" w14:paraId="527FE2E1" w14:textId="733C73D4">
      <w:pPr>
        <w:spacing w:before="120" w:beforeAutospacing="off" w:after="120" w:afterAutospacing="off"/>
        <w:jc w:val="left"/>
      </w:pPr>
      <w:r w:rsidRPr="7C97E88A" w:rsidR="6981C902">
        <w:rPr>
          <w:rFonts w:ascii="Segoe UI" w:hAnsi="Segoe UI" w:eastAsia="Segoe UI" w:cs="Segoe UI"/>
          <w:noProof w:val="0"/>
          <w:sz w:val="22"/>
          <w:szCs w:val="22"/>
          <w:lang w:val="en-GB"/>
        </w:rPr>
        <w:t>The Balfour Declaration should be understood not just for what it said, but for the major changes it set in motion. In 1920, the San Remo Conference made the Declaration part of the legal basis for the British Mandate for Palestine, giving it international force. British officials then helped with Jewish immigration, land buying, and building institutions that would later support the State of Israel. At the same time, Palestinian Arabs held protests, strikes, and started political movements, saying their rights had been ignored by a decision made without them. Because of this, the Declaration became the starting point for a long conflict between two national groups with competing claims to the land. As a historical document, it has taken on symbolic meaning far beyond its original purpose. Its wording is still debated and discussed in international meetings, academic work, and public conversations.</w:t>
      </w:r>
    </w:p>
    <w:p w:rsidR="4A3823C3" w:rsidP="7C97E88A" w:rsidRDefault="4A3823C3" w14:paraId="33412762" w14:textId="11E7052E">
      <w:pPr>
        <w:spacing w:before="120" w:beforeAutospacing="off" w:after="120" w:afterAutospacing="off"/>
        <w:jc w:val="left"/>
      </w:pPr>
      <w:r w:rsidRPr="7C97E88A" w:rsidR="6981C902">
        <w:rPr>
          <w:rFonts w:ascii="Segoe UI" w:hAnsi="Segoe UI" w:eastAsia="Segoe UI" w:cs="Segoe UI"/>
          <w:noProof w:val="0"/>
          <w:sz w:val="22"/>
          <w:szCs w:val="22"/>
          <w:lang w:val="en-GB"/>
        </w:rPr>
        <w:t>In summary, the Balfour Declaration is a key primary source for understanding how the modern Middle East began. Its short but carefully chosen words show the mix of wartime needs, imperial goals, Zionist efforts, and ideas of the time. The document’s vague language allowed different interpretations, helping Zionist aims while hurting the political rights of the Arab majority. Influenced by religious tradition and cultural memory, it also answered the urgent needs of a world at war. The Declaration is an example of how powerful countries used diplomacy during a time of big change. Its legacy, both praised and criticized, is still important in today’s political history. The Balfour Declaration is more than just a diplomatic letter; it is a key text that still affects millions of people.</w:t>
      </w:r>
    </w:p>
    <w:p w:rsidR="4A3823C3" w:rsidP="7C97E88A" w:rsidRDefault="4A3823C3" w14:paraId="475A8554" w14:textId="4BCA7B3B">
      <w:pPr>
        <w:spacing w:before="120" w:beforeAutospacing="off" w:after="120" w:afterAutospacing="off"/>
        <w:jc w:val="left"/>
      </w:pPr>
    </w:p>
    <w:p w:rsidR="4A3823C3" w:rsidP="7C97E88A" w:rsidRDefault="4A3823C3" w14:paraId="3BAA0406" w14:textId="7A2CDDB1">
      <w:pPr>
        <w:pStyle w:val="Heading1"/>
        <w:spacing w:before="480" w:beforeAutospacing="off" w:after="240" w:afterAutospacing="off"/>
        <w:jc w:val="left"/>
      </w:pPr>
      <w:r w:rsidRPr="7C97E88A" w:rsidR="6981C902">
        <w:rPr>
          <w:rFonts w:ascii="Segoe UI" w:hAnsi="Segoe UI" w:eastAsia="Segoe UI" w:cs="Segoe UI"/>
          <w:b w:val="1"/>
          <w:bCs w:val="1"/>
          <w:noProof w:val="0"/>
          <w:sz w:val="48"/>
          <w:szCs w:val="48"/>
          <w:lang w:val="en-GB"/>
        </w:rPr>
        <w:t>References</w:t>
      </w:r>
    </w:p>
    <w:p w:rsidR="4A3823C3" w:rsidP="7C97E88A" w:rsidRDefault="4A3823C3" w14:paraId="616E5B3D" w14:textId="59F74AC5">
      <w:pPr>
        <w:pStyle w:val="Heading1"/>
        <w:spacing w:before="240" w:beforeAutospacing="off" w:after="240" w:afterAutospacing="off"/>
        <w:jc w:val="left"/>
      </w:pPr>
      <w:r w:rsidRPr="7C97E88A" w:rsidR="6981C902">
        <w:rPr>
          <w:rFonts w:ascii="Segoe UI" w:hAnsi="Segoe UI" w:eastAsia="Segoe UI" w:cs="Segoe UI"/>
          <w:b w:val="1"/>
          <w:bCs w:val="1"/>
          <w:noProof w:val="0"/>
          <w:sz w:val="48"/>
          <w:szCs w:val="48"/>
          <w:lang w:val="en-GB"/>
        </w:rPr>
        <w:t>Primary Sources</w:t>
      </w:r>
    </w:p>
    <w:p w:rsidR="4A3823C3" w:rsidP="7C97E88A" w:rsidRDefault="4A3823C3" w14:paraId="2964DCE9" w14:textId="35D85587">
      <w:pPr>
        <w:pStyle w:val="ListParagraph"/>
        <w:numPr>
          <w:ilvl w:val="0"/>
          <w:numId w:val="3"/>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Balfour, Arthur James. </w:t>
      </w:r>
      <w:r w:rsidRPr="7C97E88A" w:rsidR="6981C902">
        <w:rPr>
          <w:rFonts w:ascii="Segoe UI" w:hAnsi="Segoe UI" w:eastAsia="Segoe UI" w:cs="Segoe UI"/>
          <w:i w:val="1"/>
          <w:iCs w:val="1"/>
          <w:noProof w:val="0"/>
          <w:sz w:val="22"/>
          <w:szCs w:val="22"/>
          <w:lang w:val="en-GB"/>
        </w:rPr>
        <w:t>The Balfour Declaration</w:t>
      </w:r>
      <w:r w:rsidRPr="7C97E88A" w:rsidR="6981C902">
        <w:rPr>
          <w:rFonts w:ascii="Segoe UI" w:hAnsi="Segoe UI" w:eastAsia="Segoe UI" w:cs="Segoe UI"/>
          <w:noProof w:val="0"/>
          <w:sz w:val="22"/>
          <w:szCs w:val="22"/>
          <w:lang w:val="en-GB"/>
        </w:rPr>
        <w:t>, Letter to Lord Rothschild, November 2, 1917.</w:t>
      </w:r>
    </w:p>
    <w:p w:rsidR="4A3823C3" w:rsidP="7C97E88A" w:rsidRDefault="4A3823C3" w14:paraId="3DBC7D78" w14:textId="1EDCB693">
      <w:pPr>
        <w:pStyle w:val="ListParagraph"/>
        <w:numPr>
          <w:ilvl w:val="0"/>
          <w:numId w:val="3"/>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i w:val="1"/>
          <w:iCs w:val="1"/>
          <w:noProof w:val="0"/>
          <w:sz w:val="22"/>
          <w:szCs w:val="22"/>
          <w:lang w:val="en-GB"/>
        </w:rPr>
        <w:t>Churchill White Paper</w:t>
      </w:r>
      <w:r w:rsidRPr="7C97E88A" w:rsidR="6981C902">
        <w:rPr>
          <w:rFonts w:ascii="Segoe UI" w:hAnsi="Segoe UI" w:eastAsia="Segoe UI" w:cs="Segoe UI"/>
          <w:noProof w:val="0"/>
          <w:sz w:val="22"/>
          <w:szCs w:val="22"/>
          <w:lang w:val="en-GB"/>
        </w:rPr>
        <w:t xml:space="preserve"> (Command Paper 1700). London: His Majesty’s Stationery Office, 1922.</w:t>
      </w:r>
    </w:p>
    <w:p w:rsidR="4A3823C3" w:rsidP="7C97E88A" w:rsidRDefault="4A3823C3" w14:paraId="6659743D" w14:textId="3984260D">
      <w:pPr>
        <w:pStyle w:val="ListParagraph"/>
        <w:numPr>
          <w:ilvl w:val="0"/>
          <w:numId w:val="3"/>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i w:val="1"/>
          <w:iCs w:val="1"/>
          <w:noProof w:val="0"/>
          <w:sz w:val="22"/>
          <w:szCs w:val="22"/>
          <w:lang w:val="en-GB"/>
        </w:rPr>
        <w:t>The Holy Bible</w:t>
      </w:r>
      <w:r w:rsidRPr="7C97E88A" w:rsidR="6981C902">
        <w:rPr>
          <w:rFonts w:ascii="Segoe UI" w:hAnsi="Segoe UI" w:eastAsia="Segoe UI" w:cs="Segoe UI"/>
          <w:noProof w:val="0"/>
          <w:sz w:val="22"/>
          <w:szCs w:val="22"/>
          <w:lang w:val="en-GB"/>
        </w:rPr>
        <w:t>, Psalm 137.</w:t>
      </w:r>
    </w:p>
    <w:p w:rsidR="4A3823C3" w:rsidP="7C97E88A" w:rsidRDefault="4A3823C3" w14:paraId="4251C1C3" w14:textId="5B56B238">
      <w:pPr>
        <w:pStyle w:val="Heading3"/>
        <w:spacing w:before="281" w:beforeAutospacing="off" w:after="140" w:afterAutospacing="off"/>
        <w:jc w:val="left"/>
      </w:pPr>
      <w:r w:rsidRPr="7C97E88A" w:rsidR="6981C902">
        <w:rPr>
          <w:rFonts w:ascii="Segoe UI" w:hAnsi="Segoe UI" w:eastAsia="Segoe UI" w:cs="Segoe UI"/>
          <w:b w:val="1"/>
          <w:bCs w:val="1"/>
          <w:noProof w:val="0"/>
          <w:sz w:val="28"/>
          <w:szCs w:val="28"/>
          <w:lang w:val="en-GB"/>
        </w:rPr>
        <w:t>Secondary Sources</w:t>
      </w:r>
    </w:p>
    <w:p w:rsidR="4A3823C3" w:rsidP="7C97E88A" w:rsidRDefault="4A3823C3" w14:paraId="26D524D1" w14:textId="0F3474FD">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Fromkin, David. </w:t>
      </w:r>
      <w:r w:rsidRPr="7C97E88A" w:rsidR="6981C902">
        <w:rPr>
          <w:rFonts w:ascii="Segoe UI" w:hAnsi="Segoe UI" w:eastAsia="Segoe UI" w:cs="Segoe UI"/>
          <w:i w:val="1"/>
          <w:iCs w:val="1"/>
          <w:noProof w:val="0"/>
          <w:sz w:val="22"/>
          <w:szCs w:val="22"/>
          <w:lang w:val="en-GB"/>
        </w:rPr>
        <w:t>A Peace to End All Peace: The Fall of the Ottoman Empire and the Creation of the Modern Middle East</w:t>
      </w:r>
      <w:r w:rsidRPr="7C97E88A" w:rsidR="6981C902">
        <w:rPr>
          <w:rFonts w:ascii="Segoe UI" w:hAnsi="Segoe UI" w:eastAsia="Segoe UI" w:cs="Segoe UI"/>
          <w:noProof w:val="0"/>
          <w:sz w:val="22"/>
          <w:szCs w:val="22"/>
          <w:lang w:val="en-GB"/>
        </w:rPr>
        <w:t>. New York: Holt, 1989.</w:t>
      </w:r>
    </w:p>
    <w:p w:rsidR="4A3823C3" w:rsidP="7C97E88A" w:rsidRDefault="4A3823C3" w14:paraId="5D12A066" w14:textId="2A2772DB">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Krämer, Gudrun. </w:t>
      </w:r>
      <w:r w:rsidRPr="7C97E88A" w:rsidR="6981C902">
        <w:rPr>
          <w:rFonts w:ascii="Segoe UI" w:hAnsi="Segoe UI" w:eastAsia="Segoe UI" w:cs="Segoe UI"/>
          <w:i w:val="1"/>
          <w:iCs w:val="1"/>
          <w:noProof w:val="0"/>
          <w:sz w:val="22"/>
          <w:szCs w:val="22"/>
          <w:lang w:val="en-GB"/>
        </w:rPr>
        <w:t>A History of Palestine: From the Ottoman Conquest to the Founding of the State of Israel</w:t>
      </w:r>
      <w:r w:rsidRPr="7C97E88A" w:rsidR="6981C902">
        <w:rPr>
          <w:rFonts w:ascii="Segoe UI" w:hAnsi="Segoe UI" w:eastAsia="Segoe UI" w:cs="Segoe UI"/>
          <w:noProof w:val="0"/>
          <w:sz w:val="22"/>
          <w:szCs w:val="22"/>
          <w:lang w:val="en-GB"/>
        </w:rPr>
        <w:t>. Princeton: Princeton University Press, 2008.</w:t>
      </w:r>
    </w:p>
    <w:p w:rsidR="4A3823C3" w:rsidP="7C97E88A" w:rsidRDefault="4A3823C3" w14:paraId="1FC8F247" w14:textId="1C8C4229">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Schneer, Jonathan. </w:t>
      </w:r>
      <w:r w:rsidRPr="7C97E88A" w:rsidR="6981C902">
        <w:rPr>
          <w:rFonts w:ascii="Segoe UI" w:hAnsi="Segoe UI" w:eastAsia="Segoe UI" w:cs="Segoe UI"/>
          <w:i w:val="1"/>
          <w:iCs w:val="1"/>
          <w:noProof w:val="0"/>
          <w:sz w:val="22"/>
          <w:szCs w:val="22"/>
          <w:lang w:val="en-GB"/>
        </w:rPr>
        <w:t>The Balfour Declaration: The Origins of the Arab-Israeli Conflict</w:t>
      </w:r>
      <w:r w:rsidRPr="7C97E88A" w:rsidR="6981C902">
        <w:rPr>
          <w:rFonts w:ascii="Segoe UI" w:hAnsi="Segoe UI" w:eastAsia="Segoe UI" w:cs="Segoe UI"/>
          <w:noProof w:val="0"/>
          <w:sz w:val="22"/>
          <w:szCs w:val="22"/>
          <w:lang w:val="en-GB"/>
        </w:rPr>
        <w:t>. New York: Random House, 2010.</w:t>
      </w:r>
    </w:p>
    <w:p w:rsidR="4A3823C3" w:rsidP="7C97E88A" w:rsidRDefault="4A3823C3" w14:paraId="5ABD234E" w14:textId="2E2326C4">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Segev, Tom. </w:t>
      </w:r>
      <w:r w:rsidRPr="7C97E88A" w:rsidR="6981C902">
        <w:rPr>
          <w:rFonts w:ascii="Segoe UI" w:hAnsi="Segoe UI" w:eastAsia="Segoe UI" w:cs="Segoe UI"/>
          <w:i w:val="1"/>
          <w:iCs w:val="1"/>
          <w:noProof w:val="0"/>
          <w:sz w:val="22"/>
          <w:szCs w:val="22"/>
          <w:lang w:val="en-GB"/>
        </w:rPr>
        <w:t>One Palestine, Complete: Jews and Arabs Under the British Mandate</w:t>
      </w:r>
      <w:r w:rsidRPr="7C97E88A" w:rsidR="6981C902">
        <w:rPr>
          <w:rFonts w:ascii="Segoe UI" w:hAnsi="Segoe UI" w:eastAsia="Segoe UI" w:cs="Segoe UI"/>
          <w:noProof w:val="0"/>
          <w:sz w:val="22"/>
          <w:szCs w:val="22"/>
          <w:lang w:val="en-GB"/>
        </w:rPr>
        <w:t>. New York: Henry Holt, 2000.</w:t>
      </w:r>
    </w:p>
    <w:p w:rsidR="4A3823C3" w:rsidP="7C97E88A" w:rsidRDefault="4A3823C3" w14:paraId="102E25E0" w14:textId="31FF3C4C">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Wasserstein, Bernard. </w:t>
      </w:r>
      <w:r w:rsidRPr="7C97E88A" w:rsidR="6981C902">
        <w:rPr>
          <w:rFonts w:ascii="Segoe UI" w:hAnsi="Segoe UI" w:eastAsia="Segoe UI" w:cs="Segoe UI"/>
          <w:i w:val="1"/>
          <w:iCs w:val="1"/>
          <w:noProof w:val="0"/>
          <w:sz w:val="22"/>
          <w:szCs w:val="22"/>
          <w:lang w:val="en-GB"/>
        </w:rPr>
        <w:t>The British in Palestine: The Mandatory Government and the Arab-Jewish Conflict 1917–1929</w:t>
      </w:r>
      <w:r w:rsidRPr="7C97E88A" w:rsidR="6981C902">
        <w:rPr>
          <w:rFonts w:ascii="Segoe UI" w:hAnsi="Segoe UI" w:eastAsia="Segoe UI" w:cs="Segoe UI"/>
          <w:noProof w:val="0"/>
          <w:sz w:val="22"/>
          <w:szCs w:val="22"/>
          <w:lang w:val="en-GB"/>
        </w:rPr>
        <w:t>. Oxford: Blackwell, 1978.</w:t>
      </w:r>
    </w:p>
    <w:p w:rsidR="4A3823C3" w:rsidP="7C97E88A" w:rsidRDefault="4A3823C3" w14:paraId="1CF0E327" w14:textId="5AEDD3F3">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Wilson, Mary C. “The Hashemites, the Arab Revolt, and the Balfour Declaration.” In </w:t>
      </w:r>
      <w:r w:rsidRPr="7C97E88A" w:rsidR="6981C902">
        <w:rPr>
          <w:rFonts w:ascii="Segoe UI" w:hAnsi="Segoe UI" w:eastAsia="Segoe UI" w:cs="Segoe UI"/>
          <w:i w:val="1"/>
          <w:iCs w:val="1"/>
          <w:noProof w:val="0"/>
          <w:sz w:val="22"/>
          <w:szCs w:val="22"/>
          <w:lang w:val="en-GB"/>
        </w:rPr>
        <w:t>The Making of the Modern Near East</w:t>
      </w:r>
      <w:r w:rsidRPr="7C97E88A" w:rsidR="6981C902">
        <w:rPr>
          <w:rFonts w:ascii="Segoe UI" w:hAnsi="Segoe UI" w:eastAsia="Segoe UI" w:cs="Segoe UI"/>
          <w:noProof w:val="0"/>
          <w:sz w:val="22"/>
          <w:szCs w:val="22"/>
          <w:lang w:val="en-GB"/>
        </w:rPr>
        <w:t>, edited by Malcolm Yapp. London: Longman, 1987.</w:t>
      </w:r>
    </w:p>
    <w:p w:rsidR="4A3823C3" w:rsidP="7C97E88A" w:rsidRDefault="4A3823C3" w14:paraId="78F91688" w14:textId="3A264240">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 </w:t>
      </w:r>
      <w:r w:rsidRPr="7C97E88A" w:rsidR="6981C902">
        <w:rPr>
          <w:rFonts w:ascii="Segoe UI" w:hAnsi="Segoe UI" w:eastAsia="Segoe UI" w:cs="Segoe UI"/>
          <w:noProof w:val="0"/>
          <w:sz w:val="22"/>
          <w:szCs w:val="22"/>
          <w:rtl w:val="1"/>
          <w:lang w:val="en-GB"/>
        </w:rPr>
        <w:t>وعد بلفور</w:t>
      </w:r>
      <w:r w:rsidRPr="7C97E88A" w:rsidR="6981C902">
        <w:rPr>
          <w:rFonts w:ascii="Segoe UI" w:hAnsi="Segoe UI" w:eastAsia="Segoe UI" w:cs="Segoe UI"/>
          <w:noProof w:val="0"/>
          <w:sz w:val="22"/>
          <w:szCs w:val="22"/>
          <w:lang w:val="en-GB"/>
        </w:rPr>
        <w:t xml:space="preserve"> * </w:t>
      </w:r>
      <w:hyperlink r:id="R2b0c55a0d2c04201">
        <w:r w:rsidRPr="7C97E88A" w:rsidR="6981C902">
          <w:rPr>
            <w:rStyle w:val="Hyperlink"/>
            <w:rFonts w:ascii="Segoe UI" w:hAnsi="Segoe UI" w:eastAsia="Segoe UI" w:cs="Segoe UI"/>
            <w:noProof w:val="0"/>
            <w:sz w:val="22"/>
            <w:szCs w:val="22"/>
            <w:lang w:val="en-GB"/>
          </w:rPr>
          <w:t>https://pearls.yoo7.com/t2882-topic</w:t>
        </w:r>
      </w:hyperlink>
    </w:p>
    <w:p w:rsidR="4A3823C3" w:rsidP="7C97E88A" w:rsidRDefault="4A3823C3" w14:paraId="15180DAF" w14:textId="64593C40">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Morphakis, F. (2018). The Balfour Declaration: Empire, the Mandate and Resistance in Palestine. By Bernard Regan. Twentieth Century British History. </w:t>
      </w:r>
      <w:hyperlink r:id="R8cf2fd57001e4926">
        <w:r w:rsidRPr="7C97E88A" w:rsidR="6981C902">
          <w:rPr>
            <w:rStyle w:val="Hyperlink"/>
            <w:rFonts w:ascii="Segoe UI" w:hAnsi="Segoe UI" w:eastAsia="Segoe UI" w:cs="Segoe UI"/>
            <w:noProof w:val="0"/>
            <w:sz w:val="22"/>
            <w:szCs w:val="22"/>
            <w:lang w:val="en-GB"/>
          </w:rPr>
          <w:t>https://doi.org/10.1093/tcbh/hwy022</w:t>
        </w:r>
      </w:hyperlink>
    </w:p>
    <w:p w:rsidR="4A3823C3" w:rsidP="7C97E88A" w:rsidRDefault="4A3823C3" w14:paraId="2FB257C8" w14:textId="07890CD4">
      <w:pPr>
        <w:pStyle w:val="ListParagraph"/>
        <w:numPr>
          <w:ilvl w:val="0"/>
          <w:numId w:val="4"/>
        </w:numPr>
        <w:spacing w:before="0" w:beforeAutospacing="off" w:after="0" w:afterAutospacing="off"/>
        <w:jc w:val="left"/>
        <w:rPr>
          <w:rFonts w:ascii="Segoe UI" w:hAnsi="Segoe UI" w:eastAsia="Segoe UI" w:cs="Segoe UI"/>
          <w:noProof w:val="0"/>
          <w:sz w:val="22"/>
          <w:szCs w:val="22"/>
          <w:lang w:val="en-GB"/>
        </w:rPr>
      </w:pPr>
      <w:r w:rsidRPr="7C97E88A" w:rsidR="6981C902">
        <w:rPr>
          <w:rFonts w:ascii="Segoe UI" w:hAnsi="Segoe UI" w:eastAsia="Segoe UI" w:cs="Segoe UI"/>
          <w:noProof w:val="0"/>
          <w:sz w:val="22"/>
          <w:szCs w:val="22"/>
          <w:lang w:val="en-GB"/>
        </w:rPr>
        <w:t xml:space="preserve">Wolfe, B. N. (2018). The relevance of certain Semiticisms in the Gothic New Testament. NOWELE North-Western European Language Evolution. </w:t>
      </w:r>
      <w:hyperlink r:id="Ra8907f102c2b4845">
        <w:r w:rsidRPr="7C97E88A" w:rsidR="6981C902">
          <w:rPr>
            <w:rStyle w:val="Hyperlink"/>
            <w:rFonts w:ascii="Segoe UI" w:hAnsi="Segoe UI" w:eastAsia="Segoe UI" w:cs="Segoe UI"/>
            <w:noProof w:val="0"/>
            <w:sz w:val="22"/>
            <w:szCs w:val="22"/>
            <w:lang w:val="en-GB"/>
          </w:rPr>
          <w:t>https://doi.org/10.1075/nowele.00015.wol</w:t>
        </w:r>
      </w:hyperlink>
    </w:p>
    <w:p w:rsidR="4A3823C3" w:rsidP="4A3823C3" w:rsidRDefault="4A3823C3" w14:paraId="2F0D0B28" w14:textId="3D38B913">
      <w:pPr>
        <w:pStyle w:val="Normal"/>
        <w:spacing w:before="240" w:beforeAutospacing="off" w:after="240" w:afterAutospacing="off"/>
        <w:rPr>
          <w:rFonts w:ascii="Segoe UI" w:hAnsi="Segoe UI" w:eastAsia="Segoe UI" w:cs="Segoe UI"/>
          <w:noProof w:val="0"/>
          <w:sz w:val="22"/>
          <w:szCs w:val="22"/>
          <w:lang w:val="en-GB"/>
        </w:rPr>
      </w:pPr>
    </w:p>
    <w:p w:rsidR="4A3823C3" w:rsidP="4A3823C3" w:rsidRDefault="4A3823C3" w14:paraId="1A53247D" w14:textId="3CE24711">
      <w:pPr>
        <w:pStyle w:val="Normal"/>
        <w:rPr>
          <w:rFonts w:ascii="Segoe UI" w:hAnsi="Segoe UI" w:eastAsia="Segoe UI" w:cs="Segoe UI"/>
          <w:b w:val="0"/>
          <w:bCs w:val="0"/>
          <w:i w:val="0"/>
          <w:iCs w:val="0"/>
          <w:noProof w:val="0"/>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6583e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8ba9e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acdd5e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bfb8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CA0646"/>
    <w:rsid w:val="0C222D22"/>
    <w:rsid w:val="0E03E25A"/>
    <w:rsid w:val="0ECE04F0"/>
    <w:rsid w:val="10CA0646"/>
    <w:rsid w:val="16AC3400"/>
    <w:rsid w:val="17372B96"/>
    <w:rsid w:val="1E7B63D4"/>
    <w:rsid w:val="2124D2E3"/>
    <w:rsid w:val="23FC6977"/>
    <w:rsid w:val="26BEE7E9"/>
    <w:rsid w:val="2DFB9725"/>
    <w:rsid w:val="2EE0BEED"/>
    <w:rsid w:val="2F216601"/>
    <w:rsid w:val="331D1CFC"/>
    <w:rsid w:val="35BB9699"/>
    <w:rsid w:val="37E33BCC"/>
    <w:rsid w:val="394C5F6E"/>
    <w:rsid w:val="3B3F285B"/>
    <w:rsid w:val="4A3823C3"/>
    <w:rsid w:val="4B2A6BB0"/>
    <w:rsid w:val="693BBD5F"/>
    <w:rsid w:val="6981C902"/>
    <w:rsid w:val="6A26A546"/>
    <w:rsid w:val="78F3C092"/>
    <w:rsid w:val="79D5E0C2"/>
    <w:rsid w:val="7A59EF58"/>
    <w:rsid w:val="7C97E88A"/>
    <w:rsid w:val="7D3CB1C3"/>
    <w:rsid w:val="7F15A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A0646"/>
  <w15:chartTrackingRefBased/>
  <w15:docId w15:val="{5FE645C4-5392-471C-805D-6D4C86D7C1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A3823C3"/>
    <w:pPr>
      <w:spacing/>
      <w:ind w:left="720"/>
      <w:contextualSpacing/>
    </w:pPr>
  </w:style>
  <w:style w:type="character" w:styleId="Hyperlink">
    <w:uiPriority w:val="99"/>
    <w:name w:val="Hyperlink"/>
    <w:basedOn w:val="DefaultParagraphFont"/>
    <w:unhideWhenUsed/>
    <w:rsid w:val="7C97E8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99c3498bf10454a" /><Relationship Type="http://schemas.openxmlformats.org/officeDocument/2006/relationships/hyperlink" Target="https://pearls.yoo7.com/t2882-topic" TargetMode="External" Id="R2b0c55a0d2c04201" /><Relationship Type="http://schemas.openxmlformats.org/officeDocument/2006/relationships/hyperlink" Target="https://doi.org/10.1093/tcbh/hwy022" TargetMode="External" Id="R8cf2fd57001e4926" /><Relationship Type="http://schemas.openxmlformats.org/officeDocument/2006/relationships/hyperlink" Target="https://doi.org/10.1075/nowele.00015.wol" TargetMode="External" Id="Ra8907f102c2b48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Aliyah Davies (2203929)</dc:creator>
  <keywords/>
  <dc:description/>
  <lastModifiedBy>Aliyah Davies (2203929)</lastModifiedBy>
  <revision>4</revision>
  <dcterms:created xsi:type="dcterms:W3CDTF">2025-12-10T17:00:45.6803722Z</dcterms:created>
  <dcterms:modified xsi:type="dcterms:W3CDTF">2025-12-10T21:40:12.9410377Z</dcterms:modified>
</coreProperties>
</file>