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7B79" w:rsidRDefault="00434D3E">
      <w:pPr>
        <w:rPr>
          <w:rFonts w:ascii="Arial" w:hAnsi="Arial" w:cs="Arial"/>
        </w:rPr>
      </w:pPr>
      <w:r w:rsidRPr="00434D3E">
        <w:rPr>
          <w:rFonts w:ascii="Arial" w:hAnsi="Arial" w:cs="Arial"/>
        </w:rPr>
        <w:t xml:space="preserve">Sixty years ago the historical-critical approach was the main, if not the only, </w:t>
      </w:r>
      <w:r w:rsidR="0021013B">
        <w:rPr>
          <w:rFonts w:ascii="Arial" w:hAnsi="Arial" w:cs="Arial"/>
        </w:rPr>
        <w:t>accepted way for those in academic circles to study the Bible. Usually</w:t>
      </w:r>
      <w:r w:rsidR="00D87FA7">
        <w:rPr>
          <w:rFonts w:ascii="Arial" w:hAnsi="Arial" w:cs="Arial"/>
        </w:rPr>
        <w:t xml:space="preserve"> (although this is not accepted by all scholars)</w:t>
      </w:r>
      <w:r w:rsidR="0021013B">
        <w:rPr>
          <w:rFonts w:ascii="Arial" w:hAnsi="Arial" w:cs="Arial"/>
        </w:rPr>
        <w:t xml:space="preserve"> placed firmly as a product of the Enlightenment, with its rationalist approach and use of scientific methodology</w:t>
      </w:r>
      <w:r w:rsidR="00961911">
        <w:rPr>
          <w:rFonts w:ascii="Arial" w:hAnsi="Arial" w:cs="Arial"/>
        </w:rPr>
        <w:t>, as the Enlightenmen</w:t>
      </w:r>
      <w:r w:rsidR="00035D6E">
        <w:rPr>
          <w:rFonts w:ascii="Arial" w:hAnsi="Arial" w:cs="Arial"/>
        </w:rPr>
        <w:t>t Project itself was questioned</w:t>
      </w:r>
      <w:r w:rsidR="00961911">
        <w:rPr>
          <w:rFonts w:ascii="Arial" w:hAnsi="Arial" w:cs="Arial"/>
        </w:rPr>
        <w:t xml:space="preserve"> so too was this </w:t>
      </w:r>
      <w:r w:rsidR="00035D6E">
        <w:rPr>
          <w:rFonts w:ascii="Arial" w:hAnsi="Arial" w:cs="Arial"/>
        </w:rPr>
        <w:t>approach</w:t>
      </w:r>
      <w:r w:rsidR="00961911">
        <w:rPr>
          <w:rFonts w:ascii="Arial" w:hAnsi="Arial" w:cs="Arial"/>
        </w:rPr>
        <w:t xml:space="preserve">.  In addition </w:t>
      </w:r>
      <w:r w:rsidR="00035D6E">
        <w:rPr>
          <w:rFonts w:ascii="Arial" w:hAnsi="Arial" w:cs="Arial"/>
        </w:rPr>
        <w:t>internal criticism</w:t>
      </w:r>
      <w:r w:rsidR="00961911">
        <w:rPr>
          <w:rFonts w:ascii="Arial" w:hAnsi="Arial" w:cs="Arial"/>
        </w:rPr>
        <w:t xml:space="preserve">, </w:t>
      </w:r>
      <w:r w:rsidR="00035D6E">
        <w:rPr>
          <w:rFonts w:ascii="Arial" w:hAnsi="Arial" w:cs="Arial"/>
        </w:rPr>
        <w:t>and</w:t>
      </w:r>
      <w:r w:rsidR="00961911">
        <w:rPr>
          <w:rFonts w:ascii="Arial" w:hAnsi="Arial" w:cs="Arial"/>
        </w:rPr>
        <w:t xml:space="preserve"> </w:t>
      </w:r>
      <w:r w:rsidR="00035D6E">
        <w:rPr>
          <w:rFonts w:ascii="Arial" w:hAnsi="Arial" w:cs="Arial"/>
        </w:rPr>
        <w:t xml:space="preserve">the </w:t>
      </w:r>
      <w:r w:rsidR="00961911">
        <w:rPr>
          <w:rFonts w:ascii="Arial" w:hAnsi="Arial" w:cs="Arial"/>
        </w:rPr>
        <w:t xml:space="preserve">subsequent </w:t>
      </w:r>
      <w:r w:rsidR="00035D6E">
        <w:rPr>
          <w:rFonts w:ascii="Arial" w:hAnsi="Arial" w:cs="Arial"/>
        </w:rPr>
        <w:t>questioning or even rejecting</w:t>
      </w:r>
      <w:r w:rsidR="00961911">
        <w:rPr>
          <w:rFonts w:ascii="Arial" w:hAnsi="Arial" w:cs="Arial"/>
        </w:rPr>
        <w:t xml:space="preserve"> of </w:t>
      </w:r>
      <w:r w:rsidR="00035D6E">
        <w:rPr>
          <w:rFonts w:ascii="Arial" w:hAnsi="Arial" w:cs="Arial"/>
        </w:rPr>
        <w:t>previously</w:t>
      </w:r>
      <w:r w:rsidR="00961911">
        <w:rPr>
          <w:rFonts w:ascii="Arial" w:hAnsi="Arial" w:cs="Arial"/>
        </w:rPr>
        <w:t xml:space="preserve"> “assured results”</w:t>
      </w:r>
      <w:r w:rsidR="008133D5">
        <w:rPr>
          <w:rFonts w:ascii="Arial" w:hAnsi="Arial" w:cs="Arial"/>
        </w:rPr>
        <w:t xml:space="preserve"> as the approach </w:t>
      </w:r>
      <w:r w:rsidR="000A1E70">
        <w:rPr>
          <w:rFonts w:ascii="Arial" w:hAnsi="Arial" w:cs="Arial"/>
        </w:rPr>
        <w:t>expanded and developed</w:t>
      </w:r>
      <w:r w:rsidR="00961911">
        <w:rPr>
          <w:rFonts w:ascii="Arial" w:hAnsi="Arial" w:cs="Arial"/>
        </w:rPr>
        <w:t xml:space="preserve">, </w:t>
      </w:r>
      <w:r w:rsidR="00035D6E">
        <w:rPr>
          <w:rFonts w:ascii="Arial" w:hAnsi="Arial" w:cs="Arial"/>
        </w:rPr>
        <w:t xml:space="preserve">led to a </w:t>
      </w:r>
      <w:r w:rsidR="003762D3">
        <w:rPr>
          <w:rFonts w:ascii="Arial" w:hAnsi="Arial" w:cs="Arial"/>
        </w:rPr>
        <w:t xml:space="preserve">relative </w:t>
      </w:r>
      <w:r w:rsidR="00035D6E">
        <w:rPr>
          <w:rFonts w:ascii="Arial" w:hAnsi="Arial" w:cs="Arial"/>
        </w:rPr>
        <w:t>decline in its prominence</w:t>
      </w:r>
      <w:r w:rsidR="00961911">
        <w:rPr>
          <w:rFonts w:ascii="Arial" w:hAnsi="Arial" w:cs="Arial"/>
        </w:rPr>
        <w:t>.</w:t>
      </w:r>
      <w:r w:rsidR="00035D6E">
        <w:rPr>
          <w:rFonts w:ascii="Arial" w:hAnsi="Arial" w:cs="Arial"/>
        </w:rPr>
        <w:t xml:space="preserve">  </w:t>
      </w:r>
      <w:r w:rsidR="00872AB6">
        <w:rPr>
          <w:rFonts w:ascii="Arial" w:hAnsi="Arial" w:cs="Arial"/>
        </w:rPr>
        <w:t>At the same time the rise in other critical approaches</w:t>
      </w:r>
      <w:r w:rsidR="00B801D0">
        <w:rPr>
          <w:rFonts w:ascii="Arial" w:hAnsi="Arial" w:cs="Arial"/>
        </w:rPr>
        <w:t xml:space="preserve">, such as </w:t>
      </w:r>
      <w:r w:rsidR="00077BA9">
        <w:rPr>
          <w:rFonts w:ascii="Arial" w:hAnsi="Arial" w:cs="Arial"/>
        </w:rPr>
        <w:t xml:space="preserve">literary, social-scientific, </w:t>
      </w:r>
      <w:r w:rsidR="00B801D0">
        <w:rPr>
          <w:rFonts w:ascii="Arial" w:hAnsi="Arial" w:cs="Arial"/>
        </w:rPr>
        <w:t>fe</w:t>
      </w:r>
      <w:r w:rsidR="00077BA9">
        <w:rPr>
          <w:rFonts w:ascii="Arial" w:hAnsi="Arial" w:cs="Arial"/>
        </w:rPr>
        <w:t xml:space="preserve">minist, </w:t>
      </w:r>
      <w:r w:rsidR="00B801D0">
        <w:rPr>
          <w:rFonts w:ascii="Arial" w:hAnsi="Arial" w:cs="Arial"/>
        </w:rPr>
        <w:t>p</w:t>
      </w:r>
      <w:r w:rsidR="00872AB6">
        <w:rPr>
          <w:rFonts w:ascii="Arial" w:hAnsi="Arial" w:cs="Arial"/>
        </w:rPr>
        <w:t>ost-</w:t>
      </w:r>
      <w:r w:rsidR="00B801D0">
        <w:rPr>
          <w:rFonts w:ascii="Arial" w:hAnsi="Arial" w:cs="Arial"/>
        </w:rPr>
        <w:t>c</w:t>
      </w:r>
      <w:r w:rsidR="00872AB6">
        <w:rPr>
          <w:rFonts w:ascii="Arial" w:hAnsi="Arial" w:cs="Arial"/>
        </w:rPr>
        <w:t>olonial</w:t>
      </w:r>
      <w:r w:rsidR="00B801D0">
        <w:rPr>
          <w:rFonts w:ascii="Arial" w:hAnsi="Arial" w:cs="Arial"/>
        </w:rPr>
        <w:t xml:space="preserve"> </w:t>
      </w:r>
      <w:r w:rsidR="00077BA9">
        <w:rPr>
          <w:rFonts w:ascii="Arial" w:hAnsi="Arial" w:cs="Arial"/>
        </w:rPr>
        <w:t xml:space="preserve">and post-critical, </w:t>
      </w:r>
      <w:r w:rsidR="00872AB6">
        <w:rPr>
          <w:rFonts w:ascii="Arial" w:hAnsi="Arial" w:cs="Arial"/>
        </w:rPr>
        <w:t xml:space="preserve">have </w:t>
      </w:r>
      <w:r w:rsidR="003762D3">
        <w:rPr>
          <w:rFonts w:ascii="Arial" w:hAnsi="Arial" w:cs="Arial"/>
        </w:rPr>
        <w:t>raised further questions about</w:t>
      </w:r>
      <w:r w:rsidR="00872AB6">
        <w:rPr>
          <w:rFonts w:ascii="Arial" w:hAnsi="Arial" w:cs="Arial"/>
        </w:rPr>
        <w:t xml:space="preserve"> the historical-critical approach.</w:t>
      </w:r>
    </w:p>
    <w:p w:rsidR="001247F4" w:rsidRDefault="00B57B79" w:rsidP="00B57B79">
      <w:pPr>
        <w:rPr>
          <w:rFonts w:ascii="Arial" w:hAnsi="Arial" w:cs="Arial"/>
          <w:color w:val="FF0000"/>
        </w:rPr>
      </w:pPr>
      <w:r w:rsidRPr="00125440">
        <w:rPr>
          <w:rFonts w:ascii="Arial" w:hAnsi="Arial" w:cs="Arial"/>
        </w:rPr>
        <w:t>Literary approaches to the interpretation of the Bible focus on the text as a finished product.  They are concerned with the structure and genre of the text, how the story unfolds and the impact it has on its readers.  These approaches have made a positive contribution to the field by focusin</w:t>
      </w:r>
      <w:r w:rsidR="00AF2A85" w:rsidRPr="00125440">
        <w:rPr>
          <w:rFonts w:ascii="Arial" w:hAnsi="Arial" w:cs="Arial"/>
        </w:rPr>
        <w:t>g</w:t>
      </w:r>
      <w:r w:rsidRPr="00125440">
        <w:rPr>
          <w:rFonts w:ascii="Arial" w:hAnsi="Arial" w:cs="Arial"/>
        </w:rPr>
        <w:t xml:space="preserve"> on the text’s final form</w:t>
      </w:r>
      <w:r w:rsidR="00AF2A85" w:rsidRPr="00125440">
        <w:rPr>
          <w:rFonts w:ascii="Arial" w:hAnsi="Arial" w:cs="Arial"/>
        </w:rPr>
        <w:t>, emphasising the unity of the text, viewing the text as an end in itself and</w:t>
      </w:r>
      <w:r w:rsidRPr="00125440">
        <w:rPr>
          <w:rFonts w:ascii="Arial" w:hAnsi="Arial" w:cs="Arial"/>
        </w:rPr>
        <w:t xml:space="preserve"> </w:t>
      </w:r>
      <w:r w:rsidR="00AF2A85" w:rsidRPr="00125440">
        <w:rPr>
          <w:rFonts w:ascii="Arial" w:hAnsi="Arial" w:cs="Arial"/>
        </w:rPr>
        <w:t>providing insights through direct textual encounters. With l</w:t>
      </w:r>
      <w:r w:rsidRPr="00125440">
        <w:rPr>
          <w:rFonts w:ascii="Arial" w:hAnsi="Arial" w:cs="Arial"/>
        </w:rPr>
        <w:t>iterary criticism</w:t>
      </w:r>
      <w:r w:rsidR="00AF2A85" w:rsidRPr="00125440">
        <w:rPr>
          <w:rFonts w:ascii="Arial" w:hAnsi="Arial" w:cs="Arial"/>
        </w:rPr>
        <w:t xml:space="preserve"> </w:t>
      </w:r>
      <w:r w:rsidRPr="00125440">
        <w:rPr>
          <w:rFonts w:ascii="Arial" w:hAnsi="Arial" w:cs="Arial"/>
        </w:rPr>
        <w:t xml:space="preserve">the focus </w:t>
      </w:r>
      <w:r w:rsidR="00AF2A85" w:rsidRPr="00125440">
        <w:rPr>
          <w:rFonts w:ascii="Arial" w:hAnsi="Arial" w:cs="Arial"/>
        </w:rPr>
        <w:t xml:space="preserve">shifts from original context </w:t>
      </w:r>
      <w:r w:rsidRPr="00125440">
        <w:rPr>
          <w:rFonts w:ascii="Arial" w:hAnsi="Arial" w:cs="Arial"/>
        </w:rPr>
        <w:t xml:space="preserve">and </w:t>
      </w:r>
      <w:r w:rsidR="00AF2A85" w:rsidRPr="00125440">
        <w:rPr>
          <w:rFonts w:ascii="Arial" w:hAnsi="Arial" w:cs="Arial"/>
        </w:rPr>
        <w:t>authorial intention to reader response – asking what the text means and in what way is it significant for the interpr</w:t>
      </w:r>
      <w:r w:rsidR="00D87FA7">
        <w:rPr>
          <w:rFonts w:ascii="Arial" w:hAnsi="Arial" w:cs="Arial"/>
        </w:rPr>
        <w:t>etative community of readers today</w:t>
      </w:r>
      <w:r w:rsidR="00AF2A85" w:rsidRPr="00125440">
        <w:rPr>
          <w:rFonts w:ascii="Arial" w:hAnsi="Arial" w:cs="Arial"/>
        </w:rPr>
        <w:t xml:space="preserve">.  Since the approach is not constrained by history and tradition, it facilitates a range of emancipatory readings such as those of feminism and post-colonialism explored later in this essay.  </w:t>
      </w:r>
    </w:p>
    <w:p w:rsidR="001247F4" w:rsidRPr="00125440" w:rsidRDefault="001247F4" w:rsidP="00B57B79">
      <w:pPr>
        <w:rPr>
          <w:rFonts w:ascii="Arial" w:hAnsi="Arial" w:cs="Arial"/>
        </w:rPr>
      </w:pPr>
      <w:r w:rsidRPr="00125440">
        <w:rPr>
          <w:rFonts w:ascii="Arial" w:hAnsi="Arial" w:cs="Arial"/>
        </w:rPr>
        <w:t xml:space="preserve">Nevertheless, a range of criticisms can be levelled at the approach.  It </w:t>
      </w:r>
      <w:r w:rsidR="00D87FA7">
        <w:rPr>
          <w:rFonts w:ascii="Arial" w:hAnsi="Arial" w:cs="Arial"/>
        </w:rPr>
        <w:t>can be said to undermine</w:t>
      </w:r>
      <w:r w:rsidRPr="00125440">
        <w:rPr>
          <w:rFonts w:ascii="Arial" w:hAnsi="Arial" w:cs="Arial"/>
        </w:rPr>
        <w:t xml:space="preserve"> the historical focus offered by more traditional approaches and</w:t>
      </w:r>
      <w:r w:rsidR="00125440" w:rsidRPr="00125440">
        <w:rPr>
          <w:rFonts w:ascii="Arial" w:hAnsi="Arial" w:cs="Arial"/>
        </w:rPr>
        <w:t>,</w:t>
      </w:r>
      <w:r w:rsidRPr="00125440">
        <w:rPr>
          <w:rFonts w:ascii="Arial" w:hAnsi="Arial" w:cs="Arial"/>
        </w:rPr>
        <w:t xml:space="preserve"> by viewing the Bible as a text in the same way as any other in wider literary study</w:t>
      </w:r>
      <w:r w:rsidR="00125440" w:rsidRPr="00125440">
        <w:rPr>
          <w:rFonts w:ascii="Arial" w:hAnsi="Arial" w:cs="Arial"/>
        </w:rPr>
        <w:t>,</w:t>
      </w:r>
      <w:r w:rsidRPr="00125440">
        <w:rPr>
          <w:rFonts w:ascii="Arial" w:hAnsi="Arial" w:cs="Arial"/>
        </w:rPr>
        <w:t xml:space="preserve"> it challenges the</w:t>
      </w:r>
      <w:r w:rsidR="00125440" w:rsidRPr="00125440">
        <w:rPr>
          <w:rFonts w:ascii="Arial" w:hAnsi="Arial" w:cs="Arial"/>
        </w:rPr>
        <w:t xml:space="preserve"> concepts of sacredness and authority. In addition, in focusing on the text as a unified whole it undermines much earlier scholarly work on source and form and the amount of unity which the text actually has is certainly open to question. Perhaps of greatest concern is that, if the text is freed from its historical fixings</w:t>
      </w:r>
      <w:r w:rsidR="00D87FA7">
        <w:rPr>
          <w:rFonts w:ascii="Arial" w:hAnsi="Arial" w:cs="Arial"/>
        </w:rPr>
        <w:t xml:space="preserve">, </w:t>
      </w:r>
      <w:r w:rsidR="00125440" w:rsidRPr="00125440">
        <w:rPr>
          <w:rFonts w:ascii="Arial" w:hAnsi="Arial" w:cs="Arial"/>
        </w:rPr>
        <w:t xml:space="preserve">it potentially opens up a situation in which the text can </w:t>
      </w:r>
      <w:r w:rsidR="00D87FA7">
        <w:rPr>
          <w:rFonts w:ascii="Arial" w:hAnsi="Arial" w:cs="Arial"/>
        </w:rPr>
        <w:t>be allowed</w:t>
      </w:r>
      <w:r w:rsidR="00125440" w:rsidRPr="00125440">
        <w:rPr>
          <w:rFonts w:ascii="Arial" w:hAnsi="Arial" w:cs="Arial"/>
        </w:rPr>
        <w:t xml:space="preserve"> to mean anything at all.</w:t>
      </w:r>
    </w:p>
    <w:p w:rsidR="00BC1689" w:rsidRPr="00BC1689" w:rsidRDefault="00D22F13">
      <w:pPr>
        <w:rPr>
          <w:rFonts w:ascii="Arial" w:hAnsi="Arial" w:cs="Arial"/>
        </w:rPr>
      </w:pPr>
      <w:r w:rsidRPr="00D22F13">
        <w:rPr>
          <w:rFonts w:ascii="Arial" w:hAnsi="Arial" w:cs="Arial"/>
        </w:rPr>
        <w:t xml:space="preserve">However, </w:t>
      </w:r>
      <w:r w:rsidR="00B57B79" w:rsidRPr="00D22F13">
        <w:rPr>
          <w:rFonts w:ascii="Arial" w:hAnsi="Arial" w:cs="Arial"/>
        </w:rPr>
        <w:t>Barton</w:t>
      </w:r>
      <w:r w:rsidR="00B57B79" w:rsidRPr="00D22F13">
        <w:rPr>
          <w:rStyle w:val="FootnoteReference"/>
          <w:rFonts w:ascii="Arial" w:hAnsi="Arial" w:cs="Arial"/>
        </w:rPr>
        <w:footnoteReference w:id="1"/>
      </w:r>
      <w:r w:rsidR="00B57B79" w:rsidRPr="00D22F13">
        <w:rPr>
          <w:rFonts w:ascii="Arial" w:hAnsi="Arial" w:cs="Arial"/>
        </w:rPr>
        <w:t xml:space="preserve"> </w:t>
      </w:r>
      <w:r w:rsidRPr="00D22F13">
        <w:rPr>
          <w:rFonts w:ascii="Arial" w:hAnsi="Arial" w:cs="Arial"/>
        </w:rPr>
        <w:t>makes two crucial arguments</w:t>
      </w:r>
      <w:r w:rsidR="00B57B79" w:rsidRPr="00D22F13">
        <w:rPr>
          <w:rFonts w:ascii="Arial" w:hAnsi="Arial" w:cs="Arial"/>
        </w:rPr>
        <w:t xml:space="preserve"> which support the view that the use of literary criticism does not necessarily call for the abandonment o</w:t>
      </w:r>
      <w:r w:rsidRPr="00D22F13">
        <w:rPr>
          <w:rFonts w:ascii="Arial" w:hAnsi="Arial" w:cs="Arial"/>
        </w:rPr>
        <w:t>f more traditional methodologies such as historical-criticism</w:t>
      </w:r>
      <w:r w:rsidR="00B57B79" w:rsidRPr="00D22F13">
        <w:rPr>
          <w:rFonts w:ascii="Arial" w:hAnsi="Arial" w:cs="Arial"/>
        </w:rPr>
        <w:t>.</w:t>
      </w:r>
      <w:r w:rsidRPr="00D22F13">
        <w:rPr>
          <w:rFonts w:ascii="Arial" w:hAnsi="Arial" w:cs="Arial"/>
        </w:rPr>
        <w:t xml:space="preserve">  The literary approach, he argues, did not always focus on a text as a whole and in its earlier incarnations applied detailed analysis to shorter passages in much the same way as the historical-critical approach.  Literary criticism has always been interested in the development </w:t>
      </w:r>
      <w:r w:rsidR="00D87FA7">
        <w:rPr>
          <w:rFonts w:ascii="Arial" w:hAnsi="Arial" w:cs="Arial"/>
        </w:rPr>
        <w:t>of text over time, he argues, and i</w:t>
      </w:r>
      <w:r>
        <w:rPr>
          <w:rFonts w:ascii="Arial" w:hAnsi="Arial" w:cs="Arial"/>
        </w:rPr>
        <w:t xml:space="preserve">n </w:t>
      </w:r>
      <w:r w:rsidR="00BC1689">
        <w:rPr>
          <w:rFonts w:ascii="Arial" w:hAnsi="Arial" w:cs="Arial"/>
        </w:rPr>
        <w:t>falsely placing</w:t>
      </w:r>
      <w:r>
        <w:rPr>
          <w:rFonts w:ascii="Arial" w:hAnsi="Arial" w:cs="Arial"/>
        </w:rPr>
        <w:t xml:space="preserve"> the </w:t>
      </w:r>
      <w:r w:rsidR="00BC1689">
        <w:rPr>
          <w:rFonts w:ascii="Arial" w:hAnsi="Arial" w:cs="Arial"/>
        </w:rPr>
        <w:t>location</w:t>
      </w:r>
      <w:r>
        <w:rPr>
          <w:rFonts w:ascii="Arial" w:hAnsi="Arial" w:cs="Arial"/>
        </w:rPr>
        <w:t xml:space="preserve"> of the historical-critical approach within an Enlightenment context</w:t>
      </w:r>
      <w:r w:rsidR="00D87FA7">
        <w:rPr>
          <w:rFonts w:ascii="Arial" w:hAnsi="Arial" w:cs="Arial"/>
        </w:rPr>
        <w:t xml:space="preserve"> </w:t>
      </w:r>
      <w:r>
        <w:rPr>
          <w:rFonts w:ascii="Arial" w:hAnsi="Arial" w:cs="Arial"/>
        </w:rPr>
        <w:t>there is a failure to recognise</w:t>
      </w:r>
      <w:r w:rsidR="00BC1689">
        <w:rPr>
          <w:rFonts w:ascii="Arial" w:hAnsi="Arial" w:cs="Arial"/>
        </w:rPr>
        <w:t xml:space="preserve"> the Reformation context </w:t>
      </w:r>
      <w:r w:rsidR="00BC1689" w:rsidRPr="00BC1689">
        <w:rPr>
          <w:rFonts w:ascii="Arial" w:hAnsi="Arial" w:cs="Arial"/>
        </w:rPr>
        <w:t>with its insistence on “the authority of the Bible, read freely, over the Church”.</w:t>
      </w:r>
      <w:r w:rsidR="00BC1689" w:rsidRPr="00BC1689">
        <w:rPr>
          <w:rStyle w:val="FootnoteReference"/>
          <w:rFonts w:ascii="Arial" w:hAnsi="Arial" w:cs="Arial"/>
        </w:rPr>
        <w:footnoteReference w:id="2"/>
      </w:r>
      <w:r w:rsidR="00BC1689" w:rsidRPr="00BC1689">
        <w:rPr>
          <w:rFonts w:ascii="Arial" w:hAnsi="Arial" w:cs="Arial"/>
        </w:rPr>
        <w:t xml:space="preserve">  Rather than a piecemeal presentation of disconnected stories taught to the populace at the direction of the Roman Catholic Church, the Protestant movement sought to make the Bible available as an accessible literary whole.</w:t>
      </w:r>
      <w:r w:rsidR="00BC1689">
        <w:rPr>
          <w:rFonts w:ascii="Arial" w:hAnsi="Arial" w:cs="Arial"/>
        </w:rPr>
        <w:t xml:space="preserve"> </w:t>
      </w:r>
      <w:r w:rsidR="00BC1689" w:rsidRPr="00BC1689">
        <w:rPr>
          <w:rFonts w:ascii="Arial" w:hAnsi="Arial" w:cs="Arial"/>
        </w:rPr>
        <w:t>T</w:t>
      </w:r>
      <w:r w:rsidR="00B57B79" w:rsidRPr="00BC1689">
        <w:rPr>
          <w:rFonts w:ascii="Arial" w:hAnsi="Arial" w:cs="Arial"/>
        </w:rPr>
        <w:t>he literary critical approach</w:t>
      </w:r>
      <w:r w:rsidR="00BC1689" w:rsidRPr="00BC1689">
        <w:rPr>
          <w:rFonts w:ascii="Arial" w:hAnsi="Arial" w:cs="Arial"/>
        </w:rPr>
        <w:t>, then, provides an interesting way</w:t>
      </w:r>
      <w:r w:rsidR="00B57B79" w:rsidRPr="00BC1689">
        <w:rPr>
          <w:rFonts w:ascii="Arial" w:hAnsi="Arial" w:cs="Arial"/>
        </w:rPr>
        <w:t xml:space="preserve"> of viewing </w:t>
      </w:r>
      <w:r w:rsidR="00BC1689" w:rsidRPr="00BC1689">
        <w:rPr>
          <w:rFonts w:ascii="Arial" w:hAnsi="Arial" w:cs="Arial"/>
        </w:rPr>
        <w:t>the Bible allowing</w:t>
      </w:r>
      <w:r w:rsidR="00B57B79" w:rsidRPr="00BC1689">
        <w:rPr>
          <w:rFonts w:ascii="Arial" w:hAnsi="Arial" w:cs="Arial"/>
        </w:rPr>
        <w:t xml:space="preserve"> the text as a whole to speak to the reader</w:t>
      </w:r>
      <w:r w:rsidR="00BC1689" w:rsidRPr="00BC1689">
        <w:rPr>
          <w:rFonts w:ascii="Arial" w:hAnsi="Arial" w:cs="Arial"/>
        </w:rPr>
        <w:t xml:space="preserve"> who may appreciate</w:t>
      </w:r>
      <w:r w:rsidR="00BC1689">
        <w:rPr>
          <w:rFonts w:ascii="Arial" w:hAnsi="Arial" w:cs="Arial"/>
        </w:rPr>
        <w:t xml:space="preserve"> </w:t>
      </w:r>
      <w:r w:rsidR="00B57B79" w:rsidRPr="00BC1689">
        <w:rPr>
          <w:rFonts w:ascii="Arial" w:hAnsi="Arial" w:cs="Arial"/>
        </w:rPr>
        <w:t>“the dynamism of the world inside the text”.</w:t>
      </w:r>
      <w:r w:rsidR="00B57B79" w:rsidRPr="00BC1689">
        <w:rPr>
          <w:rStyle w:val="FootnoteReference"/>
          <w:rFonts w:ascii="Arial" w:hAnsi="Arial" w:cs="Arial"/>
        </w:rPr>
        <w:footnoteReference w:id="3"/>
      </w:r>
      <w:r w:rsidR="00B57B79" w:rsidRPr="00BC1689">
        <w:rPr>
          <w:rFonts w:ascii="Arial" w:hAnsi="Arial" w:cs="Arial"/>
        </w:rPr>
        <w:t xml:space="preserve">  </w:t>
      </w:r>
    </w:p>
    <w:p w:rsidR="003C204F" w:rsidRDefault="00077BA9">
      <w:pPr>
        <w:rPr>
          <w:rFonts w:ascii="Arial" w:hAnsi="Arial" w:cs="Arial"/>
        </w:rPr>
      </w:pPr>
      <w:r>
        <w:rPr>
          <w:rFonts w:ascii="Arial" w:hAnsi="Arial" w:cs="Arial"/>
        </w:rPr>
        <w:lastRenderedPageBreak/>
        <w:t>Feminist exegesis is not a technique for biblical interpretation,</w:t>
      </w:r>
      <w:r w:rsidR="00AF2A85">
        <w:rPr>
          <w:rFonts w:ascii="Arial" w:hAnsi="Arial" w:cs="Arial"/>
        </w:rPr>
        <w:t xml:space="preserve"> but a critical engagement with </w:t>
      </w:r>
      <w:r>
        <w:rPr>
          <w:rFonts w:ascii="Arial" w:hAnsi="Arial" w:cs="Arial"/>
        </w:rPr>
        <w:t xml:space="preserve">the text with the intention of contributing to the liberation and empowering of women and as such it employs a range of methodologies which it subjects to a feminist critique.  </w:t>
      </w:r>
      <w:r w:rsidR="0072425E">
        <w:rPr>
          <w:rFonts w:ascii="Arial" w:hAnsi="Arial" w:cs="Arial"/>
        </w:rPr>
        <w:t>Ringe states that what makes a reading specifically feminist is “commitment to the physical, psychological and social wellbeing of all women through the unmasking,</w:t>
      </w:r>
      <w:r w:rsidR="008133D5">
        <w:rPr>
          <w:rFonts w:ascii="Arial" w:hAnsi="Arial" w:cs="Arial"/>
        </w:rPr>
        <w:t xml:space="preserve"> revisioning and transformation</w:t>
      </w:r>
      <w:r w:rsidR="0072425E">
        <w:rPr>
          <w:rFonts w:ascii="Arial" w:hAnsi="Arial" w:cs="Arial"/>
        </w:rPr>
        <w:t xml:space="preserve"> of the institutions, social systems and ideologies … in which a small group of elite males is dominant over all women and many men”.</w:t>
      </w:r>
      <w:r w:rsidR="0072425E">
        <w:rPr>
          <w:rStyle w:val="FootnoteReference"/>
          <w:rFonts w:ascii="Arial" w:hAnsi="Arial" w:cs="Arial"/>
        </w:rPr>
        <w:footnoteReference w:id="4"/>
      </w:r>
      <w:r w:rsidR="0072425E">
        <w:rPr>
          <w:rFonts w:ascii="Arial" w:hAnsi="Arial" w:cs="Arial"/>
        </w:rPr>
        <w:t xml:space="preserve">  </w:t>
      </w:r>
      <w:r w:rsidR="006C17A4">
        <w:rPr>
          <w:rFonts w:ascii="Arial" w:hAnsi="Arial" w:cs="Arial"/>
        </w:rPr>
        <w:t>She describes this process as neither simple, since it deals with complex realities in which women experience status inconsistencies</w:t>
      </w:r>
      <w:r w:rsidR="008133D5">
        <w:rPr>
          <w:rFonts w:ascii="Arial" w:hAnsi="Arial" w:cs="Arial"/>
        </w:rPr>
        <w:t>,</w:t>
      </w:r>
      <w:r w:rsidR="006C17A4">
        <w:rPr>
          <w:rFonts w:ascii="Arial" w:hAnsi="Arial" w:cs="Arial"/>
        </w:rPr>
        <w:t xml:space="preserve"> i.e. relative autonomy in one area and relative powerlessness in another, nor easy since it requires reading against the texts and living against the grain.  </w:t>
      </w:r>
      <w:r w:rsidR="00D47AA8">
        <w:rPr>
          <w:rFonts w:ascii="Arial" w:hAnsi="Arial" w:cs="Arial"/>
        </w:rPr>
        <w:t>Wacker notes that feminist scholarship carries out its work in a biased state striving “to uncover unexamined sexual dualism and stereotypes of femininity … to develop approaches … that do justice to women”.</w:t>
      </w:r>
      <w:r w:rsidR="00D47AA8">
        <w:rPr>
          <w:rStyle w:val="FootnoteReference"/>
          <w:rFonts w:ascii="Arial" w:hAnsi="Arial" w:cs="Arial"/>
        </w:rPr>
        <w:footnoteReference w:id="5"/>
      </w:r>
      <w:r w:rsidR="00D47AA8">
        <w:rPr>
          <w:rFonts w:ascii="Arial" w:hAnsi="Arial" w:cs="Arial"/>
        </w:rPr>
        <w:t xml:space="preserve">  </w:t>
      </w:r>
      <w:r>
        <w:rPr>
          <w:rFonts w:ascii="Arial" w:hAnsi="Arial" w:cs="Arial"/>
        </w:rPr>
        <w:t>The recognition of an inher</w:t>
      </w:r>
      <w:r w:rsidR="004C54E7">
        <w:rPr>
          <w:rFonts w:ascii="Arial" w:hAnsi="Arial" w:cs="Arial"/>
        </w:rPr>
        <w:t>ent conflict between acceptance</w:t>
      </w:r>
      <w:r>
        <w:rPr>
          <w:rFonts w:ascii="Arial" w:hAnsi="Arial" w:cs="Arial"/>
        </w:rPr>
        <w:t xml:space="preserve"> of the Bible as authoritative scripture alongside acknowledgement of the </w:t>
      </w:r>
      <w:r w:rsidR="004C54E7">
        <w:rPr>
          <w:rFonts w:ascii="Arial" w:hAnsi="Arial" w:cs="Arial"/>
        </w:rPr>
        <w:t>discrimination</w:t>
      </w:r>
      <w:r>
        <w:rPr>
          <w:rFonts w:ascii="Arial" w:hAnsi="Arial" w:cs="Arial"/>
        </w:rPr>
        <w:t xml:space="preserve">, </w:t>
      </w:r>
      <w:r w:rsidR="004C54E7">
        <w:rPr>
          <w:rFonts w:ascii="Arial" w:hAnsi="Arial" w:cs="Arial"/>
        </w:rPr>
        <w:t>particularly</w:t>
      </w:r>
      <w:r>
        <w:rPr>
          <w:rFonts w:ascii="Arial" w:hAnsi="Arial" w:cs="Arial"/>
        </w:rPr>
        <w:t xml:space="preserve"> in areas such as marriage and public speech</w:t>
      </w:r>
      <w:r w:rsidR="004C54E7">
        <w:rPr>
          <w:rFonts w:ascii="Arial" w:hAnsi="Arial" w:cs="Arial"/>
        </w:rPr>
        <w:t xml:space="preserve"> which the teaching of the Church bases upon it, is not new for Christian women.  The twelfth century Hildegarde of Bingen and the fifteenth century Christine de Pizan both raised (for their time) objections to the androcentric claims of the Bible. At the close of the nineteenth century Elizabeth Cady Stanton produced her Woman’s Bible accepting as sacred only texts which recognised woman as made in God’s image.  By the 1970s, with the rise of the women’s movement more generally, </w:t>
      </w:r>
      <w:r w:rsidR="00DD77EE">
        <w:rPr>
          <w:rFonts w:ascii="Arial" w:hAnsi="Arial" w:cs="Arial"/>
        </w:rPr>
        <w:t xml:space="preserve">work began to break the use of biblical texts to promote patriarchy.  </w:t>
      </w:r>
      <w:r w:rsidR="001E116F">
        <w:rPr>
          <w:rFonts w:ascii="Arial" w:hAnsi="Arial" w:cs="Arial"/>
        </w:rPr>
        <w:t xml:space="preserve">Mary </w:t>
      </w:r>
      <w:r w:rsidR="003C204F">
        <w:rPr>
          <w:rFonts w:ascii="Arial" w:hAnsi="Arial" w:cs="Arial"/>
        </w:rPr>
        <w:t>Daly, quoted by Loades, noted that “it might be interesting to speculate upon the probable length of a ‘depatriarchalized Bible’.  Perhaps there would be enough salvageable material to comprise an interesting pamphlet”.</w:t>
      </w:r>
      <w:r w:rsidR="003C204F">
        <w:rPr>
          <w:rStyle w:val="FootnoteReference"/>
          <w:rFonts w:ascii="Arial" w:hAnsi="Arial" w:cs="Arial"/>
        </w:rPr>
        <w:footnoteReference w:id="6"/>
      </w:r>
      <w:r w:rsidR="003C204F">
        <w:rPr>
          <w:rFonts w:ascii="Arial" w:hAnsi="Arial" w:cs="Arial"/>
        </w:rPr>
        <w:t xml:space="preserve">  </w:t>
      </w:r>
    </w:p>
    <w:p w:rsidR="000A1E70" w:rsidRDefault="008133D5">
      <w:pPr>
        <w:rPr>
          <w:rFonts w:ascii="Arial" w:hAnsi="Arial" w:cs="Arial"/>
        </w:rPr>
      </w:pPr>
      <w:r>
        <w:rPr>
          <w:rFonts w:ascii="Arial" w:hAnsi="Arial" w:cs="Arial"/>
        </w:rPr>
        <w:t>Initially this work focus</w:t>
      </w:r>
      <w:r w:rsidR="00DD77EE">
        <w:rPr>
          <w:rFonts w:ascii="Arial" w:hAnsi="Arial" w:cs="Arial"/>
        </w:rPr>
        <w:t xml:space="preserve">ed on female presentations </w:t>
      </w:r>
      <w:r w:rsidR="003C204F">
        <w:rPr>
          <w:rFonts w:ascii="Arial" w:hAnsi="Arial" w:cs="Arial"/>
        </w:rPr>
        <w:t xml:space="preserve">and imagery </w:t>
      </w:r>
      <w:r w:rsidR="00DD77EE">
        <w:rPr>
          <w:rFonts w:ascii="Arial" w:hAnsi="Arial" w:cs="Arial"/>
        </w:rPr>
        <w:t>of God in the Bible and on the female characters within it.  The matriarchs of the Hebrew Bible, the women who accompanied Jesus and other lesser known female figures were reassessed</w:t>
      </w:r>
      <w:r w:rsidR="00284EB6">
        <w:rPr>
          <w:rFonts w:ascii="Arial" w:hAnsi="Arial" w:cs="Arial"/>
        </w:rPr>
        <w:t xml:space="preserve"> and rediscovered</w:t>
      </w:r>
      <w:r w:rsidR="00DD77EE">
        <w:rPr>
          <w:rFonts w:ascii="Arial" w:hAnsi="Arial" w:cs="Arial"/>
        </w:rPr>
        <w:t xml:space="preserve">.  Images of God as “mother” </w:t>
      </w:r>
      <w:r w:rsidR="001E116F">
        <w:rPr>
          <w:rFonts w:ascii="Arial" w:hAnsi="Arial" w:cs="Arial"/>
        </w:rPr>
        <w:t xml:space="preserve">(e.g. Isa 42:14) </w:t>
      </w:r>
      <w:r w:rsidR="00DD77EE">
        <w:rPr>
          <w:rFonts w:ascii="Arial" w:hAnsi="Arial" w:cs="Arial"/>
        </w:rPr>
        <w:t xml:space="preserve">and the Holy Spirit as feminine provided new language for prayer and efforts were made to construct a counter weight from traces of women found within the biblical text.  </w:t>
      </w:r>
      <w:r w:rsidR="001E116F">
        <w:rPr>
          <w:rFonts w:ascii="Arial" w:hAnsi="Arial" w:cs="Arial"/>
        </w:rPr>
        <w:t xml:space="preserve">Exegetes such as </w:t>
      </w:r>
      <w:r w:rsidR="00D47AA8">
        <w:rPr>
          <w:rFonts w:ascii="Arial" w:hAnsi="Arial" w:cs="Arial"/>
        </w:rPr>
        <w:t>Phyllis</w:t>
      </w:r>
      <w:r w:rsidR="001E116F">
        <w:rPr>
          <w:rFonts w:ascii="Arial" w:hAnsi="Arial" w:cs="Arial"/>
        </w:rPr>
        <w:t xml:space="preserve"> Trible, who utilised a literary approach</w:t>
      </w:r>
      <w:r w:rsidR="00D47AA8">
        <w:rPr>
          <w:rFonts w:ascii="Arial" w:hAnsi="Arial" w:cs="Arial"/>
        </w:rPr>
        <w:t xml:space="preserve"> to the text, were largely positi</w:t>
      </w:r>
      <w:r w:rsidR="001E116F">
        <w:rPr>
          <w:rFonts w:ascii="Arial" w:hAnsi="Arial" w:cs="Arial"/>
        </w:rPr>
        <w:t xml:space="preserve">ve about the Bible.  Her view of the creation </w:t>
      </w:r>
      <w:r w:rsidR="006211C7">
        <w:rPr>
          <w:rFonts w:ascii="Arial" w:hAnsi="Arial" w:cs="Arial"/>
        </w:rPr>
        <w:t>story focuses</w:t>
      </w:r>
      <w:r w:rsidR="001E116F">
        <w:rPr>
          <w:rFonts w:ascii="Arial" w:hAnsi="Arial" w:cs="Arial"/>
        </w:rPr>
        <w:t xml:space="preserve"> on male and female life originating </w:t>
      </w:r>
      <w:r w:rsidR="00D47AA8">
        <w:rPr>
          <w:rFonts w:ascii="Arial" w:hAnsi="Arial" w:cs="Arial"/>
        </w:rPr>
        <w:t>wit</w:t>
      </w:r>
      <w:r w:rsidR="001E116F">
        <w:rPr>
          <w:rFonts w:ascii="Arial" w:hAnsi="Arial" w:cs="Arial"/>
        </w:rPr>
        <w:t>h</w:t>
      </w:r>
      <w:r w:rsidR="00D47AA8">
        <w:rPr>
          <w:rFonts w:ascii="Arial" w:hAnsi="Arial" w:cs="Arial"/>
        </w:rPr>
        <w:t xml:space="preserve"> </w:t>
      </w:r>
      <w:r w:rsidR="006211C7">
        <w:rPr>
          <w:rFonts w:ascii="Arial" w:hAnsi="Arial" w:cs="Arial"/>
        </w:rPr>
        <w:t>God and the woman corresponding</w:t>
      </w:r>
      <w:r w:rsidR="001E116F">
        <w:rPr>
          <w:rFonts w:ascii="Arial" w:hAnsi="Arial" w:cs="Arial"/>
        </w:rPr>
        <w:t xml:space="preserve"> to the man in full </w:t>
      </w:r>
      <w:r w:rsidR="00D47AA8">
        <w:rPr>
          <w:rFonts w:ascii="Arial" w:hAnsi="Arial" w:cs="Arial"/>
        </w:rPr>
        <w:t>companionship</w:t>
      </w:r>
      <w:r w:rsidR="001E116F">
        <w:rPr>
          <w:rFonts w:ascii="Arial" w:hAnsi="Arial" w:cs="Arial"/>
        </w:rPr>
        <w:t>.  She is ‘</w:t>
      </w:r>
      <w:r w:rsidR="00D47AA8">
        <w:rPr>
          <w:rFonts w:ascii="Arial" w:hAnsi="Arial" w:cs="Arial"/>
        </w:rPr>
        <w:t>help</w:t>
      </w:r>
      <w:r w:rsidR="001E116F">
        <w:rPr>
          <w:rFonts w:ascii="Arial" w:hAnsi="Arial" w:cs="Arial"/>
        </w:rPr>
        <w:t>er’, but so is the God who saves and it is she who discusses theology</w:t>
      </w:r>
      <w:r w:rsidR="00D47AA8">
        <w:rPr>
          <w:rFonts w:ascii="Arial" w:hAnsi="Arial" w:cs="Arial"/>
        </w:rPr>
        <w:t xml:space="preserve"> wit</w:t>
      </w:r>
      <w:r w:rsidR="001E116F">
        <w:rPr>
          <w:rFonts w:ascii="Arial" w:hAnsi="Arial" w:cs="Arial"/>
        </w:rPr>
        <w:t>h</w:t>
      </w:r>
      <w:r w:rsidR="00D47AA8">
        <w:rPr>
          <w:rFonts w:ascii="Arial" w:hAnsi="Arial" w:cs="Arial"/>
        </w:rPr>
        <w:t xml:space="preserve"> </w:t>
      </w:r>
      <w:r w:rsidR="001E116F">
        <w:rPr>
          <w:rFonts w:ascii="Arial" w:hAnsi="Arial" w:cs="Arial"/>
        </w:rPr>
        <w:t xml:space="preserve">the serpent.  Although </w:t>
      </w:r>
      <w:r w:rsidR="00D47AA8">
        <w:rPr>
          <w:rFonts w:ascii="Arial" w:hAnsi="Arial" w:cs="Arial"/>
        </w:rPr>
        <w:t>fundamentally</w:t>
      </w:r>
      <w:r w:rsidR="001E116F">
        <w:rPr>
          <w:rFonts w:ascii="Arial" w:hAnsi="Arial" w:cs="Arial"/>
        </w:rPr>
        <w:t xml:space="preserve"> positive, </w:t>
      </w:r>
      <w:r w:rsidR="00C97CB8">
        <w:rPr>
          <w:rFonts w:ascii="Arial" w:hAnsi="Arial" w:cs="Arial"/>
        </w:rPr>
        <w:t>T</w:t>
      </w:r>
      <w:r w:rsidR="001E116F">
        <w:rPr>
          <w:rFonts w:ascii="Arial" w:hAnsi="Arial" w:cs="Arial"/>
        </w:rPr>
        <w:t xml:space="preserve">rible does not </w:t>
      </w:r>
      <w:r w:rsidR="00D47AA8">
        <w:rPr>
          <w:rFonts w:ascii="Arial" w:hAnsi="Arial" w:cs="Arial"/>
        </w:rPr>
        <w:t>s</w:t>
      </w:r>
      <w:r w:rsidR="001E116F">
        <w:rPr>
          <w:rFonts w:ascii="Arial" w:hAnsi="Arial" w:cs="Arial"/>
        </w:rPr>
        <w:t>hy away from texts which d</w:t>
      </w:r>
      <w:r w:rsidR="00D47AA8">
        <w:rPr>
          <w:rFonts w:ascii="Arial" w:hAnsi="Arial" w:cs="Arial"/>
        </w:rPr>
        <w:t>e</w:t>
      </w:r>
      <w:r w:rsidR="001E116F">
        <w:rPr>
          <w:rFonts w:ascii="Arial" w:hAnsi="Arial" w:cs="Arial"/>
        </w:rPr>
        <w:t>al with</w:t>
      </w:r>
      <w:r w:rsidR="00C97CB8">
        <w:rPr>
          <w:rFonts w:ascii="Arial" w:hAnsi="Arial" w:cs="Arial"/>
        </w:rPr>
        <w:t xml:space="preserve"> slavery, rape and murder.  </w:t>
      </w:r>
      <w:r w:rsidR="00DD77EE">
        <w:rPr>
          <w:rFonts w:ascii="Arial" w:hAnsi="Arial" w:cs="Arial"/>
        </w:rPr>
        <w:t xml:space="preserve">However, there was increasing recognition that the Bible itself - its </w:t>
      </w:r>
      <w:r w:rsidR="00284EB6">
        <w:rPr>
          <w:rFonts w:ascii="Arial" w:hAnsi="Arial" w:cs="Arial"/>
        </w:rPr>
        <w:t xml:space="preserve">authors, </w:t>
      </w:r>
      <w:r w:rsidR="00DD77EE">
        <w:rPr>
          <w:rFonts w:ascii="Arial" w:hAnsi="Arial" w:cs="Arial"/>
        </w:rPr>
        <w:t>its world</w:t>
      </w:r>
      <w:r w:rsidR="00284EB6">
        <w:rPr>
          <w:rFonts w:ascii="Arial" w:hAnsi="Arial" w:cs="Arial"/>
        </w:rPr>
        <w:t xml:space="preserve"> and the position of women within it</w:t>
      </w:r>
      <w:r w:rsidR="00DD77EE">
        <w:rPr>
          <w:rFonts w:ascii="Arial" w:hAnsi="Arial" w:cs="Arial"/>
        </w:rPr>
        <w:t xml:space="preserve"> </w:t>
      </w:r>
      <w:r w:rsidR="00284EB6">
        <w:rPr>
          <w:rFonts w:ascii="Arial" w:hAnsi="Arial" w:cs="Arial"/>
        </w:rPr>
        <w:t>–</w:t>
      </w:r>
      <w:r w:rsidR="00DD77EE">
        <w:rPr>
          <w:rFonts w:ascii="Arial" w:hAnsi="Arial" w:cs="Arial"/>
        </w:rPr>
        <w:t xml:space="preserve"> </w:t>
      </w:r>
      <w:r w:rsidR="00284EB6">
        <w:rPr>
          <w:rFonts w:ascii="Arial" w:hAnsi="Arial" w:cs="Arial"/>
        </w:rPr>
        <w:t xml:space="preserve">was a systemically androcentric document and that a new hermeneutical approach would be required.  In the early 1980s Elizabeth Schüssler-Fiorenza established a four step feminist hermeneutic for the New Testament:  ‘of suspicion’ which aimed to uncover systemic </w:t>
      </w:r>
      <w:r w:rsidR="00726D21">
        <w:rPr>
          <w:rFonts w:ascii="Arial" w:hAnsi="Arial" w:cs="Arial"/>
        </w:rPr>
        <w:t>androcentric</w:t>
      </w:r>
      <w:r w:rsidR="005D7F89">
        <w:rPr>
          <w:rFonts w:ascii="Arial" w:hAnsi="Arial" w:cs="Arial"/>
        </w:rPr>
        <w:t>ity</w:t>
      </w:r>
      <w:r w:rsidR="00284EB6">
        <w:rPr>
          <w:rFonts w:ascii="Arial" w:hAnsi="Arial" w:cs="Arial"/>
        </w:rPr>
        <w:t xml:space="preserve">, ‘of remembrance’ </w:t>
      </w:r>
      <w:r w:rsidR="00726D21">
        <w:rPr>
          <w:rFonts w:ascii="Arial" w:hAnsi="Arial" w:cs="Arial"/>
        </w:rPr>
        <w:t>which</w:t>
      </w:r>
      <w:r w:rsidR="00284EB6">
        <w:rPr>
          <w:rFonts w:ascii="Arial" w:hAnsi="Arial" w:cs="Arial"/>
        </w:rPr>
        <w:t xml:space="preserve"> went back to </w:t>
      </w:r>
      <w:r w:rsidR="00726D21">
        <w:rPr>
          <w:rFonts w:ascii="Arial" w:hAnsi="Arial" w:cs="Arial"/>
        </w:rPr>
        <w:t>the</w:t>
      </w:r>
      <w:r w:rsidR="00284EB6">
        <w:rPr>
          <w:rFonts w:ascii="Arial" w:hAnsi="Arial" w:cs="Arial"/>
        </w:rPr>
        <w:t xml:space="preserve"> position of women in the </w:t>
      </w:r>
      <w:r w:rsidR="00726D21">
        <w:rPr>
          <w:rFonts w:ascii="Arial" w:hAnsi="Arial" w:cs="Arial"/>
        </w:rPr>
        <w:lastRenderedPageBreak/>
        <w:t>early</w:t>
      </w:r>
      <w:r w:rsidR="00284EB6">
        <w:rPr>
          <w:rFonts w:ascii="Arial" w:hAnsi="Arial" w:cs="Arial"/>
        </w:rPr>
        <w:t xml:space="preserve"> </w:t>
      </w:r>
      <w:r w:rsidR="00726D21">
        <w:rPr>
          <w:rFonts w:ascii="Arial" w:hAnsi="Arial" w:cs="Arial"/>
        </w:rPr>
        <w:t>Jesus</w:t>
      </w:r>
      <w:r w:rsidR="00284EB6">
        <w:rPr>
          <w:rFonts w:ascii="Arial" w:hAnsi="Arial" w:cs="Arial"/>
        </w:rPr>
        <w:t xml:space="preserve"> movement, ‘of proclamation’ which was a conscious </w:t>
      </w:r>
      <w:r w:rsidR="00726D21">
        <w:rPr>
          <w:rFonts w:ascii="Arial" w:hAnsi="Arial" w:cs="Arial"/>
        </w:rPr>
        <w:t>interpretation</w:t>
      </w:r>
      <w:r w:rsidR="00284EB6">
        <w:rPr>
          <w:rFonts w:ascii="Arial" w:hAnsi="Arial" w:cs="Arial"/>
        </w:rPr>
        <w:t xml:space="preserve"> of the text as a liberation document for women which silenced texts </w:t>
      </w:r>
      <w:r w:rsidR="00726D21">
        <w:rPr>
          <w:rFonts w:ascii="Arial" w:hAnsi="Arial" w:cs="Arial"/>
        </w:rPr>
        <w:t>which</w:t>
      </w:r>
      <w:r w:rsidR="00284EB6">
        <w:rPr>
          <w:rFonts w:ascii="Arial" w:hAnsi="Arial" w:cs="Arial"/>
        </w:rPr>
        <w:t xml:space="preserve"> opposed this an</w:t>
      </w:r>
      <w:r w:rsidR="00726D21">
        <w:rPr>
          <w:rFonts w:ascii="Arial" w:hAnsi="Arial" w:cs="Arial"/>
        </w:rPr>
        <w:t>d ‘</w:t>
      </w:r>
      <w:r w:rsidR="00284EB6">
        <w:rPr>
          <w:rFonts w:ascii="Arial" w:hAnsi="Arial" w:cs="Arial"/>
        </w:rPr>
        <w:t>of</w:t>
      </w:r>
      <w:r w:rsidR="00726D21">
        <w:rPr>
          <w:rFonts w:ascii="Arial" w:hAnsi="Arial" w:cs="Arial"/>
        </w:rPr>
        <w:t xml:space="preserve"> creative actualization’ which made space for a methodologically freer approach to the Bible.  From a starting point of the belief that the Jesus Movement was “a discipleship of equals”, the history of Christianity can be traced in a feminist critical way.  At the same time Rosemary Radford-Ruther provided a critical approach to Christian interpretation of the Hebrew Bible with a focus on prophetic material and a bi-gendered notion of God.  Against this egalitarian feminist approach </w:t>
      </w:r>
      <w:r w:rsidR="007262AE">
        <w:rPr>
          <w:rFonts w:ascii="Arial" w:hAnsi="Arial" w:cs="Arial"/>
        </w:rPr>
        <w:t xml:space="preserve">there also </w:t>
      </w:r>
      <w:r w:rsidR="00726D21">
        <w:rPr>
          <w:rFonts w:ascii="Arial" w:hAnsi="Arial" w:cs="Arial"/>
        </w:rPr>
        <w:t>developed a “gynocentric paradigm” recognising a suppression of the primal goddess in early Israel for which the Hebrew Bible was the tool.</w:t>
      </w:r>
      <w:r w:rsidR="007262AE">
        <w:rPr>
          <w:rFonts w:ascii="Arial" w:hAnsi="Arial" w:cs="Arial"/>
        </w:rPr>
        <w:t xml:space="preserve">  </w:t>
      </w:r>
    </w:p>
    <w:p w:rsidR="007262AE" w:rsidRDefault="007262AE">
      <w:pPr>
        <w:rPr>
          <w:rFonts w:ascii="Arial" w:hAnsi="Arial" w:cs="Arial"/>
        </w:rPr>
      </w:pPr>
      <w:r w:rsidRPr="00761A1C">
        <w:rPr>
          <w:rFonts w:ascii="Arial" w:hAnsi="Arial" w:cs="Arial"/>
        </w:rPr>
        <w:t xml:space="preserve">These early feminist exegetes were </w:t>
      </w:r>
      <w:r w:rsidR="00D829AE">
        <w:rPr>
          <w:rFonts w:ascii="Arial" w:hAnsi="Arial" w:cs="Arial"/>
        </w:rPr>
        <w:t xml:space="preserve">usually </w:t>
      </w:r>
      <w:r w:rsidRPr="00761A1C">
        <w:rPr>
          <w:rFonts w:ascii="Arial" w:hAnsi="Arial" w:cs="Arial"/>
        </w:rPr>
        <w:t xml:space="preserve">white, well-educated and privileged Western women </w:t>
      </w:r>
      <w:r w:rsidR="00761A1C" w:rsidRPr="00761A1C">
        <w:rPr>
          <w:rFonts w:ascii="Arial" w:hAnsi="Arial" w:cs="Arial"/>
        </w:rPr>
        <w:t>(</w:t>
      </w:r>
      <w:r w:rsidR="00761A1C">
        <w:rPr>
          <w:rFonts w:ascii="Arial" w:hAnsi="Arial" w:cs="Arial"/>
        </w:rPr>
        <w:t>interesting since m</w:t>
      </w:r>
      <w:r w:rsidR="00761A1C" w:rsidRPr="00761A1C">
        <w:rPr>
          <w:rFonts w:ascii="Arial" w:hAnsi="Arial" w:cs="Arial"/>
        </w:rPr>
        <w:t>uch feminist criticism took is</w:t>
      </w:r>
      <w:r w:rsidR="00761A1C">
        <w:rPr>
          <w:rFonts w:ascii="Arial" w:hAnsi="Arial" w:cs="Arial"/>
        </w:rPr>
        <w:t>sue with the status</w:t>
      </w:r>
      <w:r w:rsidR="00761A1C" w:rsidRPr="00761A1C">
        <w:rPr>
          <w:rFonts w:ascii="Arial" w:hAnsi="Arial" w:cs="Arial"/>
        </w:rPr>
        <w:t xml:space="preserve"> </w:t>
      </w:r>
      <w:r w:rsidR="00761A1C">
        <w:rPr>
          <w:rFonts w:ascii="Arial" w:hAnsi="Arial" w:cs="Arial"/>
        </w:rPr>
        <w:t>of the white W</w:t>
      </w:r>
      <w:r w:rsidR="00761A1C" w:rsidRPr="00761A1C">
        <w:rPr>
          <w:rFonts w:ascii="Arial" w:hAnsi="Arial" w:cs="Arial"/>
        </w:rPr>
        <w:t>estern privil</w:t>
      </w:r>
      <w:r w:rsidR="00761A1C">
        <w:rPr>
          <w:rFonts w:ascii="Arial" w:hAnsi="Arial" w:cs="Arial"/>
        </w:rPr>
        <w:t xml:space="preserve">eged male </w:t>
      </w:r>
      <w:r w:rsidR="00761A1C" w:rsidRPr="00761A1C">
        <w:rPr>
          <w:rFonts w:ascii="Arial" w:hAnsi="Arial" w:cs="Arial"/>
        </w:rPr>
        <w:t>practitioners</w:t>
      </w:r>
      <w:r w:rsidR="00761A1C">
        <w:rPr>
          <w:rFonts w:ascii="Arial" w:hAnsi="Arial" w:cs="Arial"/>
        </w:rPr>
        <w:t xml:space="preserve"> of </w:t>
      </w:r>
      <w:r w:rsidR="00D829AE">
        <w:rPr>
          <w:rFonts w:ascii="Arial" w:hAnsi="Arial" w:cs="Arial"/>
        </w:rPr>
        <w:t xml:space="preserve">earlier </w:t>
      </w:r>
      <w:r w:rsidR="00761A1C">
        <w:rPr>
          <w:rFonts w:ascii="Arial" w:hAnsi="Arial" w:cs="Arial"/>
        </w:rPr>
        <w:t xml:space="preserve">biblical scholarship) </w:t>
      </w:r>
      <w:r>
        <w:rPr>
          <w:rFonts w:ascii="Arial" w:hAnsi="Arial" w:cs="Arial"/>
        </w:rPr>
        <w:t>and criticism came from two fronts.  From a Womanist</w:t>
      </w:r>
      <w:r w:rsidR="00D829AE">
        <w:rPr>
          <w:rFonts w:ascii="Arial" w:hAnsi="Arial" w:cs="Arial"/>
        </w:rPr>
        <w:t>/</w:t>
      </w:r>
      <w:r w:rsidR="00761A1C">
        <w:rPr>
          <w:rFonts w:ascii="Arial" w:hAnsi="Arial" w:cs="Arial"/>
        </w:rPr>
        <w:t>Mujerista</w:t>
      </w:r>
      <w:r>
        <w:rPr>
          <w:rFonts w:ascii="Arial" w:hAnsi="Arial" w:cs="Arial"/>
        </w:rPr>
        <w:t xml:space="preserve"> perspective the </w:t>
      </w:r>
      <w:r w:rsidR="00761A1C">
        <w:rPr>
          <w:rFonts w:ascii="Arial" w:hAnsi="Arial" w:cs="Arial"/>
        </w:rPr>
        <w:t>charge of racism was levelled</w:t>
      </w:r>
      <w:r w:rsidR="00D829AE">
        <w:rPr>
          <w:rFonts w:ascii="Arial" w:hAnsi="Arial" w:cs="Arial"/>
        </w:rPr>
        <w:t>,</w:t>
      </w:r>
      <w:r w:rsidR="00761A1C">
        <w:rPr>
          <w:rFonts w:ascii="Arial" w:hAnsi="Arial" w:cs="Arial"/>
        </w:rPr>
        <w:t xml:space="preserve"> along with the failure to listen adequately to the voices of women from the Two Thirds World.  </w:t>
      </w:r>
      <w:r>
        <w:rPr>
          <w:rFonts w:ascii="Arial" w:hAnsi="Arial" w:cs="Arial"/>
        </w:rPr>
        <w:t xml:space="preserve">Feminist historiography made no </w:t>
      </w:r>
      <w:r w:rsidR="00D8075A">
        <w:rPr>
          <w:rFonts w:ascii="Arial" w:hAnsi="Arial" w:cs="Arial"/>
        </w:rPr>
        <w:t>reference</w:t>
      </w:r>
      <w:r>
        <w:rPr>
          <w:rFonts w:ascii="Arial" w:hAnsi="Arial" w:cs="Arial"/>
        </w:rPr>
        <w:t xml:space="preserve"> to Sojourner Truth alongside Cady-Stanton, </w:t>
      </w:r>
      <w:r w:rsidR="0072425E">
        <w:rPr>
          <w:rFonts w:ascii="Arial" w:hAnsi="Arial" w:cs="Arial"/>
        </w:rPr>
        <w:t xml:space="preserve">for example, </w:t>
      </w:r>
      <w:r w:rsidR="00D8075A">
        <w:rPr>
          <w:rFonts w:ascii="Arial" w:hAnsi="Arial" w:cs="Arial"/>
        </w:rPr>
        <w:t>whose role as representor of all Black women who fought for the abolition of slavery and women’s rights with specific reference to the Bible.  Womanist</w:t>
      </w:r>
      <w:r w:rsidR="005D7F89">
        <w:rPr>
          <w:rFonts w:ascii="Arial" w:hAnsi="Arial" w:cs="Arial"/>
        </w:rPr>
        <w:t>/Mujerista</w:t>
      </w:r>
      <w:r w:rsidR="00D8075A">
        <w:rPr>
          <w:rFonts w:ascii="Arial" w:hAnsi="Arial" w:cs="Arial"/>
        </w:rPr>
        <w:t xml:space="preserve"> exegesis is concerned with the three fold discrimination of skin co</w:t>
      </w:r>
      <w:r w:rsidR="00D829AE">
        <w:rPr>
          <w:rFonts w:ascii="Arial" w:hAnsi="Arial" w:cs="Arial"/>
        </w:rPr>
        <w:t>lour, economic hierarchy and gender</w:t>
      </w:r>
      <w:r w:rsidR="00D8075A">
        <w:rPr>
          <w:rFonts w:ascii="Arial" w:hAnsi="Arial" w:cs="Arial"/>
        </w:rPr>
        <w:t xml:space="preserve">. From a Jewish Feminist perspective came the charge of anti-Judaism.  The “murdering of the goddess” charge levelled against patriarchal Israel </w:t>
      </w:r>
      <w:r w:rsidR="00EE7943">
        <w:rPr>
          <w:rFonts w:ascii="Arial" w:hAnsi="Arial" w:cs="Arial"/>
        </w:rPr>
        <w:t>risked being</w:t>
      </w:r>
      <w:r w:rsidR="00D8075A">
        <w:rPr>
          <w:rFonts w:ascii="Arial" w:hAnsi="Arial" w:cs="Arial"/>
        </w:rPr>
        <w:t xml:space="preserve"> a direct replacement for the trope of Jews as “Christ killers”.  The image of an egalitarian Jesus movement </w:t>
      </w:r>
      <w:r w:rsidR="00D47AA8">
        <w:rPr>
          <w:rFonts w:ascii="Arial" w:hAnsi="Arial" w:cs="Arial"/>
        </w:rPr>
        <w:t xml:space="preserve">in which Jesus’ attitude to women is flagged as revolutionary, </w:t>
      </w:r>
      <w:r w:rsidR="00D8075A">
        <w:rPr>
          <w:rFonts w:ascii="Arial" w:hAnsi="Arial" w:cs="Arial"/>
        </w:rPr>
        <w:t>risked</w:t>
      </w:r>
      <w:r w:rsidR="00EE7943">
        <w:rPr>
          <w:rFonts w:ascii="Arial" w:hAnsi="Arial" w:cs="Arial"/>
        </w:rPr>
        <w:t xml:space="preserve"> being</w:t>
      </w:r>
      <w:r w:rsidR="00D8075A">
        <w:rPr>
          <w:rFonts w:ascii="Arial" w:hAnsi="Arial" w:cs="Arial"/>
        </w:rPr>
        <w:t xml:space="preserve"> presented in direct contrast to the patriarchal Judaism of the time</w:t>
      </w:r>
      <w:r w:rsidR="00EE7943">
        <w:rPr>
          <w:rFonts w:ascii="Arial" w:hAnsi="Arial" w:cs="Arial"/>
        </w:rPr>
        <w:t xml:space="preserve"> giving further weight to anti-Jewish prejudice</w:t>
      </w:r>
      <w:r w:rsidR="00D8075A">
        <w:rPr>
          <w:rFonts w:ascii="Arial" w:hAnsi="Arial" w:cs="Arial"/>
        </w:rPr>
        <w:t xml:space="preserve">.  </w:t>
      </w:r>
      <w:r w:rsidR="00D47AA8">
        <w:rPr>
          <w:rFonts w:ascii="Arial" w:hAnsi="Arial" w:cs="Arial"/>
        </w:rPr>
        <w:t>When Pauline teaching is set in the context of a split between his Jewish background and Christian conversion</w:t>
      </w:r>
      <w:r w:rsidR="00D829AE">
        <w:rPr>
          <w:rFonts w:ascii="Arial" w:hAnsi="Arial" w:cs="Arial"/>
        </w:rPr>
        <w:t>,</w:t>
      </w:r>
      <w:r w:rsidR="00D47AA8">
        <w:rPr>
          <w:rFonts w:ascii="Arial" w:hAnsi="Arial" w:cs="Arial"/>
        </w:rPr>
        <w:t xml:space="preserve"> this prejudice is further reinforced.  </w:t>
      </w:r>
      <w:r w:rsidR="00EE7943">
        <w:rPr>
          <w:rFonts w:ascii="Arial" w:hAnsi="Arial" w:cs="Arial"/>
        </w:rPr>
        <w:t>A further criticism which can be levelled at these earlier feminist approaches was an almost unquestioning assumption that an “essence of the feminine” existed.  As a result of the issues raised by Womanist</w:t>
      </w:r>
      <w:r w:rsidR="005D7F89">
        <w:rPr>
          <w:rFonts w:ascii="Arial" w:hAnsi="Arial" w:cs="Arial"/>
        </w:rPr>
        <w:t>/Mujerista</w:t>
      </w:r>
      <w:r w:rsidR="00EE7943">
        <w:rPr>
          <w:rFonts w:ascii="Arial" w:hAnsi="Arial" w:cs="Arial"/>
        </w:rPr>
        <w:t xml:space="preserve"> and Jewish Feminist scholars, a recognition of the deep differences between women’s experience was acknowledged and became part of the </w:t>
      </w:r>
      <w:r w:rsidR="003C6F27">
        <w:rPr>
          <w:rFonts w:ascii="Arial" w:hAnsi="Arial" w:cs="Arial"/>
        </w:rPr>
        <w:t xml:space="preserve">feminist critical landscape. By distinguishing between biological sex and cultural gender, analysis of biological similarity and cultural difference became possible.  Motherhood, for example, once seen as </w:t>
      </w:r>
      <w:r w:rsidR="005D7F89">
        <w:rPr>
          <w:rFonts w:ascii="Arial" w:hAnsi="Arial" w:cs="Arial"/>
        </w:rPr>
        <w:t xml:space="preserve">a </w:t>
      </w:r>
      <w:r w:rsidR="003C6F27">
        <w:rPr>
          <w:rFonts w:ascii="Arial" w:hAnsi="Arial" w:cs="Arial"/>
        </w:rPr>
        <w:t>shared woman’s experience could be viewed from the perspective of the different valuations placed upon it.</w:t>
      </w:r>
    </w:p>
    <w:p w:rsidR="003C6F27" w:rsidRDefault="003C6F27">
      <w:pPr>
        <w:rPr>
          <w:rFonts w:ascii="Arial" w:hAnsi="Arial" w:cs="Arial"/>
        </w:rPr>
      </w:pPr>
      <w:r>
        <w:rPr>
          <w:rFonts w:ascii="Arial" w:hAnsi="Arial" w:cs="Arial"/>
        </w:rPr>
        <w:t xml:space="preserve">In the 1990s, a clearer distinction was drawn in feminist exegesis between the textual construction of female biblical characters (the literary level), the reality of women in the biblical period (the historical level) and connections with the present experience of exegetes (the theological and political level).  This has impacted on the position of women in ecclesiastical office and contemporary political feminist discussion around </w:t>
      </w:r>
      <w:r w:rsidR="00D829AE">
        <w:rPr>
          <w:rFonts w:ascii="Arial" w:hAnsi="Arial" w:cs="Arial"/>
        </w:rPr>
        <w:t xml:space="preserve">issues such as </w:t>
      </w:r>
      <w:r>
        <w:rPr>
          <w:rFonts w:ascii="Arial" w:hAnsi="Arial" w:cs="Arial"/>
        </w:rPr>
        <w:t>health, disability and sexual violence</w:t>
      </w:r>
      <w:r w:rsidR="006211C7">
        <w:rPr>
          <w:rFonts w:ascii="Arial" w:hAnsi="Arial" w:cs="Arial"/>
        </w:rPr>
        <w:t xml:space="preserve"> against women/girls.  </w:t>
      </w:r>
      <w:r w:rsidR="00633FBD">
        <w:rPr>
          <w:rFonts w:ascii="Arial" w:hAnsi="Arial" w:cs="Arial"/>
        </w:rPr>
        <w:t>Increasing</w:t>
      </w:r>
      <w:r w:rsidR="006211C7">
        <w:rPr>
          <w:rFonts w:ascii="Arial" w:hAnsi="Arial" w:cs="Arial"/>
        </w:rPr>
        <w:t xml:space="preserve"> g</w:t>
      </w:r>
      <w:r>
        <w:rPr>
          <w:rFonts w:ascii="Arial" w:hAnsi="Arial" w:cs="Arial"/>
        </w:rPr>
        <w:t xml:space="preserve">lobalization </w:t>
      </w:r>
      <w:r w:rsidR="006211C7">
        <w:rPr>
          <w:rFonts w:ascii="Arial" w:hAnsi="Arial" w:cs="Arial"/>
        </w:rPr>
        <w:t xml:space="preserve">in </w:t>
      </w:r>
      <w:r w:rsidR="00633FBD">
        <w:rPr>
          <w:rFonts w:ascii="Arial" w:hAnsi="Arial" w:cs="Arial"/>
        </w:rPr>
        <w:t>the</w:t>
      </w:r>
      <w:r w:rsidR="006211C7">
        <w:rPr>
          <w:rFonts w:ascii="Arial" w:hAnsi="Arial" w:cs="Arial"/>
        </w:rPr>
        <w:t xml:space="preserve"> twenty first century </w:t>
      </w:r>
      <w:r>
        <w:rPr>
          <w:rFonts w:ascii="Arial" w:hAnsi="Arial" w:cs="Arial"/>
        </w:rPr>
        <w:t>has enabled exchanges on these unifying themes</w:t>
      </w:r>
      <w:r w:rsidR="006211C7">
        <w:rPr>
          <w:rFonts w:ascii="Arial" w:hAnsi="Arial" w:cs="Arial"/>
        </w:rPr>
        <w:t xml:space="preserve"> and the discipline continues to develop.  There is now </w:t>
      </w:r>
      <w:r w:rsidR="00633FBD">
        <w:rPr>
          <w:rFonts w:ascii="Arial" w:hAnsi="Arial" w:cs="Arial"/>
        </w:rPr>
        <w:t>greater</w:t>
      </w:r>
      <w:r w:rsidR="006211C7">
        <w:rPr>
          <w:rFonts w:ascii="Arial" w:hAnsi="Arial" w:cs="Arial"/>
        </w:rPr>
        <w:t xml:space="preserve"> recognition of the challenges posed</w:t>
      </w:r>
      <w:r w:rsidR="00633FBD">
        <w:rPr>
          <w:rFonts w:ascii="Arial" w:hAnsi="Arial" w:cs="Arial"/>
        </w:rPr>
        <w:t xml:space="preserve"> through</w:t>
      </w:r>
      <w:r w:rsidR="006211C7">
        <w:rPr>
          <w:rFonts w:ascii="Arial" w:hAnsi="Arial" w:cs="Arial"/>
        </w:rPr>
        <w:t>, and the intersectionality of, post-</w:t>
      </w:r>
      <w:r w:rsidR="00633FBD">
        <w:rPr>
          <w:rFonts w:ascii="Arial" w:hAnsi="Arial" w:cs="Arial"/>
        </w:rPr>
        <w:t>colonial</w:t>
      </w:r>
      <w:r w:rsidR="00D829AE">
        <w:rPr>
          <w:rFonts w:ascii="Arial" w:hAnsi="Arial" w:cs="Arial"/>
        </w:rPr>
        <w:t xml:space="preserve"> </w:t>
      </w:r>
      <w:r w:rsidR="006211C7">
        <w:rPr>
          <w:rFonts w:ascii="Arial" w:hAnsi="Arial" w:cs="Arial"/>
        </w:rPr>
        <w:t>readings</w:t>
      </w:r>
      <w:r w:rsidR="00633FBD">
        <w:rPr>
          <w:rFonts w:ascii="Arial" w:hAnsi="Arial" w:cs="Arial"/>
        </w:rPr>
        <w:t>; post-feminist readings which breakdown traditional gender identities (e.g. through the identification of Hebrew nouns which grammatically have two genders) and readings which recognise the increase in secularization and Christian fundamentalism</w:t>
      </w:r>
      <w:r w:rsidR="005D7F89">
        <w:rPr>
          <w:rFonts w:ascii="Arial" w:hAnsi="Arial" w:cs="Arial"/>
        </w:rPr>
        <w:t>,</w:t>
      </w:r>
      <w:r w:rsidR="00633FBD">
        <w:rPr>
          <w:rFonts w:ascii="Arial" w:hAnsi="Arial" w:cs="Arial"/>
        </w:rPr>
        <w:t xml:space="preserve"> along with a search for common perspectives with those of other faiths</w:t>
      </w:r>
      <w:r w:rsidR="005D7F89">
        <w:rPr>
          <w:rFonts w:ascii="Arial" w:hAnsi="Arial" w:cs="Arial"/>
        </w:rPr>
        <w:t>,</w:t>
      </w:r>
      <w:r w:rsidR="00633FBD">
        <w:rPr>
          <w:rFonts w:ascii="Arial" w:hAnsi="Arial" w:cs="Arial"/>
        </w:rPr>
        <w:t xml:space="preserve"> in a quest to improve the lot of women everywhere.</w:t>
      </w:r>
    </w:p>
    <w:p w:rsidR="00875FC1" w:rsidRDefault="00AA4DEA">
      <w:pPr>
        <w:rPr>
          <w:rFonts w:ascii="Arial" w:hAnsi="Arial" w:cs="Arial"/>
        </w:rPr>
      </w:pPr>
      <w:r>
        <w:rPr>
          <w:rFonts w:ascii="Arial" w:hAnsi="Arial" w:cs="Arial"/>
        </w:rPr>
        <w:lastRenderedPageBreak/>
        <w:t>Both a strength and a weakness</w:t>
      </w:r>
      <w:r w:rsidR="00633FBD">
        <w:rPr>
          <w:rFonts w:ascii="Arial" w:hAnsi="Arial" w:cs="Arial"/>
        </w:rPr>
        <w:t xml:space="preserve"> of feminist criticism is the extent to which the approa</w:t>
      </w:r>
      <w:r>
        <w:rPr>
          <w:rFonts w:ascii="Arial" w:hAnsi="Arial" w:cs="Arial"/>
        </w:rPr>
        <w:t>ch is so broad.  On the one hand it</w:t>
      </w:r>
      <w:r w:rsidR="00633FBD">
        <w:rPr>
          <w:rFonts w:ascii="Arial" w:hAnsi="Arial" w:cs="Arial"/>
        </w:rPr>
        <w:t xml:space="preserve"> enc</w:t>
      </w:r>
      <w:r>
        <w:rPr>
          <w:rFonts w:ascii="Arial" w:hAnsi="Arial" w:cs="Arial"/>
        </w:rPr>
        <w:t xml:space="preserve">ompasses </w:t>
      </w:r>
      <w:r w:rsidR="00633FBD">
        <w:rPr>
          <w:rFonts w:ascii="Arial" w:hAnsi="Arial" w:cs="Arial"/>
        </w:rPr>
        <w:t xml:space="preserve">a position of </w:t>
      </w:r>
      <w:r w:rsidR="00991A88">
        <w:rPr>
          <w:rFonts w:ascii="Arial" w:hAnsi="Arial" w:cs="Arial"/>
        </w:rPr>
        <w:t>loyalty</w:t>
      </w:r>
      <w:r w:rsidR="00633FBD">
        <w:rPr>
          <w:rFonts w:ascii="Arial" w:hAnsi="Arial" w:cs="Arial"/>
        </w:rPr>
        <w:t xml:space="preserve"> </w:t>
      </w:r>
      <w:r>
        <w:rPr>
          <w:rFonts w:ascii="Arial" w:hAnsi="Arial" w:cs="Arial"/>
        </w:rPr>
        <w:t xml:space="preserve">in which </w:t>
      </w:r>
      <w:r w:rsidR="00991A88">
        <w:rPr>
          <w:rFonts w:ascii="Arial" w:hAnsi="Arial" w:cs="Arial"/>
        </w:rPr>
        <w:t>apparently</w:t>
      </w:r>
      <w:r>
        <w:rPr>
          <w:rFonts w:ascii="Arial" w:hAnsi="Arial" w:cs="Arial"/>
        </w:rPr>
        <w:t xml:space="preserve"> </w:t>
      </w:r>
      <w:r w:rsidR="00991A88">
        <w:rPr>
          <w:rFonts w:ascii="Arial" w:hAnsi="Arial" w:cs="Arial"/>
        </w:rPr>
        <w:t>problematic</w:t>
      </w:r>
      <w:r>
        <w:rPr>
          <w:rFonts w:ascii="Arial" w:hAnsi="Arial" w:cs="Arial"/>
        </w:rPr>
        <w:t xml:space="preserve"> passages are either only seemingly problematic or are limited in application and  </w:t>
      </w:r>
      <w:r w:rsidR="00991A88">
        <w:rPr>
          <w:rFonts w:ascii="Arial" w:hAnsi="Arial" w:cs="Arial"/>
        </w:rPr>
        <w:t>biblically</w:t>
      </w:r>
      <w:r>
        <w:rPr>
          <w:rFonts w:ascii="Arial" w:hAnsi="Arial" w:cs="Arial"/>
        </w:rPr>
        <w:t xml:space="preserve"> legitimated discrimination against women arises </w:t>
      </w:r>
      <w:r w:rsidR="00991A88">
        <w:rPr>
          <w:rFonts w:ascii="Arial" w:hAnsi="Arial" w:cs="Arial"/>
        </w:rPr>
        <w:t>solely</w:t>
      </w:r>
      <w:r>
        <w:rPr>
          <w:rFonts w:ascii="Arial" w:hAnsi="Arial" w:cs="Arial"/>
        </w:rPr>
        <w:t xml:space="preserve"> from </w:t>
      </w:r>
      <w:r w:rsidR="00991A88">
        <w:rPr>
          <w:rFonts w:ascii="Arial" w:hAnsi="Arial" w:cs="Arial"/>
        </w:rPr>
        <w:t>interpretation</w:t>
      </w:r>
      <w:r>
        <w:rPr>
          <w:rFonts w:ascii="Arial" w:hAnsi="Arial" w:cs="Arial"/>
        </w:rPr>
        <w:t xml:space="preserve"> or is time bound by the moral and social codes of the day. For some this enables maintenance of a relatively traditional interpretative </w:t>
      </w:r>
      <w:r w:rsidR="00991A88">
        <w:rPr>
          <w:rFonts w:ascii="Arial" w:hAnsi="Arial" w:cs="Arial"/>
        </w:rPr>
        <w:t>position</w:t>
      </w:r>
      <w:r>
        <w:rPr>
          <w:rFonts w:ascii="Arial" w:hAnsi="Arial" w:cs="Arial"/>
        </w:rPr>
        <w:t xml:space="preserve"> </w:t>
      </w:r>
      <w:r w:rsidR="00991A88">
        <w:rPr>
          <w:rFonts w:ascii="Arial" w:hAnsi="Arial" w:cs="Arial"/>
        </w:rPr>
        <w:t>whilst</w:t>
      </w:r>
      <w:r>
        <w:rPr>
          <w:rFonts w:ascii="Arial" w:hAnsi="Arial" w:cs="Arial"/>
        </w:rPr>
        <w:t xml:space="preserve"> for others</w:t>
      </w:r>
      <w:r w:rsidR="00991A88">
        <w:rPr>
          <w:rFonts w:ascii="Arial" w:hAnsi="Arial" w:cs="Arial"/>
        </w:rPr>
        <w:t>,</w:t>
      </w:r>
      <w:r>
        <w:rPr>
          <w:rFonts w:ascii="Arial" w:hAnsi="Arial" w:cs="Arial"/>
        </w:rPr>
        <w:t xml:space="preserve"> since it fails to </w:t>
      </w:r>
      <w:r w:rsidR="00991A88">
        <w:rPr>
          <w:rFonts w:ascii="Arial" w:hAnsi="Arial" w:cs="Arial"/>
        </w:rPr>
        <w:t>consistently</w:t>
      </w:r>
      <w:r>
        <w:rPr>
          <w:rFonts w:ascii="Arial" w:hAnsi="Arial" w:cs="Arial"/>
        </w:rPr>
        <w:t xml:space="preserve"> </w:t>
      </w:r>
      <w:r w:rsidR="00991A88">
        <w:rPr>
          <w:rFonts w:ascii="Arial" w:hAnsi="Arial" w:cs="Arial"/>
        </w:rPr>
        <w:t>analyse</w:t>
      </w:r>
      <w:r>
        <w:rPr>
          <w:rFonts w:ascii="Arial" w:hAnsi="Arial" w:cs="Arial"/>
        </w:rPr>
        <w:t xml:space="preserve"> the patriarchy </w:t>
      </w:r>
      <w:r w:rsidR="00991A88">
        <w:rPr>
          <w:rFonts w:ascii="Arial" w:hAnsi="Arial" w:cs="Arial"/>
        </w:rPr>
        <w:t>within</w:t>
      </w:r>
      <w:r>
        <w:rPr>
          <w:rFonts w:ascii="Arial" w:hAnsi="Arial" w:cs="Arial"/>
        </w:rPr>
        <w:t xml:space="preserve"> the text</w:t>
      </w:r>
      <w:r w:rsidR="00991A88">
        <w:rPr>
          <w:rFonts w:ascii="Arial" w:hAnsi="Arial" w:cs="Arial"/>
        </w:rPr>
        <w:t>,</w:t>
      </w:r>
      <w:r>
        <w:rPr>
          <w:rFonts w:ascii="Arial" w:hAnsi="Arial" w:cs="Arial"/>
        </w:rPr>
        <w:t xml:space="preserve"> it cannot really be </w:t>
      </w:r>
      <w:r w:rsidR="00991A88">
        <w:rPr>
          <w:rFonts w:ascii="Arial" w:hAnsi="Arial" w:cs="Arial"/>
        </w:rPr>
        <w:t>seen</w:t>
      </w:r>
      <w:r w:rsidR="005D7F89">
        <w:rPr>
          <w:rFonts w:ascii="Arial" w:hAnsi="Arial" w:cs="Arial"/>
        </w:rPr>
        <w:t xml:space="preserve"> as feminist</w:t>
      </w:r>
      <w:r>
        <w:rPr>
          <w:rFonts w:ascii="Arial" w:hAnsi="Arial" w:cs="Arial"/>
        </w:rPr>
        <w:t xml:space="preserve"> at all.  At the opposite end of the spectrum is a total rejection of traditional </w:t>
      </w:r>
      <w:r w:rsidR="00991A88">
        <w:rPr>
          <w:rFonts w:ascii="Arial" w:hAnsi="Arial" w:cs="Arial"/>
        </w:rPr>
        <w:t>Christian</w:t>
      </w:r>
      <w:r>
        <w:rPr>
          <w:rFonts w:ascii="Arial" w:hAnsi="Arial" w:cs="Arial"/>
        </w:rPr>
        <w:t xml:space="preserve"> </w:t>
      </w:r>
      <w:r w:rsidR="00991A88">
        <w:rPr>
          <w:rFonts w:ascii="Arial" w:hAnsi="Arial" w:cs="Arial"/>
        </w:rPr>
        <w:t>interpretation</w:t>
      </w:r>
      <w:r>
        <w:rPr>
          <w:rFonts w:ascii="Arial" w:hAnsi="Arial" w:cs="Arial"/>
        </w:rPr>
        <w:t xml:space="preserve"> as a whole - the Bible is irretrievably sexist and has no authority for women at all.  Whilst this confronts the claim of the biblical </w:t>
      </w:r>
      <w:r w:rsidR="00991A88">
        <w:rPr>
          <w:rFonts w:ascii="Arial" w:hAnsi="Arial" w:cs="Arial"/>
        </w:rPr>
        <w:t>Christian</w:t>
      </w:r>
      <w:r>
        <w:rPr>
          <w:rFonts w:ascii="Arial" w:hAnsi="Arial" w:cs="Arial"/>
        </w:rPr>
        <w:t xml:space="preserve"> tradition to </w:t>
      </w:r>
      <w:r w:rsidR="00991A88">
        <w:rPr>
          <w:rFonts w:ascii="Arial" w:hAnsi="Arial" w:cs="Arial"/>
        </w:rPr>
        <w:t>seek universalit</w:t>
      </w:r>
      <w:r>
        <w:rPr>
          <w:rFonts w:ascii="Arial" w:hAnsi="Arial" w:cs="Arial"/>
        </w:rPr>
        <w:t xml:space="preserve">y and forces </w:t>
      </w:r>
      <w:r w:rsidR="00991A88">
        <w:rPr>
          <w:rFonts w:ascii="Arial" w:hAnsi="Arial" w:cs="Arial"/>
        </w:rPr>
        <w:t xml:space="preserve">a reconsideration, the reliance </w:t>
      </w:r>
      <w:r>
        <w:rPr>
          <w:rFonts w:ascii="Arial" w:hAnsi="Arial" w:cs="Arial"/>
        </w:rPr>
        <w:t xml:space="preserve">on a </w:t>
      </w:r>
      <w:r w:rsidR="00991A88">
        <w:rPr>
          <w:rFonts w:ascii="Arial" w:hAnsi="Arial" w:cs="Arial"/>
        </w:rPr>
        <w:t xml:space="preserve">gynocentric counter </w:t>
      </w:r>
      <w:r>
        <w:rPr>
          <w:rFonts w:ascii="Arial" w:hAnsi="Arial" w:cs="Arial"/>
        </w:rPr>
        <w:t>world is at the expense of the male.</w:t>
      </w:r>
      <w:r w:rsidR="00991A88">
        <w:rPr>
          <w:rFonts w:ascii="Arial" w:hAnsi="Arial" w:cs="Arial"/>
        </w:rPr>
        <w:t xml:space="preserve"> Within these two extremes are further positions.  From a basically historical-critical approach it is possible to take account of the refraction of God’s word in a historically conditioned human context.  God’s saving activity is made manifest in, and through, women and embedded in the androcentric perspective of the text can be found understanding relevant to, or even specifically for, </w:t>
      </w:r>
      <w:r w:rsidR="00875FC1">
        <w:rPr>
          <w:rFonts w:ascii="Arial" w:hAnsi="Arial" w:cs="Arial"/>
        </w:rPr>
        <w:t>women</w:t>
      </w:r>
      <w:r w:rsidR="00991A88">
        <w:rPr>
          <w:rFonts w:ascii="Arial" w:hAnsi="Arial" w:cs="Arial"/>
        </w:rPr>
        <w:t>.  The text is not “utterly sexist-</w:t>
      </w:r>
      <w:r w:rsidR="00875FC1">
        <w:rPr>
          <w:rFonts w:ascii="Arial" w:hAnsi="Arial" w:cs="Arial"/>
        </w:rPr>
        <w:t>misogynistic</w:t>
      </w:r>
      <w:r w:rsidR="00991A88">
        <w:rPr>
          <w:rFonts w:ascii="Arial" w:hAnsi="Arial" w:cs="Arial"/>
        </w:rPr>
        <w:t>”.</w:t>
      </w:r>
      <w:r w:rsidR="00991A88">
        <w:rPr>
          <w:rStyle w:val="FootnoteReference"/>
          <w:rFonts w:ascii="Arial" w:hAnsi="Arial" w:cs="Arial"/>
        </w:rPr>
        <w:footnoteReference w:id="7"/>
      </w:r>
      <w:r>
        <w:rPr>
          <w:rFonts w:ascii="Arial" w:hAnsi="Arial" w:cs="Arial"/>
        </w:rPr>
        <w:t xml:space="preserve">   </w:t>
      </w:r>
      <w:r w:rsidR="00875FC1">
        <w:rPr>
          <w:rFonts w:ascii="Arial" w:hAnsi="Arial" w:cs="Arial"/>
        </w:rPr>
        <w:t>Meanwhile from a liberation perspective scholarly labour is directly connected to the feminist movement.  Interpretation must st</w:t>
      </w:r>
      <w:r w:rsidR="00761A1C">
        <w:rPr>
          <w:rFonts w:ascii="Arial" w:hAnsi="Arial" w:cs="Arial"/>
        </w:rPr>
        <w:t>art from suspicion of bot</w:t>
      </w:r>
      <w:r w:rsidR="00875FC1">
        <w:rPr>
          <w:rFonts w:ascii="Arial" w:hAnsi="Arial" w:cs="Arial"/>
        </w:rPr>
        <w:t>h</w:t>
      </w:r>
      <w:r w:rsidR="00761A1C">
        <w:rPr>
          <w:rFonts w:ascii="Arial" w:hAnsi="Arial" w:cs="Arial"/>
        </w:rPr>
        <w:t xml:space="preserve"> </w:t>
      </w:r>
      <w:r w:rsidR="00875FC1">
        <w:rPr>
          <w:rFonts w:ascii="Arial" w:hAnsi="Arial" w:cs="Arial"/>
        </w:rPr>
        <w:t xml:space="preserve">patriarchal </w:t>
      </w:r>
      <w:r w:rsidR="00761A1C">
        <w:rPr>
          <w:rFonts w:ascii="Arial" w:hAnsi="Arial" w:cs="Arial"/>
        </w:rPr>
        <w:t>transmission and the androcent</w:t>
      </w:r>
      <w:r w:rsidR="00875FC1">
        <w:rPr>
          <w:rFonts w:ascii="Arial" w:hAnsi="Arial" w:cs="Arial"/>
        </w:rPr>
        <w:t xml:space="preserve">rism of </w:t>
      </w:r>
      <w:r w:rsidR="00761A1C">
        <w:rPr>
          <w:rFonts w:ascii="Arial" w:hAnsi="Arial" w:cs="Arial"/>
        </w:rPr>
        <w:t>scripture</w:t>
      </w:r>
      <w:r w:rsidR="00875FC1">
        <w:rPr>
          <w:rFonts w:ascii="Arial" w:hAnsi="Arial" w:cs="Arial"/>
        </w:rPr>
        <w:t xml:space="preserve">, so </w:t>
      </w:r>
      <w:r w:rsidR="00CC27FF">
        <w:rPr>
          <w:rFonts w:ascii="Arial" w:hAnsi="Arial" w:cs="Arial"/>
        </w:rPr>
        <w:t>Schüssler-</w:t>
      </w:r>
      <w:r w:rsidR="00875FC1">
        <w:rPr>
          <w:rFonts w:ascii="Arial" w:hAnsi="Arial" w:cs="Arial"/>
        </w:rPr>
        <w:t xml:space="preserve">Fiorenza, with a </w:t>
      </w:r>
      <w:r w:rsidR="00761A1C">
        <w:rPr>
          <w:rFonts w:ascii="Arial" w:hAnsi="Arial" w:cs="Arial"/>
        </w:rPr>
        <w:t>recognition of</w:t>
      </w:r>
      <w:r w:rsidR="00875FC1">
        <w:rPr>
          <w:rFonts w:ascii="Arial" w:hAnsi="Arial" w:cs="Arial"/>
        </w:rPr>
        <w:t xml:space="preserve"> the role of women in shaping </w:t>
      </w:r>
      <w:r w:rsidR="00761A1C">
        <w:rPr>
          <w:rFonts w:ascii="Arial" w:hAnsi="Arial" w:cs="Arial"/>
        </w:rPr>
        <w:t>early</w:t>
      </w:r>
      <w:r w:rsidR="00875FC1">
        <w:rPr>
          <w:rFonts w:ascii="Arial" w:hAnsi="Arial" w:cs="Arial"/>
        </w:rPr>
        <w:t xml:space="preserve"> </w:t>
      </w:r>
      <w:r w:rsidR="00761A1C">
        <w:rPr>
          <w:rFonts w:ascii="Arial" w:hAnsi="Arial" w:cs="Arial"/>
        </w:rPr>
        <w:t>Christianity</w:t>
      </w:r>
      <w:r w:rsidR="00875FC1">
        <w:rPr>
          <w:rFonts w:ascii="Arial" w:hAnsi="Arial" w:cs="Arial"/>
        </w:rPr>
        <w:t xml:space="preserve"> held in tandem </w:t>
      </w:r>
      <w:r w:rsidR="00761A1C">
        <w:rPr>
          <w:rFonts w:ascii="Arial" w:hAnsi="Arial" w:cs="Arial"/>
        </w:rPr>
        <w:t>with</w:t>
      </w:r>
      <w:r w:rsidR="00875FC1">
        <w:rPr>
          <w:rFonts w:ascii="Arial" w:hAnsi="Arial" w:cs="Arial"/>
        </w:rPr>
        <w:t xml:space="preserve"> the critical opposition of the marginalization of women in both the text and the </w:t>
      </w:r>
      <w:r w:rsidR="00761A1C">
        <w:rPr>
          <w:rFonts w:ascii="Arial" w:hAnsi="Arial" w:cs="Arial"/>
        </w:rPr>
        <w:t>history</w:t>
      </w:r>
      <w:r w:rsidR="00875FC1">
        <w:rPr>
          <w:rFonts w:ascii="Arial" w:hAnsi="Arial" w:cs="Arial"/>
        </w:rPr>
        <w:t xml:space="preserve"> of </w:t>
      </w:r>
      <w:r w:rsidR="00761A1C">
        <w:rPr>
          <w:rFonts w:ascii="Arial" w:hAnsi="Arial" w:cs="Arial"/>
        </w:rPr>
        <w:t>Christianity</w:t>
      </w:r>
      <w:r w:rsidR="00875FC1">
        <w:rPr>
          <w:rFonts w:ascii="Arial" w:hAnsi="Arial" w:cs="Arial"/>
        </w:rPr>
        <w:t xml:space="preserve">. </w:t>
      </w:r>
      <w:r w:rsidR="00761A1C">
        <w:rPr>
          <w:rFonts w:ascii="Arial" w:hAnsi="Arial" w:cs="Arial"/>
        </w:rPr>
        <w:t>Tensions</w:t>
      </w:r>
      <w:r w:rsidR="00875FC1">
        <w:rPr>
          <w:rFonts w:ascii="Arial" w:hAnsi="Arial" w:cs="Arial"/>
        </w:rPr>
        <w:t xml:space="preserve"> </w:t>
      </w:r>
      <w:r w:rsidR="00761A1C">
        <w:rPr>
          <w:rFonts w:ascii="Arial" w:hAnsi="Arial" w:cs="Arial"/>
        </w:rPr>
        <w:t>within the texts of the New T</w:t>
      </w:r>
      <w:r w:rsidR="00875FC1">
        <w:rPr>
          <w:rFonts w:ascii="Arial" w:hAnsi="Arial" w:cs="Arial"/>
        </w:rPr>
        <w:t xml:space="preserve">estament, for example, may suggest an early Christian movement characterized as </w:t>
      </w:r>
      <w:r w:rsidR="00761A1C">
        <w:rPr>
          <w:rFonts w:ascii="Arial" w:hAnsi="Arial" w:cs="Arial"/>
        </w:rPr>
        <w:t>a</w:t>
      </w:r>
      <w:r w:rsidR="00875FC1">
        <w:rPr>
          <w:rFonts w:ascii="Arial" w:hAnsi="Arial" w:cs="Arial"/>
        </w:rPr>
        <w:t xml:space="preserve"> </w:t>
      </w:r>
      <w:r w:rsidR="00761A1C">
        <w:rPr>
          <w:rFonts w:ascii="Arial" w:hAnsi="Arial" w:cs="Arial"/>
        </w:rPr>
        <w:t>discipleship</w:t>
      </w:r>
      <w:r w:rsidR="00875FC1">
        <w:rPr>
          <w:rFonts w:ascii="Arial" w:hAnsi="Arial" w:cs="Arial"/>
        </w:rPr>
        <w:t xml:space="preserve"> of equals. Whilst the opportunity to </w:t>
      </w:r>
      <w:r w:rsidR="00761A1C">
        <w:rPr>
          <w:rFonts w:ascii="Arial" w:hAnsi="Arial" w:cs="Arial"/>
        </w:rPr>
        <w:t>step</w:t>
      </w:r>
      <w:r w:rsidR="00875FC1">
        <w:rPr>
          <w:rFonts w:ascii="Arial" w:hAnsi="Arial" w:cs="Arial"/>
        </w:rPr>
        <w:t xml:space="preserve"> from </w:t>
      </w:r>
      <w:r w:rsidR="00761A1C">
        <w:rPr>
          <w:rFonts w:ascii="Arial" w:hAnsi="Arial" w:cs="Arial"/>
        </w:rPr>
        <w:t>the</w:t>
      </w:r>
      <w:r w:rsidR="00875FC1">
        <w:rPr>
          <w:rFonts w:ascii="Arial" w:hAnsi="Arial" w:cs="Arial"/>
        </w:rPr>
        <w:t xml:space="preserve"> text to </w:t>
      </w:r>
      <w:r w:rsidR="00761A1C">
        <w:rPr>
          <w:rFonts w:ascii="Arial" w:hAnsi="Arial" w:cs="Arial"/>
        </w:rPr>
        <w:t>historical</w:t>
      </w:r>
      <w:r w:rsidR="00875FC1">
        <w:rPr>
          <w:rFonts w:ascii="Arial" w:hAnsi="Arial" w:cs="Arial"/>
        </w:rPr>
        <w:t xml:space="preserve"> context allowing moving from a cultural critique of the text to a critique of past and present power structures </w:t>
      </w:r>
      <w:r w:rsidR="00761A1C">
        <w:rPr>
          <w:rFonts w:ascii="Arial" w:hAnsi="Arial" w:cs="Arial"/>
        </w:rPr>
        <w:t>thus</w:t>
      </w:r>
      <w:r w:rsidR="00875FC1">
        <w:rPr>
          <w:rFonts w:ascii="Arial" w:hAnsi="Arial" w:cs="Arial"/>
        </w:rPr>
        <w:t xml:space="preserve"> enabling </w:t>
      </w:r>
      <w:r w:rsidR="00761A1C">
        <w:rPr>
          <w:rFonts w:ascii="Arial" w:hAnsi="Arial" w:cs="Arial"/>
        </w:rPr>
        <w:t>transformation</w:t>
      </w:r>
      <w:r w:rsidR="00875FC1">
        <w:rPr>
          <w:rFonts w:ascii="Arial" w:hAnsi="Arial" w:cs="Arial"/>
        </w:rPr>
        <w:t xml:space="preserve"> is appealing, </w:t>
      </w:r>
      <w:r w:rsidR="00761A1C">
        <w:rPr>
          <w:rFonts w:ascii="Arial" w:hAnsi="Arial" w:cs="Arial"/>
        </w:rPr>
        <w:t>the</w:t>
      </w:r>
      <w:r w:rsidR="00875FC1">
        <w:rPr>
          <w:rFonts w:ascii="Arial" w:hAnsi="Arial" w:cs="Arial"/>
        </w:rPr>
        <w:t xml:space="preserve"> risk of anti-</w:t>
      </w:r>
      <w:r w:rsidR="00761A1C">
        <w:rPr>
          <w:rFonts w:ascii="Arial" w:hAnsi="Arial" w:cs="Arial"/>
        </w:rPr>
        <w:t>Jewish</w:t>
      </w:r>
      <w:r w:rsidR="00875FC1">
        <w:rPr>
          <w:rFonts w:ascii="Arial" w:hAnsi="Arial" w:cs="Arial"/>
        </w:rPr>
        <w:t xml:space="preserve"> bias </w:t>
      </w:r>
      <w:r w:rsidR="00761A1C">
        <w:rPr>
          <w:rFonts w:ascii="Arial" w:hAnsi="Arial" w:cs="Arial"/>
        </w:rPr>
        <w:t>identified</w:t>
      </w:r>
      <w:r w:rsidR="00875FC1">
        <w:rPr>
          <w:rFonts w:ascii="Arial" w:hAnsi="Arial" w:cs="Arial"/>
        </w:rPr>
        <w:t xml:space="preserve"> </w:t>
      </w:r>
      <w:r w:rsidR="00761A1C">
        <w:rPr>
          <w:rFonts w:ascii="Arial" w:hAnsi="Arial" w:cs="Arial"/>
        </w:rPr>
        <w:t>earlier</w:t>
      </w:r>
      <w:r w:rsidR="00875FC1">
        <w:rPr>
          <w:rFonts w:ascii="Arial" w:hAnsi="Arial" w:cs="Arial"/>
        </w:rPr>
        <w:t xml:space="preserve"> is ever present. </w:t>
      </w:r>
    </w:p>
    <w:p w:rsidR="00C97CB8" w:rsidRPr="00CC27FF" w:rsidRDefault="00E506A6" w:rsidP="006A733B">
      <w:pPr>
        <w:rPr>
          <w:rFonts w:ascii="Arial" w:hAnsi="Arial" w:cs="Arial"/>
        </w:rPr>
      </w:pPr>
      <w:r w:rsidRPr="00CC27FF">
        <w:rPr>
          <w:rFonts w:ascii="Arial" w:hAnsi="Arial" w:cs="Arial"/>
        </w:rPr>
        <w:t xml:space="preserve">A </w:t>
      </w:r>
      <w:r w:rsidR="00761A1C" w:rsidRPr="00CC27FF">
        <w:rPr>
          <w:rFonts w:ascii="Arial" w:hAnsi="Arial" w:cs="Arial"/>
        </w:rPr>
        <w:t>strength of the feminist approach is its willingness to utilise a broad range of methodologies.</w:t>
      </w:r>
      <w:r w:rsidRPr="00CC27FF">
        <w:rPr>
          <w:rFonts w:ascii="Arial" w:hAnsi="Arial" w:cs="Arial"/>
        </w:rPr>
        <w:t xml:space="preserve">  Historical-criticism, form criticism, history and sociology of religion and literary/rhetorical approaches are all employed.  </w:t>
      </w:r>
      <w:r w:rsidR="00942FD4" w:rsidRPr="00CC27FF">
        <w:rPr>
          <w:rFonts w:ascii="Arial" w:hAnsi="Arial" w:cs="Arial"/>
        </w:rPr>
        <w:t>There is a need to keep hold of historical-critical approaches as Scholz, summarizing Phyllis Bird, notes in stating that the approach “alerts contemporary readers to potential projections of their assumptions onto ancient Israelite times, and creates exegetical distance”.</w:t>
      </w:r>
      <w:r w:rsidR="00942FD4" w:rsidRPr="00942FD4">
        <w:rPr>
          <w:rStyle w:val="FootnoteReference"/>
          <w:rFonts w:ascii="Arial" w:hAnsi="Arial" w:cs="Arial"/>
        </w:rPr>
        <w:footnoteReference w:id="8"/>
      </w:r>
      <w:r w:rsidR="00942FD4" w:rsidRPr="00CC27FF">
        <w:rPr>
          <w:rFonts w:ascii="Arial" w:hAnsi="Arial" w:cs="Arial"/>
        </w:rPr>
        <w:t xml:space="preserve">  Phyllis</w:t>
      </w:r>
      <w:r w:rsidRPr="00CC27FF">
        <w:rPr>
          <w:rFonts w:ascii="Arial" w:hAnsi="Arial" w:cs="Arial"/>
        </w:rPr>
        <w:t xml:space="preserve"> </w:t>
      </w:r>
      <w:r w:rsidR="001B716E" w:rsidRPr="00CC27FF">
        <w:rPr>
          <w:rFonts w:ascii="Arial" w:hAnsi="Arial" w:cs="Arial"/>
        </w:rPr>
        <w:t>Tri</w:t>
      </w:r>
      <w:r w:rsidR="00942FD4" w:rsidRPr="00CC27FF">
        <w:rPr>
          <w:rFonts w:ascii="Arial" w:hAnsi="Arial" w:cs="Arial"/>
        </w:rPr>
        <w:t>ble</w:t>
      </w:r>
      <w:r w:rsidRPr="00CC27FF">
        <w:rPr>
          <w:rFonts w:ascii="Arial" w:hAnsi="Arial" w:cs="Arial"/>
        </w:rPr>
        <w:t xml:space="preserve"> used a rhetorical approach reading the text </w:t>
      </w:r>
      <w:r w:rsidR="00942FD4" w:rsidRPr="00CC27FF">
        <w:rPr>
          <w:rFonts w:ascii="Arial" w:hAnsi="Arial" w:cs="Arial"/>
        </w:rPr>
        <w:t>closely</w:t>
      </w:r>
      <w:r w:rsidRPr="00CC27FF">
        <w:rPr>
          <w:rFonts w:ascii="Arial" w:hAnsi="Arial" w:cs="Arial"/>
        </w:rPr>
        <w:t xml:space="preserve"> to detect its compositional structure which was decisive for its meaning and allowed the text to </w:t>
      </w:r>
      <w:r w:rsidR="00942FD4" w:rsidRPr="00CC27FF">
        <w:rPr>
          <w:rFonts w:ascii="Arial" w:hAnsi="Arial" w:cs="Arial"/>
        </w:rPr>
        <w:t>speak</w:t>
      </w:r>
      <w:r w:rsidRPr="00CC27FF">
        <w:rPr>
          <w:rFonts w:ascii="Arial" w:hAnsi="Arial" w:cs="Arial"/>
        </w:rPr>
        <w:t xml:space="preserve">.  </w:t>
      </w:r>
      <w:r w:rsidR="00CC27FF" w:rsidRPr="00CC27FF">
        <w:rPr>
          <w:rFonts w:ascii="Arial" w:hAnsi="Arial" w:cs="Arial"/>
        </w:rPr>
        <w:t>Schüssler-</w:t>
      </w:r>
      <w:r w:rsidRPr="00CC27FF">
        <w:rPr>
          <w:rFonts w:ascii="Arial" w:hAnsi="Arial" w:cs="Arial"/>
        </w:rPr>
        <w:t xml:space="preserve">Fiorenza, meanwhile, used </w:t>
      </w:r>
      <w:r w:rsidR="00942FD4" w:rsidRPr="00CC27FF">
        <w:rPr>
          <w:rFonts w:ascii="Arial" w:hAnsi="Arial" w:cs="Arial"/>
        </w:rPr>
        <w:t xml:space="preserve">form </w:t>
      </w:r>
      <w:r w:rsidRPr="00CC27FF">
        <w:rPr>
          <w:rFonts w:ascii="Arial" w:hAnsi="Arial" w:cs="Arial"/>
        </w:rPr>
        <w:t xml:space="preserve">criticism to </w:t>
      </w:r>
      <w:r w:rsidR="00942FD4" w:rsidRPr="00CC27FF">
        <w:rPr>
          <w:rFonts w:ascii="Arial" w:hAnsi="Arial" w:cs="Arial"/>
        </w:rPr>
        <w:t>s</w:t>
      </w:r>
      <w:r w:rsidRPr="00CC27FF">
        <w:rPr>
          <w:rFonts w:ascii="Arial" w:hAnsi="Arial" w:cs="Arial"/>
        </w:rPr>
        <w:t>how how Scripture Chri</w:t>
      </w:r>
      <w:r w:rsidR="00942FD4" w:rsidRPr="00CC27FF">
        <w:rPr>
          <w:rFonts w:ascii="Arial" w:hAnsi="Arial" w:cs="Arial"/>
        </w:rPr>
        <w:t>s</w:t>
      </w:r>
      <w:r w:rsidRPr="00CC27FF">
        <w:rPr>
          <w:rFonts w:ascii="Arial" w:hAnsi="Arial" w:cs="Arial"/>
        </w:rPr>
        <w:t xml:space="preserve">tologizes suffering </w:t>
      </w:r>
      <w:r w:rsidR="00942FD4" w:rsidRPr="00CC27FF">
        <w:rPr>
          <w:rFonts w:ascii="Arial" w:hAnsi="Arial" w:cs="Arial"/>
        </w:rPr>
        <w:t>a</w:t>
      </w:r>
      <w:r w:rsidRPr="00CC27FF">
        <w:rPr>
          <w:rFonts w:ascii="Arial" w:hAnsi="Arial" w:cs="Arial"/>
        </w:rPr>
        <w:t xml:space="preserve">s the earliest </w:t>
      </w:r>
      <w:r w:rsidR="00942FD4" w:rsidRPr="00CC27FF">
        <w:rPr>
          <w:rFonts w:ascii="Arial" w:hAnsi="Arial" w:cs="Arial"/>
        </w:rPr>
        <w:t>Christians</w:t>
      </w:r>
      <w:r w:rsidRPr="00CC27FF">
        <w:rPr>
          <w:rFonts w:ascii="Arial" w:hAnsi="Arial" w:cs="Arial"/>
        </w:rPr>
        <w:t xml:space="preserve"> sought to make sense of </w:t>
      </w:r>
      <w:r w:rsidR="00942FD4" w:rsidRPr="00CC27FF">
        <w:rPr>
          <w:rFonts w:ascii="Arial" w:hAnsi="Arial" w:cs="Arial"/>
        </w:rPr>
        <w:t>Jesus’</w:t>
      </w:r>
      <w:r w:rsidRPr="00CC27FF">
        <w:rPr>
          <w:rFonts w:ascii="Arial" w:hAnsi="Arial" w:cs="Arial"/>
        </w:rPr>
        <w:t xml:space="preserve"> </w:t>
      </w:r>
      <w:r w:rsidR="00942FD4" w:rsidRPr="00CC27FF">
        <w:rPr>
          <w:rFonts w:ascii="Arial" w:hAnsi="Arial" w:cs="Arial"/>
        </w:rPr>
        <w:t>execution whilst calling upon readers to resist modes of reading which further violate women characters</w:t>
      </w:r>
      <w:r w:rsidRPr="00CC27FF">
        <w:rPr>
          <w:rFonts w:ascii="Arial" w:hAnsi="Arial" w:cs="Arial"/>
        </w:rPr>
        <w:t>.</w:t>
      </w:r>
      <w:r w:rsidR="00942FD4" w:rsidRPr="00CC27FF">
        <w:rPr>
          <w:rFonts w:ascii="Arial" w:hAnsi="Arial" w:cs="Arial"/>
        </w:rPr>
        <w:t xml:space="preserve"> </w:t>
      </w:r>
      <w:r w:rsidRPr="00CC27FF">
        <w:rPr>
          <w:rFonts w:ascii="Arial" w:hAnsi="Arial" w:cs="Arial"/>
        </w:rPr>
        <w:t xml:space="preserve">This facilitates both </w:t>
      </w:r>
      <w:r w:rsidR="00942FD4" w:rsidRPr="00CC27FF">
        <w:rPr>
          <w:rFonts w:ascii="Arial" w:hAnsi="Arial" w:cs="Arial"/>
        </w:rPr>
        <w:t xml:space="preserve">selection of </w:t>
      </w:r>
      <w:r w:rsidRPr="00CC27FF">
        <w:rPr>
          <w:rFonts w:ascii="Arial" w:hAnsi="Arial" w:cs="Arial"/>
        </w:rPr>
        <w:t>the best method for a par</w:t>
      </w:r>
      <w:r w:rsidR="00942FD4" w:rsidRPr="00CC27FF">
        <w:rPr>
          <w:rFonts w:ascii="Arial" w:hAnsi="Arial" w:cs="Arial"/>
        </w:rPr>
        <w:t xml:space="preserve">ticular purpose and encourages </w:t>
      </w:r>
      <w:r w:rsidRPr="00CC27FF">
        <w:rPr>
          <w:rFonts w:ascii="Arial" w:hAnsi="Arial" w:cs="Arial"/>
        </w:rPr>
        <w:t xml:space="preserve">dialogue which is a </w:t>
      </w:r>
      <w:r w:rsidR="00942FD4" w:rsidRPr="00CC27FF">
        <w:rPr>
          <w:rFonts w:ascii="Arial" w:hAnsi="Arial" w:cs="Arial"/>
        </w:rPr>
        <w:t xml:space="preserve">strength </w:t>
      </w:r>
      <w:r w:rsidRPr="00CC27FF">
        <w:rPr>
          <w:rFonts w:ascii="Arial" w:hAnsi="Arial" w:cs="Arial"/>
        </w:rPr>
        <w:t xml:space="preserve">of the </w:t>
      </w:r>
      <w:r w:rsidR="00942FD4" w:rsidRPr="00CC27FF">
        <w:rPr>
          <w:rFonts w:ascii="Arial" w:hAnsi="Arial" w:cs="Arial"/>
        </w:rPr>
        <w:t>approach</w:t>
      </w:r>
      <w:r w:rsidRPr="00CC27FF">
        <w:rPr>
          <w:rFonts w:ascii="Arial" w:hAnsi="Arial" w:cs="Arial"/>
        </w:rPr>
        <w:t xml:space="preserve">.  A further strength is the extent to </w:t>
      </w:r>
      <w:r w:rsidR="00942FD4" w:rsidRPr="00CC27FF">
        <w:rPr>
          <w:rFonts w:ascii="Arial" w:hAnsi="Arial" w:cs="Arial"/>
        </w:rPr>
        <w:t>which</w:t>
      </w:r>
      <w:r w:rsidRPr="00CC27FF">
        <w:rPr>
          <w:rFonts w:ascii="Arial" w:hAnsi="Arial" w:cs="Arial"/>
        </w:rPr>
        <w:t xml:space="preserve"> the </w:t>
      </w:r>
      <w:r w:rsidR="00942FD4" w:rsidRPr="00CC27FF">
        <w:rPr>
          <w:rFonts w:ascii="Arial" w:hAnsi="Arial" w:cs="Arial"/>
        </w:rPr>
        <w:t>approach</w:t>
      </w:r>
      <w:r w:rsidRPr="00CC27FF">
        <w:rPr>
          <w:rFonts w:ascii="Arial" w:hAnsi="Arial" w:cs="Arial"/>
        </w:rPr>
        <w:t xml:space="preserve"> is also responsive to criticism.  From the valid </w:t>
      </w:r>
      <w:r w:rsidR="00942FD4" w:rsidRPr="00CC27FF">
        <w:rPr>
          <w:rFonts w:ascii="Arial" w:hAnsi="Arial" w:cs="Arial"/>
        </w:rPr>
        <w:t>concerns</w:t>
      </w:r>
      <w:r w:rsidRPr="00CC27FF">
        <w:rPr>
          <w:rFonts w:ascii="Arial" w:hAnsi="Arial" w:cs="Arial"/>
        </w:rPr>
        <w:t xml:space="preserve"> of Womanist/Mujerista and </w:t>
      </w:r>
      <w:r w:rsidR="00942FD4" w:rsidRPr="00CC27FF">
        <w:rPr>
          <w:rFonts w:ascii="Arial" w:hAnsi="Arial" w:cs="Arial"/>
        </w:rPr>
        <w:t>Jewish</w:t>
      </w:r>
      <w:r w:rsidRPr="00CC27FF">
        <w:rPr>
          <w:rFonts w:ascii="Arial" w:hAnsi="Arial" w:cs="Arial"/>
        </w:rPr>
        <w:t xml:space="preserve"> feminist exegetes</w:t>
      </w:r>
      <w:r w:rsidR="00942FD4" w:rsidRPr="00CC27FF">
        <w:rPr>
          <w:rFonts w:ascii="Arial" w:hAnsi="Arial" w:cs="Arial"/>
        </w:rPr>
        <w:t>, Loades notes</w:t>
      </w:r>
      <w:r w:rsidR="00CC27FF" w:rsidRPr="00CC27FF">
        <w:rPr>
          <w:rFonts w:ascii="Arial" w:hAnsi="Arial" w:cs="Arial"/>
        </w:rPr>
        <w:t xml:space="preserve"> </w:t>
      </w:r>
      <w:r w:rsidR="00942FD4" w:rsidRPr="00CC27FF">
        <w:rPr>
          <w:rFonts w:ascii="Arial" w:hAnsi="Arial" w:cs="Arial"/>
        </w:rPr>
        <w:t>that feminist criticism</w:t>
      </w:r>
      <w:r w:rsidRPr="00CC27FF">
        <w:rPr>
          <w:rFonts w:ascii="Arial" w:hAnsi="Arial" w:cs="Arial"/>
        </w:rPr>
        <w:t xml:space="preserve"> is now “particularly sensitive to the complexities of race and</w:t>
      </w:r>
      <w:r w:rsidR="00CC27FF" w:rsidRPr="00CC27FF">
        <w:rPr>
          <w:rFonts w:ascii="Arial" w:hAnsi="Arial" w:cs="Arial"/>
        </w:rPr>
        <w:t xml:space="preserve"> </w:t>
      </w:r>
      <w:r w:rsidRPr="00CC27FF">
        <w:rPr>
          <w:rFonts w:ascii="Arial" w:hAnsi="Arial" w:cs="Arial"/>
        </w:rPr>
        <w:t>class and economic status as well as the impact of gender for interpretation”</w:t>
      </w:r>
      <w:r w:rsidR="00942FD4" w:rsidRPr="00CC27FF">
        <w:rPr>
          <w:rFonts w:ascii="Arial" w:hAnsi="Arial" w:cs="Arial"/>
        </w:rPr>
        <w:t>.</w:t>
      </w:r>
      <w:r>
        <w:rPr>
          <w:rStyle w:val="FootnoteReference"/>
          <w:rFonts w:ascii="Arial" w:hAnsi="Arial" w:cs="Arial"/>
        </w:rPr>
        <w:footnoteReference w:id="9"/>
      </w:r>
      <w:r w:rsidR="00942FD4" w:rsidRPr="00CC27FF">
        <w:rPr>
          <w:rFonts w:ascii="Arial" w:hAnsi="Arial" w:cs="Arial"/>
        </w:rPr>
        <w:t xml:space="preserve">  </w:t>
      </w:r>
      <w:r w:rsidR="00CC27FF" w:rsidRPr="00CC27FF">
        <w:rPr>
          <w:rFonts w:ascii="Arial" w:hAnsi="Arial" w:cs="Arial"/>
        </w:rPr>
        <w:t xml:space="preserve">Horsley notes that Schüssler-Fiorenza persistently highlights the interrelationship between the power relationships of </w:t>
      </w:r>
      <w:r w:rsidR="00CC27FF" w:rsidRPr="00CC27FF">
        <w:rPr>
          <w:rFonts w:ascii="Arial" w:hAnsi="Arial" w:cs="Arial"/>
        </w:rPr>
        <w:lastRenderedPageBreak/>
        <w:t>gender and other political-economic power relationships and the way in which gender is constructed to “sustain the interrelated structures of domination that sustains the prevailing sexual, racial, political-economic and cultural-religious distribution of power”.</w:t>
      </w:r>
      <w:r w:rsidR="00CC27FF">
        <w:rPr>
          <w:rStyle w:val="FootnoteReference"/>
          <w:rFonts w:ascii="Arial" w:hAnsi="Arial" w:cs="Arial"/>
        </w:rPr>
        <w:footnoteReference w:id="10"/>
      </w:r>
      <w:r w:rsidR="00CC27FF">
        <w:rPr>
          <w:rFonts w:ascii="Arial" w:hAnsi="Arial" w:cs="Arial"/>
        </w:rPr>
        <w:t xml:space="preserve">  </w:t>
      </w:r>
      <w:r w:rsidR="00942FD4">
        <w:rPr>
          <w:rFonts w:ascii="Arial" w:hAnsi="Arial" w:cs="Arial"/>
        </w:rPr>
        <w:t>Lastly feminist approaches are n</w:t>
      </w:r>
      <w:r w:rsidR="001E116F">
        <w:rPr>
          <w:rFonts w:ascii="Arial" w:hAnsi="Arial" w:cs="Arial"/>
        </w:rPr>
        <w:t xml:space="preserve">ot exclusive of men </w:t>
      </w:r>
      <w:r w:rsidR="00942FD4">
        <w:rPr>
          <w:rFonts w:ascii="Arial" w:hAnsi="Arial" w:cs="Arial"/>
        </w:rPr>
        <w:t xml:space="preserve">and </w:t>
      </w:r>
      <w:r w:rsidR="001E116F">
        <w:rPr>
          <w:rFonts w:ascii="Arial" w:hAnsi="Arial" w:cs="Arial"/>
        </w:rPr>
        <w:t>recog</w:t>
      </w:r>
      <w:r w:rsidR="00942FD4">
        <w:rPr>
          <w:rFonts w:ascii="Arial" w:hAnsi="Arial" w:cs="Arial"/>
        </w:rPr>
        <w:t>nise</w:t>
      </w:r>
      <w:r w:rsidR="001E116F">
        <w:rPr>
          <w:rFonts w:ascii="Arial" w:hAnsi="Arial" w:cs="Arial"/>
        </w:rPr>
        <w:t xml:space="preserve"> that men </w:t>
      </w:r>
      <w:r w:rsidR="00942FD4">
        <w:rPr>
          <w:rFonts w:ascii="Arial" w:hAnsi="Arial" w:cs="Arial"/>
        </w:rPr>
        <w:t>suffer</w:t>
      </w:r>
      <w:r w:rsidR="001E116F">
        <w:rPr>
          <w:rFonts w:ascii="Arial" w:hAnsi="Arial" w:cs="Arial"/>
        </w:rPr>
        <w:t xml:space="preserve"> spiritually if interp</w:t>
      </w:r>
      <w:r w:rsidR="00942FD4">
        <w:rPr>
          <w:rFonts w:ascii="Arial" w:hAnsi="Arial" w:cs="Arial"/>
        </w:rPr>
        <w:t>retation</w:t>
      </w:r>
      <w:r w:rsidR="001E116F">
        <w:rPr>
          <w:rFonts w:ascii="Arial" w:hAnsi="Arial" w:cs="Arial"/>
        </w:rPr>
        <w:t xml:space="preserve"> is mistaken</w:t>
      </w:r>
      <w:r w:rsidR="00942FD4">
        <w:rPr>
          <w:rFonts w:ascii="Arial" w:hAnsi="Arial" w:cs="Arial"/>
        </w:rPr>
        <w:t xml:space="preserve">.  If the Bible as a whole is subject to feminist scrutiny </w:t>
      </w:r>
      <w:r w:rsidR="00A77D53">
        <w:rPr>
          <w:rFonts w:ascii="Arial" w:hAnsi="Arial" w:cs="Arial"/>
        </w:rPr>
        <w:t>and there i</w:t>
      </w:r>
      <w:r w:rsidR="00942FD4">
        <w:rPr>
          <w:rFonts w:ascii="Arial" w:hAnsi="Arial" w:cs="Arial"/>
        </w:rPr>
        <w:t xml:space="preserve">s recognition that the </w:t>
      </w:r>
      <w:r w:rsidR="00A77D53">
        <w:rPr>
          <w:rFonts w:ascii="Arial" w:hAnsi="Arial" w:cs="Arial"/>
        </w:rPr>
        <w:t>“past does not lie behind us as an archetype to which we must conform, but at its best is a prototype, even when fully recovered”</w:t>
      </w:r>
      <w:r w:rsidR="00A77D53">
        <w:rPr>
          <w:rStyle w:val="FootnoteReference"/>
          <w:rFonts w:ascii="Arial" w:hAnsi="Arial" w:cs="Arial"/>
        </w:rPr>
        <w:footnoteReference w:id="11"/>
      </w:r>
      <w:r w:rsidR="00A77D53">
        <w:rPr>
          <w:rFonts w:ascii="Arial" w:hAnsi="Arial" w:cs="Arial"/>
        </w:rPr>
        <w:t xml:space="preserve"> </w:t>
      </w:r>
      <w:r w:rsidR="00942FD4">
        <w:rPr>
          <w:rFonts w:ascii="Arial" w:hAnsi="Arial" w:cs="Arial"/>
        </w:rPr>
        <w:t xml:space="preserve">then ALL stand to gain.  </w:t>
      </w:r>
    </w:p>
    <w:p w:rsidR="006A733B" w:rsidRDefault="006A733B" w:rsidP="006A733B">
      <w:pPr>
        <w:rPr>
          <w:rFonts w:ascii="Arial" w:hAnsi="Arial" w:cs="Arial"/>
        </w:rPr>
      </w:pPr>
      <w:r w:rsidRPr="006A733B">
        <w:rPr>
          <w:rFonts w:ascii="Arial" w:hAnsi="Arial" w:cs="Arial"/>
        </w:rPr>
        <w:t>In common with feminist approaches, post-colonial interpretation also utilizes a range of critical techniques in order to engage with the text</w:t>
      </w:r>
      <w:r w:rsidR="00DA6C30">
        <w:rPr>
          <w:rFonts w:ascii="Arial" w:hAnsi="Arial" w:cs="Arial"/>
        </w:rPr>
        <w:t xml:space="preserve"> which it sees as produced in the shadow of empire</w:t>
      </w:r>
      <w:r w:rsidRPr="006A733B">
        <w:rPr>
          <w:rFonts w:ascii="Arial" w:hAnsi="Arial" w:cs="Arial"/>
        </w:rPr>
        <w:t xml:space="preserve">.  </w:t>
      </w:r>
      <w:r w:rsidR="00256AA6">
        <w:rPr>
          <w:rFonts w:ascii="Arial" w:hAnsi="Arial" w:cs="Arial"/>
        </w:rPr>
        <w:t xml:space="preserve">It questions the previously central historical-critical approach as </w:t>
      </w:r>
      <w:r w:rsidR="00256AA6" w:rsidRPr="00125440">
        <w:rPr>
          <w:rFonts w:ascii="Arial" w:hAnsi="Arial" w:cs="Arial"/>
        </w:rPr>
        <w:t>Scholz, quoting Russell Moy states, “the historical method … is Eurocentric … due to its historic roots.  With the dominance of this method, its practitioners … regard its methods as normative and objective”.</w:t>
      </w:r>
      <w:r w:rsidR="00256AA6" w:rsidRPr="00125440">
        <w:rPr>
          <w:rStyle w:val="FootnoteReference"/>
          <w:rFonts w:ascii="Arial" w:hAnsi="Arial" w:cs="Arial"/>
        </w:rPr>
        <w:footnoteReference w:id="12"/>
      </w:r>
      <w:r w:rsidR="00256AA6" w:rsidRPr="00125440">
        <w:rPr>
          <w:rFonts w:ascii="Arial" w:hAnsi="Arial" w:cs="Arial"/>
        </w:rPr>
        <w:t xml:space="preserve">  </w:t>
      </w:r>
      <w:r w:rsidR="00B57B79" w:rsidRPr="00125440">
        <w:rPr>
          <w:rFonts w:ascii="Arial" w:hAnsi="Arial" w:cs="Arial"/>
        </w:rPr>
        <w:t>The</w:t>
      </w:r>
      <w:r w:rsidRPr="00125440">
        <w:rPr>
          <w:rFonts w:ascii="Arial" w:hAnsi="Arial" w:cs="Arial"/>
        </w:rPr>
        <w:t xml:space="preserve"> key aim </w:t>
      </w:r>
      <w:r w:rsidR="00B57B79" w:rsidRPr="00125440">
        <w:rPr>
          <w:rFonts w:ascii="Arial" w:hAnsi="Arial" w:cs="Arial"/>
        </w:rPr>
        <w:t xml:space="preserve">of post-colonial approaches </w:t>
      </w:r>
      <w:r w:rsidRPr="00125440">
        <w:rPr>
          <w:rFonts w:ascii="Arial" w:hAnsi="Arial" w:cs="Arial"/>
        </w:rPr>
        <w:t xml:space="preserve">is to locate empire and imperial </w:t>
      </w:r>
      <w:r w:rsidRPr="006A733B">
        <w:rPr>
          <w:rFonts w:ascii="Arial" w:hAnsi="Arial" w:cs="Arial"/>
        </w:rPr>
        <w:t>concerns at the centre of the study of the Bible and to confront the effects of Western imperialism and colonialism</w:t>
      </w:r>
      <w:r w:rsidR="00D319B0">
        <w:rPr>
          <w:rFonts w:ascii="Arial" w:hAnsi="Arial" w:cs="Arial"/>
        </w:rPr>
        <w:t>, “challenging dominant discourses and master narratives in order to recover previously submerged histories”</w:t>
      </w:r>
      <w:r w:rsidR="00D319B0">
        <w:rPr>
          <w:rStyle w:val="FootnoteReference"/>
          <w:rFonts w:ascii="Arial" w:hAnsi="Arial" w:cs="Arial"/>
        </w:rPr>
        <w:footnoteReference w:id="13"/>
      </w:r>
      <w:r w:rsidR="00CA46F6">
        <w:rPr>
          <w:rFonts w:ascii="Arial" w:hAnsi="Arial" w:cs="Arial"/>
        </w:rPr>
        <w:t xml:space="preserve"> such that the powers of oppression are changed.  </w:t>
      </w:r>
      <w:r w:rsidRPr="006A733B">
        <w:rPr>
          <w:rFonts w:ascii="Arial" w:hAnsi="Arial" w:cs="Arial"/>
        </w:rPr>
        <w:t>Post-colonial criticism critiques the ethnocentric character of biblical studies and challenges the questions and assumptions of dominant European/North Ame</w:t>
      </w:r>
      <w:r w:rsidR="0007143B">
        <w:rPr>
          <w:rFonts w:ascii="Arial" w:hAnsi="Arial" w:cs="Arial"/>
        </w:rPr>
        <w:t>rican scholars which</w:t>
      </w:r>
      <w:r w:rsidRPr="006A733B">
        <w:rPr>
          <w:rFonts w:ascii="Arial" w:hAnsi="Arial" w:cs="Arial"/>
        </w:rPr>
        <w:t xml:space="preserve"> were frequently irrelevant or actually detrimental to the rest of the world.  </w:t>
      </w:r>
      <w:r w:rsidR="00DA6C30">
        <w:rPr>
          <w:rFonts w:ascii="Arial" w:hAnsi="Arial" w:cs="Arial"/>
        </w:rPr>
        <w:t xml:space="preserve">It takes account of the socio-cultural contexts of the biblical texts whilst recognising that this cannot be translated to every imperial context across time and cultures.  </w:t>
      </w:r>
      <w:r w:rsidRPr="006A733B">
        <w:rPr>
          <w:rFonts w:ascii="Arial" w:hAnsi="Arial" w:cs="Arial"/>
        </w:rPr>
        <w:t>Sugirtharajah</w:t>
      </w:r>
      <w:r w:rsidRPr="006A733B">
        <w:rPr>
          <w:rStyle w:val="FootnoteReference"/>
          <w:rFonts w:ascii="Arial" w:hAnsi="Arial" w:cs="Arial"/>
        </w:rPr>
        <w:footnoteReference w:id="14"/>
      </w:r>
      <w:r w:rsidRPr="006A733B">
        <w:rPr>
          <w:rFonts w:ascii="Arial" w:hAnsi="Arial" w:cs="Arial"/>
        </w:rPr>
        <w:t xml:space="preserve"> identifie</w:t>
      </w:r>
      <w:r w:rsidR="00163901">
        <w:rPr>
          <w:rFonts w:ascii="Arial" w:hAnsi="Arial" w:cs="Arial"/>
        </w:rPr>
        <w:t>s a number of ways in which post-colonial criticism</w:t>
      </w:r>
      <w:r w:rsidRPr="006A733B">
        <w:rPr>
          <w:rFonts w:ascii="Arial" w:hAnsi="Arial" w:cs="Arial"/>
        </w:rPr>
        <w:t xml:space="preserve"> has enhanced biblical studies including bringing attention to the importance of empire, e.g. Assyrian, Persian or Roman, within biblical narratives particularly the imperialist political dimension, exposing</w:t>
      </w:r>
      <w:r>
        <w:rPr>
          <w:rFonts w:ascii="Arial" w:hAnsi="Arial" w:cs="Arial"/>
        </w:rPr>
        <w:t xml:space="preserve"> stereotyped</w:t>
      </w:r>
      <w:r w:rsidRPr="006A733B">
        <w:rPr>
          <w:rFonts w:ascii="Arial" w:hAnsi="Arial" w:cs="Arial"/>
        </w:rPr>
        <w:t xml:space="preserve"> images of the ‘other’ as lazy or unreliable in supposedly liberal scholarship, unearthing through retrieval hermeneutics the ways in which the colonized have appropriated the Bible and addressing issues such as nationhood, diaspora and multiculturalism which have emerged in the wake of colonization.</w:t>
      </w:r>
    </w:p>
    <w:p w:rsidR="00501712" w:rsidRDefault="00256A6C" w:rsidP="00501712">
      <w:pPr>
        <w:rPr>
          <w:rFonts w:ascii="Arial" w:hAnsi="Arial" w:cs="Arial"/>
        </w:rPr>
      </w:pPr>
      <w:r>
        <w:rPr>
          <w:rFonts w:ascii="Arial" w:hAnsi="Arial" w:cs="Arial"/>
        </w:rPr>
        <w:t xml:space="preserve">The </w:t>
      </w:r>
      <w:r w:rsidR="00337580">
        <w:rPr>
          <w:rFonts w:ascii="Arial" w:hAnsi="Arial" w:cs="Arial"/>
        </w:rPr>
        <w:t>assumptions</w:t>
      </w:r>
      <w:r>
        <w:rPr>
          <w:rFonts w:ascii="Arial" w:hAnsi="Arial" w:cs="Arial"/>
        </w:rPr>
        <w:t xml:space="preserve"> of white Western scholarly </w:t>
      </w:r>
      <w:r w:rsidR="00337580">
        <w:rPr>
          <w:rFonts w:ascii="Arial" w:hAnsi="Arial" w:cs="Arial"/>
        </w:rPr>
        <w:t>interpretation</w:t>
      </w:r>
      <w:r>
        <w:rPr>
          <w:rFonts w:ascii="Arial" w:hAnsi="Arial" w:cs="Arial"/>
        </w:rPr>
        <w:t xml:space="preserve"> challenged by post-</w:t>
      </w:r>
      <w:r w:rsidR="00337580">
        <w:rPr>
          <w:rFonts w:ascii="Arial" w:hAnsi="Arial" w:cs="Arial"/>
        </w:rPr>
        <w:t>colonial</w:t>
      </w:r>
      <w:r>
        <w:rPr>
          <w:rFonts w:ascii="Arial" w:hAnsi="Arial" w:cs="Arial"/>
        </w:rPr>
        <w:t xml:space="preserve"> approaches is brought home </w:t>
      </w:r>
      <w:r w:rsidR="002E7844">
        <w:rPr>
          <w:rFonts w:ascii="Arial" w:hAnsi="Arial" w:cs="Arial"/>
        </w:rPr>
        <w:t xml:space="preserve">in two very different ways by Musa Dube and David Horrell.  </w:t>
      </w:r>
      <w:r w:rsidRPr="006A733B">
        <w:rPr>
          <w:rFonts w:ascii="Arial" w:hAnsi="Arial" w:cs="Arial"/>
        </w:rPr>
        <w:t>Sugirtharajah</w:t>
      </w:r>
      <w:r w:rsidR="00337580">
        <w:rPr>
          <w:rStyle w:val="FootnoteReference"/>
          <w:rFonts w:ascii="Arial" w:hAnsi="Arial" w:cs="Arial"/>
        </w:rPr>
        <w:footnoteReference w:id="15"/>
      </w:r>
      <w:r w:rsidR="00337580">
        <w:rPr>
          <w:rFonts w:ascii="Arial" w:hAnsi="Arial" w:cs="Arial"/>
        </w:rPr>
        <w:t xml:space="preserve"> describes Musa Dube’s approach to reading the Bible, which she calls ‘Rahab’s Prism’, as a method which reveals the layers of oppression functioning in different communities which owes much to the redaction criticism approach of traditional historical-criticism.  In her exegesis </w:t>
      </w:r>
      <w:r w:rsidR="00501712">
        <w:rPr>
          <w:rFonts w:ascii="Arial" w:hAnsi="Arial" w:cs="Arial"/>
        </w:rPr>
        <w:t>of</w:t>
      </w:r>
      <w:r w:rsidR="00337580">
        <w:rPr>
          <w:rFonts w:ascii="Arial" w:hAnsi="Arial" w:cs="Arial"/>
        </w:rPr>
        <w:t xml:space="preserve"> the Canaanite Woman (Mt 15: 22-28) she first considers the implied author of </w:t>
      </w:r>
      <w:r w:rsidR="00501712">
        <w:rPr>
          <w:rFonts w:ascii="Arial" w:hAnsi="Arial" w:cs="Arial"/>
        </w:rPr>
        <w:t>Matthew</w:t>
      </w:r>
      <w:r w:rsidR="00337580">
        <w:rPr>
          <w:rFonts w:ascii="Arial" w:hAnsi="Arial" w:cs="Arial"/>
        </w:rPr>
        <w:t xml:space="preserve"> identifying the Gospel as a ‘collaborative post</w:t>
      </w:r>
      <w:r w:rsidR="00AE5B41">
        <w:rPr>
          <w:rFonts w:ascii="Arial" w:hAnsi="Arial" w:cs="Arial"/>
        </w:rPr>
        <w:t>-</w:t>
      </w:r>
      <w:r w:rsidR="00337580">
        <w:rPr>
          <w:rFonts w:ascii="Arial" w:hAnsi="Arial" w:cs="Arial"/>
        </w:rPr>
        <w:t xml:space="preserve">colonial narrative’ which replaces the </w:t>
      </w:r>
      <w:r w:rsidR="00501712">
        <w:rPr>
          <w:rFonts w:ascii="Arial" w:hAnsi="Arial" w:cs="Arial"/>
        </w:rPr>
        <w:t>cause</w:t>
      </w:r>
      <w:r w:rsidR="00337580">
        <w:rPr>
          <w:rFonts w:ascii="Arial" w:hAnsi="Arial" w:cs="Arial"/>
        </w:rPr>
        <w:t xml:space="preserve"> of oppression by the </w:t>
      </w:r>
      <w:r w:rsidR="002E7844">
        <w:rPr>
          <w:rFonts w:ascii="Arial" w:hAnsi="Arial" w:cs="Arial"/>
        </w:rPr>
        <w:t>Roman empire with oppression fro</w:t>
      </w:r>
      <w:r w:rsidR="00337580">
        <w:rPr>
          <w:rFonts w:ascii="Arial" w:hAnsi="Arial" w:cs="Arial"/>
        </w:rPr>
        <w:t xml:space="preserve">m the </w:t>
      </w:r>
      <w:r w:rsidR="00501712">
        <w:rPr>
          <w:rFonts w:ascii="Arial" w:hAnsi="Arial" w:cs="Arial"/>
        </w:rPr>
        <w:t>Jewish</w:t>
      </w:r>
      <w:r w:rsidR="00337580">
        <w:rPr>
          <w:rFonts w:ascii="Arial" w:hAnsi="Arial" w:cs="Arial"/>
        </w:rPr>
        <w:t xml:space="preserve"> leaders in an attempt to curr</w:t>
      </w:r>
      <w:r w:rsidR="00AE5B41">
        <w:rPr>
          <w:rFonts w:ascii="Arial" w:hAnsi="Arial" w:cs="Arial"/>
        </w:rPr>
        <w:t>y favour with the</w:t>
      </w:r>
      <w:r w:rsidR="00D829AE">
        <w:rPr>
          <w:rFonts w:ascii="Arial" w:hAnsi="Arial" w:cs="Arial"/>
        </w:rPr>
        <w:t xml:space="preserve"> Roman e</w:t>
      </w:r>
      <w:r w:rsidR="00337580">
        <w:rPr>
          <w:rFonts w:ascii="Arial" w:hAnsi="Arial" w:cs="Arial"/>
        </w:rPr>
        <w:t xml:space="preserve">mpire for the Matthean community.  Accepting the primacy of Mark, she notes that </w:t>
      </w:r>
      <w:r w:rsidR="00501712">
        <w:rPr>
          <w:rFonts w:ascii="Arial" w:hAnsi="Arial" w:cs="Arial"/>
        </w:rPr>
        <w:t>Matthew</w:t>
      </w:r>
      <w:r w:rsidR="00337580">
        <w:rPr>
          <w:rFonts w:ascii="Arial" w:hAnsi="Arial" w:cs="Arial"/>
        </w:rPr>
        <w:t xml:space="preserve"> has taken a Syro-</w:t>
      </w:r>
      <w:r w:rsidR="00337580">
        <w:rPr>
          <w:rFonts w:ascii="Arial" w:hAnsi="Arial" w:cs="Arial"/>
        </w:rPr>
        <w:lastRenderedPageBreak/>
        <w:t>Phoenician Woman and made her a Canaanite – bringing to mind Joshua’s subjugation of the land.</w:t>
      </w:r>
      <w:r w:rsidR="002E7844">
        <w:rPr>
          <w:rFonts w:ascii="Arial" w:hAnsi="Arial" w:cs="Arial"/>
        </w:rPr>
        <w:t xml:space="preserve">  Jesus’ class and race give hi</w:t>
      </w:r>
      <w:r w:rsidR="00D829AE">
        <w:rPr>
          <w:rFonts w:ascii="Arial" w:hAnsi="Arial" w:cs="Arial"/>
        </w:rPr>
        <w:t>m a superior status compared with</w:t>
      </w:r>
      <w:r w:rsidR="002E7844">
        <w:rPr>
          <w:rFonts w:ascii="Arial" w:hAnsi="Arial" w:cs="Arial"/>
        </w:rPr>
        <w:t xml:space="preserve"> the woman who is a </w:t>
      </w:r>
      <w:r w:rsidR="00501712">
        <w:rPr>
          <w:rFonts w:ascii="Arial" w:hAnsi="Arial" w:cs="Arial"/>
        </w:rPr>
        <w:t>racially</w:t>
      </w:r>
      <w:r w:rsidR="002E7844">
        <w:rPr>
          <w:rFonts w:ascii="Arial" w:hAnsi="Arial" w:cs="Arial"/>
        </w:rPr>
        <w:t xml:space="preserve"> inferior foreigner who as a </w:t>
      </w:r>
      <w:r w:rsidR="00AE5B41">
        <w:rPr>
          <w:rFonts w:ascii="Arial" w:hAnsi="Arial" w:cs="Arial"/>
        </w:rPr>
        <w:t>‘</w:t>
      </w:r>
      <w:r w:rsidR="002E7844">
        <w:rPr>
          <w:rFonts w:ascii="Arial" w:hAnsi="Arial" w:cs="Arial"/>
        </w:rPr>
        <w:t>dog</w:t>
      </w:r>
      <w:r w:rsidR="00AE5B41">
        <w:rPr>
          <w:rFonts w:ascii="Arial" w:hAnsi="Arial" w:cs="Arial"/>
        </w:rPr>
        <w:t>’</w:t>
      </w:r>
      <w:r w:rsidR="002E7844">
        <w:rPr>
          <w:rFonts w:ascii="Arial" w:hAnsi="Arial" w:cs="Arial"/>
        </w:rPr>
        <w:t xml:space="preserve"> can only eat crumbs from the master’s table (verse 27).  At this stage of reading, therefore, she identifies signs of imperialism within the text.  Dube then goes on to analyse both </w:t>
      </w:r>
      <w:r w:rsidR="00501712">
        <w:rPr>
          <w:rFonts w:ascii="Arial" w:hAnsi="Arial" w:cs="Arial"/>
        </w:rPr>
        <w:t>white Western male and white W</w:t>
      </w:r>
      <w:r w:rsidR="002E7844">
        <w:rPr>
          <w:rFonts w:ascii="Arial" w:hAnsi="Arial" w:cs="Arial"/>
        </w:rPr>
        <w:t xml:space="preserve">estern feminist interpretations of the text </w:t>
      </w:r>
      <w:r w:rsidR="00501712">
        <w:rPr>
          <w:rFonts w:ascii="Arial" w:hAnsi="Arial" w:cs="Arial"/>
        </w:rPr>
        <w:t>concludi</w:t>
      </w:r>
      <w:r w:rsidR="002E7844">
        <w:rPr>
          <w:rFonts w:ascii="Arial" w:hAnsi="Arial" w:cs="Arial"/>
        </w:rPr>
        <w:t xml:space="preserve">ng that </w:t>
      </w:r>
      <w:r w:rsidR="00501712">
        <w:rPr>
          <w:rFonts w:ascii="Arial" w:hAnsi="Arial" w:cs="Arial"/>
        </w:rPr>
        <w:t>they fail to consider how issue</w:t>
      </w:r>
      <w:r w:rsidR="002E7844">
        <w:rPr>
          <w:rFonts w:ascii="Arial" w:hAnsi="Arial" w:cs="Arial"/>
        </w:rPr>
        <w:t>s</w:t>
      </w:r>
      <w:r w:rsidR="00501712">
        <w:rPr>
          <w:rFonts w:ascii="Arial" w:hAnsi="Arial" w:cs="Arial"/>
        </w:rPr>
        <w:t xml:space="preserve"> </w:t>
      </w:r>
      <w:r w:rsidR="002E7844">
        <w:rPr>
          <w:rFonts w:ascii="Arial" w:hAnsi="Arial" w:cs="Arial"/>
        </w:rPr>
        <w:t xml:space="preserve">of power and relationships with the Romans </w:t>
      </w:r>
      <w:r w:rsidR="00501712">
        <w:rPr>
          <w:rFonts w:ascii="Arial" w:hAnsi="Arial" w:cs="Arial"/>
        </w:rPr>
        <w:t>might</w:t>
      </w:r>
      <w:r w:rsidR="002E7844">
        <w:rPr>
          <w:rFonts w:ascii="Arial" w:hAnsi="Arial" w:cs="Arial"/>
        </w:rPr>
        <w:t xml:space="preserve"> affect the portrayal of the story and how feminist writers – whilst being </w:t>
      </w:r>
      <w:r w:rsidR="00501712">
        <w:rPr>
          <w:rFonts w:ascii="Arial" w:hAnsi="Arial" w:cs="Arial"/>
        </w:rPr>
        <w:t>alert</w:t>
      </w:r>
      <w:r w:rsidR="002E7844">
        <w:rPr>
          <w:rFonts w:ascii="Arial" w:hAnsi="Arial" w:cs="Arial"/>
        </w:rPr>
        <w:t xml:space="preserve"> to power within the gender </w:t>
      </w:r>
      <w:r w:rsidR="00501712">
        <w:rPr>
          <w:rFonts w:ascii="Arial" w:hAnsi="Arial" w:cs="Arial"/>
        </w:rPr>
        <w:t>relationship</w:t>
      </w:r>
      <w:r w:rsidR="002E7844">
        <w:rPr>
          <w:rFonts w:ascii="Arial" w:hAnsi="Arial" w:cs="Arial"/>
        </w:rPr>
        <w:t xml:space="preserve"> – fail to recognise how one race has privileged itself over </w:t>
      </w:r>
      <w:r w:rsidR="00501712">
        <w:rPr>
          <w:rFonts w:ascii="Arial" w:hAnsi="Arial" w:cs="Arial"/>
        </w:rPr>
        <w:t>another</w:t>
      </w:r>
      <w:r w:rsidR="002E7844">
        <w:rPr>
          <w:rFonts w:ascii="Arial" w:hAnsi="Arial" w:cs="Arial"/>
        </w:rPr>
        <w:t xml:space="preserve">.  She then goes on </w:t>
      </w:r>
      <w:r w:rsidR="00501712">
        <w:rPr>
          <w:rFonts w:ascii="Arial" w:hAnsi="Arial" w:cs="Arial"/>
        </w:rPr>
        <w:t>to present</w:t>
      </w:r>
      <w:r w:rsidR="002E7844">
        <w:rPr>
          <w:rFonts w:ascii="Arial" w:hAnsi="Arial" w:cs="Arial"/>
        </w:rPr>
        <w:t xml:space="preserve"> an alternative way of reading based on interdependence which relies on community reading to</w:t>
      </w:r>
      <w:r w:rsidR="00501712">
        <w:rPr>
          <w:rFonts w:ascii="Arial" w:hAnsi="Arial" w:cs="Arial"/>
        </w:rPr>
        <w:t xml:space="preserve"> resist oppressions enforced both</w:t>
      </w:r>
      <w:r w:rsidR="002E7844">
        <w:rPr>
          <w:rFonts w:ascii="Arial" w:hAnsi="Arial" w:cs="Arial"/>
        </w:rPr>
        <w:t xml:space="preserve"> </w:t>
      </w:r>
      <w:r w:rsidR="00501712">
        <w:rPr>
          <w:rFonts w:ascii="Arial" w:hAnsi="Arial" w:cs="Arial"/>
        </w:rPr>
        <w:t>within</w:t>
      </w:r>
      <w:r w:rsidR="002E7844">
        <w:rPr>
          <w:rFonts w:ascii="Arial" w:hAnsi="Arial" w:cs="Arial"/>
        </w:rPr>
        <w:t xml:space="preserve"> </w:t>
      </w:r>
      <w:r w:rsidR="00501712">
        <w:rPr>
          <w:rFonts w:ascii="Arial" w:hAnsi="Arial" w:cs="Arial"/>
        </w:rPr>
        <w:t>th</w:t>
      </w:r>
      <w:r w:rsidR="002E7844">
        <w:rPr>
          <w:rFonts w:ascii="Arial" w:hAnsi="Arial" w:cs="Arial"/>
        </w:rPr>
        <w:t xml:space="preserve">e text and in its </w:t>
      </w:r>
      <w:r w:rsidR="00501712">
        <w:rPr>
          <w:rFonts w:ascii="Arial" w:hAnsi="Arial" w:cs="Arial"/>
        </w:rPr>
        <w:t>interpretation</w:t>
      </w:r>
      <w:r w:rsidR="002E7844">
        <w:rPr>
          <w:rFonts w:ascii="Arial" w:hAnsi="Arial" w:cs="Arial"/>
        </w:rPr>
        <w:t>.</w:t>
      </w:r>
      <w:r w:rsidR="00501712">
        <w:rPr>
          <w:rFonts w:ascii="Arial" w:hAnsi="Arial" w:cs="Arial"/>
        </w:rPr>
        <w:t xml:space="preserve"> </w:t>
      </w:r>
    </w:p>
    <w:p w:rsidR="00501712" w:rsidRDefault="00501712" w:rsidP="00501712">
      <w:pPr>
        <w:rPr>
          <w:rFonts w:ascii="Arial" w:hAnsi="Arial" w:cs="Arial"/>
        </w:rPr>
      </w:pPr>
      <w:r>
        <w:rPr>
          <w:rFonts w:ascii="Arial" w:hAnsi="Arial" w:cs="Arial"/>
        </w:rPr>
        <w:t>In Horrell’s self-reflective article ‘Paul, Inclusion and Whiteness:  Particularizing Interpretation’, he considers both the historical interpretation of Gal 3:28 which identifies Paul as a proponent of Christian universalism set against a Judaism framed by ex</w:t>
      </w:r>
      <w:r w:rsidR="001B28EE">
        <w:rPr>
          <w:rFonts w:ascii="Arial" w:hAnsi="Arial" w:cs="Arial"/>
        </w:rPr>
        <w:t>clusivity and the way in which w</w:t>
      </w:r>
      <w:r>
        <w:rPr>
          <w:rFonts w:ascii="Arial" w:hAnsi="Arial" w:cs="Arial"/>
        </w:rPr>
        <w:t>hiteness studies has a key role to play in awareness raising for white Western scholars.  Horrell</w:t>
      </w:r>
      <w:r w:rsidR="00CD7851">
        <w:rPr>
          <w:rStyle w:val="FootnoteReference"/>
          <w:rFonts w:ascii="Arial" w:hAnsi="Arial" w:cs="Arial"/>
        </w:rPr>
        <w:footnoteReference w:id="16"/>
      </w:r>
      <w:r>
        <w:rPr>
          <w:rFonts w:ascii="Arial" w:hAnsi="Arial" w:cs="Arial"/>
        </w:rPr>
        <w:t xml:space="preserve"> starts by </w:t>
      </w:r>
      <w:r w:rsidR="00887933">
        <w:rPr>
          <w:rFonts w:ascii="Arial" w:hAnsi="Arial" w:cs="Arial"/>
        </w:rPr>
        <w:t>tracing</w:t>
      </w:r>
      <w:r>
        <w:rPr>
          <w:rFonts w:ascii="Arial" w:hAnsi="Arial" w:cs="Arial"/>
        </w:rPr>
        <w:t xml:space="preserve"> </w:t>
      </w:r>
      <w:r w:rsidR="00887933">
        <w:rPr>
          <w:rFonts w:ascii="Arial" w:hAnsi="Arial" w:cs="Arial"/>
        </w:rPr>
        <w:t>the</w:t>
      </w:r>
      <w:r>
        <w:rPr>
          <w:rFonts w:ascii="Arial" w:hAnsi="Arial" w:cs="Arial"/>
        </w:rPr>
        <w:t xml:space="preserve"> </w:t>
      </w:r>
      <w:r w:rsidR="00887933">
        <w:rPr>
          <w:rFonts w:ascii="Arial" w:hAnsi="Arial" w:cs="Arial"/>
        </w:rPr>
        <w:t>interpretation</w:t>
      </w:r>
      <w:r>
        <w:rPr>
          <w:rFonts w:ascii="Arial" w:hAnsi="Arial" w:cs="Arial"/>
        </w:rPr>
        <w:t xml:space="preserve"> of this passage from the </w:t>
      </w:r>
      <w:r w:rsidR="00887933">
        <w:rPr>
          <w:rFonts w:ascii="Arial" w:hAnsi="Arial" w:cs="Arial"/>
        </w:rPr>
        <w:t>Christian</w:t>
      </w:r>
      <w:r>
        <w:rPr>
          <w:rFonts w:ascii="Arial" w:hAnsi="Arial" w:cs="Arial"/>
        </w:rPr>
        <w:t xml:space="preserve"> missionary standpoint of a world under the universalizing religion of </w:t>
      </w:r>
      <w:r w:rsidR="00887933">
        <w:rPr>
          <w:rFonts w:ascii="Arial" w:hAnsi="Arial" w:cs="Arial"/>
        </w:rPr>
        <w:t>Christianity</w:t>
      </w:r>
      <w:r>
        <w:rPr>
          <w:rFonts w:ascii="Arial" w:hAnsi="Arial" w:cs="Arial"/>
        </w:rPr>
        <w:t>, through what Witherington, quoted on page 125, sees as a “Magna Carta of Humanity”</w:t>
      </w:r>
      <w:r w:rsidR="00887933">
        <w:rPr>
          <w:rFonts w:ascii="Arial" w:hAnsi="Arial" w:cs="Arial"/>
        </w:rPr>
        <w:t>, through the muting of the critique of Judaism to the relativizing, not removal, of differing identities incorporated with a unity in Christ clearly demonstrating the extent to which the commentaries are products of their context.</w:t>
      </w:r>
      <w:r w:rsidR="001B28EE">
        <w:rPr>
          <w:rFonts w:ascii="Arial" w:hAnsi="Arial" w:cs="Arial"/>
        </w:rPr>
        <w:t xml:space="preserve"> He then sidesteps to consider whiteness s</w:t>
      </w:r>
      <w:r w:rsidR="00887933">
        <w:rPr>
          <w:rFonts w:ascii="Arial" w:hAnsi="Arial" w:cs="Arial"/>
        </w:rPr>
        <w:t xml:space="preserve">tudies emphasising the way in which by failing to study whiteness, it has been made normative such that others are ‘raced’ whilst whites are just people.  In a quest for racial equality in a context of white dominance, he notes, whiteness is invisible.  He argues that naming whiteness serves to displace it from the unmarked status which it enjoys by virtue of its dominance, referring to the importance of Dyer’s project of ‘making whiteness strange’.  </w:t>
      </w:r>
      <w:r w:rsidR="001C2F27">
        <w:rPr>
          <w:rFonts w:ascii="Arial" w:hAnsi="Arial" w:cs="Arial"/>
        </w:rPr>
        <w:t xml:space="preserve">He then returns to Gal 3:28 and highlights the profound </w:t>
      </w:r>
      <w:r w:rsidR="00E167C4">
        <w:rPr>
          <w:rFonts w:ascii="Arial" w:hAnsi="Arial" w:cs="Arial"/>
        </w:rPr>
        <w:t>implications</w:t>
      </w:r>
      <w:r w:rsidR="001C2F27">
        <w:rPr>
          <w:rFonts w:ascii="Arial" w:hAnsi="Arial" w:cs="Arial"/>
        </w:rPr>
        <w:t xml:space="preserve"> of Christian textual </w:t>
      </w:r>
      <w:r w:rsidR="00E167C4">
        <w:rPr>
          <w:rFonts w:ascii="Arial" w:hAnsi="Arial" w:cs="Arial"/>
        </w:rPr>
        <w:t>interpretation including the extent to which the passage is seen as inspiring (but only for Christians</w:t>
      </w:r>
      <w:r w:rsidR="00CD7851">
        <w:rPr>
          <w:rFonts w:ascii="Arial" w:hAnsi="Arial" w:cs="Arial"/>
        </w:rPr>
        <w:t>)</w:t>
      </w:r>
      <w:r w:rsidR="00E167C4">
        <w:rPr>
          <w:rFonts w:ascii="Arial" w:hAnsi="Arial" w:cs="Arial"/>
        </w:rPr>
        <w:t xml:space="preserve"> and the way in which unity in Christ is presented as a new particularism elevated above (and to the exclusion of) all others.  Being one in Christ is therefore contrasted with Judaism (despite the different levels of connection to that faith accepted in New Testament times e.g. sympathizer, God fearer or full proselyte) and presents a </w:t>
      </w:r>
      <w:r w:rsidR="00CD7851">
        <w:rPr>
          <w:rFonts w:ascii="Arial" w:hAnsi="Arial" w:cs="Arial"/>
        </w:rPr>
        <w:t>different superiority from</w:t>
      </w:r>
      <w:r w:rsidR="00E167C4">
        <w:rPr>
          <w:rFonts w:ascii="Arial" w:hAnsi="Arial" w:cs="Arial"/>
        </w:rPr>
        <w:t xml:space="preserve"> that of the Roman </w:t>
      </w:r>
      <w:r w:rsidR="001B28EE">
        <w:rPr>
          <w:rFonts w:ascii="Arial" w:hAnsi="Arial" w:cs="Arial"/>
        </w:rPr>
        <w:t>e</w:t>
      </w:r>
      <w:r w:rsidR="00CD7851">
        <w:rPr>
          <w:rFonts w:ascii="Arial" w:hAnsi="Arial" w:cs="Arial"/>
        </w:rPr>
        <w:t>mpire</w:t>
      </w:r>
      <w:r w:rsidR="00E167C4">
        <w:rPr>
          <w:rFonts w:ascii="Arial" w:hAnsi="Arial" w:cs="Arial"/>
        </w:rPr>
        <w:t>. Finally</w:t>
      </w:r>
      <w:r w:rsidR="001B28EE">
        <w:rPr>
          <w:rFonts w:ascii="Arial" w:hAnsi="Arial" w:cs="Arial"/>
        </w:rPr>
        <w:t>,</w:t>
      </w:r>
      <w:r w:rsidR="00E167C4">
        <w:rPr>
          <w:rFonts w:ascii="Arial" w:hAnsi="Arial" w:cs="Arial"/>
        </w:rPr>
        <w:t xml:space="preserve"> Horrell locates Paul’s vision in a contemporary </w:t>
      </w:r>
      <w:r w:rsidR="00CD7851">
        <w:rPr>
          <w:rFonts w:ascii="Arial" w:hAnsi="Arial" w:cs="Arial"/>
        </w:rPr>
        <w:t xml:space="preserve">Western </w:t>
      </w:r>
      <w:r w:rsidR="00E167C4">
        <w:rPr>
          <w:rFonts w:ascii="Arial" w:hAnsi="Arial" w:cs="Arial"/>
        </w:rPr>
        <w:t xml:space="preserve">setting </w:t>
      </w:r>
      <w:r w:rsidR="00CD7851">
        <w:rPr>
          <w:rFonts w:ascii="Arial" w:hAnsi="Arial" w:cs="Arial"/>
        </w:rPr>
        <w:t xml:space="preserve">- </w:t>
      </w:r>
      <w:r w:rsidR="00E167C4">
        <w:rPr>
          <w:rFonts w:ascii="Arial" w:hAnsi="Arial" w:cs="Arial"/>
        </w:rPr>
        <w:t xml:space="preserve">i.e. within a </w:t>
      </w:r>
      <w:r w:rsidR="00CD7851">
        <w:rPr>
          <w:rFonts w:ascii="Arial" w:hAnsi="Arial" w:cs="Arial"/>
        </w:rPr>
        <w:t>culture</w:t>
      </w:r>
      <w:r w:rsidR="00E167C4">
        <w:rPr>
          <w:rFonts w:ascii="Arial" w:hAnsi="Arial" w:cs="Arial"/>
        </w:rPr>
        <w:t xml:space="preserve"> of valuing diversity</w:t>
      </w:r>
      <w:r w:rsidR="00CD7851">
        <w:rPr>
          <w:rFonts w:ascii="Arial" w:hAnsi="Arial" w:cs="Arial"/>
        </w:rPr>
        <w:t xml:space="preserve"> - acknowledging its specific</w:t>
      </w:r>
      <w:r w:rsidR="00E167C4">
        <w:rPr>
          <w:rFonts w:ascii="Arial" w:hAnsi="Arial" w:cs="Arial"/>
        </w:rPr>
        <w:t xml:space="preserve"> </w:t>
      </w:r>
      <w:r w:rsidR="00CD7851">
        <w:rPr>
          <w:rFonts w:ascii="Arial" w:hAnsi="Arial" w:cs="Arial"/>
        </w:rPr>
        <w:t>ideological</w:t>
      </w:r>
      <w:r w:rsidR="00E167C4">
        <w:rPr>
          <w:rFonts w:ascii="Arial" w:hAnsi="Arial" w:cs="Arial"/>
        </w:rPr>
        <w:t xml:space="preserve"> and cultural context. Rather than </w:t>
      </w:r>
      <w:r w:rsidR="00CD7851">
        <w:rPr>
          <w:rFonts w:ascii="Arial" w:hAnsi="Arial" w:cs="Arial"/>
        </w:rPr>
        <w:t>seeking</w:t>
      </w:r>
      <w:r w:rsidR="00E167C4">
        <w:rPr>
          <w:rFonts w:ascii="Arial" w:hAnsi="Arial" w:cs="Arial"/>
        </w:rPr>
        <w:t xml:space="preserve"> to undermine the value of </w:t>
      </w:r>
      <w:r w:rsidR="00AE5B41">
        <w:rPr>
          <w:rFonts w:ascii="Arial" w:hAnsi="Arial" w:cs="Arial"/>
        </w:rPr>
        <w:t>wider scholarship, Horrell concludes with</w:t>
      </w:r>
      <w:r w:rsidR="00CD7851">
        <w:rPr>
          <w:rFonts w:ascii="Arial" w:hAnsi="Arial" w:cs="Arial"/>
        </w:rPr>
        <w:t xml:space="preserve"> </w:t>
      </w:r>
      <w:r w:rsidR="00E167C4">
        <w:rPr>
          <w:rFonts w:ascii="Arial" w:hAnsi="Arial" w:cs="Arial"/>
        </w:rPr>
        <w:t xml:space="preserve">the </w:t>
      </w:r>
      <w:r w:rsidR="00CD7851">
        <w:rPr>
          <w:rFonts w:ascii="Arial" w:hAnsi="Arial" w:cs="Arial"/>
        </w:rPr>
        <w:t>importance</w:t>
      </w:r>
      <w:r w:rsidR="00E167C4">
        <w:rPr>
          <w:rFonts w:ascii="Arial" w:hAnsi="Arial" w:cs="Arial"/>
        </w:rPr>
        <w:t xml:space="preserve"> of being </w:t>
      </w:r>
      <w:r w:rsidR="00CD7851">
        <w:rPr>
          <w:rFonts w:ascii="Arial" w:hAnsi="Arial" w:cs="Arial"/>
        </w:rPr>
        <w:t>alerted</w:t>
      </w:r>
      <w:r w:rsidR="00E167C4">
        <w:rPr>
          <w:rFonts w:ascii="Arial" w:hAnsi="Arial" w:cs="Arial"/>
        </w:rPr>
        <w:t xml:space="preserve"> to particularity. </w:t>
      </w:r>
    </w:p>
    <w:p w:rsidR="00CC27FF" w:rsidRPr="00AE5B41" w:rsidRDefault="00256AA6" w:rsidP="00E92BD0">
      <w:pPr>
        <w:rPr>
          <w:rFonts w:ascii="Arial" w:hAnsi="Arial" w:cs="Arial"/>
        </w:rPr>
      </w:pPr>
      <w:r>
        <w:rPr>
          <w:rFonts w:ascii="Arial" w:hAnsi="Arial" w:cs="Arial"/>
        </w:rPr>
        <w:t xml:space="preserve">The post-colonial approach </w:t>
      </w:r>
      <w:r w:rsidRPr="00AE5B41">
        <w:rPr>
          <w:rFonts w:ascii="Arial" w:hAnsi="Arial" w:cs="Arial"/>
        </w:rPr>
        <w:t>recognises the Bible as a “contested and ambiguous book” but is “not in the business of cleansing the Bible of its colonial impulses”.</w:t>
      </w:r>
      <w:r w:rsidRPr="00AE5B41">
        <w:rPr>
          <w:rStyle w:val="FootnoteReference"/>
          <w:rFonts w:ascii="Arial" w:hAnsi="Arial" w:cs="Arial"/>
        </w:rPr>
        <w:footnoteReference w:id="17"/>
      </w:r>
      <w:r w:rsidRPr="00AE5B41">
        <w:rPr>
          <w:rFonts w:ascii="Arial" w:hAnsi="Arial" w:cs="Arial"/>
        </w:rPr>
        <w:t xml:space="preserve"> </w:t>
      </w:r>
      <w:r>
        <w:rPr>
          <w:rFonts w:ascii="Arial" w:hAnsi="Arial" w:cs="Arial"/>
        </w:rPr>
        <w:t xml:space="preserve">  </w:t>
      </w:r>
      <w:r w:rsidRPr="00AE5B41">
        <w:rPr>
          <w:rFonts w:ascii="Arial" w:hAnsi="Arial" w:cs="Arial"/>
        </w:rPr>
        <w:t xml:space="preserve">In addition, it recognises that the project of emancipation and resistance is not uniform and harmonious and diversity must be brought to the fore. </w:t>
      </w:r>
      <w:r>
        <w:rPr>
          <w:rFonts w:ascii="Arial" w:hAnsi="Arial" w:cs="Arial"/>
        </w:rPr>
        <w:t>It highlights the role of unacknowledged acceptance of the dominant function of empire in shaping interpretation and attitudes towards those who are its victims</w:t>
      </w:r>
      <w:r w:rsidR="001B28EE">
        <w:rPr>
          <w:rFonts w:ascii="Arial" w:hAnsi="Arial" w:cs="Arial"/>
        </w:rPr>
        <w:t xml:space="preserve"> and these are all strengths</w:t>
      </w:r>
      <w:r>
        <w:rPr>
          <w:rFonts w:ascii="Arial" w:hAnsi="Arial" w:cs="Arial"/>
        </w:rPr>
        <w:t xml:space="preserve">. </w:t>
      </w:r>
      <w:r w:rsidR="001B28EE">
        <w:rPr>
          <w:rFonts w:ascii="Arial" w:hAnsi="Arial" w:cs="Arial"/>
        </w:rPr>
        <w:t>T</w:t>
      </w:r>
      <w:r w:rsidR="00247EB7" w:rsidRPr="00AE5B41">
        <w:rPr>
          <w:rFonts w:ascii="Arial" w:hAnsi="Arial" w:cs="Arial"/>
        </w:rPr>
        <w:t>he po</w:t>
      </w:r>
      <w:r w:rsidR="001B28EE">
        <w:rPr>
          <w:rFonts w:ascii="Arial" w:hAnsi="Arial" w:cs="Arial"/>
        </w:rPr>
        <w:t xml:space="preserve">st-colonial approach </w:t>
      </w:r>
      <w:r w:rsidR="00247EB7" w:rsidRPr="00AE5B41">
        <w:rPr>
          <w:rFonts w:ascii="Arial" w:hAnsi="Arial" w:cs="Arial"/>
        </w:rPr>
        <w:t>has</w:t>
      </w:r>
      <w:r w:rsidR="001B28EE">
        <w:rPr>
          <w:rFonts w:ascii="Arial" w:hAnsi="Arial" w:cs="Arial"/>
        </w:rPr>
        <w:t xml:space="preserve"> also</w:t>
      </w:r>
      <w:r w:rsidR="00247EB7" w:rsidRPr="00AE5B41">
        <w:rPr>
          <w:rFonts w:ascii="Arial" w:hAnsi="Arial" w:cs="Arial"/>
        </w:rPr>
        <w:t xml:space="preserve"> increased </w:t>
      </w:r>
      <w:r w:rsidR="001B28EE">
        <w:rPr>
          <w:rFonts w:ascii="Arial" w:hAnsi="Arial" w:cs="Arial"/>
        </w:rPr>
        <w:t xml:space="preserve">the </w:t>
      </w:r>
      <w:r w:rsidR="00247EB7" w:rsidRPr="00AE5B41">
        <w:rPr>
          <w:rFonts w:ascii="Arial" w:hAnsi="Arial" w:cs="Arial"/>
        </w:rPr>
        <w:t>a</w:t>
      </w:r>
      <w:r w:rsidR="001B28EE">
        <w:rPr>
          <w:rFonts w:ascii="Arial" w:hAnsi="Arial" w:cs="Arial"/>
        </w:rPr>
        <w:t>ccountability and sensitivity of</w:t>
      </w:r>
      <w:r w:rsidR="00247EB7" w:rsidRPr="00AE5B41">
        <w:rPr>
          <w:rFonts w:ascii="Arial" w:hAnsi="Arial" w:cs="Arial"/>
        </w:rPr>
        <w:t xml:space="preserve"> Western scholars to</w:t>
      </w:r>
      <w:r w:rsidR="001B28EE">
        <w:rPr>
          <w:rFonts w:ascii="Arial" w:hAnsi="Arial" w:cs="Arial"/>
        </w:rPr>
        <w:t>wards</w:t>
      </w:r>
      <w:r w:rsidR="00247EB7" w:rsidRPr="00AE5B41">
        <w:rPr>
          <w:rFonts w:ascii="Arial" w:hAnsi="Arial" w:cs="Arial"/>
        </w:rPr>
        <w:t xml:space="preserve"> those of th</w:t>
      </w:r>
      <w:r w:rsidR="00D829AE">
        <w:rPr>
          <w:rFonts w:ascii="Arial" w:hAnsi="Arial" w:cs="Arial"/>
        </w:rPr>
        <w:t xml:space="preserve">e Two </w:t>
      </w:r>
      <w:r w:rsidR="00CC27FF" w:rsidRPr="00AE5B41">
        <w:rPr>
          <w:rFonts w:ascii="Arial" w:hAnsi="Arial" w:cs="Arial"/>
        </w:rPr>
        <w:t>Thirds</w:t>
      </w:r>
      <w:r w:rsidR="00247EB7" w:rsidRPr="00AE5B41">
        <w:rPr>
          <w:rFonts w:ascii="Arial" w:hAnsi="Arial" w:cs="Arial"/>
        </w:rPr>
        <w:t xml:space="preserve"> World</w:t>
      </w:r>
      <w:r w:rsidR="001B28EE">
        <w:rPr>
          <w:rFonts w:ascii="Arial" w:hAnsi="Arial" w:cs="Arial"/>
        </w:rPr>
        <w:t>, particularly feminist scholars,</w:t>
      </w:r>
      <w:r>
        <w:rPr>
          <w:rFonts w:ascii="Arial" w:hAnsi="Arial" w:cs="Arial"/>
        </w:rPr>
        <w:t xml:space="preserve"> battling against the fact that “those </w:t>
      </w:r>
      <w:r>
        <w:rPr>
          <w:rFonts w:ascii="Arial" w:hAnsi="Arial" w:cs="Arial"/>
        </w:rPr>
        <w:lastRenderedPageBreak/>
        <w:t>unaffected by oppression can often remain blind to its effect”.</w:t>
      </w:r>
      <w:r>
        <w:rPr>
          <w:rStyle w:val="FootnoteReference"/>
          <w:rFonts w:ascii="Arial" w:hAnsi="Arial" w:cs="Arial"/>
        </w:rPr>
        <w:footnoteReference w:id="18"/>
      </w:r>
      <w:r w:rsidR="00247EB7" w:rsidRPr="00AE5B41">
        <w:rPr>
          <w:rFonts w:ascii="Arial" w:hAnsi="Arial" w:cs="Arial"/>
        </w:rPr>
        <w:t xml:space="preserve">.  </w:t>
      </w:r>
      <w:r w:rsidR="00E92BD0" w:rsidRPr="00AE5B41">
        <w:rPr>
          <w:rFonts w:ascii="Arial" w:hAnsi="Arial" w:cs="Arial"/>
        </w:rPr>
        <w:t>In a world of located hermeneutics what remains must be identified as white European/North A</w:t>
      </w:r>
      <w:r w:rsidR="00AE5B41" w:rsidRPr="00AE5B41">
        <w:rPr>
          <w:rFonts w:ascii="Arial" w:hAnsi="Arial" w:cs="Arial"/>
        </w:rPr>
        <w:t xml:space="preserve">merican hermeneutics, </w:t>
      </w:r>
      <w:r>
        <w:rPr>
          <w:rFonts w:ascii="Arial" w:hAnsi="Arial" w:cs="Arial"/>
        </w:rPr>
        <w:t xml:space="preserve">and </w:t>
      </w:r>
      <w:r w:rsidR="00AE5B41" w:rsidRPr="00AE5B41">
        <w:rPr>
          <w:rFonts w:ascii="Arial" w:hAnsi="Arial" w:cs="Arial"/>
        </w:rPr>
        <w:t xml:space="preserve">not simply </w:t>
      </w:r>
      <w:r w:rsidR="001B28EE">
        <w:rPr>
          <w:rFonts w:ascii="Arial" w:hAnsi="Arial" w:cs="Arial"/>
        </w:rPr>
        <w:t xml:space="preserve">as </w:t>
      </w:r>
      <w:r w:rsidR="00E92BD0" w:rsidRPr="00AE5B41">
        <w:rPr>
          <w:rFonts w:ascii="Arial" w:hAnsi="Arial" w:cs="Arial"/>
        </w:rPr>
        <w:t>biblical studies.</w:t>
      </w:r>
    </w:p>
    <w:p w:rsidR="00B57B79" w:rsidRPr="001247F4" w:rsidRDefault="001B28EE" w:rsidP="00B57B79">
      <w:pPr>
        <w:rPr>
          <w:rFonts w:ascii="Arial" w:hAnsi="Arial" w:cs="Arial"/>
        </w:rPr>
      </w:pPr>
      <w:r>
        <w:rPr>
          <w:rFonts w:ascii="Arial" w:hAnsi="Arial" w:cs="Arial"/>
        </w:rPr>
        <w:t>In conclusion, then, l</w:t>
      </w:r>
      <w:r w:rsidR="00AF2A85" w:rsidRPr="001247F4">
        <w:rPr>
          <w:rFonts w:ascii="Arial" w:hAnsi="Arial" w:cs="Arial"/>
        </w:rPr>
        <w:t>iterar</w:t>
      </w:r>
      <w:r>
        <w:rPr>
          <w:rFonts w:ascii="Arial" w:hAnsi="Arial" w:cs="Arial"/>
        </w:rPr>
        <w:t>y approaches can prove a useful</w:t>
      </w:r>
      <w:r w:rsidR="00AF2A85" w:rsidRPr="001247F4">
        <w:rPr>
          <w:rFonts w:ascii="Arial" w:hAnsi="Arial" w:cs="Arial"/>
        </w:rPr>
        <w:t xml:space="preserve"> tool for b</w:t>
      </w:r>
      <w:r w:rsidR="00B57B79" w:rsidRPr="001247F4">
        <w:rPr>
          <w:rFonts w:ascii="Arial" w:hAnsi="Arial" w:cs="Arial"/>
        </w:rPr>
        <w:t>oth feminist and post-colonial approaches</w:t>
      </w:r>
      <w:r w:rsidR="00AF2A85" w:rsidRPr="001247F4">
        <w:rPr>
          <w:rFonts w:ascii="Arial" w:hAnsi="Arial" w:cs="Arial"/>
        </w:rPr>
        <w:t>. Both of these latter approaches</w:t>
      </w:r>
      <w:r w:rsidR="00B57B79" w:rsidRPr="001247F4">
        <w:rPr>
          <w:rFonts w:ascii="Arial" w:hAnsi="Arial" w:cs="Arial"/>
        </w:rPr>
        <w:t xml:space="preserve"> recognise the illusion of objectivity, universal validity and value neutrality claimed by the historical-critical approach along with its wide acceptance functioning to place other approaches as peripheral.  Scholtz argues that the dominant historical-critical approach is one reason for the field of biblical studies remaining disconnected from the contemporary world since it allows interpreters to “position biblical literature in a distant past, far removed from today’s politics, economics and religion”.</w:t>
      </w:r>
      <w:r w:rsidR="00B57B79" w:rsidRPr="001247F4">
        <w:rPr>
          <w:rStyle w:val="FootnoteReference"/>
          <w:rFonts w:ascii="Arial" w:hAnsi="Arial" w:cs="Arial"/>
        </w:rPr>
        <w:footnoteReference w:id="19"/>
      </w:r>
      <w:r w:rsidR="00B57B79" w:rsidRPr="001247F4">
        <w:rPr>
          <w:rFonts w:ascii="Arial" w:hAnsi="Arial" w:cs="Arial"/>
        </w:rPr>
        <w:t xml:space="preserve">  Nevertheless, Rogerson argues that “even scholars who are critical of the historical-critical method are in fact deeply indebted to it in one of more of its forms”.</w:t>
      </w:r>
      <w:r w:rsidR="00B57B79" w:rsidRPr="001247F4">
        <w:rPr>
          <w:rStyle w:val="FootnoteReference"/>
          <w:rFonts w:ascii="Arial" w:hAnsi="Arial" w:cs="Arial"/>
        </w:rPr>
        <w:footnoteReference w:id="20"/>
      </w:r>
      <w:r w:rsidR="00B57B79" w:rsidRPr="001247F4">
        <w:rPr>
          <w:rFonts w:ascii="Arial" w:hAnsi="Arial" w:cs="Arial"/>
        </w:rPr>
        <w:t xml:space="preserve">  Today biblical exegetes are presented with a plethora of potential approaches, some distinct and others offering interdisciplinary potential. This variety of approaches, and the dialogue which it promotes, ensure the text will continue to speak relevantly in this millennium. </w:t>
      </w:r>
    </w:p>
    <w:p w:rsidR="00B57B79" w:rsidRDefault="00B57B79" w:rsidP="00B57B79">
      <w:pPr>
        <w:rPr>
          <w:rFonts w:ascii="Arial" w:hAnsi="Arial" w:cs="Arial"/>
          <w:color w:val="7030A0"/>
        </w:rPr>
      </w:pPr>
    </w:p>
    <w:p w:rsidR="00B57B79" w:rsidRDefault="00B57B79" w:rsidP="00B57B79">
      <w:pPr>
        <w:rPr>
          <w:rFonts w:ascii="Arial" w:hAnsi="Arial" w:cs="Arial"/>
          <w:color w:val="7030A0"/>
        </w:rPr>
      </w:pPr>
    </w:p>
    <w:p w:rsidR="00163901" w:rsidRPr="00247EB7" w:rsidRDefault="00163901" w:rsidP="006A733B">
      <w:pPr>
        <w:rPr>
          <w:rFonts w:ascii="Arial" w:hAnsi="Arial" w:cs="Arial"/>
          <w:color w:val="7030A0"/>
        </w:rPr>
      </w:pPr>
    </w:p>
    <w:p w:rsidR="006A733B" w:rsidRDefault="006A733B" w:rsidP="006A733B">
      <w:pPr>
        <w:rPr>
          <w:rFonts w:ascii="Arial" w:hAnsi="Arial" w:cs="Arial"/>
          <w:color w:val="FF0000"/>
        </w:rPr>
      </w:pPr>
    </w:p>
    <w:p w:rsidR="00633FBD" w:rsidRDefault="00633FBD" w:rsidP="00633FBD">
      <w:pPr>
        <w:rPr>
          <w:rFonts w:ascii="Arial" w:hAnsi="Arial" w:cs="Arial"/>
        </w:rPr>
      </w:pPr>
    </w:p>
    <w:p w:rsidR="00633FBD" w:rsidRPr="00633FBD" w:rsidRDefault="00633FBD" w:rsidP="00633FBD">
      <w:pPr>
        <w:rPr>
          <w:rFonts w:ascii="Arial" w:hAnsi="Arial" w:cs="Arial"/>
        </w:rPr>
      </w:pPr>
    </w:p>
    <w:p w:rsidR="003762D3" w:rsidRDefault="003762D3">
      <w:pPr>
        <w:rPr>
          <w:rFonts w:ascii="Arial" w:hAnsi="Arial" w:cs="Arial"/>
        </w:rPr>
      </w:pPr>
    </w:p>
    <w:p w:rsidR="003762D3" w:rsidRDefault="003762D3">
      <w:pPr>
        <w:rPr>
          <w:rFonts w:ascii="Arial" w:hAnsi="Arial" w:cs="Arial"/>
        </w:rPr>
      </w:pPr>
    </w:p>
    <w:p w:rsidR="003762D3" w:rsidRDefault="003762D3">
      <w:pPr>
        <w:rPr>
          <w:rFonts w:ascii="Arial" w:hAnsi="Arial" w:cs="Arial"/>
        </w:rPr>
      </w:pPr>
    </w:p>
    <w:p w:rsidR="003762D3" w:rsidRDefault="003762D3">
      <w:pPr>
        <w:rPr>
          <w:rFonts w:ascii="Arial" w:hAnsi="Arial" w:cs="Arial"/>
        </w:rPr>
      </w:pPr>
    </w:p>
    <w:p w:rsidR="003762D3" w:rsidRDefault="003762D3">
      <w:pPr>
        <w:rPr>
          <w:rFonts w:ascii="Arial" w:hAnsi="Arial" w:cs="Arial"/>
        </w:rPr>
      </w:pPr>
    </w:p>
    <w:p w:rsidR="003762D3" w:rsidRDefault="003762D3">
      <w:pPr>
        <w:rPr>
          <w:rFonts w:ascii="Arial" w:hAnsi="Arial" w:cs="Arial"/>
        </w:rPr>
      </w:pPr>
    </w:p>
    <w:p w:rsidR="00685F6C" w:rsidRDefault="00685F6C" w:rsidP="00685F6C">
      <w:pPr>
        <w:rPr>
          <w:rFonts w:ascii="Arial" w:hAnsi="Arial" w:cs="Arial"/>
        </w:rPr>
      </w:pPr>
    </w:p>
    <w:p w:rsidR="00685F6C" w:rsidRDefault="00685F6C" w:rsidP="00685F6C">
      <w:pPr>
        <w:rPr>
          <w:rFonts w:ascii="Arial" w:hAnsi="Arial" w:cs="Arial"/>
        </w:rPr>
      </w:pPr>
    </w:p>
    <w:p w:rsidR="00685F6C" w:rsidRDefault="00685F6C" w:rsidP="00685F6C">
      <w:pPr>
        <w:rPr>
          <w:rFonts w:ascii="Arial" w:hAnsi="Arial" w:cs="Arial"/>
        </w:rPr>
      </w:pPr>
    </w:p>
    <w:p w:rsidR="00685F6C" w:rsidRDefault="00685F6C" w:rsidP="00685F6C">
      <w:pPr>
        <w:rPr>
          <w:rFonts w:ascii="Arial" w:hAnsi="Arial" w:cs="Arial"/>
        </w:rPr>
      </w:pPr>
    </w:p>
    <w:p w:rsidR="00685F6C" w:rsidRDefault="00685F6C" w:rsidP="00685F6C">
      <w:pPr>
        <w:rPr>
          <w:rFonts w:ascii="Arial" w:hAnsi="Arial" w:cs="Arial"/>
        </w:rPr>
      </w:pPr>
    </w:p>
    <w:p w:rsidR="001B28EE" w:rsidRPr="00511872" w:rsidRDefault="001B28EE" w:rsidP="001B28EE">
      <w:pPr>
        <w:rPr>
          <w:rFonts w:ascii="Arial" w:hAnsi="Arial" w:cs="Arial"/>
          <w:b/>
          <w:sz w:val="24"/>
          <w:szCs w:val="24"/>
          <w:u w:val="single"/>
        </w:rPr>
      </w:pPr>
      <w:r w:rsidRPr="00776167">
        <w:rPr>
          <w:rFonts w:ascii="Arial" w:hAnsi="Arial" w:cs="Arial"/>
          <w:b/>
          <w:sz w:val="24"/>
          <w:szCs w:val="24"/>
          <w:u w:val="single"/>
        </w:rPr>
        <w:lastRenderedPageBreak/>
        <w:t>Bibliography</w:t>
      </w:r>
    </w:p>
    <w:p w:rsidR="001B28EE" w:rsidRPr="0048500C" w:rsidRDefault="001B28EE" w:rsidP="001B28EE">
      <w:pPr>
        <w:rPr>
          <w:rFonts w:ascii="Arial" w:hAnsi="Arial" w:cs="Arial"/>
        </w:rPr>
      </w:pPr>
      <w:r w:rsidRPr="0048500C">
        <w:rPr>
          <w:rFonts w:ascii="Arial" w:hAnsi="Arial" w:cs="Arial"/>
        </w:rPr>
        <w:t xml:space="preserve">Barton, John, ‘Historical-Critical Approaches’, in John Barton (ed) </w:t>
      </w:r>
      <w:r w:rsidRPr="0048500C">
        <w:rPr>
          <w:rFonts w:ascii="Arial" w:hAnsi="Arial" w:cs="Arial"/>
          <w:i/>
        </w:rPr>
        <w:t>The Cambridge Companion to Biblical Interpretation</w:t>
      </w:r>
      <w:r w:rsidRPr="0048500C">
        <w:rPr>
          <w:rFonts w:ascii="Arial" w:hAnsi="Arial" w:cs="Arial"/>
        </w:rPr>
        <w:t xml:space="preserve"> (Cambridge: Cambridge University Press, 1998), 9-21.</w:t>
      </w:r>
    </w:p>
    <w:p w:rsidR="001B28EE" w:rsidRPr="0048500C" w:rsidRDefault="001B28EE" w:rsidP="001B28EE">
      <w:pPr>
        <w:rPr>
          <w:rFonts w:ascii="Arial" w:hAnsi="Arial" w:cs="Arial"/>
        </w:rPr>
      </w:pPr>
      <w:r w:rsidRPr="0048500C">
        <w:rPr>
          <w:rFonts w:ascii="Arial" w:hAnsi="Arial" w:cs="Arial"/>
        </w:rPr>
        <w:t xml:space="preserve">Collins, John J., ‘Historical Criticism and Its Postmodern Critics’, in </w:t>
      </w:r>
      <w:r w:rsidRPr="0048500C">
        <w:rPr>
          <w:rFonts w:ascii="Arial" w:hAnsi="Arial" w:cs="Arial"/>
          <w:i/>
        </w:rPr>
        <w:t>The Bible after Babel: Historical Criticism in a Postmodern Age</w:t>
      </w:r>
      <w:r w:rsidRPr="0048500C">
        <w:rPr>
          <w:rFonts w:ascii="Arial" w:hAnsi="Arial" w:cs="Arial"/>
        </w:rPr>
        <w:t xml:space="preserve"> (Grand Rapids:  Wm B. Eerdmans, 2005), 1-25.</w:t>
      </w:r>
    </w:p>
    <w:p w:rsidR="001B28EE" w:rsidRDefault="001B28EE" w:rsidP="001B28EE">
      <w:pPr>
        <w:rPr>
          <w:rFonts w:ascii="Arial" w:hAnsi="Arial" w:cs="Arial"/>
        </w:rPr>
      </w:pPr>
      <w:r w:rsidRPr="0048500C">
        <w:rPr>
          <w:rFonts w:ascii="Arial" w:hAnsi="Arial" w:cs="Arial"/>
        </w:rPr>
        <w:t>Gooder, P., Searching for Meaning (London: SPCK, 2008)</w:t>
      </w:r>
      <w:r>
        <w:rPr>
          <w:rFonts w:ascii="Arial" w:hAnsi="Arial" w:cs="Arial"/>
        </w:rPr>
        <w:t>.</w:t>
      </w:r>
    </w:p>
    <w:p w:rsidR="001B28EE" w:rsidRDefault="001B28EE" w:rsidP="001B28EE">
      <w:pPr>
        <w:rPr>
          <w:rFonts w:ascii="Arial" w:hAnsi="Arial" w:cs="Arial"/>
        </w:rPr>
      </w:pPr>
      <w:r>
        <w:rPr>
          <w:rFonts w:ascii="Arial" w:hAnsi="Arial" w:cs="Arial"/>
        </w:rPr>
        <w:t>Haddox, Susan E., ‘Masculinity Studies of the Hebrew Bible:  The First Two Decades’, Currents in Biblical Research 14/2 (2016), 176-206.</w:t>
      </w:r>
    </w:p>
    <w:p w:rsidR="001B28EE" w:rsidRDefault="001B28EE" w:rsidP="001B28EE">
      <w:pPr>
        <w:rPr>
          <w:rFonts w:ascii="Arial" w:hAnsi="Arial" w:cs="Arial"/>
        </w:rPr>
      </w:pPr>
      <w:r>
        <w:rPr>
          <w:rFonts w:ascii="Arial" w:hAnsi="Arial" w:cs="Arial"/>
        </w:rPr>
        <w:t>Horrell, David G., ‘Paul, Inclusion and Whiteness:  Particularizing Interpretation’, Journal for the Study of the New Testament 40/2 (2017), 123-147.</w:t>
      </w:r>
    </w:p>
    <w:p w:rsidR="001B28EE" w:rsidRDefault="001B28EE" w:rsidP="001B28EE">
      <w:pPr>
        <w:rPr>
          <w:rFonts w:ascii="Arial" w:hAnsi="Arial" w:cs="Arial"/>
        </w:rPr>
      </w:pPr>
      <w:r w:rsidRPr="00430E1F">
        <w:rPr>
          <w:rFonts w:ascii="Arial" w:hAnsi="Arial" w:cs="Arial"/>
        </w:rPr>
        <w:t xml:space="preserve">Horsley, Richard A., ‘Feminist Scholarship and Postcolonial Criticism: Subverting Imperial Discourse and Reclaiming Submerged Histories’, in Shelley Matthews, Cynthia Briggs Kittredge and Melanie Johnson-DeBaufre (eds) </w:t>
      </w:r>
      <w:r w:rsidRPr="00430E1F">
        <w:rPr>
          <w:rFonts w:ascii="Arial" w:hAnsi="Arial" w:cs="Arial"/>
          <w:i/>
        </w:rPr>
        <w:t>Walk in the Ways of Wisdom: Essays in Honor of Elisabeth Schüssler Fiorenza</w:t>
      </w:r>
      <w:r w:rsidRPr="00430E1F">
        <w:rPr>
          <w:rFonts w:ascii="Arial" w:hAnsi="Arial" w:cs="Arial"/>
        </w:rPr>
        <w:t xml:space="preserve">, (Harrisburg, Pennsylvania:  Trinity Press International, 2003), 297-317. </w:t>
      </w:r>
    </w:p>
    <w:p w:rsidR="001B28EE" w:rsidRPr="0048500C" w:rsidRDefault="001B28EE" w:rsidP="001B28EE">
      <w:pPr>
        <w:rPr>
          <w:rFonts w:ascii="Arial" w:hAnsi="Arial" w:cs="Arial"/>
        </w:rPr>
      </w:pPr>
      <w:r>
        <w:rPr>
          <w:rFonts w:ascii="Arial" w:hAnsi="Arial" w:cs="Arial"/>
        </w:rPr>
        <w:t xml:space="preserve">Jasper, David, ‘Literary Readings of the Bible’, in John Barton (ed), </w:t>
      </w:r>
      <w:r>
        <w:rPr>
          <w:rFonts w:ascii="Arial" w:hAnsi="Arial" w:cs="Arial"/>
          <w:i/>
        </w:rPr>
        <w:t>The Cambridge Companion to Biblical Interpretation</w:t>
      </w:r>
      <w:r>
        <w:rPr>
          <w:rFonts w:ascii="Arial" w:hAnsi="Arial" w:cs="Arial"/>
        </w:rPr>
        <w:t xml:space="preserve"> (Cambridge: Cambridge University Press, 1998), 21-35. </w:t>
      </w:r>
    </w:p>
    <w:p w:rsidR="001B28EE" w:rsidRDefault="001B28EE" w:rsidP="001B28EE">
      <w:pPr>
        <w:rPr>
          <w:rFonts w:ascii="Arial" w:hAnsi="Arial" w:cs="Arial"/>
        </w:rPr>
      </w:pPr>
      <w:r w:rsidRPr="0048500C">
        <w:rPr>
          <w:rFonts w:ascii="Arial" w:hAnsi="Arial" w:cs="Arial"/>
        </w:rPr>
        <w:t xml:space="preserve">Loades, Ann, ‘Feminist Interpretation’, in John Barton (ed) </w:t>
      </w:r>
      <w:r w:rsidRPr="0048500C">
        <w:rPr>
          <w:rFonts w:ascii="Arial" w:hAnsi="Arial" w:cs="Arial"/>
          <w:i/>
        </w:rPr>
        <w:t>The Cambridge Companion to Biblical Interpretation</w:t>
      </w:r>
      <w:r w:rsidRPr="0048500C">
        <w:rPr>
          <w:rFonts w:ascii="Arial" w:hAnsi="Arial" w:cs="Arial"/>
        </w:rPr>
        <w:t xml:space="preserve"> (Cambridge: Cambridge University Press, 1998), 81-95.</w:t>
      </w:r>
    </w:p>
    <w:p w:rsidR="001B28EE" w:rsidRDefault="001B28EE" w:rsidP="001B28EE">
      <w:pPr>
        <w:rPr>
          <w:rFonts w:ascii="Arial" w:hAnsi="Arial" w:cs="Arial"/>
        </w:rPr>
      </w:pPr>
      <w:r>
        <w:rPr>
          <w:rFonts w:ascii="Arial" w:hAnsi="Arial" w:cs="Arial"/>
        </w:rPr>
        <w:t xml:space="preserve">Mitchell, Margaret M., ‘Rhetorical and New Literary Criticism’, in Judith M. Lieu and J.W. Rogerson (eds), </w:t>
      </w:r>
      <w:r>
        <w:rPr>
          <w:rFonts w:ascii="Arial" w:hAnsi="Arial" w:cs="Arial"/>
          <w:i/>
        </w:rPr>
        <w:t>The Oxford Handbook of Biblical Studies</w:t>
      </w:r>
      <w:r>
        <w:rPr>
          <w:rFonts w:ascii="Arial" w:hAnsi="Arial" w:cs="Arial"/>
        </w:rPr>
        <w:t xml:space="preserve"> (Oxford:  Oxford University Press, 2009), 615-633.</w:t>
      </w:r>
    </w:p>
    <w:p w:rsidR="001B28EE" w:rsidRDefault="001B28EE" w:rsidP="001B28EE">
      <w:pPr>
        <w:rPr>
          <w:rFonts w:ascii="Arial" w:hAnsi="Arial" w:cs="Arial"/>
        </w:rPr>
      </w:pPr>
      <w:r w:rsidRPr="00430E1F">
        <w:rPr>
          <w:rFonts w:ascii="Arial" w:hAnsi="Arial" w:cs="Arial"/>
        </w:rPr>
        <w:t xml:space="preserve">Mwaura, Philomena Njeri, ‘Feminist Biblical Interpretation and the Hermeneutics of Liberation: An African Woman’s Perspective’, in S. Schroer and S. Bietenhard (eds) </w:t>
      </w:r>
      <w:r w:rsidRPr="00430E1F">
        <w:rPr>
          <w:rFonts w:ascii="Arial" w:hAnsi="Arial" w:cs="Arial"/>
          <w:i/>
        </w:rPr>
        <w:t>Feminist Interpretation of the Bible and the Hermeneutics of Liberation</w:t>
      </w:r>
      <w:r w:rsidRPr="00430E1F">
        <w:rPr>
          <w:rFonts w:ascii="Arial" w:hAnsi="Arial" w:cs="Arial"/>
        </w:rPr>
        <w:t xml:space="preserve">, (Sheffield: Sheffield Academic Press, 2003), 77-85. </w:t>
      </w:r>
    </w:p>
    <w:p w:rsidR="001B28EE" w:rsidRPr="0048500C" w:rsidRDefault="001B28EE" w:rsidP="001B28EE">
      <w:pPr>
        <w:rPr>
          <w:rFonts w:ascii="Arial" w:hAnsi="Arial" w:cs="Arial"/>
        </w:rPr>
      </w:pPr>
      <w:r>
        <w:rPr>
          <w:rFonts w:ascii="Arial" w:hAnsi="Arial" w:cs="Arial"/>
        </w:rPr>
        <w:t xml:space="preserve">Powell, Mark, ‘Scripture as Story’, in Mark Powell, </w:t>
      </w:r>
      <w:r>
        <w:rPr>
          <w:rFonts w:ascii="Arial" w:hAnsi="Arial" w:cs="Arial"/>
          <w:i/>
        </w:rPr>
        <w:t>What Is Narrative Criticism?</w:t>
      </w:r>
      <w:r>
        <w:rPr>
          <w:rFonts w:ascii="Arial" w:hAnsi="Arial" w:cs="Arial"/>
        </w:rPr>
        <w:t xml:space="preserve"> (Minneapolis: Fortress Press, 1993), 1-10. </w:t>
      </w:r>
    </w:p>
    <w:p w:rsidR="001B28EE" w:rsidRPr="0048500C" w:rsidRDefault="001B28EE" w:rsidP="001B28EE">
      <w:pPr>
        <w:rPr>
          <w:rFonts w:ascii="Arial" w:hAnsi="Arial" w:cs="Arial"/>
        </w:rPr>
      </w:pPr>
      <w:r w:rsidRPr="0048500C">
        <w:rPr>
          <w:rFonts w:ascii="Arial" w:hAnsi="Arial" w:cs="Arial"/>
        </w:rPr>
        <w:t xml:space="preserve">Ringe, Sharon H., ‘An Approach to a Critical, Feminist, Theological Reading of the Bible’, in Athalya Brenner and Carole Fontaine (eds) </w:t>
      </w:r>
      <w:r w:rsidRPr="0048500C">
        <w:rPr>
          <w:rFonts w:ascii="Arial" w:hAnsi="Arial" w:cs="Arial"/>
          <w:i/>
        </w:rPr>
        <w:t>A Feminist Companion to Reading the Bible</w:t>
      </w:r>
      <w:r w:rsidRPr="0048500C">
        <w:rPr>
          <w:rFonts w:ascii="Arial" w:hAnsi="Arial" w:cs="Arial"/>
        </w:rPr>
        <w:t xml:space="preserve"> (Sheffield: Sheffield Academic Press, 1997), 156-63. </w:t>
      </w:r>
    </w:p>
    <w:p w:rsidR="001B28EE" w:rsidRDefault="001B28EE" w:rsidP="001B28EE">
      <w:pPr>
        <w:rPr>
          <w:rFonts w:ascii="Arial" w:hAnsi="Arial" w:cs="Arial"/>
        </w:rPr>
      </w:pPr>
      <w:r w:rsidRPr="0048500C">
        <w:rPr>
          <w:rFonts w:ascii="Arial" w:hAnsi="Arial" w:cs="Arial"/>
        </w:rPr>
        <w:t>Rogerson, J.W., ‘Historical Criticism and the Authority of the Bible’, in Judith M</w:t>
      </w:r>
      <w:r>
        <w:rPr>
          <w:rFonts w:ascii="Arial" w:hAnsi="Arial" w:cs="Arial"/>
        </w:rPr>
        <w:t>.</w:t>
      </w:r>
      <w:r w:rsidRPr="0048500C">
        <w:rPr>
          <w:rFonts w:ascii="Arial" w:hAnsi="Arial" w:cs="Arial"/>
        </w:rPr>
        <w:t xml:space="preserve"> Lieu and J.W. Rogerson (eds) </w:t>
      </w:r>
      <w:r w:rsidRPr="0048500C">
        <w:rPr>
          <w:rFonts w:ascii="Arial" w:hAnsi="Arial" w:cs="Arial"/>
          <w:i/>
        </w:rPr>
        <w:t>The Oxford Handbook of Biblical Studies</w:t>
      </w:r>
      <w:r w:rsidRPr="0048500C">
        <w:rPr>
          <w:rFonts w:ascii="Arial" w:hAnsi="Arial" w:cs="Arial"/>
        </w:rPr>
        <w:t xml:space="preserve"> (Oxford:  Oxford University Press, 2009), 841-859.</w:t>
      </w:r>
    </w:p>
    <w:p w:rsidR="001B28EE" w:rsidRDefault="001B28EE" w:rsidP="001B28EE">
      <w:pPr>
        <w:rPr>
          <w:rFonts w:ascii="Arial" w:hAnsi="Arial" w:cs="Arial"/>
        </w:rPr>
      </w:pPr>
      <w:r>
        <w:rPr>
          <w:rFonts w:ascii="Arial" w:hAnsi="Arial" w:cs="Arial"/>
        </w:rPr>
        <w:t xml:space="preserve">Rowland, Christopher, ‘Social, Political and Ideological Criticism’, </w:t>
      </w:r>
      <w:r w:rsidRPr="0048500C">
        <w:rPr>
          <w:rFonts w:ascii="Arial" w:hAnsi="Arial" w:cs="Arial"/>
        </w:rPr>
        <w:t>in Judith M</w:t>
      </w:r>
      <w:r>
        <w:rPr>
          <w:rFonts w:ascii="Arial" w:hAnsi="Arial" w:cs="Arial"/>
        </w:rPr>
        <w:t>.</w:t>
      </w:r>
      <w:r w:rsidRPr="0048500C">
        <w:rPr>
          <w:rFonts w:ascii="Arial" w:hAnsi="Arial" w:cs="Arial"/>
        </w:rPr>
        <w:t xml:space="preserve"> Lieu and J.W. Rogerson (eds) </w:t>
      </w:r>
      <w:r w:rsidRPr="0048500C">
        <w:rPr>
          <w:rFonts w:ascii="Arial" w:hAnsi="Arial" w:cs="Arial"/>
          <w:i/>
        </w:rPr>
        <w:t>The Oxford Handbook of Biblical Studies</w:t>
      </w:r>
      <w:r w:rsidRPr="0048500C">
        <w:rPr>
          <w:rFonts w:ascii="Arial" w:hAnsi="Arial" w:cs="Arial"/>
        </w:rPr>
        <w:t xml:space="preserve"> (Oxford:  Oxf</w:t>
      </w:r>
      <w:r>
        <w:rPr>
          <w:rFonts w:ascii="Arial" w:hAnsi="Arial" w:cs="Arial"/>
        </w:rPr>
        <w:t>ord University Press, 2009), 655-673</w:t>
      </w:r>
      <w:r w:rsidRPr="0048500C">
        <w:rPr>
          <w:rFonts w:ascii="Arial" w:hAnsi="Arial" w:cs="Arial"/>
        </w:rPr>
        <w:t>.</w:t>
      </w:r>
    </w:p>
    <w:p w:rsidR="001B28EE" w:rsidRPr="0048500C" w:rsidRDefault="001B28EE" w:rsidP="001B28EE">
      <w:pPr>
        <w:rPr>
          <w:rFonts w:ascii="Arial" w:hAnsi="Arial" w:cs="Arial"/>
        </w:rPr>
      </w:pPr>
      <w:r>
        <w:rPr>
          <w:rFonts w:ascii="Arial" w:hAnsi="Arial" w:cs="Arial"/>
        </w:rPr>
        <w:t>Russell, Letty M., Feminist Interpretation of the Bible (Oxford:  Blackwell, 1985).</w:t>
      </w:r>
    </w:p>
    <w:p w:rsidR="001B28EE" w:rsidRDefault="001B28EE" w:rsidP="001B28EE">
      <w:pPr>
        <w:rPr>
          <w:rFonts w:ascii="Arial" w:hAnsi="Arial" w:cs="Arial"/>
        </w:rPr>
      </w:pPr>
      <w:r w:rsidRPr="0048500C">
        <w:rPr>
          <w:rFonts w:ascii="Arial" w:hAnsi="Arial" w:cs="Arial"/>
        </w:rPr>
        <w:lastRenderedPageBreak/>
        <w:t>Scholz, Susanne, The Bible as Political Artifact:  On the Feminist Study of the Hebrew Bible (Minneapolis:  Fortress Press, 2017)</w:t>
      </w:r>
      <w:r>
        <w:rPr>
          <w:rFonts w:ascii="Arial" w:hAnsi="Arial" w:cs="Arial"/>
        </w:rPr>
        <w:t>.</w:t>
      </w:r>
    </w:p>
    <w:p w:rsidR="001B28EE" w:rsidRDefault="001B28EE" w:rsidP="001B28EE">
      <w:pPr>
        <w:rPr>
          <w:rFonts w:ascii="Arial" w:hAnsi="Arial" w:cs="Arial"/>
        </w:rPr>
      </w:pPr>
      <w:r w:rsidRPr="008F0BA0">
        <w:rPr>
          <w:rFonts w:ascii="Arial" w:hAnsi="Arial" w:cs="Arial"/>
        </w:rPr>
        <w:t xml:space="preserve">Segovia, Fernando F., ‘Part III: Biblical Studies and Postcolonial Studies’, in </w:t>
      </w:r>
      <w:r w:rsidRPr="008F0BA0">
        <w:rPr>
          <w:rFonts w:ascii="Arial" w:hAnsi="Arial" w:cs="Arial"/>
          <w:i/>
        </w:rPr>
        <w:t>Decolonizing Biblical Studies: A View from the Margins</w:t>
      </w:r>
      <w:r w:rsidRPr="008F0BA0">
        <w:rPr>
          <w:rFonts w:ascii="Arial" w:hAnsi="Arial" w:cs="Arial"/>
        </w:rPr>
        <w:t xml:space="preserve"> (Maryknoll, New York: Orbis, 2000), 119-44.</w:t>
      </w:r>
    </w:p>
    <w:p w:rsidR="001B28EE" w:rsidRPr="00AA6CCB" w:rsidRDefault="001B28EE" w:rsidP="001B28EE">
      <w:pPr>
        <w:rPr>
          <w:rFonts w:ascii="Arial" w:hAnsi="Arial" w:cs="Arial"/>
          <w:color w:val="7030A0"/>
        </w:rPr>
      </w:pPr>
      <w:r w:rsidRPr="00AA6CCB">
        <w:rPr>
          <w:rFonts w:ascii="Arial" w:hAnsi="Arial" w:cs="Arial"/>
          <w:color w:val="3A3A3A"/>
          <w:shd w:val="clear" w:color="auto" w:fill="FFFFFF"/>
        </w:rPr>
        <w:t>Segovia, Fernando F., ‘Postcolonial and Diasporic Criticism in Biblical Studies: Focus, Parameters, Relevance’ in </w:t>
      </w:r>
      <w:r w:rsidRPr="00AA6CCB">
        <w:rPr>
          <w:rFonts w:ascii="Arial" w:hAnsi="Arial" w:cs="Arial"/>
          <w:i/>
          <w:iCs/>
          <w:color w:val="3A3A3A"/>
          <w:shd w:val="clear" w:color="auto" w:fill="FFFFFF"/>
        </w:rPr>
        <w:t>Studies in World Christianity</w:t>
      </w:r>
      <w:r w:rsidRPr="00AA6CCB">
        <w:rPr>
          <w:rFonts w:ascii="Arial" w:hAnsi="Arial" w:cs="Arial"/>
          <w:color w:val="3A3A3A"/>
          <w:shd w:val="clear" w:color="auto" w:fill="FFFFFF"/>
        </w:rPr>
        <w:t>, </w:t>
      </w:r>
      <w:r w:rsidRPr="00AA6CCB">
        <w:rPr>
          <w:rFonts w:ascii="Arial" w:hAnsi="Arial" w:cs="Arial"/>
          <w:i/>
          <w:iCs/>
          <w:color w:val="3A3A3A"/>
          <w:shd w:val="clear" w:color="auto" w:fill="FFFFFF"/>
        </w:rPr>
        <w:t>5</w:t>
      </w:r>
      <w:r w:rsidRPr="00AA6CCB">
        <w:rPr>
          <w:rFonts w:ascii="Arial" w:hAnsi="Arial" w:cs="Arial"/>
          <w:color w:val="3A3A3A"/>
          <w:shd w:val="clear" w:color="auto" w:fill="FFFFFF"/>
        </w:rPr>
        <w:t>(2) 1999, 177–195.</w:t>
      </w:r>
    </w:p>
    <w:p w:rsidR="001B28EE" w:rsidRDefault="001B28EE" w:rsidP="001B28EE">
      <w:pPr>
        <w:rPr>
          <w:rFonts w:ascii="Arial" w:hAnsi="Arial" w:cs="Arial"/>
        </w:rPr>
      </w:pPr>
      <w:r>
        <w:rPr>
          <w:rFonts w:ascii="Arial" w:hAnsi="Arial" w:cs="Arial"/>
        </w:rPr>
        <w:t xml:space="preserve">Wacker, Marie-Theres, ‘Feminist Criticism and Related Aspects’, in Judith M. Lieu and J.W. Rogerson (eds) </w:t>
      </w:r>
      <w:r w:rsidRPr="0048500C">
        <w:rPr>
          <w:rFonts w:ascii="Arial" w:hAnsi="Arial" w:cs="Arial"/>
          <w:i/>
        </w:rPr>
        <w:t>The Oxford Handbook of Biblical Studies</w:t>
      </w:r>
      <w:r w:rsidRPr="0048500C">
        <w:rPr>
          <w:rFonts w:ascii="Arial" w:hAnsi="Arial" w:cs="Arial"/>
        </w:rPr>
        <w:t xml:space="preserve"> (Oxford:  Oxford </w:t>
      </w:r>
      <w:r>
        <w:rPr>
          <w:rFonts w:ascii="Arial" w:hAnsi="Arial" w:cs="Arial"/>
        </w:rPr>
        <w:t>University Press, 2009), 634-654</w:t>
      </w:r>
      <w:r w:rsidRPr="0048500C">
        <w:rPr>
          <w:rFonts w:ascii="Arial" w:hAnsi="Arial" w:cs="Arial"/>
        </w:rPr>
        <w:t>.</w:t>
      </w:r>
    </w:p>
    <w:p w:rsidR="001B28EE" w:rsidRPr="00776167" w:rsidRDefault="001B28EE" w:rsidP="001B28EE">
      <w:pPr>
        <w:rPr>
          <w:rFonts w:ascii="Arial" w:hAnsi="Arial" w:cs="Arial"/>
        </w:rPr>
      </w:pPr>
      <w:r w:rsidRPr="0048500C">
        <w:rPr>
          <w:rFonts w:ascii="Arial" w:hAnsi="Arial" w:cs="Arial"/>
        </w:rPr>
        <w:t xml:space="preserve">Wacker, Marie-Theres, ‘Feminist Exegetical Hermeneutics’, in Luise Schottroff, Silvia Schroer and Marie-Theres Wacker (eds) </w:t>
      </w:r>
      <w:r w:rsidRPr="0048500C">
        <w:rPr>
          <w:rFonts w:ascii="Arial" w:hAnsi="Arial" w:cs="Arial"/>
          <w:i/>
        </w:rPr>
        <w:t>Feminist Interpretation: The Bible in Women’s Perspective</w:t>
      </w:r>
      <w:r w:rsidRPr="0048500C">
        <w:rPr>
          <w:rFonts w:ascii="Arial" w:hAnsi="Arial" w:cs="Arial"/>
        </w:rPr>
        <w:t xml:space="preserve"> (Minneapolis: Fortress Press, 1998), 36-62. </w:t>
      </w:r>
    </w:p>
    <w:p w:rsidR="00685F6C" w:rsidRDefault="00685F6C" w:rsidP="00685F6C">
      <w:pPr>
        <w:rPr>
          <w:rFonts w:ascii="Arial" w:hAnsi="Arial" w:cs="Arial"/>
        </w:rPr>
      </w:pPr>
    </w:p>
    <w:p w:rsidR="00685F6C" w:rsidRPr="00077BA9" w:rsidRDefault="00685F6C" w:rsidP="00077BA9">
      <w:pPr>
        <w:rPr>
          <w:rFonts w:ascii="Arial" w:hAnsi="Arial" w:cs="Arial"/>
          <w:color w:val="7030A0"/>
        </w:rPr>
      </w:pPr>
    </w:p>
    <w:p w:rsidR="00077BA9" w:rsidRPr="00077BA9" w:rsidRDefault="00077BA9" w:rsidP="004E7AB0">
      <w:pPr>
        <w:rPr>
          <w:rFonts w:ascii="Arial" w:hAnsi="Arial" w:cs="Arial"/>
          <w:color w:val="7030A0"/>
        </w:rPr>
      </w:pPr>
    </w:p>
    <w:p w:rsidR="008901F0" w:rsidRPr="00077BA9" w:rsidRDefault="008901F0" w:rsidP="004E7AB0">
      <w:pPr>
        <w:rPr>
          <w:rFonts w:ascii="Arial" w:hAnsi="Arial" w:cs="Arial"/>
          <w:color w:val="7030A0"/>
        </w:rPr>
      </w:pPr>
    </w:p>
    <w:sectPr w:rsidR="008901F0" w:rsidRPr="00077BA9">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697B" w:rsidRDefault="0066697B" w:rsidP="00434D3E">
      <w:pPr>
        <w:spacing w:after="0" w:line="240" w:lineRule="auto"/>
      </w:pPr>
      <w:r>
        <w:separator/>
      </w:r>
    </w:p>
  </w:endnote>
  <w:endnote w:type="continuationSeparator" w:id="0">
    <w:p w:rsidR="0066697B" w:rsidRDefault="0066697B" w:rsidP="00434D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95892960"/>
      <w:docPartObj>
        <w:docPartGallery w:val="Page Numbers (Bottom of Page)"/>
        <w:docPartUnique/>
      </w:docPartObj>
    </w:sdtPr>
    <w:sdtEndPr>
      <w:rPr>
        <w:color w:val="7F7F7F" w:themeColor="background1" w:themeShade="7F"/>
        <w:spacing w:val="60"/>
      </w:rPr>
    </w:sdtEndPr>
    <w:sdtContent>
      <w:p w:rsidR="00D87FA7" w:rsidRDefault="00D87FA7">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B57814" w:rsidRPr="00B57814">
          <w:rPr>
            <w:b/>
            <w:bCs/>
            <w:noProof/>
          </w:rPr>
          <w:t>1</w:t>
        </w:r>
        <w:r>
          <w:rPr>
            <w:b/>
            <w:bCs/>
            <w:noProof/>
          </w:rPr>
          <w:fldChar w:fldCharType="end"/>
        </w:r>
        <w:r>
          <w:rPr>
            <w:b/>
            <w:bCs/>
          </w:rPr>
          <w:t xml:space="preserve"> | </w:t>
        </w:r>
        <w:r>
          <w:rPr>
            <w:color w:val="7F7F7F" w:themeColor="background1" w:themeShade="7F"/>
            <w:spacing w:val="60"/>
          </w:rPr>
          <w:t>Page</w:t>
        </w:r>
      </w:p>
    </w:sdtContent>
  </w:sdt>
  <w:p w:rsidR="00D87FA7" w:rsidRDefault="00D87FA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697B" w:rsidRDefault="0066697B" w:rsidP="00434D3E">
      <w:pPr>
        <w:spacing w:after="0" w:line="240" w:lineRule="auto"/>
      </w:pPr>
      <w:r>
        <w:separator/>
      </w:r>
    </w:p>
  </w:footnote>
  <w:footnote w:type="continuationSeparator" w:id="0">
    <w:p w:rsidR="0066697B" w:rsidRDefault="0066697B" w:rsidP="00434D3E">
      <w:pPr>
        <w:spacing w:after="0" w:line="240" w:lineRule="auto"/>
      </w:pPr>
      <w:r>
        <w:continuationSeparator/>
      </w:r>
    </w:p>
  </w:footnote>
  <w:footnote w:id="1">
    <w:p w:rsidR="00D87FA7" w:rsidRDefault="00D87FA7" w:rsidP="00B57B79">
      <w:pPr>
        <w:pStyle w:val="FootnoteText"/>
      </w:pPr>
      <w:r>
        <w:rPr>
          <w:rStyle w:val="FootnoteReference"/>
        </w:rPr>
        <w:footnoteRef/>
      </w:r>
      <w:r>
        <w:t xml:space="preserve"> John Barton, </w:t>
      </w:r>
      <w:r w:rsidRPr="00254661">
        <w:rPr>
          <w:rFonts w:cs="Arial"/>
        </w:rPr>
        <w:t xml:space="preserve">‘Historical-Critical Approaches’, in John Barton (ed) </w:t>
      </w:r>
      <w:r w:rsidRPr="00254661">
        <w:rPr>
          <w:rFonts w:cs="Arial"/>
          <w:i/>
        </w:rPr>
        <w:t>The Cambridge Companion to Biblical Interpretation</w:t>
      </w:r>
      <w:r w:rsidRPr="00254661">
        <w:rPr>
          <w:rFonts w:cs="Arial"/>
        </w:rPr>
        <w:t xml:space="preserve"> (Cambridge: Cambridge University Press, 1998),</w:t>
      </w:r>
      <w:r w:rsidRPr="00E60960">
        <w:rPr>
          <w:rFonts w:ascii="Arial" w:hAnsi="Arial" w:cs="Arial"/>
        </w:rPr>
        <w:t xml:space="preserve"> </w:t>
      </w:r>
      <w:r>
        <w:t xml:space="preserve">p. 14-16. </w:t>
      </w:r>
    </w:p>
  </w:footnote>
  <w:footnote w:id="2">
    <w:p w:rsidR="00D87FA7" w:rsidRDefault="00D87FA7" w:rsidP="00BC1689">
      <w:pPr>
        <w:pStyle w:val="FootnoteText"/>
      </w:pPr>
      <w:r>
        <w:rPr>
          <w:rStyle w:val="FootnoteReference"/>
        </w:rPr>
        <w:footnoteRef/>
      </w:r>
      <w:r>
        <w:t xml:space="preserve"> Barton, </w:t>
      </w:r>
      <w:r w:rsidRPr="00F8476C">
        <w:rPr>
          <w:rFonts w:cs="Arial"/>
          <w:i/>
        </w:rPr>
        <w:t>‘Historical-Critical Approaches’</w:t>
      </w:r>
      <w:r>
        <w:rPr>
          <w:rFonts w:cs="Arial"/>
        </w:rPr>
        <w:t xml:space="preserve">, </w:t>
      </w:r>
      <w:r>
        <w:t xml:space="preserve">p. 16. </w:t>
      </w:r>
    </w:p>
  </w:footnote>
  <w:footnote w:id="3">
    <w:p w:rsidR="00D87FA7" w:rsidRDefault="00D87FA7" w:rsidP="00B57B79">
      <w:pPr>
        <w:pStyle w:val="FootnoteText"/>
      </w:pPr>
      <w:r>
        <w:rPr>
          <w:rStyle w:val="FootnoteReference"/>
        </w:rPr>
        <w:footnoteRef/>
      </w:r>
      <w:r>
        <w:t xml:space="preserve"> Margaret M. Mitchell</w:t>
      </w:r>
      <w:r w:rsidRPr="00254661">
        <w:rPr>
          <w:rFonts w:cs="Arial"/>
        </w:rPr>
        <w:t xml:space="preserve">, ‘Rhetorical and New Literary Criticism’, in Judith M. Lieu and J.W. Rogerson (eds), </w:t>
      </w:r>
      <w:r w:rsidRPr="00254661">
        <w:rPr>
          <w:rFonts w:cs="Arial"/>
          <w:i/>
        </w:rPr>
        <w:t>The Oxford Handbook of Biblical Studies</w:t>
      </w:r>
      <w:r w:rsidRPr="00254661">
        <w:rPr>
          <w:rFonts w:cs="Arial"/>
        </w:rPr>
        <w:t xml:space="preserve"> (Oxford:  Oxford University Press, 2009),</w:t>
      </w:r>
      <w:r>
        <w:rPr>
          <w:rFonts w:ascii="Arial" w:hAnsi="Arial" w:cs="Arial"/>
        </w:rPr>
        <w:t xml:space="preserve"> </w:t>
      </w:r>
      <w:r>
        <w:t>p. 619.</w:t>
      </w:r>
    </w:p>
  </w:footnote>
  <w:footnote w:id="4">
    <w:p w:rsidR="00D87FA7" w:rsidRPr="00BF01FF" w:rsidRDefault="00D87FA7">
      <w:pPr>
        <w:pStyle w:val="FootnoteText"/>
      </w:pPr>
      <w:r>
        <w:rPr>
          <w:rStyle w:val="FootnoteReference"/>
        </w:rPr>
        <w:footnoteRef/>
      </w:r>
      <w:r>
        <w:t xml:space="preserve"> </w:t>
      </w:r>
      <w:r>
        <w:rPr>
          <w:rFonts w:cs="Arial"/>
        </w:rPr>
        <w:t>Sharon H. Ringe,</w:t>
      </w:r>
      <w:r w:rsidRPr="00BF01FF">
        <w:rPr>
          <w:rFonts w:cs="Arial"/>
        </w:rPr>
        <w:t xml:space="preserve"> ‘An Approach to a Critical, Feminist, Theological Reading of the Bible’, in Athalya Brenner and Carole Fontaine (eds) </w:t>
      </w:r>
      <w:r w:rsidRPr="00BF01FF">
        <w:rPr>
          <w:rFonts w:cs="Arial"/>
          <w:i/>
        </w:rPr>
        <w:t>A Feminist Companion to Reading the Bible</w:t>
      </w:r>
      <w:r w:rsidRPr="00BF01FF">
        <w:rPr>
          <w:rFonts w:cs="Arial"/>
        </w:rPr>
        <w:t xml:space="preserve"> (Sheffield: Sheffield Academic Press, 1997), </w:t>
      </w:r>
      <w:r>
        <w:t xml:space="preserve">p. </w:t>
      </w:r>
      <w:r w:rsidRPr="00BF01FF">
        <w:t>156</w:t>
      </w:r>
      <w:r>
        <w:t>.</w:t>
      </w:r>
    </w:p>
  </w:footnote>
  <w:footnote w:id="5">
    <w:p w:rsidR="00D87FA7" w:rsidRDefault="00D87FA7">
      <w:pPr>
        <w:pStyle w:val="FootnoteText"/>
      </w:pPr>
      <w:r>
        <w:rPr>
          <w:rStyle w:val="FootnoteReference"/>
        </w:rPr>
        <w:footnoteRef/>
      </w:r>
      <w:r>
        <w:t xml:space="preserve"> Marie-Theres </w:t>
      </w:r>
      <w:r>
        <w:rPr>
          <w:rFonts w:cs="Arial"/>
        </w:rPr>
        <w:t>Wacker</w:t>
      </w:r>
      <w:r w:rsidRPr="009565D1">
        <w:rPr>
          <w:rFonts w:cs="Arial"/>
        </w:rPr>
        <w:t xml:space="preserve">, ‘Feminist Exegetical Hermeneutics’, in Luise Schottroff, Silvia Schroer and Marie-Theres Wacker (eds) </w:t>
      </w:r>
      <w:r w:rsidRPr="009565D1">
        <w:rPr>
          <w:rFonts w:cs="Arial"/>
          <w:i/>
        </w:rPr>
        <w:t>Feminist Interpretation: The Bible in Women’s Perspective</w:t>
      </w:r>
      <w:r w:rsidRPr="009565D1">
        <w:rPr>
          <w:rFonts w:cs="Arial"/>
        </w:rPr>
        <w:t xml:space="preserve"> (Minneapolis: Fortress Press, 1998),</w:t>
      </w:r>
      <w:r>
        <w:rPr>
          <w:rFonts w:cs="Arial"/>
        </w:rPr>
        <w:t xml:space="preserve"> </w:t>
      </w:r>
      <w:r w:rsidRPr="009565D1">
        <w:rPr>
          <w:rFonts w:cs="Arial"/>
        </w:rPr>
        <w:t>p. 36.</w:t>
      </w:r>
    </w:p>
  </w:footnote>
  <w:footnote w:id="6">
    <w:p w:rsidR="00D87FA7" w:rsidRPr="009565D1" w:rsidRDefault="00D87FA7">
      <w:pPr>
        <w:pStyle w:val="FootnoteText"/>
      </w:pPr>
      <w:r>
        <w:rPr>
          <w:rStyle w:val="FootnoteReference"/>
        </w:rPr>
        <w:footnoteRef/>
      </w:r>
      <w:r>
        <w:t xml:space="preserve"> Ann </w:t>
      </w:r>
      <w:r>
        <w:rPr>
          <w:rFonts w:cs="Arial"/>
        </w:rPr>
        <w:t>Loades,</w:t>
      </w:r>
      <w:r w:rsidRPr="009565D1">
        <w:rPr>
          <w:rFonts w:cs="Arial"/>
        </w:rPr>
        <w:t xml:space="preserve"> ‘Feminist Interpretation’, in John Barton (ed) </w:t>
      </w:r>
      <w:r w:rsidRPr="009565D1">
        <w:rPr>
          <w:rFonts w:cs="Arial"/>
          <w:i/>
        </w:rPr>
        <w:t>The Cambridge Companion to Biblical Interpretation</w:t>
      </w:r>
      <w:r w:rsidRPr="009565D1">
        <w:rPr>
          <w:rFonts w:cs="Arial"/>
        </w:rPr>
        <w:t xml:space="preserve"> (Cambridge: Cambridge University Press, 1998),</w:t>
      </w:r>
      <w:r>
        <w:rPr>
          <w:rFonts w:cs="Arial"/>
        </w:rPr>
        <w:t xml:space="preserve"> p. 81.</w:t>
      </w:r>
    </w:p>
  </w:footnote>
  <w:footnote w:id="7">
    <w:p w:rsidR="00D87FA7" w:rsidRDefault="00D87FA7">
      <w:pPr>
        <w:pStyle w:val="FootnoteText"/>
      </w:pPr>
      <w:r>
        <w:rPr>
          <w:rStyle w:val="FootnoteReference"/>
        </w:rPr>
        <w:footnoteRef/>
      </w:r>
      <w:r>
        <w:t xml:space="preserve"> Wacker, </w:t>
      </w:r>
      <w:r w:rsidRPr="009565D1">
        <w:rPr>
          <w:i/>
        </w:rPr>
        <w:t>Feminist Exegetical Hermeneutics</w:t>
      </w:r>
      <w:r>
        <w:t>, p. 40.</w:t>
      </w:r>
    </w:p>
  </w:footnote>
  <w:footnote w:id="8">
    <w:p w:rsidR="00D87FA7" w:rsidRPr="009003EC" w:rsidRDefault="00D87FA7" w:rsidP="009003EC">
      <w:pPr>
        <w:rPr>
          <w:rFonts w:cs="Arial"/>
        </w:rPr>
      </w:pPr>
      <w:r>
        <w:rPr>
          <w:rStyle w:val="FootnoteReference"/>
        </w:rPr>
        <w:footnoteRef/>
      </w:r>
      <w:r>
        <w:t xml:space="preserve"> </w:t>
      </w:r>
      <w:r w:rsidRPr="009003EC">
        <w:rPr>
          <w:sz w:val="20"/>
          <w:szCs w:val="20"/>
        </w:rPr>
        <w:t xml:space="preserve">Susanne </w:t>
      </w:r>
      <w:r w:rsidRPr="009003EC">
        <w:rPr>
          <w:rFonts w:cs="Arial"/>
          <w:sz w:val="20"/>
          <w:szCs w:val="20"/>
        </w:rPr>
        <w:t>Scholz, The Bible as Political Artifact:  On the Feminist Study of the Hebrew Bible (Minneapolis:  Fortress Press, 2017), p. 80.</w:t>
      </w:r>
    </w:p>
  </w:footnote>
  <w:footnote w:id="9">
    <w:p w:rsidR="00D87FA7" w:rsidRDefault="00D87FA7">
      <w:pPr>
        <w:pStyle w:val="FootnoteText"/>
      </w:pPr>
      <w:r>
        <w:rPr>
          <w:rStyle w:val="FootnoteReference"/>
        </w:rPr>
        <w:footnoteRef/>
      </w:r>
      <w:r>
        <w:t xml:space="preserve"> Loades, </w:t>
      </w:r>
      <w:r w:rsidRPr="009565D1">
        <w:rPr>
          <w:i/>
        </w:rPr>
        <w:t>Feminist Interpretation</w:t>
      </w:r>
      <w:r>
        <w:t>, p. 82.</w:t>
      </w:r>
    </w:p>
  </w:footnote>
  <w:footnote w:id="10">
    <w:p w:rsidR="00D87FA7" w:rsidRPr="009003EC" w:rsidRDefault="00D87FA7" w:rsidP="00CC27FF">
      <w:pPr>
        <w:pStyle w:val="FootnoteText"/>
      </w:pPr>
      <w:r>
        <w:rPr>
          <w:rStyle w:val="FootnoteReference"/>
        </w:rPr>
        <w:footnoteRef/>
      </w:r>
      <w:r>
        <w:t xml:space="preserve"> </w:t>
      </w:r>
      <w:r w:rsidRPr="009003EC">
        <w:t xml:space="preserve">Richard A. </w:t>
      </w:r>
      <w:r w:rsidRPr="009003EC">
        <w:rPr>
          <w:rFonts w:cs="Arial"/>
        </w:rPr>
        <w:t xml:space="preserve">Horsley, ‘Feminist Scholarship and Postcolonial Criticism: Subverting Imperial Discourse and Reclaiming Submerged Histories’, in Shelley Matthews, Cynthia Briggs Kittredge and Melanie Johnson-DeBaufre (eds) </w:t>
      </w:r>
      <w:r w:rsidRPr="009003EC">
        <w:rPr>
          <w:rFonts w:cs="Arial"/>
          <w:i/>
        </w:rPr>
        <w:t>Walk in the Ways of Wisdom: Essays in Honor of Elisabeth Schüssler Fiorenza</w:t>
      </w:r>
      <w:r w:rsidRPr="009003EC">
        <w:rPr>
          <w:rFonts w:cs="Arial"/>
        </w:rPr>
        <w:t>, (Harrisburg, Pennsylvania:  Trinity Press International, 2003), p. 297.</w:t>
      </w:r>
    </w:p>
  </w:footnote>
  <w:footnote w:id="11">
    <w:p w:rsidR="00D87FA7" w:rsidRDefault="00D87FA7">
      <w:pPr>
        <w:pStyle w:val="FootnoteText"/>
      </w:pPr>
      <w:r>
        <w:rPr>
          <w:rStyle w:val="FootnoteReference"/>
        </w:rPr>
        <w:footnoteRef/>
      </w:r>
      <w:r>
        <w:t xml:space="preserve"> Loades, </w:t>
      </w:r>
      <w:r w:rsidRPr="009003EC">
        <w:rPr>
          <w:i/>
        </w:rPr>
        <w:t>Feminist Interpretation</w:t>
      </w:r>
      <w:r>
        <w:t>, p. 89.</w:t>
      </w:r>
    </w:p>
  </w:footnote>
  <w:footnote w:id="12">
    <w:p w:rsidR="00D87FA7" w:rsidRDefault="00D87FA7" w:rsidP="00256AA6">
      <w:pPr>
        <w:pStyle w:val="FootnoteText"/>
      </w:pPr>
      <w:r>
        <w:rPr>
          <w:rStyle w:val="FootnoteReference"/>
        </w:rPr>
        <w:footnoteRef/>
      </w:r>
      <w:r>
        <w:t xml:space="preserve"> Scholtz, </w:t>
      </w:r>
      <w:r w:rsidRPr="009003EC">
        <w:rPr>
          <w:rFonts w:cs="Arial"/>
          <w:i/>
        </w:rPr>
        <w:t>The Bible as Political Artifact</w:t>
      </w:r>
      <w:r>
        <w:rPr>
          <w:rFonts w:cs="Arial"/>
        </w:rPr>
        <w:t>,</w:t>
      </w:r>
      <w:r>
        <w:t xml:space="preserve"> p. 74</w:t>
      </w:r>
      <w:r w:rsidR="001B28EE">
        <w:t>.</w:t>
      </w:r>
      <w:bookmarkStart w:id="0" w:name="_GoBack"/>
      <w:bookmarkEnd w:id="0"/>
    </w:p>
  </w:footnote>
  <w:footnote w:id="13">
    <w:p w:rsidR="00D87FA7" w:rsidRDefault="00D87FA7">
      <w:pPr>
        <w:pStyle w:val="FootnoteText"/>
      </w:pPr>
      <w:r>
        <w:rPr>
          <w:rStyle w:val="FootnoteReference"/>
        </w:rPr>
        <w:footnoteRef/>
      </w:r>
      <w:r>
        <w:t xml:space="preserve"> Horsley, </w:t>
      </w:r>
      <w:r w:rsidRPr="009003EC">
        <w:rPr>
          <w:rFonts w:cs="Arial"/>
        </w:rPr>
        <w:t>‘Feminist Scholars</w:t>
      </w:r>
      <w:r>
        <w:rPr>
          <w:rFonts w:cs="Arial"/>
        </w:rPr>
        <w:t>hip and Postcolonial Criticism</w:t>
      </w:r>
      <w:r w:rsidRPr="009003EC">
        <w:rPr>
          <w:rFonts w:cs="Arial"/>
        </w:rPr>
        <w:t>’</w:t>
      </w:r>
      <w:r>
        <w:rPr>
          <w:rFonts w:cs="Arial"/>
        </w:rPr>
        <w:t xml:space="preserve">, </w:t>
      </w:r>
      <w:r>
        <w:t>p. 298.</w:t>
      </w:r>
    </w:p>
  </w:footnote>
  <w:footnote w:id="14">
    <w:p w:rsidR="00D87FA7" w:rsidRDefault="00D87FA7">
      <w:pPr>
        <w:pStyle w:val="FootnoteText"/>
      </w:pPr>
      <w:r>
        <w:rPr>
          <w:rStyle w:val="FootnoteReference"/>
        </w:rPr>
        <w:footnoteRef/>
      </w:r>
      <w:r>
        <w:t xml:space="preserve"> R.S. Sugirtharajah, “Postcolonial Criticism”, in Paula Gooder (ed) </w:t>
      </w:r>
      <w:r w:rsidRPr="009003EC">
        <w:rPr>
          <w:i/>
        </w:rPr>
        <w:t>Searching for Meaning</w:t>
      </w:r>
      <w:r>
        <w:t>, (London:  SPCK 2008) p. 175-177.</w:t>
      </w:r>
    </w:p>
  </w:footnote>
  <w:footnote w:id="15">
    <w:p w:rsidR="00D87FA7" w:rsidRDefault="00D87FA7">
      <w:pPr>
        <w:pStyle w:val="FootnoteText"/>
      </w:pPr>
      <w:r>
        <w:rPr>
          <w:rStyle w:val="FootnoteReference"/>
        </w:rPr>
        <w:footnoteRef/>
      </w:r>
      <w:r>
        <w:t xml:space="preserve"> Sugirtharajah, “</w:t>
      </w:r>
      <w:r w:rsidRPr="00440BFD">
        <w:rPr>
          <w:i/>
        </w:rPr>
        <w:t>Postcolonial Criticism</w:t>
      </w:r>
      <w:r>
        <w:t>”,   p. 178-181.</w:t>
      </w:r>
    </w:p>
  </w:footnote>
  <w:footnote w:id="16">
    <w:p w:rsidR="00D87FA7" w:rsidRDefault="00D87FA7">
      <w:pPr>
        <w:pStyle w:val="FootnoteText"/>
      </w:pPr>
      <w:r>
        <w:rPr>
          <w:rStyle w:val="FootnoteReference"/>
        </w:rPr>
        <w:footnoteRef/>
      </w:r>
      <w:r>
        <w:t xml:space="preserve"> </w:t>
      </w:r>
      <w:r w:rsidRPr="00440BFD">
        <w:t xml:space="preserve">David G. </w:t>
      </w:r>
      <w:r w:rsidRPr="00440BFD">
        <w:rPr>
          <w:rFonts w:cs="Arial"/>
        </w:rPr>
        <w:t>Horrell, ‘Paul, Inclusion and Whiteness:  Particularizing Interpretation’, Journal for the Study of the New Testament 40/2 (2017),</w:t>
      </w:r>
      <w:r>
        <w:rPr>
          <w:rFonts w:cs="Arial"/>
        </w:rPr>
        <w:t xml:space="preserve"> p. 124-139.</w:t>
      </w:r>
    </w:p>
  </w:footnote>
  <w:footnote w:id="17">
    <w:p w:rsidR="00D87FA7" w:rsidRDefault="00D87FA7" w:rsidP="00256AA6">
      <w:pPr>
        <w:pStyle w:val="FootnoteText"/>
      </w:pPr>
      <w:r>
        <w:rPr>
          <w:rStyle w:val="FootnoteReference"/>
        </w:rPr>
        <w:footnoteRef/>
      </w:r>
      <w:r>
        <w:t xml:space="preserve"> Sugirtharajah, </w:t>
      </w:r>
      <w:r w:rsidRPr="00440BFD">
        <w:rPr>
          <w:i/>
        </w:rPr>
        <w:t>“Postcolonial Criticism”</w:t>
      </w:r>
      <w:r>
        <w:t>, p. 177.</w:t>
      </w:r>
    </w:p>
  </w:footnote>
  <w:footnote w:id="18">
    <w:p w:rsidR="00D87FA7" w:rsidRDefault="00D87FA7">
      <w:pPr>
        <w:pStyle w:val="FootnoteText"/>
      </w:pPr>
      <w:r>
        <w:rPr>
          <w:rStyle w:val="FootnoteReference"/>
        </w:rPr>
        <w:footnoteRef/>
      </w:r>
      <w:r>
        <w:t xml:space="preserve"> Sugirtharajah pg 183</w:t>
      </w:r>
      <w:r w:rsidR="001B28EE">
        <w:t>.</w:t>
      </w:r>
    </w:p>
  </w:footnote>
  <w:footnote w:id="19">
    <w:p w:rsidR="00D87FA7" w:rsidRDefault="00D87FA7" w:rsidP="00B57B79">
      <w:pPr>
        <w:pStyle w:val="FootnoteText"/>
      </w:pPr>
      <w:r>
        <w:rPr>
          <w:rStyle w:val="FootnoteReference"/>
        </w:rPr>
        <w:footnoteRef/>
      </w:r>
      <w:r>
        <w:t xml:space="preserve"> Scholtz, </w:t>
      </w:r>
      <w:r w:rsidRPr="009003EC">
        <w:rPr>
          <w:rFonts w:cs="Arial"/>
          <w:i/>
        </w:rPr>
        <w:t>The Bible as Political Artifact</w:t>
      </w:r>
      <w:r>
        <w:t>, p. 70.</w:t>
      </w:r>
    </w:p>
  </w:footnote>
  <w:footnote w:id="20">
    <w:p w:rsidR="00D87FA7" w:rsidRPr="00440BFD" w:rsidRDefault="00D87FA7" w:rsidP="00B57B79">
      <w:pPr>
        <w:pStyle w:val="FootnoteText"/>
      </w:pPr>
      <w:r>
        <w:rPr>
          <w:rStyle w:val="FootnoteReference"/>
        </w:rPr>
        <w:footnoteRef/>
      </w:r>
      <w:r>
        <w:t xml:space="preserve"> </w:t>
      </w:r>
      <w:r w:rsidRPr="00440BFD">
        <w:t xml:space="preserve">J.W. </w:t>
      </w:r>
      <w:r w:rsidRPr="00440BFD">
        <w:rPr>
          <w:rFonts w:cs="Arial"/>
        </w:rPr>
        <w:t xml:space="preserve">Rogerson, ‘Historical Criticism and the Authority of the Bible’, in Judith M. Lieu and J.W. Rogerson (eds) </w:t>
      </w:r>
      <w:r w:rsidRPr="00440BFD">
        <w:rPr>
          <w:rFonts w:cs="Arial"/>
          <w:i/>
        </w:rPr>
        <w:t>The Oxford Handbook of Biblical Studies</w:t>
      </w:r>
      <w:r w:rsidRPr="00440BFD">
        <w:rPr>
          <w:rFonts w:cs="Arial"/>
        </w:rPr>
        <w:t xml:space="preserve"> (Oxford:  Oxford University Press, 2009), </w:t>
      </w:r>
      <w:r>
        <w:t>p.</w:t>
      </w:r>
      <w:r w:rsidRPr="00440BFD">
        <w:t xml:space="preserve"> 842</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7FA7" w:rsidRDefault="00D87FA7" w:rsidP="00434D3E">
    <w:pPr>
      <w:pStyle w:val="Header"/>
      <w:rPr>
        <w:rFonts w:ascii="Arial" w:hAnsi="Arial" w:cs="Arial"/>
        <w:b/>
      </w:rPr>
    </w:pPr>
    <w:r>
      <w:rPr>
        <w:rFonts w:ascii="Arial" w:hAnsi="Arial" w:cs="Arial"/>
        <w:b/>
      </w:rPr>
      <w:t>Helen Springall (2120514)</w:t>
    </w:r>
  </w:p>
  <w:p w:rsidR="00D87FA7" w:rsidRDefault="00D87FA7" w:rsidP="00434D3E">
    <w:pPr>
      <w:pStyle w:val="Header"/>
      <w:rPr>
        <w:rFonts w:ascii="Arial" w:hAnsi="Arial" w:cs="Arial"/>
        <w:b/>
      </w:rPr>
    </w:pPr>
    <w:r>
      <w:rPr>
        <w:rFonts w:ascii="Arial" w:hAnsi="Arial" w:cs="Arial"/>
        <w:b/>
      </w:rPr>
      <w:t>HPRS7014 The Bible:  Contemporary Approaches - Assessment 2:  Discuss and critically evaluate the diversity of contemporary biblical interpretation with reference to at least two of the approaches discussed in this module.</w:t>
    </w:r>
  </w:p>
  <w:p w:rsidR="00D87FA7" w:rsidRDefault="00D87FA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F30D45"/>
    <w:multiLevelType w:val="hybridMultilevel"/>
    <w:tmpl w:val="64C8B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5F1CBD"/>
    <w:multiLevelType w:val="hybridMultilevel"/>
    <w:tmpl w:val="788CF4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894FCB"/>
    <w:multiLevelType w:val="hybridMultilevel"/>
    <w:tmpl w:val="D2A81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4D3E"/>
    <w:rsid w:val="00035D6E"/>
    <w:rsid w:val="0007143B"/>
    <w:rsid w:val="0007603D"/>
    <w:rsid w:val="00077BA9"/>
    <w:rsid w:val="000854B3"/>
    <w:rsid w:val="0009669D"/>
    <w:rsid w:val="000A1E70"/>
    <w:rsid w:val="000E584F"/>
    <w:rsid w:val="001135D6"/>
    <w:rsid w:val="001247F4"/>
    <w:rsid w:val="00125440"/>
    <w:rsid w:val="00163901"/>
    <w:rsid w:val="001B28EE"/>
    <w:rsid w:val="001B716E"/>
    <w:rsid w:val="001C2F27"/>
    <w:rsid w:val="001E116F"/>
    <w:rsid w:val="0021013B"/>
    <w:rsid w:val="002169A1"/>
    <w:rsid w:val="00224AEB"/>
    <w:rsid w:val="00247EB7"/>
    <w:rsid w:val="002545BF"/>
    <w:rsid w:val="00256A6C"/>
    <w:rsid w:val="00256AA6"/>
    <w:rsid w:val="002764AC"/>
    <w:rsid w:val="00284EB6"/>
    <w:rsid w:val="002E7844"/>
    <w:rsid w:val="00337580"/>
    <w:rsid w:val="003516B9"/>
    <w:rsid w:val="003762D3"/>
    <w:rsid w:val="003C204F"/>
    <w:rsid w:val="003C6F27"/>
    <w:rsid w:val="00434D3E"/>
    <w:rsid w:val="00440BFD"/>
    <w:rsid w:val="00441AF9"/>
    <w:rsid w:val="004559E5"/>
    <w:rsid w:val="004B5B17"/>
    <w:rsid w:val="004C05CF"/>
    <w:rsid w:val="004C54E7"/>
    <w:rsid w:val="004E7AB0"/>
    <w:rsid w:val="004F32F2"/>
    <w:rsid w:val="00501712"/>
    <w:rsid w:val="00516F3A"/>
    <w:rsid w:val="005B38F4"/>
    <w:rsid w:val="005D7F89"/>
    <w:rsid w:val="005F19AC"/>
    <w:rsid w:val="0061245A"/>
    <w:rsid w:val="006211C7"/>
    <w:rsid w:val="00633FBD"/>
    <w:rsid w:val="0066697B"/>
    <w:rsid w:val="00685F6C"/>
    <w:rsid w:val="006A699F"/>
    <w:rsid w:val="006A733B"/>
    <w:rsid w:val="006B23F0"/>
    <w:rsid w:val="006C17A4"/>
    <w:rsid w:val="0072425E"/>
    <w:rsid w:val="007262AE"/>
    <w:rsid w:val="00726D21"/>
    <w:rsid w:val="00761A1C"/>
    <w:rsid w:val="00763D3D"/>
    <w:rsid w:val="007D31B1"/>
    <w:rsid w:val="007E7DA6"/>
    <w:rsid w:val="0080592D"/>
    <w:rsid w:val="008133D5"/>
    <w:rsid w:val="00865D15"/>
    <w:rsid w:val="00872AB6"/>
    <w:rsid w:val="00875FC1"/>
    <w:rsid w:val="00887933"/>
    <w:rsid w:val="008901F0"/>
    <w:rsid w:val="009003EC"/>
    <w:rsid w:val="00942FD4"/>
    <w:rsid w:val="009518DD"/>
    <w:rsid w:val="009565D1"/>
    <w:rsid w:val="00961911"/>
    <w:rsid w:val="00991A88"/>
    <w:rsid w:val="00A77D53"/>
    <w:rsid w:val="00A92A8E"/>
    <w:rsid w:val="00AA4DEA"/>
    <w:rsid w:val="00AA7A86"/>
    <w:rsid w:val="00AE5B41"/>
    <w:rsid w:val="00AE75AD"/>
    <w:rsid w:val="00AF2A85"/>
    <w:rsid w:val="00B00D57"/>
    <w:rsid w:val="00B358E9"/>
    <w:rsid w:val="00B57814"/>
    <w:rsid w:val="00B57B79"/>
    <w:rsid w:val="00B62F0D"/>
    <w:rsid w:val="00B801D0"/>
    <w:rsid w:val="00B90254"/>
    <w:rsid w:val="00BA2B14"/>
    <w:rsid w:val="00BC1689"/>
    <w:rsid w:val="00BC5F09"/>
    <w:rsid w:val="00BD41AE"/>
    <w:rsid w:val="00BE213A"/>
    <w:rsid w:val="00BF00AC"/>
    <w:rsid w:val="00BF01FF"/>
    <w:rsid w:val="00C8078F"/>
    <w:rsid w:val="00C97CB8"/>
    <w:rsid w:val="00CA46F6"/>
    <w:rsid w:val="00CC27FF"/>
    <w:rsid w:val="00CD7851"/>
    <w:rsid w:val="00D22F13"/>
    <w:rsid w:val="00D319B0"/>
    <w:rsid w:val="00D47AA8"/>
    <w:rsid w:val="00D500C8"/>
    <w:rsid w:val="00D571B4"/>
    <w:rsid w:val="00D62509"/>
    <w:rsid w:val="00D8075A"/>
    <w:rsid w:val="00D829AE"/>
    <w:rsid w:val="00D87FA7"/>
    <w:rsid w:val="00D92B6F"/>
    <w:rsid w:val="00DA6C30"/>
    <w:rsid w:val="00DC0E7A"/>
    <w:rsid w:val="00DD77EE"/>
    <w:rsid w:val="00E167C4"/>
    <w:rsid w:val="00E2556B"/>
    <w:rsid w:val="00E506A6"/>
    <w:rsid w:val="00E92BD0"/>
    <w:rsid w:val="00EE7943"/>
    <w:rsid w:val="00F754CD"/>
    <w:rsid w:val="00F80297"/>
    <w:rsid w:val="00FD6D44"/>
    <w:rsid w:val="00FF4F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4DE0F9-1FCA-4DEB-89C5-9C5D9F7B5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34D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4D3E"/>
  </w:style>
  <w:style w:type="paragraph" w:styleId="Footer">
    <w:name w:val="footer"/>
    <w:basedOn w:val="Normal"/>
    <w:link w:val="FooterChar"/>
    <w:uiPriority w:val="99"/>
    <w:unhideWhenUsed/>
    <w:rsid w:val="00434D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4D3E"/>
  </w:style>
  <w:style w:type="paragraph" w:styleId="EndnoteText">
    <w:name w:val="endnote text"/>
    <w:basedOn w:val="Normal"/>
    <w:link w:val="EndnoteTextChar"/>
    <w:uiPriority w:val="99"/>
    <w:semiHidden/>
    <w:unhideWhenUsed/>
    <w:rsid w:val="0021013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1013B"/>
    <w:rPr>
      <w:sz w:val="20"/>
      <w:szCs w:val="20"/>
    </w:rPr>
  </w:style>
  <w:style w:type="character" w:styleId="EndnoteReference">
    <w:name w:val="endnote reference"/>
    <w:basedOn w:val="DefaultParagraphFont"/>
    <w:uiPriority w:val="99"/>
    <w:semiHidden/>
    <w:unhideWhenUsed/>
    <w:rsid w:val="0021013B"/>
    <w:rPr>
      <w:vertAlign w:val="superscript"/>
    </w:rPr>
  </w:style>
  <w:style w:type="paragraph" w:styleId="FootnoteText">
    <w:name w:val="footnote text"/>
    <w:basedOn w:val="Normal"/>
    <w:link w:val="FootnoteTextChar"/>
    <w:uiPriority w:val="99"/>
    <w:semiHidden/>
    <w:unhideWhenUsed/>
    <w:rsid w:val="0021013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1013B"/>
    <w:rPr>
      <w:sz w:val="20"/>
      <w:szCs w:val="20"/>
    </w:rPr>
  </w:style>
  <w:style w:type="character" w:styleId="FootnoteReference">
    <w:name w:val="footnote reference"/>
    <w:basedOn w:val="DefaultParagraphFont"/>
    <w:uiPriority w:val="99"/>
    <w:semiHidden/>
    <w:unhideWhenUsed/>
    <w:rsid w:val="0021013B"/>
    <w:rPr>
      <w:vertAlign w:val="superscript"/>
    </w:rPr>
  </w:style>
  <w:style w:type="paragraph" w:styleId="ListParagraph">
    <w:name w:val="List Paragraph"/>
    <w:basedOn w:val="Normal"/>
    <w:uiPriority w:val="34"/>
    <w:qFormat/>
    <w:rsid w:val="000760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642226-1398-46CE-8A8B-28A052C544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4068</Words>
  <Characters>23190</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2</cp:revision>
  <dcterms:created xsi:type="dcterms:W3CDTF">2023-04-25T16:47:00Z</dcterms:created>
  <dcterms:modified xsi:type="dcterms:W3CDTF">2023-04-25T16:47:00Z</dcterms:modified>
</cp:coreProperties>
</file>