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83772" w14:textId="77777777" w:rsidR="00B85B0F" w:rsidRPr="00AE218D" w:rsidRDefault="00B85B0F" w:rsidP="00B85B0F">
      <w:pPr>
        <w:jc w:val="center"/>
        <w:rPr>
          <w:sz w:val="24"/>
        </w:rPr>
      </w:pPr>
      <w:r w:rsidRPr="00E37BEF">
        <w:rPr>
          <w:b/>
          <w:bCs/>
          <w:sz w:val="24"/>
        </w:rPr>
        <w:t>UNIVERSITY OF WALES TRINITY SAINT DAVID</w:t>
      </w:r>
    </w:p>
    <w:p w14:paraId="35CF42B6" w14:textId="77777777" w:rsidR="00B85B0F" w:rsidRPr="00AE218D" w:rsidRDefault="00B85B0F" w:rsidP="00B85B0F">
      <w:pPr>
        <w:jc w:val="center"/>
        <w:rPr>
          <w:sz w:val="24"/>
        </w:rPr>
      </w:pPr>
      <w:r w:rsidRPr="00E37BEF">
        <w:rPr>
          <w:b/>
          <w:bCs/>
          <w:sz w:val="24"/>
        </w:rPr>
        <w:t>BSc (Hons) Health and Social Care</w:t>
      </w:r>
    </w:p>
    <w:p w14:paraId="39C4D398" w14:textId="4D4A4894" w:rsidR="00B85B0F" w:rsidRPr="00E37BEF" w:rsidRDefault="00B85B0F" w:rsidP="0010348A">
      <w:pPr>
        <w:jc w:val="center"/>
        <w:rPr>
          <w:sz w:val="24"/>
        </w:rPr>
      </w:pPr>
      <w:r w:rsidRPr="00E37BEF">
        <w:rPr>
          <w:b/>
          <w:bCs/>
          <w:sz w:val="24"/>
        </w:rPr>
        <w:t>MODULE INFORMATION</w:t>
      </w:r>
    </w:p>
    <w:p w14:paraId="0A2F2556" w14:textId="77777777" w:rsidR="00B85B0F" w:rsidRPr="00AE218D" w:rsidRDefault="00B85B0F" w:rsidP="00B85B0F">
      <w:pPr>
        <w:jc w:val="center"/>
        <w:rPr>
          <w:sz w:val="24"/>
        </w:rPr>
      </w:pPr>
      <w:r w:rsidRPr="00E37BEF">
        <w:rPr>
          <w:b/>
          <w:bCs/>
          <w:sz w:val="24"/>
        </w:rPr>
        <w:t>Module Title:</w:t>
      </w:r>
      <w:r w:rsidRPr="00E37BEF">
        <w:rPr>
          <w:sz w:val="24"/>
        </w:rPr>
        <w:t xml:space="preserve"> Protecting and Supporting Families in Health and Care</w:t>
      </w:r>
    </w:p>
    <w:p w14:paraId="0B356FAA" w14:textId="77777777" w:rsidR="00B85B0F" w:rsidRPr="00AE218D" w:rsidRDefault="00B85B0F" w:rsidP="00B85B0F">
      <w:pPr>
        <w:jc w:val="center"/>
        <w:rPr>
          <w:sz w:val="24"/>
        </w:rPr>
      </w:pPr>
      <w:r w:rsidRPr="00E37BEF">
        <w:rPr>
          <w:b/>
          <w:bCs/>
          <w:sz w:val="24"/>
        </w:rPr>
        <w:t>Module Code:</w:t>
      </w:r>
      <w:r w:rsidRPr="00E37BEF">
        <w:rPr>
          <w:sz w:val="24"/>
        </w:rPr>
        <w:t xml:space="preserve"> BMHP5021</w:t>
      </w:r>
    </w:p>
    <w:p w14:paraId="3BCC8B7F" w14:textId="77777777" w:rsidR="00B85B0F" w:rsidRPr="00AE218D" w:rsidRDefault="00B85B0F" w:rsidP="00B85B0F">
      <w:pPr>
        <w:jc w:val="center"/>
        <w:rPr>
          <w:sz w:val="24"/>
        </w:rPr>
      </w:pPr>
      <w:r w:rsidRPr="00E37BEF">
        <w:rPr>
          <w:b/>
          <w:bCs/>
          <w:sz w:val="24"/>
        </w:rPr>
        <w:t>Assessment:</w:t>
      </w:r>
      <w:r w:rsidRPr="00E37BEF">
        <w:rPr>
          <w:sz w:val="24"/>
        </w:rPr>
        <w:t xml:space="preserve"> Component 2 – Written Report</w:t>
      </w:r>
    </w:p>
    <w:p w14:paraId="165AFFB2" w14:textId="55CB6971" w:rsidR="00B85B0F" w:rsidRPr="00AE218D" w:rsidRDefault="00B85B0F" w:rsidP="00B85B0F">
      <w:pPr>
        <w:jc w:val="center"/>
        <w:rPr>
          <w:sz w:val="24"/>
        </w:rPr>
      </w:pPr>
      <w:r w:rsidRPr="00E37BEF">
        <w:rPr>
          <w:b/>
          <w:bCs/>
          <w:sz w:val="24"/>
        </w:rPr>
        <w:t>Word Count:</w:t>
      </w:r>
      <w:r w:rsidR="00A21F95" w:rsidRPr="00AE218D">
        <w:rPr>
          <w:b/>
          <w:bCs/>
          <w:sz w:val="24"/>
        </w:rPr>
        <w:t xml:space="preserve"> 2054</w:t>
      </w:r>
    </w:p>
    <w:p w14:paraId="571511B1" w14:textId="5B84F294" w:rsidR="00B85B0F" w:rsidRPr="00E37BEF" w:rsidRDefault="00B85B0F" w:rsidP="0010348A">
      <w:pPr>
        <w:jc w:val="center"/>
        <w:rPr>
          <w:sz w:val="24"/>
        </w:rPr>
      </w:pPr>
      <w:r w:rsidRPr="00E37BEF">
        <w:rPr>
          <w:b/>
          <w:bCs/>
          <w:sz w:val="24"/>
        </w:rPr>
        <w:t>ASSIGNMENT TITLE</w:t>
      </w:r>
    </w:p>
    <w:p w14:paraId="2580F1C0" w14:textId="77777777" w:rsidR="00B85B0F" w:rsidRPr="00AE218D" w:rsidRDefault="00B85B0F" w:rsidP="00B85B0F">
      <w:pPr>
        <w:jc w:val="center"/>
        <w:rPr>
          <w:sz w:val="24"/>
        </w:rPr>
      </w:pPr>
      <w:r w:rsidRPr="00E37BEF">
        <w:rPr>
          <w:sz w:val="24"/>
        </w:rPr>
        <w:t>An Examination and Analysis of How the ‘Early Help’ System is Signposted to UK Families by Local Authority Websites</w:t>
      </w:r>
    </w:p>
    <w:p w14:paraId="2BC6AD6C" w14:textId="77777777" w:rsidR="00B85B0F" w:rsidRPr="00AE218D" w:rsidRDefault="00B85B0F" w:rsidP="0010348A">
      <w:pPr>
        <w:jc w:val="center"/>
        <w:rPr>
          <w:sz w:val="24"/>
        </w:rPr>
      </w:pPr>
      <w:r w:rsidRPr="00E37BEF">
        <w:rPr>
          <w:b/>
          <w:bCs/>
          <w:sz w:val="24"/>
        </w:rPr>
        <w:t>STUDENT DETAILS</w:t>
      </w:r>
    </w:p>
    <w:p w14:paraId="064D7ED1" w14:textId="673621D9" w:rsidR="00B85B0F" w:rsidRPr="00AE218D" w:rsidRDefault="00B85B0F" w:rsidP="00B85B0F">
      <w:pPr>
        <w:jc w:val="center"/>
        <w:rPr>
          <w:sz w:val="24"/>
        </w:rPr>
      </w:pPr>
      <w:r w:rsidRPr="00E37BEF">
        <w:rPr>
          <w:b/>
          <w:bCs/>
          <w:sz w:val="24"/>
        </w:rPr>
        <w:t>Student Name:</w:t>
      </w:r>
      <w:r w:rsidRPr="00E37BEF">
        <w:rPr>
          <w:sz w:val="24"/>
        </w:rPr>
        <w:t xml:space="preserve"> </w:t>
      </w:r>
      <w:r w:rsidRPr="00AE218D">
        <w:rPr>
          <w:sz w:val="24"/>
        </w:rPr>
        <w:t>Musab Shah</w:t>
      </w:r>
    </w:p>
    <w:p w14:paraId="346353D6" w14:textId="1AFB7DCA" w:rsidR="00B85B0F" w:rsidRPr="00E37BEF" w:rsidRDefault="00B85B0F" w:rsidP="00B85B0F">
      <w:pPr>
        <w:jc w:val="center"/>
        <w:rPr>
          <w:sz w:val="24"/>
        </w:rPr>
      </w:pPr>
      <w:r w:rsidRPr="00E37BEF">
        <w:rPr>
          <w:b/>
          <w:bCs/>
          <w:sz w:val="24"/>
        </w:rPr>
        <w:t>Student ID Number:</w:t>
      </w:r>
      <w:r w:rsidRPr="00E37BEF">
        <w:rPr>
          <w:sz w:val="24"/>
        </w:rPr>
        <w:t xml:space="preserve"> </w:t>
      </w:r>
      <w:r w:rsidRPr="00AE218D">
        <w:rPr>
          <w:sz w:val="24"/>
        </w:rPr>
        <w:t>2411894</w:t>
      </w:r>
    </w:p>
    <w:p w14:paraId="619406BE" w14:textId="77777777" w:rsidR="00B85B0F" w:rsidRPr="00AE218D" w:rsidRDefault="00B85B0F" w:rsidP="00B85B0F">
      <w:pPr>
        <w:spacing w:line="278" w:lineRule="auto"/>
        <w:rPr>
          <w:sz w:val="24"/>
        </w:rPr>
      </w:pPr>
      <w:r w:rsidRPr="00AE218D">
        <w:rPr>
          <w:sz w:val="24"/>
        </w:rPr>
        <w:br w:type="page"/>
      </w:r>
    </w:p>
    <w:sdt>
      <w:sdtPr>
        <w:rPr>
          <w:rFonts w:ascii="Times New Roman" w:eastAsiaTheme="minorHAnsi" w:hAnsi="Times New Roman" w:cstheme="minorBidi"/>
          <w:color w:val="auto"/>
          <w:kern w:val="2"/>
          <w:sz w:val="24"/>
          <w:szCs w:val="24"/>
          <w:lang w:val="en-GB" w:bidi="ur-PK"/>
          <w14:ligatures w14:val="standardContextual"/>
        </w:rPr>
        <w:id w:val="-1581596246"/>
        <w:docPartObj>
          <w:docPartGallery w:val="Table of Contents"/>
          <w:docPartUnique/>
        </w:docPartObj>
      </w:sdtPr>
      <w:sdtEndPr>
        <w:rPr>
          <w:rFonts w:ascii="Arial" w:hAnsi="Arial"/>
          <w:b/>
          <w:bCs/>
          <w:noProof/>
        </w:rPr>
      </w:sdtEndPr>
      <w:sdtContent>
        <w:p w14:paraId="06D3843D" w14:textId="77777777" w:rsidR="00B85B0F" w:rsidRPr="00AE218D" w:rsidRDefault="00B85B0F" w:rsidP="00B85B0F">
          <w:pPr>
            <w:pStyle w:val="TOCHeading"/>
            <w:rPr>
              <w:sz w:val="24"/>
              <w:szCs w:val="24"/>
            </w:rPr>
          </w:pPr>
          <w:r w:rsidRPr="00AE218D">
            <w:rPr>
              <w:sz w:val="24"/>
              <w:szCs w:val="24"/>
            </w:rPr>
            <w:t>Contents</w:t>
          </w:r>
        </w:p>
        <w:p w14:paraId="5C3F7EF8" w14:textId="365B71BA" w:rsidR="00F4561D" w:rsidRDefault="00B85B0F">
          <w:pPr>
            <w:pStyle w:val="TOC1"/>
            <w:tabs>
              <w:tab w:val="right" w:leader="dot" w:pos="9016"/>
            </w:tabs>
            <w:rPr>
              <w:rFonts w:asciiTheme="minorHAnsi" w:eastAsiaTheme="minorEastAsia" w:hAnsiTheme="minorHAnsi"/>
              <w:noProof/>
              <w:sz w:val="24"/>
              <w:lang w:eastAsia="en-GB" w:bidi="ar-SA"/>
            </w:rPr>
          </w:pPr>
          <w:r w:rsidRPr="00AE218D">
            <w:rPr>
              <w:sz w:val="24"/>
            </w:rPr>
            <w:fldChar w:fldCharType="begin"/>
          </w:r>
          <w:r w:rsidRPr="00AE218D">
            <w:rPr>
              <w:sz w:val="24"/>
            </w:rPr>
            <w:instrText xml:space="preserve"> TOC \o "1-3" \h \z \u </w:instrText>
          </w:r>
          <w:r w:rsidRPr="00AE218D">
            <w:rPr>
              <w:sz w:val="24"/>
            </w:rPr>
            <w:fldChar w:fldCharType="separate"/>
          </w:r>
          <w:hyperlink w:anchor="_Toc222433257" w:history="1">
            <w:r w:rsidR="00F4561D" w:rsidRPr="00AE3F55">
              <w:rPr>
                <w:rStyle w:val="Hyperlink"/>
                <w:rFonts w:cs="Arial"/>
                <w:noProof/>
              </w:rPr>
              <w:t>1.0 Introduction</w:t>
            </w:r>
            <w:r w:rsidR="00F4561D">
              <w:rPr>
                <w:noProof/>
                <w:webHidden/>
              </w:rPr>
              <w:tab/>
            </w:r>
            <w:r w:rsidR="00F4561D">
              <w:rPr>
                <w:noProof/>
                <w:webHidden/>
              </w:rPr>
              <w:fldChar w:fldCharType="begin"/>
            </w:r>
            <w:r w:rsidR="00F4561D">
              <w:rPr>
                <w:noProof/>
                <w:webHidden/>
              </w:rPr>
              <w:instrText xml:space="preserve"> PAGEREF _Toc222433257 \h </w:instrText>
            </w:r>
            <w:r w:rsidR="00F4561D">
              <w:rPr>
                <w:noProof/>
                <w:webHidden/>
              </w:rPr>
            </w:r>
            <w:r w:rsidR="00F4561D">
              <w:rPr>
                <w:noProof/>
                <w:webHidden/>
              </w:rPr>
              <w:fldChar w:fldCharType="separate"/>
            </w:r>
            <w:r w:rsidR="00F4561D">
              <w:rPr>
                <w:noProof/>
                <w:webHidden/>
              </w:rPr>
              <w:t>3</w:t>
            </w:r>
            <w:r w:rsidR="00F4561D">
              <w:rPr>
                <w:noProof/>
                <w:webHidden/>
              </w:rPr>
              <w:fldChar w:fldCharType="end"/>
            </w:r>
          </w:hyperlink>
        </w:p>
        <w:p w14:paraId="0AF6CD29" w14:textId="7FF8E575" w:rsidR="00F4561D" w:rsidRDefault="00F4561D">
          <w:pPr>
            <w:pStyle w:val="TOC1"/>
            <w:tabs>
              <w:tab w:val="right" w:leader="dot" w:pos="9016"/>
            </w:tabs>
            <w:rPr>
              <w:rFonts w:asciiTheme="minorHAnsi" w:eastAsiaTheme="minorEastAsia" w:hAnsiTheme="minorHAnsi"/>
              <w:noProof/>
              <w:sz w:val="24"/>
              <w:lang w:eastAsia="en-GB" w:bidi="ar-SA"/>
            </w:rPr>
          </w:pPr>
          <w:hyperlink w:anchor="_Toc222433258" w:history="1">
            <w:r w:rsidRPr="00AE3F55">
              <w:rPr>
                <w:rStyle w:val="Hyperlink"/>
                <w:rFonts w:cs="Arial"/>
                <w:noProof/>
              </w:rPr>
              <w:t>2.0 The Early Help System</w:t>
            </w:r>
            <w:r>
              <w:rPr>
                <w:noProof/>
                <w:webHidden/>
              </w:rPr>
              <w:tab/>
            </w:r>
            <w:r>
              <w:rPr>
                <w:noProof/>
                <w:webHidden/>
              </w:rPr>
              <w:fldChar w:fldCharType="begin"/>
            </w:r>
            <w:r>
              <w:rPr>
                <w:noProof/>
                <w:webHidden/>
              </w:rPr>
              <w:instrText xml:space="preserve"> PAGEREF _Toc222433258 \h </w:instrText>
            </w:r>
            <w:r>
              <w:rPr>
                <w:noProof/>
                <w:webHidden/>
              </w:rPr>
            </w:r>
            <w:r>
              <w:rPr>
                <w:noProof/>
                <w:webHidden/>
              </w:rPr>
              <w:fldChar w:fldCharType="separate"/>
            </w:r>
            <w:r>
              <w:rPr>
                <w:noProof/>
                <w:webHidden/>
              </w:rPr>
              <w:t>4</w:t>
            </w:r>
            <w:r>
              <w:rPr>
                <w:noProof/>
                <w:webHidden/>
              </w:rPr>
              <w:fldChar w:fldCharType="end"/>
            </w:r>
          </w:hyperlink>
        </w:p>
        <w:p w14:paraId="392941F0" w14:textId="117F4270" w:rsidR="00F4561D" w:rsidRDefault="00F4561D">
          <w:pPr>
            <w:pStyle w:val="TOC1"/>
            <w:tabs>
              <w:tab w:val="right" w:leader="dot" w:pos="9016"/>
            </w:tabs>
            <w:rPr>
              <w:rFonts w:asciiTheme="minorHAnsi" w:eastAsiaTheme="minorEastAsia" w:hAnsiTheme="minorHAnsi"/>
              <w:noProof/>
              <w:sz w:val="24"/>
              <w:lang w:eastAsia="en-GB" w:bidi="ar-SA"/>
            </w:rPr>
          </w:pPr>
          <w:hyperlink w:anchor="_Toc222433259" w:history="1">
            <w:r w:rsidRPr="00AE3F55">
              <w:rPr>
                <w:rStyle w:val="Hyperlink"/>
                <w:rFonts w:cs="Arial"/>
                <w:noProof/>
              </w:rPr>
              <w:t>3.0 Multi-Agency Working</w:t>
            </w:r>
            <w:r>
              <w:rPr>
                <w:noProof/>
                <w:webHidden/>
              </w:rPr>
              <w:tab/>
            </w:r>
            <w:r>
              <w:rPr>
                <w:noProof/>
                <w:webHidden/>
              </w:rPr>
              <w:fldChar w:fldCharType="begin"/>
            </w:r>
            <w:r>
              <w:rPr>
                <w:noProof/>
                <w:webHidden/>
              </w:rPr>
              <w:instrText xml:space="preserve"> PAGEREF _Toc222433259 \h </w:instrText>
            </w:r>
            <w:r>
              <w:rPr>
                <w:noProof/>
                <w:webHidden/>
              </w:rPr>
            </w:r>
            <w:r>
              <w:rPr>
                <w:noProof/>
                <w:webHidden/>
              </w:rPr>
              <w:fldChar w:fldCharType="separate"/>
            </w:r>
            <w:r>
              <w:rPr>
                <w:noProof/>
                <w:webHidden/>
              </w:rPr>
              <w:t>5</w:t>
            </w:r>
            <w:r>
              <w:rPr>
                <w:noProof/>
                <w:webHidden/>
              </w:rPr>
              <w:fldChar w:fldCharType="end"/>
            </w:r>
          </w:hyperlink>
        </w:p>
        <w:p w14:paraId="7ED355D2" w14:textId="45FB023A" w:rsidR="00F4561D" w:rsidRDefault="00F4561D">
          <w:pPr>
            <w:pStyle w:val="TOC1"/>
            <w:tabs>
              <w:tab w:val="right" w:leader="dot" w:pos="9016"/>
            </w:tabs>
            <w:rPr>
              <w:rFonts w:asciiTheme="minorHAnsi" w:eastAsiaTheme="minorEastAsia" w:hAnsiTheme="minorHAnsi"/>
              <w:noProof/>
              <w:sz w:val="24"/>
              <w:lang w:eastAsia="en-GB" w:bidi="ar-SA"/>
            </w:rPr>
          </w:pPr>
          <w:hyperlink w:anchor="_Toc222433260" w:history="1">
            <w:r w:rsidRPr="00AE3F55">
              <w:rPr>
                <w:rStyle w:val="Hyperlink"/>
                <w:rFonts w:cs="Arial"/>
                <w:noProof/>
              </w:rPr>
              <w:t>4.0 County Council, Staffordshire</w:t>
            </w:r>
            <w:r>
              <w:rPr>
                <w:noProof/>
                <w:webHidden/>
              </w:rPr>
              <w:tab/>
            </w:r>
            <w:r>
              <w:rPr>
                <w:noProof/>
                <w:webHidden/>
              </w:rPr>
              <w:fldChar w:fldCharType="begin"/>
            </w:r>
            <w:r>
              <w:rPr>
                <w:noProof/>
                <w:webHidden/>
              </w:rPr>
              <w:instrText xml:space="preserve"> PAGEREF _Toc222433260 \h </w:instrText>
            </w:r>
            <w:r>
              <w:rPr>
                <w:noProof/>
                <w:webHidden/>
              </w:rPr>
            </w:r>
            <w:r>
              <w:rPr>
                <w:noProof/>
                <w:webHidden/>
              </w:rPr>
              <w:fldChar w:fldCharType="separate"/>
            </w:r>
            <w:r>
              <w:rPr>
                <w:noProof/>
                <w:webHidden/>
              </w:rPr>
              <w:t>6</w:t>
            </w:r>
            <w:r>
              <w:rPr>
                <w:noProof/>
                <w:webHidden/>
              </w:rPr>
              <w:fldChar w:fldCharType="end"/>
            </w:r>
          </w:hyperlink>
        </w:p>
        <w:p w14:paraId="0C905DFE" w14:textId="67C23126" w:rsidR="00F4561D" w:rsidRDefault="00F4561D">
          <w:pPr>
            <w:pStyle w:val="TOC1"/>
            <w:tabs>
              <w:tab w:val="right" w:leader="dot" w:pos="9016"/>
            </w:tabs>
            <w:rPr>
              <w:rFonts w:asciiTheme="minorHAnsi" w:eastAsiaTheme="minorEastAsia" w:hAnsiTheme="minorHAnsi"/>
              <w:noProof/>
              <w:sz w:val="24"/>
              <w:lang w:eastAsia="en-GB" w:bidi="ar-SA"/>
            </w:rPr>
          </w:pPr>
          <w:hyperlink w:anchor="_Toc222433261" w:history="1">
            <w:r w:rsidRPr="00AE3F55">
              <w:rPr>
                <w:rStyle w:val="Hyperlink"/>
                <w:rFonts w:cs="Arial"/>
                <w:noProof/>
              </w:rPr>
              <w:t>5.0 County Council of Nottinghamshire</w:t>
            </w:r>
            <w:r>
              <w:rPr>
                <w:noProof/>
                <w:webHidden/>
              </w:rPr>
              <w:tab/>
            </w:r>
            <w:r>
              <w:rPr>
                <w:noProof/>
                <w:webHidden/>
              </w:rPr>
              <w:fldChar w:fldCharType="begin"/>
            </w:r>
            <w:r>
              <w:rPr>
                <w:noProof/>
                <w:webHidden/>
              </w:rPr>
              <w:instrText xml:space="preserve"> PAGEREF _Toc222433261 \h </w:instrText>
            </w:r>
            <w:r>
              <w:rPr>
                <w:noProof/>
                <w:webHidden/>
              </w:rPr>
            </w:r>
            <w:r>
              <w:rPr>
                <w:noProof/>
                <w:webHidden/>
              </w:rPr>
              <w:fldChar w:fldCharType="separate"/>
            </w:r>
            <w:r>
              <w:rPr>
                <w:noProof/>
                <w:webHidden/>
              </w:rPr>
              <w:t>8</w:t>
            </w:r>
            <w:r>
              <w:rPr>
                <w:noProof/>
                <w:webHidden/>
              </w:rPr>
              <w:fldChar w:fldCharType="end"/>
            </w:r>
          </w:hyperlink>
        </w:p>
        <w:p w14:paraId="197280C3" w14:textId="16BC1D05" w:rsidR="00F4561D" w:rsidRDefault="00F4561D">
          <w:pPr>
            <w:pStyle w:val="TOC1"/>
            <w:tabs>
              <w:tab w:val="right" w:leader="dot" w:pos="9016"/>
            </w:tabs>
            <w:rPr>
              <w:rFonts w:asciiTheme="minorHAnsi" w:eastAsiaTheme="minorEastAsia" w:hAnsiTheme="minorHAnsi"/>
              <w:noProof/>
              <w:sz w:val="24"/>
              <w:lang w:eastAsia="en-GB" w:bidi="ar-SA"/>
            </w:rPr>
          </w:pPr>
          <w:hyperlink w:anchor="_Toc222433262" w:history="1">
            <w:r w:rsidRPr="00AE3F55">
              <w:rPr>
                <w:rStyle w:val="Hyperlink"/>
                <w:rFonts w:cs="Arial"/>
                <w:noProof/>
              </w:rPr>
              <w:t>6.0 Comparative Analysis</w:t>
            </w:r>
            <w:r>
              <w:rPr>
                <w:noProof/>
                <w:webHidden/>
              </w:rPr>
              <w:tab/>
            </w:r>
            <w:r>
              <w:rPr>
                <w:noProof/>
                <w:webHidden/>
              </w:rPr>
              <w:fldChar w:fldCharType="begin"/>
            </w:r>
            <w:r>
              <w:rPr>
                <w:noProof/>
                <w:webHidden/>
              </w:rPr>
              <w:instrText xml:space="preserve"> PAGEREF _Toc222433262 \h </w:instrText>
            </w:r>
            <w:r>
              <w:rPr>
                <w:noProof/>
                <w:webHidden/>
              </w:rPr>
            </w:r>
            <w:r>
              <w:rPr>
                <w:noProof/>
                <w:webHidden/>
              </w:rPr>
              <w:fldChar w:fldCharType="separate"/>
            </w:r>
            <w:r>
              <w:rPr>
                <w:noProof/>
                <w:webHidden/>
              </w:rPr>
              <w:t>9</w:t>
            </w:r>
            <w:r>
              <w:rPr>
                <w:noProof/>
                <w:webHidden/>
              </w:rPr>
              <w:fldChar w:fldCharType="end"/>
            </w:r>
          </w:hyperlink>
        </w:p>
        <w:p w14:paraId="58C2881D" w14:textId="4F16D92A" w:rsidR="00F4561D" w:rsidRDefault="00F4561D">
          <w:pPr>
            <w:pStyle w:val="TOC1"/>
            <w:tabs>
              <w:tab w:val="right" w:leader="dot" w:pos="9016"/>
            </w:tabs>
            <w:rPr>
              <w:rFonts w:asciiTheme="minorHAnsi" w:eastAsiaTheme="minorEastAsia" w:hAnsiTheme="minorHAnsi"/>
              <w:noProof/>
              <w:sz w:val="24"/>
              <w:lang w:eastAsia="en-GB" w:bidi="ar-SA"/>
            </w:rPr>
          </w:pPr>
          <w:hyperlink w:anchor="_Toc222433263" w:history="1">
            <w:r w:rsidRPr="00AE3F55">
              <w:rPr>
                <w:rStyle w:val="Hyperlink"/>
                <w:rFonts w:cs="Arial"/>
                <w:noProof/>
              </w:rPr>
              <w:t>7.0 Conclusion and Recommendations.</w:t>
            </w:r>
            <w:r>
              <w:rPr>
                <w:noProof/>
                <w:webHidden/>
              </w:rPr>
              <w:tab/>
            </w:r>
            <w:r>
              <w:rPr>
                <w:noProof/>
                <w:webHidden/>
              </w:rPr>
              <w:fldChar w:fldCharType="begin"/>
            </w:r>
            <w:r>
              <w:rPr>
                <w:noProof/>
                <w:webHidden/>
              </w:rPr>
              <w:instrText xml:space="preserve"> PAGEREF _Toc222433263 \h </w:instrText>
            </w:r>
            <w:r>
              <w:rPr>
                <w:noProof/>
                <w:webHidden/>
              </w:rPr>
            </w:r>
            <w:r>
              <w:rPr>
                <w:noProof/>
                <w:webHidden/>
              </w:rPr>
              <w:fldChar w:fldCharType="separate"/>
            </w:r>
            <w:r>
              <w:rPr>
                <w:noProof/>
                <w:webHidden/>
              </w:rPr>
              <w:t>10</w:t>
            </w:r>
            <w:r>
              <w:rPr>
                <w:noProof/>
                <w:webHidden/>
              </w:rPr>
              <w:fldChar w:fldCharType="end"/>
            </w:r>
          </w:hyperlink>
        </w:p>
        <w:p w14:paraId="39ECA11E" w14:textId="266085FD" w:rsidR="00F4561D" w:rsidRDefault="00F4561D">
          <w:pPr>
            <w:pStyle w:val="TOC1"/>
            <w:tabs>
              <w:tab w:val="right" w:leader="dot" w:pos="9016"/>
            </w:tabs>
            <w:rPr>
              <w:rFonts w:asciiTheme="minorHAnsi" w:eastAsiaTheme="minorEastAsia" w:hAnsiTheme="minorHAnsi"/>
              <w:noProof/>
              <w:sz w:val="24"/>
              <w:lang w:eastAsia="en-GB" w:bidi="ar-SA"/>
            </w:rPr>
          </w:pPr>
          <w:hyperlink w:anchor="_Toc222433264" w:history="1">
            <w:r w:rsidRPr="00AE3F55">
              <w:rPr>
                <w:rStyle w:val="Hyperlink"/>
                <w:noProof/>
              </w:rPr>
              <w:t>References</w:t>
            </w:r>
            <w:r>
              <w:rPr>
                <w:noProof/>
                <w:webHidden/>
              </w:rPr>
              <w:tab/>
            </w:r>
            <w:r>
              <w:rPr>
                <w:noProof/>
                <w:webHidden/>
              </w:rPr>
              <w:fldChar w:fldCharType="begin"/>
            </w:r>
            <w:r>
              <w:rPr>
                <w:noProof/>
                <w:webHidden/>
              </w:rPr>
              <w:instrText xml:space="preserve"> PAGEREF _Toc222433264 \h </w:instrText>
            </w:r>
            <w:r>
              <w:rPr>
                <w:noProof/>
                <w:webHidden/>
              </w:rPr>
            </w:r>
            <w:r>
              <w:rPr>
                <w:noProof/>
                <w:webHidden/>
              </w:rPr>
              <w:fldChar w:fldCharType="separate"/>
            </w:r>
            <w:r>
              <w:rPr>
                <w:noProof/>
                <w:webHidden/>
              </w:rPr>
              <w:t>11</w:t>
            </w:r>
            <w:r>
              <w:rPr>
                <w:noProof/>
                <w:webHidden/>
              </w:rPr>
              <w:fldChar w:fldCharType="end"/>
            </w:r>
          </w:hyperlink>
        </w:p>
        <w:p w14:paraId="3FF2EA4A" w14:textId="45EDDAE8" w:rsidR="00B85B0F" w:rsidRPr="00AE218D" w:rsidRDefault="00B85B0F" w:rsidP="00B85B0F">
          <w:pPr>
            <w:rPr>
              <w:sz w:val="24"/>
            </w:rPr>
          </w:pPr>
          <w:r w:rsidRPr="00AE218D">
            <w:rPr>
              <w:b/>
              <w:bCs/>
              <w:noProof/>
              <w:sz w:val="24"/>
            </w:rPr>
            <w:fldChar w:fldCharType="end"/>
          </w:r>
        </w:p>
      </w:sdtContent>
    </w:sdt>
    <w:p w14:paraId="6512EB9A" w14:textId="77777777" w:rsidR="00B85B0F" w:rsidRPr="00AE218D" w:rsidRDefault="00B85B0F" w:rsidP="00B85B0F">
      <w:pPr>
        <w:spacing w:line="278" w:lineRule="auto"/>
        <w:rPr>
          <w:rFonts w:eastAsiaTheme="majorEastAsia" w:cstheme="majorBidi"/>
          <w:b/>
          <w:sz w:val="24"/>
        </w:rPr>
      </w:pPr>
      <w:r w:rsidRPr="00AE218D">
        <w:rPr>
          <w:sz w:val="24"/>
        </w:rPr>
        <w:br w:type="page"/>
      </w:r>
    </w:p>
    <w:p w14:paraId="21E5612B" w14:textId="77777777" w:rsidR="00B85B0F" w:rsidRPr="00EE1913" w:rsidRDefault="00B85B0F" w:rsidP="003D5BE1">
      <w:pPr>
        <w:pStyle w:val="Heading1"/>
        <w:rPr>
          <w:rFonts w:cs="Arial"/>
          <w:sz w:val="32"/>
          <w:szCs w:val="32"/>
        </w:rPr>
      </w:pPr>
      <w:bookmarkStart w:id="0" w:name="_Toc222433257"/>
      <w:r w:rsidRPr="00EE1913">
        <w:rPr>
          <w:rFonts w:cs="Arial"/>
          <w:sz w:val="32"/>
          <w:szCs w:val="32"/>
        </w:rPr>
        <w:lastRenderedPageBreak/>
        <w:t>1.0 Introduction</w:t>
      </w:r>
      <w:bookmarkEnd w:id="0"/>
    </w:p>
    <w:p w14:paraId="77CD6983" w14:textId="77777777" w:rsidR="00B85B0F" w:rsidRPr="003D5BE1" w:rsidRDefault="00B85B0F" w:rsidP="003D5BE1">
      <w:pPr>
        <w:rPr>
          <w:rFonts w:cs="Arial"/>
          <w:szCs w:val="22"/>
        </w:rPr>
      </w:pPr>
      <w:r w:rsidRPr="003D5BE1">
        <w:rPr>
          <w:rFonts w:cs="Arial"/>
          <w:szCs w:val="22"/>
        </w:rPr>
        <w:t xml:space="preserve">Early Help represents an important practice element of the safeguarding practice in the United Kingdom, which aims to offer timely assistance to families and children before the troubles can become the subject of the statutory intervention (Department for Levelling Up, et al. 2022). It is a statutory requirement of the local authorities to make sure that the families have access to information and services that make them more resilient and enhance outcomes (Department for Education, 2023). This research aims at comparing and analyzing how Staffordshire, Leicestershire and Nottinghamshire County Councils share information about Early Help with families using their websites. The definition, services and routes of accessing support are analyzed to define the level of clarity and effectiveness of digital signposting. The quality of the accessibility and communication standards of these websites are assessed using national guidance and best practice frameworks (Fitzpatrick, 2023). The paper has been designed in a way that it introduces the Early Help system, discusses the multi-agency working, ends up analysing the websites of </w:t>
      </w:r>
      <w:proofErr w:type="gramStart"/>
      <w:r w:rsidRPr="003D5BE1">
        <w:rPr>
          <w:rFonts w:cs="Arial"/>
          <w:szCs w:val="22"/>
        </w:rPr>
        <w:t>each and every</w:t>
      </w:r>
      <w:proofErr w:type="gramEnd"/>
      <w:r w:rsidRPr="003D5BE1">
        <w:rPr>
          <w:rFonts w:cs="Arial"/>
          <w:szCs w:val="22"/>
        </w:rPr>
        <w:t xml:space="preserve"> council and offers comparative conclusions and recommendations.</w:t>
      </w:r>
    </w:p>
    <w:p w14:paraId="1E55BDF4" w14:textId="77777777" w:rsidR="00B85B0F" w:rsidRPr="003D5BE1" w:rsidRDefault="00B85B0F" w:rsidP="003D5BE1">
      <w:pPr>
        <w:rPr>
          <w:rFonts w:eastAsiaTheme="majorEastAsia" w:cs="Arial"/>
          <w:b/>
          <w:szCs w:val="22"/>
        </w:rPr>
      </w:pPr>
      <w:r w:rsidRPr="003D5BE1">
        <w:rPr>
          <w:rFonts w:cs="Arial"/>
          <w:szCs w:val="22"/>
        </w:rPr>
        <w:br w:type="page"/>
      </w:r>
    </w:p>
    <w:p w14:paraId="5A64FAC1" w14:textId="77777777" w:rsidR="00B85B0F" w:rsidRPr="00EE1913" w:rsidRDefault="00B85B0F" w:rsidP="003D5BE1">
      <w:pPr>
        <w:pStyle w:val="Heading1"/>
        <w:rPr>
          <w:rFonts w:cs="Arial"/>
          <w:sz w:val="32"/>
          <w:szCs w:val="32"/>
        </w:rPr>
      </w:pPr>
      <w:bookmarkStart w:id="1" w:name="_Toc222433258"/>
      <w:r w:rsidRPr="00EE1913">
        <w:rPr>
          <w:rFonts w:cs="Arial"/>
          <w:sz w:val="32"/>
          <w:szCs w:val="32"/>
        </w:rPr>
        <w:lastRenderedPageBreak/>
        <w:t>2.0 The Early Help System</w:t>
      </w:r>
      <w:bookmarkEnd w:id="1"/>
    </w:p>
    <w:p w14:paraId="6EF49208" w14:textId="77777777" w:rsidR="00B85B0F" w:rsidRPr="003D5BE1" w:rsidRDefault="00B85B0F" w:rsidP="003D5BE1">
      <w:pPr>
        <w:rPr>
          <w:rFonts w:cs="Arial"/>
          <w:szCs w:val="22"/>
        </w:rPr>
      </w:pPr>
      <w:r w:rsidRPr="003D5BE1">
        <w:rPr>
          <w:rFonts w:cs="Arial"/>
          <w:szCs w:val="22"/>
        </w:rPr>
        <w:t>Early Help is the proactive support model that tries to identify and respond to the emerging requirements of the children and family members before the issues reach statutory levels. It is based on a family-centred strategy acknowledging parents and the carers as allies of enhancing the child wellbeing and robustness (McCarthy and Guerin, 2022). The main aim of Early Help is to enhance the functioning of the family, to avert harm and decrease the necessity of intensive child protection or social care intercessions.</w:t>
      </w:r>
    </w:p>
    <w:p w14:paraId="37932788" w14:textId="77777777" w:rsidR="00B85B0F" w:rsidRPr="003D5BE1" w:rsidRDefault="00B85B0F" w:rsidP="003D5BE1">
      <w:pPr>
        <w:rPr>
          <w:rFonts w:cs="Arial"/>
          <w:szCs w:val="22"/>
        </w:rPr>
      </w:pPr>
      <w:r w:rsidRPr="003D5BE1">
        <w:rPr>
          <w:rFonts w:cs="Arial"/>
          <w:szCs w:val="22"/>
        </w:rPr>
        <w:t>The Early Help exists as a part of an extended policy and practice framework that focuses on prevention, early intervention and working jointly across the services. It is geared towards enhancing results like parenting effectiveness, children development, mental well-being and school participation by providing targeted and universal services. Parenting programmes and structured family interventions are frequently integrated as evidence-based interventions into the Early Help provision as a way of supporting positive family relationships and behaviour (Sanders, 2023).</w:t>
      </w:r>
    </w:p>
    <w:p w14:paraId="2360522B" w14:textId="5FB919D1" w:rsidR="00B85B0F" w:rsidRPr="003D5BE1" w:rsidRDefault="00B85B0F" w:rsidP="003D5BE1">
      <w:pPr>
        <w:rPr>
          <w:rFonts w:cs="Arial"/>
          <w:szCs w:val="22"/>
        </w:rPr>
      </w:pPr>
      <w:r w:rsidRPr="003D5BE1">
        <w:rPr>
          <w:rFonts w:cs="Arial"/>
          <w:szCs w:val="22"/>
        </w:rPr>
        <w:t xml:space="preserve">The system will be implemented by a combination of local strategies that will entail local authorities, health services, education providers and voluntary organisations. The exchange of knowledge and collaborative training is vital to make sure that practitioners </w:t>
      </w:r>
      <w:r w:rsidR="00F4561D" w:rsidRPr="003D5BE1">
        <w:rPr>
          <w:rFonts w:cs="Arial"/>
          <w:szCs w:val="22"/>
        </w:rPr>
        <w:t>can</w:t>
      </w:r>
      <w:r w:rsidRPr="003D5BE1">
        <w:rPr>
          <w:rFonts w:cs="Arial"/>
          <w:szCs w:val="22"/>
        </w:rPr>
        <w:t xml:space="preserve"> recognize threats in good time and conduct a cross-sectors response (Clark et al., 2023). Family Hubs and community-based family support services are becoming more popular as access points to Early Help, which represents a community- and whole-family-based model of service delivery (Churchill and Dunn, 2023).</w:t>
      </w:r>
    </w:p>
    <w:p w14:paraId="413CF338" w14:textId="77777777" w:rsidR="00B85B0F" w:rsidRPr="003D5BE1" w:rsidRDefault="00B85B0F" w:rsidP="003D5BE1">
      <w:pPr>
        <w:rPr>
          <w:rFonts w:eastAsiaTheme="majorEastAsia" w:cs="Arial"/>
          <w:b/>
          <w:szCs w:val="22"/>
        </w:rPr>
      </w:pPr>
      <w:r w:rsidRPr="003D5BE1">
        <w:rPr>
          <w:rFonts w:cs="Arial"/>
          <w:szCs w:val="22"/>
        </w:rPr>
        <w:br w:type="page"/>
      </w:r>
    </w:p>
    <w:p w14:paraId="5A4B7CA4" w14:textId="77777777" w:rsidR="00B85B0F" w:rsidRPr="00EE1913" w:rsidRDefault="00B85B0F" w:rsidP="003D5BE1">
      <w:pPr>
        <w:pStyle w:val="Heading1"/>
        <w:rPr>
          <w:rFonts w:cs="Arial"/>
          <w:sz w:val="32"/>
          <w:szCs w:val="32"/>
        </w:rPr>
      </w:pPr>
      <w:bookmarkStart w:id="2" w:name="_Toc222433259"/>
      <w:r w:rsidRPr="00EE1913">
        <w:rPr>
          <w:rFonts w:cs="Arial"/>
          <w:sz w:val="32"/>
          <w:szCs w:val="32"/>
        </w:rPr>
        <w:lastRenderedPageBreak/>
        <w:t>3.0 Multi-Agency Working</w:t>
      </w:r>
      <w:bookmarkEnd w:id="2"/>
    </w:p>
    <w:p w14:paraId="1CF97C7E" w14:textId="77777777" w:rsidR="00B85B0F" w:rsidRPr="003D5BE1" w:rsidRDefault="00B85B0F" w:rsidP="003D5BE1">
      <w:pPr>
        <w:rPr>
          <w:rFonts w:cs="Arial"/>
          <w:szCs w:val="22"/>
        </w:rPr>
      </w:pPr>
      <w:r w:rsidRPr="003D5BE1">
        <w:rPr>
          <w:rFonts w:cs="Arial"/>
          <w:szCs w:val="22"/>
        </w:rPr>
        <w:t>Multi-agency working in Early Help is defined as a coordinated action of social care, education, health, police and voluntary sector organisations to recognize the needs and provide the timely support to the family. This methodology acknowledges that multifaceted family needs can cut across more than one service and thus a joint service need and a concerted effort across agencies is necessary. The studies note that successful inter-agency cooperation enhances the quality of protection and provides vulnerable children and families with an all-inclusive support (Monaghan et al., 2025).</w:t>
      </w:r>
    </w:p>
    <w:p w14:paraId="2A29AA3E" w14:textId="77777777" w:rsidR="00B85B0F" w:rsidRPr="003D5BE1" w:rsidRDefault="00B85B0F" w:rsidP="003D5BE1">
      <w:pPr>
        <w:rPr>
          <w:rFonts w:cs="Arial"/>
          <w:szCs w:val="22"/>
        </w:rPr>
      </w:pPr>
      <w:r w:rsidRPr="003D5BE1">
        <w:rPr>
          <w:rFonts w:cs="Arial"/>
          <w:szCs w:val="22"/>
        </w:rPr>
        <w:t>The main mechanisms of multi-agency Early Help practice are information sharing and joint decision-making, which allow professionals to create long-term assessment and coordinated intervention strategies. Protective research evidence suggests that participatory and vulnerable populations can promote trust and uptake of services through both participant-centred and collaborative interaction models (Mountjoy et al., 2022). Community-based collaborations are also important when it comes to dealing with broader social determinants like poverty and food insecurity, which affect child wellbeing and stability in the family (Loopstra and Lambie-Mumford, 2023).</w:t>
      </w:r>
    </w:p>
    <w:p w14:paraId="1B74D668" w14:textId="7060F28D" w:rsidR="00B85B0F" w:rsidRPr="003D5BE1" w:rsidRDefault="00B85B0F" w:rsidP="003D5BE1">
      <w:pPr>
        <w:rPr>
          <w:rFonts w:cs="Arial"/>
          <w:szCs w:val="22"/>
        </w:rPr>
      </w:pPr>
      <w:r w:rsidRPr="003D5BE1">
        <w:rPr>
          <w:rFonts w:cs="Arial"/>
          <w:szCs w:val="22"/>
        </w:rPr>
        <w:t xml:space="preserve">Multi-agency methods of dealing with the problem of awareness and access to safeguarding support services are becoming </w:t>
      </w:r>
      <w:r w:rsidR="00F4561D" w:rsidRPr="003D5BE1">
        <w:rPr>
          <w:rFonts w:cs="Arial"/>
          <w:szCs w:val="22"/>
        </w:rPr>
        <w:t>increasingly</w:t>
      </w:r>
      <w:r w:rsidRPr="003D5BE1">
        <w:rPr>
          <w:rFonts w:cs="Arial"/>
          <w:szCs w:val="22"/>
        </w:rPr>
        <w:t xml:space="preserve"> integrated with the use of digital means of communication and parental engagement. Nevertheless, it has been found that different families can be characterized by different expectations and experiences with these tools, and effective communication and usability through the design of services are significant (Stoilova et al., 2024). Moreover, interagency screening and referral processes may be supported with evidence-based interventions, which may enhance the possibility of early detection of risks of abuse and neglect to enhance preventative protective measures (Feltner et al., 2025). </w:t>
      </w:r>
    </w:p>
    <w:p w14:paraId="6C520B00" w14:textId="77777777" w:rsidR="00B85B0F" w:rsidRPr="003D5BE1" w:rsidRDefault="00B85B0F" w:rsidP="003D5BE1">
      <w:pPr>
        <w:rPr>
          <w:rFonts w:eastAsiaTheme="majorEastAsia" w:cs="Arial"/>
          <w:b/>
          <w:szCs w:val="22"/>
        </w:rPr>
      </w:pPr>
      <w:r w:rsidRPr="003D5BE1">
        <w:rPr>
          <w:rFonts w:cs="Arial"/>
          <w:szCs w:val="22"/>
        </w:rPr>
        <w:br w:type="page"/>
      </w:r>
    </w:p>
    <w:p w14:paraId="227CFA2F" w14:textId="1E7FD2CF" w:rsidR="00B85B0F" w:rsidRPr="00EE1913" w:rsidRDefault="00B85B0F" w:rsidP="003D5BE1">
      <w:pPr>
        <w:pStyle w:val="Heading1"/>
        <w:rPr>
          <w:rFonts w:cs="Arial"/>
          <w:sz w:val="32"/>
          <w:szCs w:val="32"/>
        </w:rPr>
      </w:pPr>
      <w:bookmarkStart w:id="3" w:name="_Toc222433260"/>
      <w:r w:rsidRPr="00EE1913">
        <w:rPr>
          <w:rFonts w:cs="Arial"/>
          <w:sz w:val="32"/>
          <w:szCs w:val="32"/>
        </w:rPr>
        <w:lastRenderedPageBreak/>
        <w:t>4.0 County Council, Staffordshire</w:t>
      </w:r>
      <w:bookmarkEnd w:id="3"/>
    </w:p>
    <w:p w14:paraId="2F96A83B" w14:textId="77777777" w:rsidR="00B85B0F" w:rsidRPr="003D5BE1" w:rsidRDefault="00B85B0F" w:rsidP="003D5BE1">
      <w:pPr>
        <w:rPr>
          <w:rFonts w:cs="Arial"/>
          <w:szCs w:val="22"/>
        </w:rPr>
      </w:pPr>
      <w:r w:rsidRPr="003D5BE1">
        <w:rPr>
          <w:rFonts w:cs="Arial"/>
          <w:szCs w:val="22"/>
        </w:rPr>
        <w:t>Staffordshire County Council information on Early Help is listed mostly as Families First in its child protection and family support sections rather than as the term Early Help which is not highly placed on the main navigation menus. It can make it less obvious to the families that are not used to the local terminology to find the information about the relevant support. The Families First pages explain the accessibility of guidance, counseling and specialized help to children and young people and families facing emerging troubles.</w:t>
      </w:r>
    </w:p>
    <w:p w14:paraId="41C09A07" w14:textId="51E8C6A4" w:rsidR="00B85B0F" w:rsidRPr="003D5BE1" w:rsidRDefault="00B85B0F" w:rsidP="003D5BE1">
      <w:pPr>
        <w:rPr>
          <w:rFonts w:cs="Arial"/>
          <w:szCs w:val="22"/>
        </w:rPr>
      </w:pPr>
      <w:r w:rsidRPr="003D5BE1">
        <w:rPr>
          <w:rFonts w:cs="Arial"/>
          <w:szCs w:val="22"/>
        </w:rPr>
        <w:t xml:space="preserve">The material describes the kind of support available, such as parenting support, one to one family interventions and </w:t>
      </w:r>
      <w:r w:rsidR="00F4561D" w:rsidRPr="003D5BE1">
        <w:rPr>
          <w:rFonts w:cs="Arial"/>
          <w:szCs w:val="22"/>
        </w:rPr>
        <w:t>group-based</w:t>
      </w:r>
      <w:r w:rsidRPr="003D5BE1">
        <w:rPr>
          <w:rFonts w:cs="Arial"/>
          <w:szCs w:val="22"/>
        </w:rPr>
        <w:t xml:space="preserve"> </w:t>
      </w:r>
      <w:r w:rsidR="00F4561D" w:rsidRPr="003D5BE1">
        <w:rPr>
          <w:rFonts w:cs="Arial"/>
          <w:szCs w:val="22"/>
        </w:rPr>
        <w:t>programmes but</w:t>
      </w:r>
      <w:r w:rsidRPr="003D5BE1">
        <w:rPr>
          <w:rFonts w:cs="Arial"/>
          <w:szCs w:val="22"/>
        </w:rPr>
        <w:t xml:space="preserve"> does not give much detailed information on how Early Help works as a system. The families are referred to Staffordshire Children Advice Service through telephone referral and additional information and there is little online self-referral and digital referral. Such dependence on telephone communication can pose a problem to a few users that are used to online access paths.</w:t>
      </w:r>
    </w:p>
    <w:p w14:paraId="14E1DA09" w14:textId="69453002" w:rsidR="00B85B0F" w:rsidRPr="003D5BE1" w:rsidRDefault="00B85B0F" w:rsidP="003D5BE1">
      <w:pPr>
        <w:rPr>
          <w:rFonts w:cs="Arial"/>
          <w:szCs w:val="22"/>
        </w:rPr>
      </w:pPr>
      <w:r w:rsidRPr="003D5BE1">
        <w:rPr>
          <w:rFonts w:cs="Arial"/>
          <w:szCs w:val="22"/>
        </w:rPr>
        <w:t xml:space="preserve">Information presentation is quite terse and clear headings are used, however it does not have prominent calls to actions and visual signposting that would make it more usable. References to multi agency partners are not explicit e.g. health, education or voluntary sector organisations, which may diminish awareness of the collaborative nature of Early Help. </w:t>
      </w:r>
      <w:r w:rsidR="00F4561D" w:rsidRPr="003D5BE1">
        <w:rPr>
          <w:rFonts w:cs="Arial"/>
          <w:szCs w:val="22"/>
        </w:rPr>
        <w:t>Overall</w:t>
      </w:r>
      <w:r w:rsidRPr="003D5BE1">
        <w:rPr>
          <w:rFonts w:cs="Arial"/>
          <w:szCs w:val="22"/>
        </w:rPr>
        <w:t xml:space="preserve">, the site gives simple </w:t>
      </w:r>
      <w:r w:rsidR="00F4561D" w:rsidRPr="003D5BE1">
        <w:rPr>
          <w:rFonts w:cs="Arial"/>
          <w:szCs w:val="22"/>
        </w:rPr>
        <w:t>information,</w:t>
      </w:r>
      <w:r w:rsidRPr="003D5BE1">
        <w:rPr>
          <w:rFonts w:cs="Arial"/>
          <w:szCs w:val="22"/>
        </w:rPr>
        <w:t xml:space="preserve"> but it can be enhanced to increase visibility, online accessibility and elucidation of the larger Early Help system.</w:t>
      </w:r>
    </w:p>
    <w:p w14:paraId="3776366E" w14:textId="77777777" w:rsidR="00B85B0F" w:rsidRPr="00EE1913" w:rsidRDefault="00B85B0F" w:rsidP="003D5BE1">
      <w:pPr>
        <w:rPr>
          <w:rFonts w:cs="Arial"/>
          <w:sz w:val="32"/>
          <w:szCs w:val="32"/>
        </w:rPr>
      </w:pPr>
      <w:r w:rsidRPr="00EE1913">
        <w:rPr>
          <w:rFonts w:cs="Arial"/>
          <w:b/>
          <w:bCs/>
          <w:sz w:val="32"/>
          <w:szCs w:val="32"/>
        </w:rPr>
        <w:t xml:space="preserve">5.0 Leicestershire County Council </w:t>
      </w:r>
    </w:p>
    <w:p w14:paraId="4D12E56A" w14:textId="77777777" w:rsidR="00B85B0F" w:rsidRPr="003D5BE1" w:rsidRDefault="00B85B0F" w:rsidP="003D5BE1">
      <w:pPr>
        <w:rPr>
          <w:rFonts w:cs="Arial"/>
          <w:szCs w:val="22"/>
        </w:rPr>
      </w:pPr>
      <w:r w:rsidRPr="003D5BE1">
        <w:rPr>
          <w:rFonts w:cs="Arial"/>
          <w:szCs w:val="22"/>
        </w:rPr>
        <w:t>The Early Help information offered by the Leicestershire County Council is shown in the part of the main council site called Family Help and Help for children and families; however, it can be found with some searching by people who are not familiar with the local nomenclature. The Family Help service is characterized as a specialized early intervention service that aims to work with families and make sure that the situation does not escalate to the statutory social care intervention. The site also has a summary of support areas namely parenting support, emotional wellbeing, special educational needs and disabilities, as well as youth services.</w:t>
      </w:r>
    </w:p>
    <w:p w14:paraId="68F7E9F9" w14:textId="77777777" w:rsidR="00B85B0F" w:rsidRPr="003D5BE1" w:rsidRDefault="00B85B0F" w:rsidP="003D5BE1">
      <w:pPr>
        <w:rPr>
          <w:rFonts w:cs="Arial"/>
          <w:szCs w:val="22"/>
        </w:rPr>
      </w:pPr>
      <w:r w:rsidRPr="003D5BE1">
        <w:rPr>
          <w:rFonts w:cs="Arial"/>
          <w:szCs w:val="22"/>
        </w:rPr>
        <w:t>Easy ways of contacting are availed such as a dedicated telephone number and an online request form that the family may utilize to request help. A multi-agency referral form is provided to professionals, and it is placed on the page directly which establishes an orderly and open referral process. The information is structured in categories and links that aid in locating the user in the topical issues and services which enhances usability and navigation.</w:t>
      </w:r>
    </w:p>
    <w:p w14:paraId="09D7E6D4" w14:textId="77777777" w:rsidR="00B85B0F" w:rsidRPr="003D5BE1" w:rsidRDefault="00B85B0F" w:rsidP="003D5BE1">
      <w:pPr>
        <w:rPr>
          <w:rFonts w:cs="Arial"/>
          <w:szCs w:val="22"/>
        </w:rPr>
      </w:pPr>
      <w:r w:rsidRPr="003D5BE1">
        <w:rPr>
          <w:rFonts w:cs="Arial"/>
          <w:szCs w:val="22"/>
        </w:rPr>
        <w:lastRenderedPageBreak/>
        <w:t>The site is also connected to the Family Hubs and community-based services, which means that it is integrated with other partner agencies and voluntary organisations. Digitally, the hierarchical design and classification is consistent with the concept of accessibility that fosters user comprehension and navigation of the governmental service websites (Campoverde-Molina et al., 2023). In general, the website of Leicestershire shows a good indication of signposting and availability of various access points, but the difference of the two, i.e. Family Help and Early Help, might need to be explained to the family members.</w:t>
      </w:r>
    </w:p>
    <w:p w14:paraId="3ABEFFAC" w14:textId="2456AA87" w:rsidR="00B85B0F" w:rsidRPr="003D5BE1" w:rsidRDefault="00B85B0F" w:rsidP="003D5BE1">
      <w:pPr>
        <w:rPr>
          <w:rFonts w:eastAsiaTheme="majorEastAsia" w:cs="Arial"/>
          <w:b/>
          <w:szCs w:val="22"/>
        </w:rPr>
      </w:pPr>
      <w:r w:rsidRPr="003D5BE1">
        <w:rPr>
          <w:rFonts w:cs="Arial"/>
          <w:szCs w:val="22"/>
        </w:rPr>
        <w:br w:type="page"/>
      </w:r>
    </w:p>
    <w:p w14:paraId="4C634D37" w14:textId="2456AA87" w:rsidR="00B85B0F" w:rsidRPr="00EE1913" w:rsidRDefault="00B85B0F" w:rsidP="003D5BE1">
      <w:pPr>
        <w:pStyle w:val="Heading1"/>
        <w:rPr>
          <w:rFonts w:cs="Arial"/>
          <w:sz w:val="32"/>
          <w:szCs w:val="32"/>
        </w:rPr>
      </w:pPr>
      <w:bookmarkStart w:id="4" w:name="_Toc222433261"/>
      <w:r w:rsidRPr="00EE1913">
        <w:rPr>
          <w:rFonts w:cs="Arial"/>
          <w:sz w:val="32"/>
          <w:szCs w:val="32"/>
        </w:rPr>
        <w:lastRenderedPageBreak/>
        <w:t>5.0 County Council of Nottinghamshire</w:t>
      </w:r>
      <w:bookmarkEnd w:id="4"/>
    </w:p>
    <w:p w14:paraId="189607C2" w14:textId="7EF155EA" w:rsidR="00B85B0F" w:rsidRPr="003D5BE1" w:rsidRDefault="00B85B0F" w:rsidP="003D5BE1">
      <w:pPr>
        <w:rPr>
          <w:rFonts w:cs="Arial"/>
          <w:szCs w:val="22"/>
        </w:rPr>
      </w:pPr>
      <w:r w:rsidRPr="003D5BE1">
        <w:rPr>
          <w:rFonts w:cs="Arial"/>
          <w:szCs w:val="22"/>
        </w:rPr>
        <w:t xml:space="preserve">The </w:t>
      </w:r>
      <w:r w:rsidR="00F4561D" w:rsidRPr="003D5BE1">
        <w:rPr>
          <w:rFonts w:cs="Arial"/>
          <w:szCs w:val="22"/>
        </w:rPr>
        <w:t>Nottinghamshire</w:t>
      </w:r>
      <w:r w:rsidRPr="003D5BE1">
        <w:rPr>
          <w:rFonts w:cs="Arial"/>
          <w:szCs w:val="22"/>
        </w:rPr>
        <w:t xml:space="preserve"> County Council gives information on Early Help under special sections including the referral to early help services and early help and support, which is reached with the help of child and family services menu. The name Early Help is well defined and articulate to its meaning and therefore the family and other professionals can easily know what the service is all about. The pages define Early Help as assistance that is offered to children, young folks and families </w:t>
      </w:r>
      <w:r w:rsidR="00F4561D" w:rsidRPr="003D5BE1">
        <w:rPr>
          <w:rFonts w:cs="Arial"/>
          <w:szCs w:val="22"/>
        </w:rPr>
        <w:t>to</w:t>
      </w:r>
      <w:r w:rsidRPr="003D5BE1">
        <w:rPr>
          <w:rFonts w:cs="Arial"/>
          <w:szCs w:val="22"/>
        </w:rPr>
        <w:t xml:space="preserve"> avoid the development of needs and one of the examples given is Family Hub networks, family support teams and targeted interventions.</w:t>
      </w:r>
    </w:p>
    <w:p w14:paraId="4EB4499C" w14:textId="77777777" w:rsidR="00B85B0F" w:rsidRPr="003D5BE1" w:rsidRDefault="00B85B0F" w:rsidP="003D5BE1">
      <w:pPr>
        <w:rPr>
          <w:rFonts w:cs="Arial"/>
          <w:szCs w:val="22"/>
        </w:rPr>
      </w:pPr>
      <w:r w:rsidRPr="003D5BE1">
        <w:rPr>
          <w:rFonts w:cs="Arial"/>
          <w:szCs w:val="22"/>
        </w:rPr>
        <w:t>The site provides various contact and access avenues to the family such as contact number and email address and self-referral advice. They guide the professionals to complete online request forms and select referral pathways which are clearly explained according to various services. Such an organized division of families and professionals makes it more manageable and less misconceived in terms of referral procedures.</w:t>
      </w:r>
    </w:p>
    <w:p w14:paraId="7578BEFC" w14:textId="615367AB" w:rsidR="00B85B0F" w:rsidRPr="003D5BE1" w:rsidRDefault="00B85B0F" w:rsidP="003D5BE1">
      <w:pPr>
        <w:rPr>
          <w:rFonts w:cs="Arial"/>
          <w:szCs w:val="22"/>
        </w:rPr>
      </w:pPr>
      <w:r w:rsidRPr="003D5BE1">
        <w:rPr>
          <w:rFonts w:cs="Arial"/>
          <w:szCs w:val="22"/>
        </w:rPr>
        <w:t xml:space="preserve">The information is displayed with headings, bullet points and parts and this increases readability and usability. The site contains the links to partner services, like Family Hubs, youth services and safeguarding teams, which shows the high focus on multi-agency cooperation. Nonetheless, the dissemination of the information is done over </w:t>
      </w:r>
      <w:r w:rsidR="00F4561D" w:rsidRPr="003D5BE1">
        <w:rPr>
          <w:rFonts w:cs="Arial"/>
          <w:szCs w:val="22"/>
        </w:rPr>
        <w:t>several</w:t>
      </w:r>
      <w:r w:rsidRPr="003D5BE1">
        <w:rPr>
          <w:rFonts w:cs="Arial"/>
          <w:szCs w:val="22"/>
        </w:rPr>
        <w:t xml:space="preserve"> </w:t>
      </w:r>
      <w:r w:rsidR="00F4561D" w:rsidRPr="003D5BE1">
        <w:rPr>
          <w:rFonts w:cs="Arial"/>
          <w:szCs w:val="22"/>
        </w:rPr>
        <w:t>pages,</w:t>
      </w:r>
      <w:r w:rsidRPr="003D5BE1">
        <w:rPr>
          <w:rFonts w:cs="Arial"/>
          <w:szCs w:val="22"/>
        </w:rPr>
        <w:t xml:space="preserve"> and this might make the user scroll through </w:t>
      </w:r>
      <w:proofErr w:type="gramStart"/>
      <w:r w:rsidRPr="003D5BE1">
        <w:rPr>
          <w:rFonts w:cs="Arial"/>
          <w:szCs w:val="22"/>
        </w:rPr>
        <w:t>a number of</w:t>
      </w:r>
      <w:proofErr w:type="gramEnd"/>
      <w:r w:rsidRPr="003D5BE1">
        <w:rPr>
          <w:rFonts w:cs="Arial"/>
          <w:szCs w:val="22"/>
        </w:rPr>
        <w:t xml:space="preserve"> sections to get a comprehensive view of what is offered by Early Help. </w:t>
      </w:r>
      <w:r w:rsidR="00F4561D" w:rsidRPr="003D5BE1">
        <w:rPr>
          <w:rFonts w:cs="Arial"/>
          <w:szCs w:val="22"/>
        </w:rPr>
        <w:t>Overall</w:t>
      </w:r>
      <w:r w:rsidRPr="003D5BE1">
        <w:rPr>
          <w:rFonts w:cs="Arial"/>
          <w:szCs w:val="22"/>
        </w:rPr>
        <w:t>, the web site of the county of Nottinghamshire offers effective and well-developed signposting of Early Help in the form of clear pathways of communication.</w:t>
      </w:r>
    </w:p>
    <w:p w14:paraId="3443B72B" w14:textId="77777777" w:rsidR="00B85B0F" w:rsidRPr="003D5BE1" w:rsidRDefault="00B85B0F" w:rsidP="003D5BE1">
      <w:pPr>
        <w:rPr>
          <w:rFonts w:eastAsiaTheme="majorEastAsia" w:cs="Arial"/>
          <w:b/>
          <w:szCs w:val="22"/>
        </w:rPr>
      </w:pPr>
      <w:r w:rsidRPr="003D5BE1">
        <w:rPr>
          <w:rFonts w:cs="Arial"/>
          <w:szCs w:val="22"/>
        </w:rPr>
        <w:br w:type="page"/>
      </w:r>
    </w:p>
    <w:p w14:paraId="24D6BC92" w14:textId="77777777" w:rsidR="00B85B0F" w:rsidRPr="00EE1913" w:rsidRDefault="00B85B0F" w:rsidP="003D5BE1">
      <w:pPr>
        <w:pStyle w:val="Heading1"/>
        <w:rPr>
          <w:rFonts w:cs="Arial"/>
          <w:sz w:val="32"/>
          <w:szCs w:val="32"/>
        </w:rPr>
      </w:pPr>
      <w:bookmarkStart w:id="5" w:name="_Toc222433262"/>
      <w:r w:rsidRPr="00EE1913">
        <w:rPr>
          <w:rFonts w:cs="Arial"/>
          <w:sz w:val="32"/>
          <w:szCs w:val="32"/>
        </w:rPr>
        <w:lastRenderedPageBreak/>
        <w:t>6.0 Comparative Analysis</w:t>
      </w:r>
      <w:bookmarkEnd w:id="5"/>
    </w:p>
    <w:p w14:paraId="5D0CFF9C" w14:textId="77777777" w:rsidR="00B85B0F" w:rsidRPr="003D5BE1" w:rsidRDefault="00B85B0F" w:rsidP="003D5BE1">
      <w:pPr>
        <w:rPr>
          <w:rFonts w:cs="Arial"/>
          <w:szCs w:val="22"/>
        </w:rPr>
      </w:pPr>
      <w:r w:rsidRPr="003D5BE1">
        <w:rPr>
          <w:rFonts w:cs="Arial"/>
          <w:szCs w:val="22"/>
        </w:rPr>
        <w:t>Compared with Staffordshire, Nottinghamshire and Leicestershire offer easier routes to the information about Early Help. Nottinghamshire identically employs the term Early Help, and distinguishes between data to families and professionals, which is useful in helping end users and minimizes the navigation barriers. The Family Help pages of Leicestershire are not very difficult to find and present the information in a structured manner, yet the alternative terminology can be confusing to those users who do not know the name of this or that service locally. The content of Early Help in Staffordshire is less prominent, being a part of the programme called Families First, which can make it less discoverable to families that need help.</w:t>
      </w:r>
    </w:p>
    <w:p w14:paraId="56B6E3F4" w14:textId="77777777" w:rsidR="00B85B0F" w:rsidRPr="003D5BE1" w:rsidRDefault="00B85B0F" w:rsidP="003D5BE1">
      <w:pPr>
        <w:rPr>
          <w:rFonts w:cs="Arial"/>
          <w:szCs w:val="22"/>
        </w:rPr>
      </w:pPr>
      <w:r w:rsidRPr="003D5BE1">
        <w:rPr>
          <w:rFonts w:cs="Arial"/>
          <w:szCs w:val="22"/>
        </w:rPr>
        <w:t>The three websites differ in terms of the clarity of information. Nottinghamshire and Leicestershire apply well-organized headings, bullets, clear calls to action, and contribute to the readability and usability by different users. The content of Staffordshire is clear but includes less information about the Early Help system and fewer tips on how the families should proceed further. Digital communication is crucial in enhancing their public awareness of health and social care services, especially among users who have different literacy and digital literacy and skills (Fitzpatrick, 2023).</w:t>
      </w:r>
    </w:p>
    <w:p w14:paraId="4153F124" w14:textId="08D1E560" w:rsidR="00B85B0F" w:rsidRPr="003D5BE1" w:rsidRDefault="00B85B0F" w:rsidP="003D5BE1">
      <w:pPr>
        <w:rPr>
          <w:rFonts w:cs="Arial"/>
          <w:szCs w:val="22"/>
        </w:rPr>
      </w:pPr>
      <w:r w:rsidRPr="003D5BE1">
        <w:rPr>
          <w:rFonts w:cs="Arial"/>
          <w:szCs w:val="22"/>
        </w:rPr>
        <w:t xml:space="preserve">Concerning the channels and format of support access, Nottinghamshire and Leicestershire provide various channels of referral, such as telephone, email and online forms, that make them more accessible and convenient. Telephone contact is the main mode of contact in </w:t>
      </w:r>
      <w:r w:rsidR="00F4561D" w:rsidRPr="003D5BE1">
        <w:rPr>
          <w:rFonts w:cs="Arial"/>
          <w:szCs w:val="22"/>
        </w:rPr>
        <w:t>Staffordshire,</w:t>
      </w:r>
      <w:r w:rsidRPr="003D5BE1">
        <w:rPr>
          <w:rFonts w:cs="Arial"/>
          <w:szCs w:val="22"/>
        </w:rPr>
        <w:t xml:space="preserve"> and this could be a limitation to users who may need or choose digital contact. Multi-channel access is the new best practice in the delivery of services in the public sector since it diminishes barriers and promotes inclusive participation.</w:t>
      </w:r>
    </w:p>
    <w:p w14:paraId="4C56C253" w14:textId="3C562AE5" w:rsidR="00B85B0F" w:rsidRPr="003D5BE1" w:rsidRDefault="00B85B0F" w:rsidP="003D5BE1">
      <w:pPr>
        <w:rPr>
          <w:rFonts w:cs="Arial"/>
          <w:szCs w:val="22"/>
        </w:rPr>
      </w:pPr>
      <w:r w:rsidRPr="003D5BE1">
        <w:rPr>
          <w:rFonts w:cs="Arial"/>
          <w:szCs w:val="22"/>
        </w:rPr>
        <w:t xml:space="preserve">Regarding the focus on multi-agencies, Nottinghamshire is the most definite in the report about partner services, Family Hubs, and safeguarding teams, which is a collaborative Early Help model. Partnership roles are also less detailed in Leicestershire where Family Hubs and community services are mentioned. The site of Staffordshire is more dedicated to council-led services, and few visible references are made to the partner agencies. </w:t>
      </w:r>
      <w:r w:rsidR="00F4561D" w:rsidRPr="003D5BE1">
        <w:rPr>
          <w:rFonts w:cs="Arial"/>
          <w:szCs w:val="22"/>
        </w:rPr>
        <w:t>Overall</w:t>
      </w:r>
      <w:r w:rsidRPr="003D5BE1">
        <w:rPr>
          <w:rFonts w:cs="Arial"/>
          <w:szCs w:val="22"/>
        </w:rPr>
        <w:t>, Nottinghamshire has the most developed and easy-to-reach Early Help communication, and then Leicestershire, and Staffordshire is characterized by some prospects in the visibility, communication through the Internet and with partners.</w:t>
      </w:r>
    </w:p>
    <w:p w14:paraId="3769D899" w14:textId="77777777" w:rsidR="00B85B0F" w:rsidRPr="003D5BE1" w:rsidRDefault="00B85B0F" w:rsidP="003D5BE1">
      <w:pPr>
        <w:rPr>
          <w:rFonts w:eastAsiaTheme="majorEastAsia" w:cs="Arial"/>
          <w:b/>
          <w:szCs w:val="22"/>
        </w:rPr>
      </w:pPr>
      <w:r w:rsidRPr="003D5BE1">
        <w:rPr>
          <w:rFonts w:cs="Arial"/>
          <w:szCs w:val="22"/>
        </w:rPr>
        <w:br w:type="page"/>
      </w:r>
    </w:p>
    <w:p w14:paraId="72A73561" w14:textId="77777777" w:rsidR="00B85B0F" w:rsidRPr="003D5BE1" w:rsidRDefault="00B85B0F" w:rsidP="003D5BE1">
      <w:pPr>
        <w:pStyle w:val="Heading1"/>
        <w:rPr>
          <w:rFonts w:cs="Arial"/>
          <w:sz w:val="32"/>
          <w:szCs w:val="32"/>
        </w:rPr>
      </w:pPr>
      <w:bookmarkStart w:id="6" w:name="_Toc222433263"/>
      <w:r w:rsidRPr="003D5BE1">
        <w:rPr>
          <w:rFonts w:cs="Arial"/>
          <w:sz w:val="32"/>
          <w:szCs w:val="32"/>
        </w:rPr>
        <w:lastRenderedPageBreak/>
        <w:t>7.0 Conclusion and Recommendations.</w:t>
      </w:r>
      <w:bookmarkEnd w:id="6"/>
    </w:p>
    <w:p w14:paraId="13B7B53D" w14:textId="77777777" w:rsidR="00B85B0F" w:rsidRPr="003D5BE1" w:rsidRDefault="00B85B0F" w:rsidP="003D5BE1">
      <w:pPr>
        <w:rPr>
          <w:rFonts w:cs="Arial"/>
          <w:szCs w:val="22"/>
        </w:rPr>
      </w:pPr>
      <w:r w:rsidRPr="003D5BE1">
        <w:rPr>
          <w:rFonts w:cs="Arial"/>
          <w:szCs w:val="22"/>
        </w:rPr>
        <w:t>In this paper, the researcher discovered that the County Council of Nottinghamshire offers the best and the most accessible information on the Early Help site with clear terms, divided instructions regarding families and professionals, and a variety of contacts. Another good example of digital signposting within the Leicestershire County Council is its online request forms and well-defined support categories, but because the term Family Help is used the council might lose the meaning to other users. Staffordshire County Council is less visible of Early Help material and less digital access opportunities do exist.</w:t>
      </w:r>
    </w:p>
    <w:p w14:paraId="09B0A753" w14:textId="77777777" w:rsidR="00B85B0F" w:rsidRPr="003D5BE1" w:rsidRDefault="00B85B0F" w:rsidP="003D5BE1">
      <w:pPr>
        <w:rPr>
          <w:rFonts w:cs="Arial"/>
          <w:szCs w:val="22"/>
        </w:rPr>
      </w:pPr>
      <w:r w:rsidRPr="003D5BE1">
        <w:rPr>
          <w:rFonts w:cs="Arial"/>
          <w:szCs w:val="22"/>
        </w:rPr>
        <w:t>It is advised that Staffordshire should enhance the navigation in the websites, provide online referral pathways and clarify the Early Help system. Leicestershire is required to explain terminologies and reinforce descriptions on Early Help processes. Nottinghamshire would be able to gather scattered information on one overview page. The partnerships with multi-agencies and the clear and friendly language should be noted as the key to the improved accessibility and involvement in all the councils.</w:t>
      </w:r>
    </w:p>
    <w:p w14:paraId="590FDD8A" w14:textId="77777777" w:rsidR="00B85B0F" w:rsidRPr="003D5BE1" w:rsidRDefault="00B85B0F" w:rsidP="00B85B0F">
      <w:pPr>
        <w:pStyle w:val="Heading1"/>
        <w:rPr>
          <w:sz w:val="32"/>
          <w:szCs w:val="32"/>
        </w:rPr>
      </w:pPr>
      <w:r w:rsidRPr="00AE218D">
        <w:rPr>
          <w:sz w:val="24"/>
          <w:szCs w:val="24"/>
        </w:rPr>
        <w:br w:type="page"/>
      </w:r>
      <w:bookmarkStart w:id="7" w:name="_Toc222433264"/>
      <w:r w:rsidRPr="003D5BE1">
        <w:rPr>
          <w:sz w:val="32"/>
          <w:szCs w:val="32"/>
        </w:rPr>
        <w:lastRenderedPageBreak/>
        <w:t>References</w:t>
      </w:r>
      <w:bookmarkEnd w:id="7"/>
    </w:p>
    <w:p w14:paraId="50B2CE6C" w14:textId="77777777" w:rsidR="00B85B0F" w:rsidRPr="003D5BE1" w:rsidRDefault="00B85B0F" w:rsidP="003D5BE1">
      <w:pPr>
        <w:ind w:left="720" w:hanging="720"/>
        <w:rPr>
          <w:szCs w:val="22"/>
        </w:rPr>
      </w:pPr>
      <w:r w:rsidRPr="003D5BE1">
        <w:rPr>
          <w:szCs w:val="22"/>
        </w:rPr>
        <w:t>Campoverde-Molina, M., Luján-Mora, S. and Valverde, L., 2023. Accessibility of university websites worldwide: a systematic literature review. </w:t>
      </w:r>
      <w:r w:rsidRPr="003D5BE1">
        <w:rPr>
          <w:i/>
          <w:iCs/>
          <w:szCs w:val="22"/>
        </w:rPr>
        <w:t>Universal Access in the Information Society</w:t>
      </w:r>
      <w:r w:rsidRPr="003D5BE1">
        <w:rPr>
          <w:szCs w:val="22"/>
        </w:rPr>
        <w:t>, </w:t>
      </w:r>
      <w:r w:rsidRPr="003D5BE1">
        <w:rPr>
          <w:i/>
          <w:iCs/>
          <w:szCs w:val="22"/>
        </w:rPr>
        <w:t>22</w:t>
      </w:r>
      <w:r w:rsidRPr="003D5BE1">
        <w:rPr>
          <w:szCs w:val="22"/>
        </w:rPr>
        <w:t>(1), pp.133-168.</w:t>
      </w:r>
    </w:p>
    <w:p w14:paraId="76A5F686" w14:textId="77777777" w:rsidR="00B85B0F" w:rsidRPr="003D5BE1" w:rsidRDefault="00B85B0F" w:rsidP="003D5BE1">
      <w:pPr>
        <w:ind w:left="720" w:hanging="720"/>
        <w:rPr>
          <w:szCs w:val="22"/>
        </w:rPr>
      </w:pPr>
      <w:r w:rsidRPr="003D5BE1">
        <w:rPr>
          <w:szCs w:val="22"/>
        </w:rPr>
        <w:t xml:space="preserve">Churchill, H. and Dunn, H., 2023. Parental participation and community family </w:t>
      </w:r>
      <w:proofErr w:type="gramStart"/>
      <w:r w:rsidRPr="003D5BE1">
        <w:rPr>
          <w:szCs w:val="22"/>
        </w:rPr>
        <w:t>support:‘</w:t>
      </w:r>
      <w:proofErr w:type="gramEnd"/>
      <w:r w:rsidRPr="003D5BE1">
        <w:rPr>
          <w:szCs w:val="22"/>
        </w:rPr>
        <w:t>family support hubs’ in Northern Ireland and ‘family hubs’ in England. </w:t>
      </w:r>
      <w:r w:rsidRPr="003D5BE1">
        <w:rPr>
          <w:i/>
          <w:iCs/>
          <w:szCs w:val="22"/>
        </w:rPr>
        <w:t>International Perspectives on Parenting Support and Parental Participation in Children and Family Services</w:t>
      </w:r>
      <w:r w:rsidRPr="003D5BE1">
        <w:rPr>
          <w:szCs w:val="22"/>
        </w:rPr>
        <w:t>, pp.268-283.</w:t>
      </w:r>
    </w:p>
    <w:p w14:paraId="57EF6518" w14:textId="77777777" w:rsidR="00B85B0F" w:rsidRPr="003D5BE1" w:rsidRDefault="00B85B0F" w:rsidP="003D5BE1">
      <w:pPr>
        <w:ind w:left="720" w:hanging="720"/>
        <w:rPr>
          <w:szCs w:val="22"/>
        </w:rPr>
      </w:pPr>
      <w:r w:rsidRPr="003D5BE1">
        <w:rPr>
          <w:szCs w:val="22"/>
        </w:rPr>
        <w:t>Clark, M.T., Vakaj, E., Biernat, K.N., McKnight, L.K. and Cowdell, F., 2023. Knowledge Mobilisation in Safeguarding Adults and Children for Healthcare in England. </w:t>
      </w:r>
      <w:r w:rsidRPr="003D5BE1">
        <w:rPr>
          <w:i/>
          <w:iCs/>
          <w:szCs w:val="22"/>
        </w:rPr>
        <w:t>Health &amp; Social Care in the Community</w:t>
      </w:r>
      <w:r w:rsidRPr="003D5BE1">
        <w:rPr>
          <w:szCs w:val="22"/>
        </w:rPr>
        <w:t>, </w:t>
      </w:r>
      <w:r w:rsidRPr="003D5BE1">
        <w:rPr>
          <w:i/>
          <w:iCs/>
          <w:szCs w:val="22"/>
        </w:rPr>
        <w:t>2023</w:t>
      </w:r>
      <w:r w:rsidRPr="003D5BE1">
        <w:rPr>
          <w:szCs w:val="22"/>
        </w:rPr>
        <w:t>(1), p.6080695.</w:t>
      </w:r>
    </w:p>
    <w:p w14:paraId="160631A6" w14:textId="77777777" w:rsidR="00B85B0F" w:rsidRPr="003D5BE1" w:rsidRDefault="00B85B0F" w:rsidP="003D5BE1">
      <w:pPr>
        <w:ind w:left="720" w:hanging="720"/>
        <w:rPr>
          <w:szCs w:val="22"/>
        </w:rPr>
      </w:pPr>
      <w:r w:rsidRPr="003D5BE1">
        <w:rPr>
          <w:szCs w:val="22"/>
        </w:rPr>
        <w:t xml:space="preserve">Department for Education (2023) </w:t>
      </w:r>
      <w:r w:rsidRPr="003D5BE1">
        <w:rPr>
          <w:i/>
          <w:iCs/>
          <w:szCs w:val="22"/>
        </w:rPr>
        <w:t>Working together to safeguard children 2023: Statutory guidance</w:t>
      </w:r>
      <w:r w:rsidRPr="003D5BE1">
        <w:rPr>
          <w:szCs w:val="22"/>
        </w:rPr>
        <w:t>. [Online]. Available at: https://assets.publishing.service.gov.uk/media/6849a7b67cba25f610c7db3f/Working_together_to_safeguard_children_2023_-_statutory_guidance.pdf (Accessed: 09 February 2026).</w:t>
      </w:r>
    </w:p>
    <w:p w14:paraId="06AB5E50" w14:textId="77777777" w:rsidR="00B85B0F" w:rsidRPr="003D5BE1" w:rsidRDefault="00B85B0F" w:rsidP="003D5BE1">
      <w:pPr>
        <w:ind w:left="720" w:hanging="720"/>
        <w:rPr>
          <w:szCs w:val="22"/>
        </w:rPr>
      </w:pPr>
      <w:r w:rsidRPr="003D5BE1">
        <w:rPr>
          <w:szCs w:val="22"/>
        </w:rPr>
        <w:t xml:space="preserve">Department for Levelling Up, Housing and Communities and Department for Education (2022) </w:t>
      </w:r>
      <w:r w:rsidRPr="003D5BE1">
        <w:rPr>
          <w:i/>
          <w:iCs/>
          <w:szCs w:val="22"/>
        </w:rPr>
        <w:t>Supporting Families: Early help system guide</w:t>
      </w:r>
      <w:r w:rsidRPr="003D5BE1">
        <w:rPr>
          <w:szCs w:val="22"/>
        </w:rPr>
        <w:t>. [Online]. Available at: https://assets.publishing.service.gov.uk/media/628de13be90e071f5f7e1bd2/Early_Help_System_Guide.pdf (Accessed: 09 February 2026).</w:t>
      </w:r>
    </w:p>
    <w:p w14:paraId="774DCE98" w14:textId="77777777" w:rsidR="00B85B0F" w:rsidRPr="003D5BE1" w:rsidRDefault="00B85B0F" w:rsidP="003D5BE1">
      <w:pPr>
        <w:ind w:left="720" w:hanging="720"/>
        <w:rPr>
          <w:szCs w:val="22"/>
        </w:rPr>
      </w:pPr>
      <w:r w:rsidRPr="003D5BE1">
        <w:rPr>
          <w:szCs w:val="22"/>
        </w:rPr>
        <w:t xml:space="preserve">Feltner, C., Peat, C., Asher, G.N., Wright, S., Vaughan, J., Middleton, J.C. and Jonas, D.E., 2025. Screening for intimate partner violence and for caregiver abuse of older or vulnerable adults: an evidence </w:t>
      </w:r>
      <w:proofErr w:type="gramStart"/>
      <w:r w:rsidRPr="003D5BE1">
        <w:rPr>
          <w:szCs w:val="22"/>
        </w:rPr>
        <w:t>report</w:t>
      </w:r>
      <w:proofErr w:type="gramEnd"/>
      <w:r w:rsidRPr="003D5BE1">
        <w:rPr>
          <w:szCs w:val="22"/>
        </w:rPr>
        <w:t xml:space="preserve"> and systematic review for the US Preventive Services Task Force. </w:t>
      </w:r>
      <w:r w:rsidRPr="003D5BE1">
        <w:rPr>
          <w:i/>
          <w:iCs/>
          <w:szCs w:val="22"/>
        </w:rPr>
        <w:t>JAMA</w:t>
      </w:r>
      <w:r w:rsidRPr="003D5BE1">
        <w:rPr>
          <w:szCs w:val="22"/>
        </w:rPr>
        <w:t>.</w:t>
      </w:r>
    </w:p>
    <w:p w14:paraId="7EFB8B82" w14:textId="77777777" w:rsidR="00B85B0F" w:rsidRPr="003D5BE1" w:rsidRDefault="00B85B0F" w:rsidP="003D5BE1">
      <w:pPr>
        <w:ind w:left="720" w:hanging="720"/>
        <w:rPr>
          <w:szCs w:val="22"/>
        </w:rPr>
      </w:pPr>
      <w:r w:rsidRPr="003D5BE1">
        <w:rPr>
          <w:szCs w:val="22"/>
        </w:rPr>
        <w:t>Fitzpatrick, P.J., 2023. Improving health literacy using the power of digital communications to achieve better health outcomes for patients and practitioners. </w:t>
      </w:r>
      <w:r w:rsidRPr="003D5BE1">
        <w:rPr>
          <w:i/>
          <w:iCs/>
          <w:szCs w:val="22"/>
        </w:rPr>
        <w:t>Frontiers in Digital Health</w:t>
      </w:r>
      <w:r w:rsidRPr="003D5BE1">
        <w:rPr>
          <w:szCs w:val="22"/>
        </w:rPr>
        <w:t>, </w:t>
      </w:r>
      <w:r w:rsidRPr="003D5BE1">
        <w:rPr>
          <w:i/>
          <w:iCs/>
          <w:szCs w:val="22"/>
        </w:rPr>
        <w:t>5</w:t>
      </w:r>
      <w:r w:rsidRPr="003D5BE1">
        <w:rPr>
          <w:szCs w:val="22"/>
        </w:rPr>
        <w:t>, p.1264780.</w:t>
      </w:r>
    </w:p>
    <w:p w14:paraId="132408D1" w14:textId="77777777" w:rsidR="00B85B0F" w:rsidRPr="003D5BE1" w:rsidRDefault="00B85B0F" w:rsidP="003D5BE1">
      <w:pPr>
        <w:ind w:left="720" w:hanging="720"/>
        <w:rPr>
          <w:szCs w:val="22"/>
        </w:rPr>
      </w:pPr>
      <w:r w:rsidRPr="003D5BE1">
        <w:rPr>
          <w:szCs w:val="22"/>
        </w:rPr>
        <w:t>Loopstra, R. and Lambie-Mumford, H., 2023. Food banks: Understanding their role in the food insecure population in the UK. </w:t>
      </w:r>
      <w:r w:rsidRPr="003D5BE1">
        <w:rPr>
          <w:i/>
          <w:iCs/>
          <w:szCs w:val="22"/>
        </w:rPr>
        <w:t>Proceedings of the Nutrition Society</w:t>
      </w:r>
      <w:r w:rsidRPr="003D5BE1">
        <w:rPr>
          <w:szCs w:val="22"/>
        </w:rPr>
        <w:t>, </w:t>
      </w:r>
      <w:r w:rsidRPr="003D5BE1">
        <w:rPr>
          <w:i/>
          <w:iCs/>
          <w:szCs w:val="22"/>
        </w:rPr>
        <w:t>82</w:t>
      </w:r>
      <w:r w:rsidRPr="003D5BE1">
        <w:rPr>
          <w:szCs w:val="22"/>
        </w:rPr>
        <w:t>(3), pp.253-263.</w:t>
      </w:r>
    </w:p>
    <w:p w14:paraId="687306E0" w14:textId="77777777" w:rsidR="00B85B0F" w:rsidRPr="003D5BE1" w:rsidRDefault="00B85B0F" w:rsidP="003D5BE1">
      <w:pPr>
        <w:ind w:left="720" w:hanging="720"/>
        <w:rPr>
          <w:szCs w:val="22"/>
        </w:rPr>
      </w:pPr>
      <w:r w:rsidRPr="003D5BE1">
        <w:rPr>
          <w:szCs w:val="22"/>
        </w:rPr>
        <w:t>McCarthy, E. and Guerin, S., 2022. Family</w:t>
      </w:r>
      <w:r w:rsidRPr="003D5BE1">
        <w:rPr>
          <w:rFonts w:ascii="Cambria Math" w:hAnsi="Cambria Math" w:cs="Cambria Math"/>
          <w:szCs w:val="22"/>
        </w:rPr>
        <w:t>‐</w:t>
      </w:r>
      <w:r w:rsidRPr="003D5BE1">
        <w:rPr>
          <w:szCs w:val="22"/>
        </w:rPr>
        <w:t>centred care in early intervention: A systematic review of the processes and outcomes of family</w:t>
      </w:r>
      <w:r w:rsidRPr="003D5BE1">
        <w:rPr>
          <w:rFonts w:ascii="Cambria Math" w:hAnsi="Cambria Math" w:cs="Cambria Math"/>
          <w:szCs w:val="22"/>
        </w:rPr>
        <w:t>‐</w:t>
      </w:r>
      <w:r w:rsidRPr="003D5BE1">
        <w:rPr>
          <w:szCs w:val="22"/>
        </w:rPr>
        <w:t>centred care and impacting factors.</w:t>
      </w:r>
      <w:r w:rsidRPr="003D5BE1">
        <w:rPr>
          <w:rFonts w:cs="Arial"/>
          <w:szCs w:val="22"/>
        </w:rPr>
        <w:t> </w:t>
      </w:r>
      <w:r w:rsidRPr="003D5BE1">
        <w:rPr>
          <w:i/>
          <w:iCs/>
          <w:szCs w:val="22"/>
        </w:rPr>
        <w:t>Child: Care, Health and Development</w:t>
      </w:r>
      <w:r w:rsidRPr="003D5BE1">
        <w:rPr>
          <w:szCs w:val="22"/>
        </w:rPr>
        <w:t>, </w:t>
      </w:r>
      <w:r w:rsidRPr="003D5BE1">
        <w:rPr>
          <w:i/>
          <w:iCs/>
          <w:szCs w:val="22"/>
        </w:rPr>
        <w:t>48</w:t>
      </w:r>
      <w:r w:rsidRPr="003D5BE1">
        <w:rPr>
          <w:szCs w:val="22"/>
        </w:rPr>
        <w:t>(1), pp.1-32.</w:t>
      </w:r>
    </w:p>
    <w:p w14:paraId="1FDBAE1F" w14:textId="77777777" w:rsidR="00B85B0F" w:rsidRPr="003D5BE1" w:rsidRDefault="00B85B0F" w:rsidP="003D5BE1">
      <w:pPr>
        <w:ind w:left="720" w:hanging="720"/>
        <w:rPr>
          <w:szCs w:val="22"/>
        </w:rPr>
      </w:pPr>
      <w:r w:rsidRPr="003D5BE1">
        <w:rPr>
          <w:szCs w:val="22"/>
        </w:rPr>
        <w:lastRenderedPageBreak/>
        <w:t xml:space="preserve">Monaghan, P., Waring, S., Giles, S. and O’Brien, F., 2025. What works in improving inter-agency responses to missing </w:t>
      </w:r>
      <w:proofErr w:type="gramStart"/>
      <w:r w:rsidRPr="003D5BE1">
        <w:rPr>
          <w:szCs w:val="22"/>
        </w:rPr>
        <w:t>children</w:t>
      </w:r>
      <w:proofErr w:type="gramEnd"/>
      <w:r w:rsidRPr="003D5BE1">
        <w:rPr>
          <w:szCs w:val="22"/>
        </w:rPr>
        <w:t xml:space="preserve"> investigations: A scoping review. </w:t>
      </w:r>
      <w:r w:rsidRPr="003D5BE1">
        <w:rPr>
          <w:i/>
          <w:iCs/>
          <w:szCs w:val="22"/>
        </w:rPr>
        <w:t>The Police Journal</w:t>
      </w:r>
      <w:r w:rsidRPr="003D5BE1">
        <w:rPr>
          <w:szCs w:val="22"/>
        </w:rPr>
        <w:t>, </w:t>
      </w:r>
      <w:r w:rsidRPr="003D5BE1">
        <w:rPr>
          <w:i/>
          <w:iCs/>
          <w:szCs w:val="22"/>
        </w:rPr>
        <w:t>98</w:t>
      </w:r>
      <w:r w:rsidRPr="003D5BE1">
        <w:rPr>
          <w:szCs w:val="22"/>
        </w:rPr>
        <w:t>(1), pp.87-111.</w:t>
      </w:r>
    </w:p>
    <w:p w14:paraId="49B3A092" w14:textId="77777777" w:rsidR="00B85B0F" w:rsidRPr="003D5BE1" w:rsidRDefault="00B85B0F" w:rsidP="003D5BE1">
      <w:pPr>
        <w:ind w:left="720" w:hanging="720"/>
        <w:rPr>
          <w:szCs w:val="22"/>
        </w:rPr>
      </w:pPr>
      <w:r w:rsidRPr="003D5BE1">
        <w:rPr>
          <w:szCs w:val="22"/>
        </w:rPr>
        <w:t>Mountjoy, M., Vertommen, T., Denhollander, R., Kennedy, S. and Majoor, R., 2022. Effective engagement of survivors of harassment and abuse in sport in athlete safeguarding initiatives: a review and a conceptual framework. </w:t>
      </w:r>
      <w:r w:rsidRPr="003D5BE1">
        <w:rPr>
          <w:i/>
          <w:iCs/>
          <w:szCs w:val="22"/>
        </w:rPr>
        <w:t>British Journal of Sports Medicine</w:t>
      </w:r>
      <w:r w:rsidRPr="003D5BE1">
        <w:rPr>
          <w:szCs w:val="22"/>
        </w:rPr>
        <w:t>, </w:t>
      </w:r>
      <w:r w:rsidRPr="003D5BE1">
        <w:rPr>
          <w:i/>
          <w:iCs/>
          <w:szCs w:val="22"/>
        </w:rPr>
        <w:t>56</w:t>
      </w:r>
      <w:r w:rsidRPr="003D5BE1">
        <w:rPr>
          <w:szCs w:val="22"/>
        </w:rPr>
        <w:t>(4), pp.232-238.</w:t>
      </w:r>
    </w:p>
    <w:p w14:paraId="0B23DB8E" w14:textId="77777777" w:rsidR="00B85B0F" w:rsidRPr="003D5BE1" w:rsidRDefault="00B85B0F" w:rsidP="003D5BE1">
      <w:pPr>
        <w:ind w:left="720" w:hanging="720"/>
        <w:rPr>
          <w:szCs w:val="22"/>
        </w:rPr>
      </w:pPr>
      <w:r w:rsidRPr="003D5BE1">
        <w:rPr>
          <w:szCs w:val="22"/>
        </w:rPr>
        <w:t>Sanders, M.R., 2023. The Triple P system of evidence-based parenting support: Past, present, and future directions. </w:t>
      </w:r>
      <w:r w:rsidRPr="003D5BE1">
        <w:rPr>
          <w:i/>
          <w:iCs/>
          <w:szCs w:val="22"/>
        </w:rPr>
        <w:t>Clinical child and family psychology review</w:t>
      </w:r>
      <w:r w:rsidRPr="003D5BE1">
        <w:rPr>
          <w:szCs w:val="22"/>
        </w:rPr>
        <w:t>, </w:t>
      </w:r>
      <w:r w:rsidRPr="003D5BE1">
        <w:rPr>
          <w:i/>
          <w:iCs/>
          <w:szCs w:val="22"/>
        </w:rPr>
        <w:t>26</w:t>
      </w:r>
      <w:r w:rsidRPr="003D5BE1">
        <w:rPr>
          <w:szCs w:val="22"/>
        </w:rPr>
        <w:t>(4), pp.880-903.</w:t>
      </w:r>
    </w:p>
    <w:p w14:paraId="79AA9A3E" w14:textId="77777777" w:rsidR="00B85B0F" w:rsidRPr="003D5BE1" w:rsidRDefault="00B85B0F" w:rsidP="003D5BE1">
      <w:pPr>
        <w:ind w:left="720" w:hanging="720"/>
        <w:rPr>
          <w:szCs w:val="22"/>
        </w:rPr>
      </w:pPr>
      <w:r w:rsidRPr="003D5BE1">
        <w:rPr>
          <w:szCs w:val="22"/>
        </w:rPr>
        <w:t>Stoilova, M., Bulger, M. and Livingstone, S., 2024. Do parental control tools fulfil family expectations for child protection? A rapid evidence review of the contexts and outcomes of use. </w:t>
      </w:r>
      <w:r w:rsidRPr="003D5BE1">
        <w:rPr>
          <w:i/>
          <w:iCs/>
          <w:szCs w:val="22"/>
        </w:rPr>
        <w:t>Journal of Children and Media</w:t>
      </w:r>
      <w:r w:rsidRPr="003D5BE1">
        <w:rPr>
          <w:szCs w:val="22"/>
        </w:rPr>
        <w:t>, </w:t>
      </w:r>
      <w:r w:rsidRPr="003D5BE1">
        <w:rPr>
          <w:i/>
          <w:iCs/>
          <w:szCs w:val="22"/>
        </w:rPr>
        <w:t>18</w:t>
      </w:r>
      <w:r w:rsidRPr="003D5BE1">
        <w:rPr>
          <w:szCs w:val="22"/>
        </w:rPr>
        <w:t>(1), pp.29-49.</w:t>
      </w:r>
    </w:p>
    <w:p w14:paraId="20EC3D8D" w14:textId="77777777" w:rsidR="00B85B0F" w:rsidRPr="00AE218D" w:rsidRDefault="00B85B0F" w:rsidP="00B85B0F">
      <w:pPr>
        <w:rPr>
          <w:sz w:val="24"/>
        </w:rPr>
      </w:pPr>
    </w:p>
    <w:p w14:paraId="22021BF9" w14:textId="77777777" w:rsidR="00B85B0F" w:rsidRPr="00AE218D" w:rsidRDefault="00B85B0F" w:rsidP="00B85B0F">
      <w:pPr>
        <w:rPr>
          <w:sz w:val="24"/>
        </w:rPr>
      </w:pPr>
    </w:p>
    <w:p w14:paraId="45F7D974" w14:textId="77777777" w:rsidR="00B85B0F" w:rsidRPr="00AE218D" w:rsidRDefault="00B85B0F" w:rsidP="00B85B0F">
      <w:pPr>
        <w:rPr>
          <w:sz w:val="24"/>
        </w:rPr>
      </w:pPr>
    </w:p>
    <w:p w14:paraId="613593E5" w14:textId="77777777" w:rsidR="004B2806" w:rsidRPr="00AE218D" w:rsidRDefault="004B2806" w:rsidP="00615EDF">
      <w:pPr>
        <w:rPr>
          <w:sz w:val="24"/>
        </w:rPr>
      </w:pPr>
    </w:p>
    <w:sectPr w:rsidR="004B2806" w:rsidRPr="00AE218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50AA8" w14:textId="77777777" w:rsidR="00043726" w:rsidRDefault="00043726" w:rsidP="00A46DA2">
      <w:pPr>
        <w:spacing w:after="0" w:line="240" w:lineRule="auto"/>
      </w:pPr>
      <w:r>
        <w:separator/>
      </w:r>
    </w:p>
  </w:endnote>
  <w:endnote w:type="continuationSeparator" w:id="0">
    <w:p w14:paraId="3BD83539" w14:textId="77777777" w:rsidR="00043726" w:rsidRDefault="00043726" w:rsidP="00A46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209652"/>
      <w:docPartObj>
        <w:docPartGallery w:val="Page Numbers (Bottom of Page)"/>
        <w:docPartUnique/>
      </w:docPartObj>
    </w:sdtPr>
    <w:sdtContent>
      <w:sdt>
        <w:sdtPr>
          <w:id w:val="1728636285"/>
          <w:docPartObj>
            <w:docPartGallery w:val="Page Numbers (Top of Page)"/>
            <w:docPartUnique/>
          </w:docPartObj>
        </w:sdtPr>
        <w:sdtContent>
          <w:p w14:paraId="4349443A" w14:textId="4DE2AF2D" w:rsidR="00266AFE" w:rsidRDefault="00266AFE">
            <w:pPr>
              <w:pStyle w:val="Footer"/>
              <w:jc w:val="center"/>
            </w:pPr>
            <w:r>
              <w:t xml:space="preserve">Page </w:t>
            </w:r>
            <w:r>
              <w:rPr>
                <w:b/>
                <w:bCs/>
                <w:sz w:val="24"/>
              </w:rPr>
              <w:fldChar w:fldCharType="begin"/>
            </w:r>
            <w:r>
              <w:rPr>
                <w:b/>
                <w:bCs/>
              </w:rPr>
              <w:instrText>PAGE</w:instrText>
            </w:r>
            <w:r>
              <w:rPr>
                <w:b/>
                <w:bCs/>
                <w:sz w:val="24"/>
              </w:rPr>
              <w:fldChar w:fldCharType="separate"/>
            </w:r>
            <w:r>
              <w:rPr>
                <w:b/>
                <w:bCs/>
              </w:rPr>
              <w:t>2</w:t>
            </w:r>
            <w:r>
              <w:rPr>
                <w:b/>
                <w:bCs/>
                <w:sz w:val="24"/>
              </w:rPr>
              <w:fldChar w:fldCharType="end"/>
            </w:r>
            <w:r>
              <w:t xml:space="preserve"> of </w:t>
            </w:r>
            <w:r>
              <w:rPr>
                <w:b/>
                <w:bCs/>
                <w:sz w:val="24"/>
              </w:rPr>
              <w:fldChar w:fldCharType="begin"/>
            </w:r>
            <w:r>
              <w:rPr>
                <w:b/>
                <w:bCs/>
              </w:rPr>
              <w:instrText>NUMPAGES</w:instrText>
            </w:r>
            <w:r>
              <w:rPr>
                <w:b/>
                <w:bCs/>
                <w:sz w:val="24"/>
              </w:rPr>
              <w:fldChar w:fldCharType="separate"/>
            </w:r>
            <w:r>
              <w:rPr>
                <w:b/>
                <w:bCs/>
              </w:rPr>
              <w:t>2</w:t>
            </w:r>
            <w:r>
              <w:rPr>
                <w:b/>
                <w:bCs/>
                <w:sz w:val="24"/>
              </w:rPr>
              <w:fldChar w:fldCharType="end"/>
            </w:r>
          </w:p>
        </w:sdtContent>
      </w:sdt>
    </w:sdtContent>
  </w:sdt>
  <w:p w14:paraId="792FE425" w14:textId="77777777" w:rsidR="00266AFE" w:rsidRDefault="00266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9217E" w14:textId="77777777" w:rsidR="00043726" w:rsidRDefault="00043726" w:rsidP="00A46DA2">
      <w:pPr>
        <w:spacing w:after="0" w:line="240" w:lineRule="auto"/>
      </w:pPr>
      <w:r>
        <w:separator/>
      </w:r>
    </w:p>
  </w:footnote>
  <w:footnote w:type="continuationSeparator" w:id="0">
    <w:p w14:paraId="1EAE46A0" w14:textId="77777777" w:rsidR="00043726" w:rsidRDefault="00043726" w:rsidP="00A46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C8511" w14:textId="79102468" w:rsidR="00266AFE" w:rsidRPr="00266AFE" w:rsidRDefault="00266AFE">
    <w:pPr>
      <w:pStyle w:val="Header"/>
      <w:rPr>
        <w:color w:val="156082" w:themeColor="accent1"/>
      </w:rPr>
    </w:pPr>
    <w:r w:rsidRPr="00266AFE">
      <w:rPr>
        <w:color w:val="156082" w:themeColor="accent1"/>
      </w:rPr>
      <w:t>Musab Shah 2411894</w:t>
    </w:r>
  </w:p>
  <w:p w14:paraId="14B87BF9" w14:textId="791BB505" w:rsidR="00A46DA2" w:rsidRDefault="00A46D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06"/>
    <w:rsid w:val="00043726"/>
    <w:rsid w:val="000B6857"/>
    <w:rsid w:val="000C39D3"/>
    <w:rsid w:val="00101076"/>
    <w:rsid w:val="0010348A"/>
    <w:rsid w:val="00121159"/>
    <w:rsid w:val="001636D2"/>
    <w:rsid w:val="00171632"/>
    <w:rsid w:val="00266AFE"/>
    <w:rsid w:val="00281FBA"/>
    <w:rsid w:val="002B35C0"/>
    <w:rsid w:val="002B391D"/>
    <w:rsid w:val="002E5390"/>
    <w:rsid w:val="00305A5B"/>
    <w:rsid w:val="00325002"/>
    <w:rsid w:val="003D5BE1"/>
    <w:rsid w:val="0043087E"/>
    <w:rsid w:val="004415CF"/>
    <w:rsid w:val="00456EF5"/>
    <w:rsid w:val="004B2806"/>
    <w:rsid w:val="004C2D6C"/>
    <w:rsid w:val="004D3D5C"/>
    <w:rsid w:val="00506FC8"/>
    <w:rsid w:val="00585D0A"/>
    <w:rsid w:val="005C02A9"/>
    <w:rsid w:val="005C3252"/>
    <w:rsid w:val="005D3788"/>
    <w:rsid w:val="00615EDF"/>
    <w:rsid w:val="00647853"/>
    <w:rsid w:val="00662A06"/>
    <w:rsid w:val="006C7AA4"/>
    <w:rsid w:val="007E09C1"/>
    <w:rsid w:val="00861622"/>
    <w:rsid w:val="008B3B40"/>
    <w:rsid w:val="008F0A38"/>
    <w:rsid w:val="00933D00"/>
    <w:rsid w:val="009A315E"/>
    <w:rsid w:val="00A21F95"/>
    <w:rsid w:val="00A34A27"/>
    <w:rsid w:val="00A46DA2"/>
    <w:rsid w:val="00A71EA2"/>
    <w:rsid w:val="00A84B4A"/>
    <w:rsid w:val="00AE218D"/>
    <w:rsid w:val="00B42432"/>
    <w:rsid w:val="00B50E8A"/>
    <w:rsid w:val="00B85B0F"/>
    <w:rsid w:val="00B93D89"/>
    <w:rsid w:val="00B94DFA"/>
    <w:rsid w:val="00BA52C0"/>
    <w:rsid w:val="00BB60CA"/>
    <w:rsid w:val="00BD520B"/>
    <w:rsid w:val="00C33305"/>
    <w:rsid w:val="00D223E8"/>
    <w:rsid w:val="00D66918"/>
    <w:rsid w:val="00D83271"/>
    <w:rsid w:val="00E42133"/>
    <w:rsid w:val="00E8626F"/>
    <w:rsid w:val="00EE1913"/>
    <w:rsid w:val="00F4561D"/>
    <w:rsid w:val="00F75B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D3E52"/>
  <w15:chartTrackingRefBased/>
  <w15:docId w15:val="{F92E1225-6ED7-4896-B79C-5E65AAC3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622"/>
    <w:pPr>
      <w:spacing w:line="360" w:lineRule="auto"/>
      <w:jc w:val="both"/>
    </w:pPr>
    <w:rPr>
      <w:rFonts w:ascii="Arial" w:hAnsi="Arial"/>
      <w:sz w:val="22"/>
      <w:lang w:bidi="ur-PK"/>
    </w:rPr>
  </w:style>
  <w:style w:type="paragraph" w:styleId="Heading1">
    <w:name w:val="heading 1"/>
    <w:basedOn w:val="Normal"/>
    <w:next w:val="Normal"/>
    <w:link w:val="Heading1Char"/>
    <w:uiPriority w:val="9"/>
    <w:qFormat/>
    <w:rsid w:val="00D223E8"/>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semiHidden/>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4B280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B280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B280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B280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B280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B280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3E8"/>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semiHidden/>
    <w:rsid w:val="00D223E8"/>
    <w:rPr>
      <w:rFonts w:ascii="Times New Roman" w:eastAsiaTheme="majorEastAsia" w:hAnsi="Times New Roman" w:cstheme="majorBidi"/>
      <w:b/>
      <w:sz w:val="28"/>
      <w:szCs w:val="28"/>
    </w:rPr>
  </w:style>
  <w:style w:type="character" w:styleId="Hyperlink">
    <w:name w:val="Hyperlink"/>
    <w:basedOn w:val="DefaultParagraphFont"/>
    <w:uiPriority w:val="99"/>
    <w:unhideWhenUsed/>
    <w:rsid w:val="005D3788"/>
    <w:rPr>
      <w:color w:val="0B769F" w:themeColor="accent4" w:themeShade="BF"/>
      <w:u w:val="single"/>
    </w:rPr>
  </w:style>
  <w:style w:type="character" w:customStyle="1" w:styleId="Heading4Char">
    <w:name w:val="Heading 4 Char"/>
    <w:basedOn w:val="DefaultParagraphFont"/>
    <w:link w:val="Heading4"/>
    <w:uiPriority w:val="9"/>
    <w:semiHidden/>
    <w:rsid w:val="004B2806"/>
    <w:rPr>
      <w:rFonts w:eastAsiaTheme="majorEastAsia" w:cstheme="majorBidi"/>
      <w:i/>
      <w:iCs/>
      <w:color w:val="0F4761" w:themeColor="accent1" w:themeShade="BF"/>
      <w:lang w:bidi="ur-PK"/>
    </w:rPr>
  </w:style>
  <w:style w:type="character" w:customStyle="1" w:styleId="Heading5Char">
    <w:name w:val="Heading 5 Char"/>
    <w:basedOn w:val="DefaultParagraphFont"/>
    <w:link w:val="Heading5"/>
    <w:uiPriority w:val="9"/>
    <w:semiHidden/>
    <w:rsid w:val="004B2806"/>
    <w:rPr>
      <w:rFonts w:eastAsiaTheme="majorEastAsia" w:cstheme="majorBidi"/>
      <w:color w:val="0F4761" w:themeColor="accent1" w:themeShade="BF"/>
      <w:lang w:bidi="ur-PK"/>
    </w:rPr>
  </w:style>
  <w:style w:type="character" w:customStyle="1" w:styleId="Heading6Char">
    <w:name w:val="Heading 6 Char"/>
    <w:basedOn w:val="DefaultParagraphFont"/>
    <w:link w:val="Heading6"/>
    <w:uiPriority w:val="9"/>
    <w:semiHidden/>
    <w:rsid w:val="004B2806"/>
    <w:rPr>
      <w:rFonts w:eastAsiaTheme="majorEastAsia" w:cstheme="majorBidi"/>
      <w:i/>
      <w:iCs/>
      <w:color w:val="595959" w:themeColor="text1" w:themeTint="A6"/>
      <w:lang w:bidi="ur-PK"/>
    </w:rPr>
  </w:style>
  <w:style w:type="character" w:customStyle="1" w:styleId="Heading7Char">
    <w:name w:val="Heading 7 Char"/>
    <w:basedOn w:val="DefaultParagraphFont"/>
    <w:link w:val="Heading7"/>
    <w:uiPriority w:val="9"/>
    <w:semiHidden/>
    <w:rsid w:val="004B2806"/>
    <w:rPr>
      <w:rFonts w:eastAsiaTheme="majorEastAsia" w:cstheme="majorBidi"/>
      <w:color w:val="595959" w:themeColor="text1" w:themeTint="A6"/>
      <w:lang w:bidi="ur-PK"/>
    </w:rPr>
  </w:style>
  <w:style w:type="character" w:customStyle="1" w:styleId="Heading8Char">
    <w:name w:val="Heading 8 Char"/>
    <w:basedOn w:val="DefaultParagraphFont"/>
    <w:link w:val="Heading8"/>
    <w:uiPriority w:val="9"/>
    <w:semiHidden/>
    <w:rsid w:val="004B2806"/>
    <w:rPr>
      <w:rFonts w:eastAsiaTheme="majorEastAsia" w:cstheme="majorBidi"/>
      <w:i/>
      <w:iCs/>
      <w:color w:val="272727" w:themeColor="text1" w:themeTint="D8"/>
      <w:lang w:bidi="ur-PK"/>
    </w:rPr>
  </w:style>
  <w:style w:type="character" w:customStyle="1" w:styleId="Heading9Char">
    <w:name w:val="Heading 9 Char"/>
    <w:basedOn w:val="DefaultParagraphFont"/>
    <w:link w:val="Heading9"/>
    <w:uiPriority w:val="9"/>
    <w:semiHidden/>
    <w:rsid w:val="004B2806"/>
    <w:rPr>
      <w:rFonts w:eastAsiaTheme="majorEastAsia" w:cstheme="majorBidi"/>
      <w:color w:val="272727" w:themeColor="text1" w:themeTint="D8"/>
      <w:lang w:bidi="ur-PK"/>
    </w:rPr>
  </w:style>
  <w:style w:type="paragraph" w:styleId="Title">
    <w:name w:val="Title"/>
    <w:basedOn w:val="Normal"/>
    <w:next w:val="Normal"/>
    <w:link w:val="TitleChar"/>
    <w:uiPriority w:val="10"/>
    <w:qFormat/>
    <w:rsid w:val="004B2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806"/>
    <w:rPr>
      <w:rFonts w:asciiTheme="majorHAnsi" w:eastAsiaTheme="majorEastAsia" w:hAnsiTheme="majorHAnsi" w:cstheme="majorBidi"/>
      <w:spacing w:val="-10"/>
      <w:kern w:val="28"/>
      <w:sz w:val="56"/>
      <w:szCs w:val="56"/>
      <w:lang w:bidi="ur-PK"/>
    </w:rPr>
  </w:style>
  <w:style w:type="paragraph" w:styleId="Subtitle">
    <w:name w:val="Subtitle"/>
    <w:basedOn w:val="Normal"/>
    <w:next w:val="Normal"/>
    <w:link w:val="SubtitleChar"/>
    <w:uiPriority w:val="11"/>
    <w:qFormat/>
    <w:rsid w:val="004B280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806"/>
    <w:rPr>
      <w:rFonts w:eastAsiaTheme="majorEastAsia" w:cstheme="majorBidi"/>
      <w:color w:val="595959" w:themeColor="text1" w:themeTint="A6"/>
      <w:spacing w:val="15"/>
      <w:sz w:val="28"/>
      <w:szCs w:val="28"/>
      <w:lang w:bidi="ur-PK"/>
    </w:rPr>
  </w:style>
  <w:style w:type="paragraph" w:styleId="Quote">
    <w:name w:val="Quote"/>
    <w:basedOn w:val="Normal"/>
    <w:next w:val="Normal"/>
    <w:link w:val="QuoteChar"/>
    <w:uiPriority w:val="29"/>
    <w:qFormat/>
    <w:rsid w:val="004B2806"/>
    <w:pPr>
      <w:spacing w:before="160"/>
      <w:jc w:val="center"/>
    </w:pPr>
    <w:rPr>
      <w:i/>
      <w:iCs/>
      <w:color w:val="404040" w:themeColor="text1" w:themeTint="BF"/>
    </w:rPr>
  </w:style>
  <w:style w:type="character" w:customStyle="1" w:styleId="QuoteChar">
    <w:name w:val="Quote Char"/>
    <w:basedOn w:val="DefaultParagraphFont"/>
    <w:link w:val="Quote"/>
    <w:uiPriority w:val="29"/>
    <w:rsid w:val="004B2806"/>
    <w:rPr>
      <w:rFonts w:ascii="Times New Roman" w:hAnsi="Times New Roman"/>
      <w:i/>
      <w:iCs/>
      <w:color w:val="404040" w:themeColor="text1" w:themeTint="BF"/>
      <w:lang w:bidi="ur-PK"/>
    </w:rPr>
  </w:style>
  <w:style w:type="paragraph" w:styleId="ListParagraph">
    <w:name w:val="List Paragraph"/>
    <w:basedOn w:val="Normal"/>
    <w:uiPriority w:val="34"/>
    <w:qFormat/>
    <w:rsid w:val="004B2806"/>
    <w:pPr>
      <w:ind w:left="720"/>
      <w:contextualSpacing/>
    </w:pPr>
  </w:style>
  <w:style w:type="character" w:styleId="IntenseEmphasis">
    <w:name w:val="Intense Emphasis"/>
    <w:basedOn w:val="DefaultParagraphFont"/>
    <w:uiPriority w:val="21"/>
    <w:qFormat/>
    <w:rsid w:val="004B2806"/>
    <w:rPr>
      <w:i/>
      <w:iCs/>
      <w:color w:val="0F4761" w:themeColor="accent1" w:themeShade="BF"/>
    </w:rPr>
  </w:style>
  <w:style w:type="paragraph" w:styleId="IntenseQuote">
    <w:name w:val="Intense Quote"/>
    <w:basedOn w:val="Normal"/>
    <w:next w:val="Normal"/>
    <w:link w:val="IntenseQuoteChar"/>
    <w:uiPriority w:val="30"/>
    <w:qFormat/>
    <w:rsid w:val="004B2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806"/>
    <w:rPr>
      <w:rFonts w:ascii="Times New Roman" w:hAnsi="Times New Roman"/>
      <w:i/>
      <w:iCs/>
      <w:color w:val="0F4761" w:themeColor="accent1" w:themeShade="BF"/>
      <w:lang w:bidi="ur-PK"/>
    </w:rPr>
  </w:style>
  <w:style w:type="character" w:styleId="IntenseReference">
    <w:name w:val="Intense Reference"/>
    <w:basedOn w:val="DefaultParagraphFont"/>
    <w:uiPriority w:val="32"/>
    <w:qFormat/>
    <w:rsid w:val="004B2806"/>
    <w:rPr>
      <w:b/>
      <w:bCs/>
      <w:smallCaps/>
      <w:color w:val="0F4761" w:themeColor="accent1" w:themeShade="BF"/>
      <w:spacing w:val="5"/>
    </w:rPr>
  </w:style>
  <w:style w:type="character" w:styleId="UnresolvedMention">
    <w:name w:val="Unresolved Mention"/>
    <w:basedOn w:val="DefaultParagraphFont"/>
    <w:uiPriority w:val="99"/>
    <w:semiHidden/>
    <w:unhideWhenUsed/>
    <w:rsid w:val="004B2806"/>
    <w:rPr>
      <w:color w:val="605E5C"/>
      <w:shd w:val="clear" w:color="auto" w:fill="E1DFDD"/>
    </w:rPr>
  </w:style>
  <w:style w:type="paragraph" w:styleId="Header">
    <w:name w:val="header"/>
    <w:basedOn w:val="Normal"/>
    <w:link w:val="HeaderChar"/>
    <w:uiPriority w:val="99"/>
    <w:unhideWhenUsed/>
    <w:rsid w:val="00A46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DA2"/>
    <w:rPr>
      <w:rFonts w:ascii="Arial" w:hAnsi="Arial"/>
      <w:sz w:val="22"/>
      <w:lang w:bidi="ur-PK"/>
    </w:rPr>
  </w:style>
  <w:style w:type="paragraph" w:styleId="Footer">
    <w:name w:val="footer"/>
    <w:basedOn w:val="Normal"/>
    <w:link w:val="FooterChar"/>
    <w:uiPriority w:val="99"/>
    <w:unhideWhenUsed/>
    <w:rsid w:val="00A46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DA2"/>
    <w:rPr>
      <w:rFonts w:ascii="Arial" w:hAnsi="Arial"/>
      <w:sz w:val="22"/>
      <w:lang w:bidi="ur-PK"/>
    </w:rPr>
  </w:style>
  <w:style w:type="paragraph" w:styleId="TOCHeading">
    <w:name w:val="TOC Heading"/>
    <w:basedOn w:val="Heading1"/>
    <w:next w:val="Normal"/>
    <w:uiPriority w:val="39"/>
    <w:unhideWhenUsed/>
    <w:qFormat/>
    <w:rsid w:val="00615EDF"/>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615E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F57C8-42A7-4147-9CA7-B2E7829D5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2630</Words>
  <Characters>15471</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01-134222-134</dc:creator>
  <cp:keywords/>
  <dc:description/>
  <cp:lastModifiedBy>Musab Umayr Shah (2411894)</cp:lastModifiedBy>
  <cp:revision>9</cp:revision>
  <dcterms:created xsi:type="dcterms:W3CDTF">2026-02-09T19:43:00Z</dcterms:created>
  <dcterms:modified xsi:type="dcterms:W3CDTF">2026-02-19T22:43:00Z</dcterms:modified>
</cp:coreProperties>
</file>