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542E" w14:textId="77777777" w:rsidR="00A23600" w:rsidRDefault="00A23600" w:rsidP="00D3322E">
      <w:pPr>
        <w:jc w:val="center"/>
        <w:rPr>
          <w:rFonts w:ascii="Arial" w:hAnsi="Arial"/>
          <w:b/>
          <w:bCs/>
          <w:sz w:val="28"/>
          <w:szCs w:val="28"/>
        </w:rPr>
      </w:pPr>
    </w:p>
    <w:p w14:paraId="290206D1" w14:textId="77777777" w:rsidR="00A23600" w:rsidRDefault="00A23600" w:rsidP="00D3322E">
      <w:pPr>
        <w:jc w:val="center"/>
        <w:rPr>
          <w:rFonts w:ascii="Arial" w:hAnsi="Arial"/>
          <w:b/>
          <w:bCs/>
          <w:sz w:val="28"/>
          <w:szCs w:val="28"/>
        </w:rPr>
      </w:pPr>
    </w:p>
    <w:p w14:paraId="334369E3" w14:textId="77777777" w:rsidR="00A23600" w:rsidRDefault="00A23600" w:rsidP="00D3322E">
      <w:pPr>
        <w:jc w:val="center"/>
        <w:rPr>
          <w:rFonts w:ascii="Arial" w:hAnsi="Arial"/>
          <w:b/>
          <w:bCs/>
          <w:sz w:val="28"/>
          <w:szCs w:val="28"/>
        </w:rPr>
      </w:pPr>
    </w:p>
    <w:p w14:paraId="479A6624" w14:textId="585FE1CF" w:rsidR="00A23600" w:rsidRDefault="004D487F" w:rsidP="00D3322E">
      <w:pPr>
        <w:jc w:val="center"/>
        <w:rPr>
          <w:rFonts w:ascii="Arial" w:hAnsi="Arial"/>
          <w:b/>
          <w:bCs/>
          <w:sz w:val="28"/>
          <w:szCs w:val="28"/>
        </w:rPr>
      </w:pPr>
      <w:r>
        <w:rPr>
          <w:rFonts w:ascii="Arial" w:hAnsi="Arial"/>
          <w:b/>
          <w:bCs/>
          <w:noProof/>
          <w:sz w:val="28"/>
          <w:szCs w:val="28"/>
        </w:rPr>
        <w:drawing>
          <wp:inline distT="0" distB="0" distL="0" distR="0" wp14:anchorId="464EDC75" wp14:editId="1CBB4C03">
            <wp:extent cx="1810385" cy="725170"/>
            <wp:effectExtent l="0" t="0" r="0" b="0"/>
            <wp:docPr id="170232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84CE55B" w14:textId="77777777" w:rsidR="00A23600" w:rsidRDefault="00A23600" w:rsidP="00D3322E">
      <w:pPr>
        <w:jc w:val="center"/>
        <w:rPr>
          <w:rFonts w:ascii="Arial" w:hAnsi="Arial"/>
          <w:b/>
          <w:bCs/>
          <w:sz w:val="28"/>
          <w:szCs w:val="28"/>
        </w:rPr>
      </w:pPr>
    </w:p>
    <w:p w14:paraId="7A811604" w14:textId="77777777" w:rsidR="00A23600" w:rsidRDefault="00A23600" w:rsidP="00D3322E">
      <w:pPr>
        <w:jc w:val="center"/>
        <w:rPr>
          <w:rFonts w:ascii="Arial" w:hAnsi="Arial"/>
          <w:b/>
          <w:bCs/>
          <w:sz w:val="28"/>
          <w:szCs w:val="28"/>
        </w:rPr>
      </w:pPr>
    </w:p>
    <w:p w14:paraId="578D9A92" w14:textId="77777777" w:rsidR="00A23600" w:rsidRDefault="00A23600" w:rsidP="00D3322E">
      <w:pPr>
        <w:jc w:val="center"/>
        <w:rPr>
          <w:rFonts w:ascii="Arial" w:hAnsi="Arial"/>
          <w:b/>
          <w:bCs/>
          <w:sz w:val="28"/>
          <w:szCs w:val="28"/>
        </w:rPr>
      </w:pPr>
    </w:p>
    <w:p w14:paraId="5053025D" w14:textId="77777777" w:rsidR="00A23600" w:rsidRDefault="00A23600" w:rsidP="00D3322E">
      <w:pPr>
        <w:jc w:val="center"/>
        <w:rPr>
          <w:rFonts w:ascii="Arial" w:hAnsi="Arial"/>
          <w:b/>
          <w:bCs/>
          <w:sz w:val="28"/>
          <w:szCs w:val="28"/>
        </w:rPr>
      </w:pPr>
    </w:p>
    <w:p w14:paraId="44AA2AD1" w14:textId="77777777" w:rsidR="00A23600" w:rsidRDefault="00A23600" w:rsidP="00D3322E">
      <w:pPr>
        <w:jc w:val="center"/>
        <w:rPr>
          <w:rFonts w:ascii="Arial" w:hAnsi="Arial"/>
          <w:b/>
          <w:bCs/>
          <w:sz w:val="28"/>
          <w:szCs w:val="28"/>
        </w:rPr>
      </w:pPr>
    </w:p>
    <w:p w14:paraId="672F6127" w14:textId="77777777" w:rsidR="00A23600" w:rsidRDefault="00A23600" w:rsidP="00D3322E">
      <w:pPr>
        <w:jc w:val="center"/>
        <w:rPr>
          <w:rFonts w:ascii="Arial" w:hAnsi="Arial"/>
          <w:b/>
          <w:bCs/>
          <w:sz w:val="28"/>
          <w:szCs w:val="28"/>
        </w:rPr>
      </w:pPr>
    </w:p>
    <w:p w14:paraId="3A70797A" w14:textId="4F396047" w:rsidR="00D3322E" w:rsidRDefault="00D3322E" w:rsidP="00D3322E">
      <w:pPr>
        <w:jc w:val="center"/>
        <w:rPr>
          <w:rFonts w:ascii="Arial" w:hAnsi="Arial"/>
          <w:b/>
          <w:bCs/>
          <w:sz w:val="28"/>
          <w:szCs w:val="28"/>
        </w:rPr>
      </w:pPr>
      <w:r>
        <w:rPr>
          <w:rFonts w:ascii="Arial" w:hAnsi="Arial"/>
          <w:b/>
          <w:bCs/>
          <w:sz w:val="28"/>
          <w:szCs w:val="28"/>
        </w:rPr>
        <w:t>LCHS7002 – MSc Public Health and Social Care in Practice</w:t>
      </w:r>
    </w:p>
    <w:p w14:paraId="07F1064E" w14:textId="77777777" w:rsidR="00D3322E" w:rsidRDefault="00D3322E" w:rsidP="00D3322E">
      <w:pPr>
        <w:jc w:val="center"/>
        <w:rPr>
          <w:rFonts w:ascii="Arial" w:hAnsi="Arial"/>
          <w:b/>
          <w:bCs/>
          <w:sz w:val="28"/>
          <w:szCs w:val="28"/>
        </w:rPr>
      </w:pPr>
    </w:p>
    <w:p w14:paraId="448B8EAA" w14:textId="77777777" w:rsidR="00D3322E" w:rsidRDefault="00D3322E" w:rsidP="00D3322E">
      <w:pPr>
        <w:widowControl w:val="0"/>
        <w:spacing w:before="120" w:after="120"/>
        <w:jc w:val="center"/>
        <w:rPr>
          <w:rFonts w:ascii="Arial" w:eastAsia="Arial" w:hAnsi="Arial"/>
          <w:b/>
          <w:bCs/>
          <w:sz w:val="22"/>
          <w:szCs w:val="22"/>
        </w:rPr>
      </w:pPr>
      <w:r>
        <w:rPr>
          <w:rFonts w:ascii="Arial" w:eastAsia="Arial" w:hAnsi="Arial"/>
          <w:b/>
          <w:bCs/>
          <w:sz w:val="28"/>
          <w:szCs w:val="28"/>
        </w:rPr>
        <w:t>Health Care System Organisation and Leadership</w:t>
      </w:r>
    </w:p>
    <w:p w14:paraId="38ECEFAB" w14:textId="77777777" w:rsidR="00D3322E" w:rsidRDefault="00D3322E" w:rsidP="00D3322E">
      <w:pPr>
        <w:widowControl w:val="0"/>
        <w:spacing w:before="120" w:after="120"/>
        <w:jc w:val="center"/>
        <w:rPr>
          <w:rFonts w:ascii="Arial" w:eastAsia="Arial" w:hAnsi="Arial"/>
          <w:b/>
          <w:bCs/>
          <w:sz w:val="22"/>
          <w:szCs w:val="22"/>
        </w:rPr>
      </w:pPr>
    </w:p>
    <w:p w14:paraId="74B339C7" w14:textId="444AD012" w:rsidR="00D3322E" w:rsidRDefault="00D3322E" w:rsidP="00D3322E">
      <w:pPr>
        <w:widowControl w:val="0"/>
        <w:spacing w:before="120" w:after="120"/>
        <w:jc w:val="center"/>
        <w:rPr>
          <w:rFonts w:ascii="Arial" w:eastAsia="Arial" w:hAnsi="Arial"/>
          <w:b/>
          <w:bCs/>
          <w:sz w:val="22"/>
          <w:szCs w:val="22"/>
        </w:rPr>
      </w:pPr>
      <w:r>
        <w:rPr>
          <w:rFonts w:ascii="Arial" w:eastAsia="Arial" w:hAnsi="Arial"/>
          <w:b/>
          <w:bCs/>
          <w:sz w:val="28"/>
          <w:szCs w:val="28"/>
        </w:rPr>
        <w:t xml:space="preserve">Case Study </w:t>
      </w:r>
      <w:r w:rsidR="00EA1904">
        <w:rPr>
          <w:rFonts w:ascii="Arial" w:eastAsia="Arial" w:hAnsi="Arial"/>
          <w:b/>
          <w:bCs/>
          <w:sz w:val="28"/>
          <w:szCs w:val="28"/>
        </w:rPr>
        <w:t>– Unintentional</w:t>
      </w:r>
      <w:r>
        <w:rPr>
          <w:rFonts w:ascii="Arial" w:eastAsia="Arial" w:hAnsi="Arial"/>
          <w:b/>
          <w:bCs/>
          <w:sz w:val="28"/>
          <w:szCs w:val="28"/>
        </w:rPr>
        <w:t xml:space="preserve"> overdose of morphine </w:t>
      </w:r>
      <w:r w:rsidR="00EE3EC3">
        <w:rPr>
          <w:rFonts w:ascii="Arial" w:eastAsia="Arial" w:hAnsi="Arial"/>
          <w:b/>
          <w:bCs/>
          <w:sz w:val="28"/>
          <w:szCs w:val="28"/>
        </w:rPr>
        <w:t>sulphate</w:t>
      </w:r>
      <w:r>
        <w:rPr>
          <w:rFonts w:ascii="Arial" w:eastAsia="Arial" w:hAnsi="Arial"/>
          <w:b/>
          <w:bCs/>
          <w:sz w:val="28"/>
          <w:szCs w:val="28"/>
        </w:rPr>
        <w:t xml:space="preserve"> oral solution</w:t>
      </w:r>
    </w:p>
    <w:p w14:paraId="23850129" w14:textId="77777777" w:rsidR="00D3322E" w:rsidRDefault="00D3322E" w:rsidP="00D3322E">
      <w:pPr>
        <w:spacing w:before="57" w:after="57" w:line="360" w:lineRule="auto"/>
        <w:jc w:val="center"/>
        <w:rPr>
          <w:rFonts w:ascii="Arial" w:hAnsi="Arial"/>
          <w:b/>
          <w:bCs/>
          <w:sz w:val="28"/>
          <w:szCs w:val="28"/>
        </w:rPr>
      </w:pPr>
    </w:p>
    <w:p w14:paraId="408A4F12" w14:textId="5FC95EAD" w:rsidR="00D3322E" w:rsidRDefault="00D3322E" w:rsidP="003622DA">
      <w:pPr>
        <w:spacing w:before="57" w:after="57" w:line="360" w:lineRule="auto"/>
        <w:jc w:val="center"/>
        <w:rPr>
          <w:rFonts w:ascii="Arial" w:hAnsi="Arial"/>
          <w:b/>
          <w:bCs/>
          <w:sz w:val="28"/>
          <w:szCs w:val="28"/>
        </w:rPr>
      </w:pPr>
      <w:r>
        <w:rPr>
          <w:rFonts w:ascii="Arial" w:hAnsi="Arial"/>
          <w:b/>
          <w:bCs/>
          <w:sz w:val="28"/>
          <w:szCs w:val="28"/>
        </w:rPr>
        <w:t>Student Name:</w:t>
      </w:r>
      <w:r w:rsidR="00EA1904">
        <w:rPr>
          <w:rFonts w:ascii="Arial" w:hAnsi="Arial"/>
          <w:b/>
          <w:bCs/>
          <w:sz w:val="28"/>
          <w:szCs w:val="28"/>
        </w:rPr>
        <w:t xml:space="preserve"> Simona Maria Dinu</w:t>
      </w:r>
    </w:p>
    <w:p w14:paraId="150842D4" w14:textId="14F55FD9" w:rsidR="00D3322E" w:rsidRDefault="00D3322E" w:rsidP="003622DA">
      <w:pPr>
        <w:spacing w:before="57" w:after="57" w:line="360" w:lineRule="auto"/>
        <w:jc w:val="center"/>
        <w:rPr>
          <w:rFonts w:ascii="Arial" w:hAnsi="Arial"/>
          <w:b/>
          <w:bCs/>
          <w:sz w:val="28"/>
          <w:szCs w:val="28"/>
        </w:rPr>
      </w:pPr>
      <w:r>
        <w:rPr>
          <w:rFonts w:ascii="Arial" w:hAnsi="Arial"/>
          <w:b/>
          <w:bCs/>
          <w:sz w:val="28"/>
          <w:szCs w:val="28"/>
        </w:rPr>
        <w:t>Student ID:</w:t>
      </w:r>
      <w:r w:rsidR="00EA1904">
        <w:rPr>
          <w:rFonts w:ascii="Arial" w:hAnsi="Arial"/>
          <w:b/>
          <w:bCs/>
          <w:sz w:val="28"/>
          <w:szCs w:val="28"/>
        </w:rPr>
        <w:t xml:space="preserve"> 2229007</w:t>
      </w:r>
    </w:p>
    <w:p w14:paraId="2EAED5F9" w14:textId="2C29BB2A" w:rsidR="003622DA" w:rsidRDefault="003622DA" w:rsidP="003622DA">
      <w:pPr>
        <w:spacing w:before="57" w:after="57" w:line="360" w:lineRule="auto"/>
        <w:jc w:val="center"/>
        <w:rPr>
          <w:rFonts w:ascii="Arial" w:hAnsi="Arial"/>
          <w:b/>
          <w:bCs/>
          <w:sz w:val="28"/>
          <w:szCs w:val="28"/>
        </w:rPr>
      </w:pPr>
      <w:r>
        <w:rPr>
          <w:rFonts w:ascii="Arial" w:hAnsi="Arial"/>
          <w:b/>
          <w:bCs/>
          <w:sz w:val="28"/>
          <w:szCs w:val="28"/>
        </w:rPr>
        <w:t>Lecturer Name:</w:t>
      </w:r>
      <w:r w:rsidR="00A23600">
        <w:rPr>
          <w:rFonts w:ascii="Arial" w:hAnsi="Arial"/>
          <w:b/>
          <w:bCs/>
          <w:sz w:val="28"/>
          <w:szCs w:val="28"/>
        </w:rPr>
        <w:t xml:space="preserve"> Fahad Khan</w:t>
      </w:r>
    </w:p>
    <w:p w14:paraId="6F1EF400" w14:textId="77777777" w:rsidR="00D3322E" w:rsidRDefault="00D3322E" w:rsidP="00D3322E">
      <w:pPr>
        <w:spacing w:before="57" w:after="57" w:line="360" w:lineRule="auto"/>
        <w:jc w:val="center"/>
        <w:rPr>
          <w:rFonts w:ascii="Arial" w:hAnsi="Arial"/>
          <w:b/>
          <w:bCs/>
          <w:sz w:val="28"/>
          <w:szCs w:val="28"/>
        </w:rPr>
      </w:pPr>
    </w:p>
    <w:p w14:paraId="1183A9E6" w14:textId="77777777" w:rsidR="00D3322E" w:rsidRDefault="00D3322E" w:rsidP="00D3322E">
      <w:pPr>
        <w:spacing w:before="57" w:after="57" w:line="360" w:lineRule="auto"/>
        <w:jc w:val="center"/>
        <w:rPr>
          <w:rFonts w:ascii="Arial" w:hAnsi="Arial"/>
          <w:b/>
          <w:bCs/>
          <w:sz w:val="28"/>
          <w:szCs w:val="28"/>
        </w:rPr>
      </w:pPr>
    </w:p>
    <w:p w14:paraId="0319A6D0" w14:textId="77777777" w:rsidR="00D3322E" w:rsidRDefault="00D3322E" w:rsidP="00D3322E">
      <w:pPr>
        <w:spacing w:before="57" w:after="57" w:line="360" w:lineRule="auto"/>
        <w:jc w:val="center"/>
        <w:rPr>
          <w:rFonts w:ascii="Arial" w:hAnsi="Arial"/>
          <w:b/>
          <w:bCs/>
          <w:sz w:val="28"/>
          <w:szCs w:val="28"/>
        </w:rPr>
      </w:pPr>
    </w:p>
    <w:p w14:paraId="0A212D44" w14:textId="77777777" w:rsidR="00D3322E" w:rsidRDefault="00D3322E" w:rsidP="00D3322E">
      <w:pPr>
        <w:spacing w:before="57" w:after="57" w:line="360" w:lineRule="auto"/>
        <w:rPr>
          <w:rFonts w:ascii="Arial" w:hAnsi="Arial"/>
          <w:b/>
          <w:bCs/>
          <w:sz w:val="28"/>
          <w:szCs w:val="28"/>
        </w:rPr>
      </w:pPr>
      <w:r>
        <w:rPr>
          <w:rFonts w:ascii="Arial" w:hAnsi="Arial"/>
          <w:b/>
          <w:bCs/>
          <w:sz w:val="28"/>
          <w:szCs w:val="28"/>
        </w:rPr>
        <w:t xml:space="preserve">                                 </w:t>
      </w:r>
    </w:p>
    <w:p w14:paraId="35D249EC" w14:textId="77777777" w:rsidR="00D3322E" w:rsidRDefault="00D3322E" w:rsidP="00D3322E">
      <w:pPr>
        <w:spacing w:before="57" w:after="57" w:line="360" w:lineRule="auto"/>
        <w:rPr>
          <w:rFonts w:ascii="Arial" w:hAnsi="Arial"/>
          <w:b/>
          <w:bCs/>
          <w:sz w:val="28"/>
          <w:szCs w:val="28"/>
        </w:rPr>
      </w:pPr>
    </w:p>
    <w:p w14:paraId="5F6AA064" w14:textId="77777777" w:rsidR="00D3322E" w:rsidRDefault="00D3322E" w:rsidP="00D3322E">
      <w:pPr>
        <w:spacing w:before="57" w:after="57" w:line="360" w:lineRule="auto"/>
        <w:rPr>
          <w:rFonts w:ascii="Arial" w:hAnsi="Arial"/>
          <w:b/>
          <w:bCs/>
          <w:sz w:val="28"/>
          <w:szCs w:val="28"/>
        </w:rPr>
      </w:pPr>
    </w:p>
    <w:p w14:paraId="1897F9B1" w14:textId="77777777" w:rsidR="00D3322E" w:rsidRDefault="00D3322E" w:rsidP="00D3322E">
      <w:pPr>
        <w:spacing w:before="57" w:after="57" w:line="360" w:lineRule="auto"/>
        <w:rPr>
          <w:rFonts w:ascii="Arial" w:hAnsi="Arial"/>
          <w:b/>
          <w:bCs/>
          <w:sz w:val="28"/>
          <w:szCs w:val="28"/>
        </w:rPr>
      </w:pPr>
    </w:p>
    <w:p w14:paraId="1952BB38" w14:textId="77777777" w:rsidR="00D3322E" w:rsidRDefault="00D3322E" w:rsidP="00D3322E">
      <w:pPr>
        <w:spacing w:before="57" w:after="57" w:line="360" w:lineRule="auto"/>
        <w:rPr>
          <w:rFonts w:ascii="Arial" w:hAnsi="Arial"/>
          <w:b/>
          <w:bCs/>
          <w:sz w:val="28"/>
          <w:szCs w:val="28"/>
        </w:rPr>
      </w:pPr>
    </w:p>
    <w:p w14:paraId="15E50480" w14:textId="77777777" w:rsidR="00D3322E" w:rsidRDefault="00D3322E" w:rsidP="00D3322E">
      <w:pPr>
        <w:spacing w:before="57" w:after="57" w:line="360" w:lineRule="auto"/>
        <w:rPr>
          <w:rFonts w:ascii="Arial" w:hAnsi="Arial"/>
          <w:b/>
          <w:bCs/>
          <w:sz w:val="28"/>
          <w:szCs w:val="28"/>
        </w:rPr>
      </w:pPr>
    </w:p>
    <w:p w14:paraId="4AC4F0AA" w14:textId="77777777" w:rsidR="00EE3EC3" w:rsidRDefault="00EE3EC3" w:rsidP="00D3322E">
      <w:pPr>
        <w:spacing w:before="57" w:after="57" w:line="360" w:lineRule="auto"/>
        <w:rPr>
          <w:rFonts w:ascii="Arial" w:hAnsi="Arial"/>
          <w:b/>
          <w:bCs/>
          <w:sz w:val="28"/>
          <w:szCs w:val="28"/>
        </w:rPr>
      </w:pPr>
    </w:p>
    <w:p w14:paraId="0DEA5BF9" w14:textId="64BEF0D4" w:rsidR="00D3322E" w:rsidRDefault="00D3322E" w:rsidP="004F5E55">
      <w:pPr>
        <w:spacing w:before="57" w:after="57" w:line="360" w:lineRule="auto"/>
        <w:jc w:val="center"/>
        <w:rPr>
          <w:rFonts w:ascii="Arial" w:hAnsi="Arial"/>
          <w:b/>
          <w:bCs/>
          <w:sz w:val="28"/>
          <w:szCs w:val="28"/>
        </w:rPr>
      </w:pPr>
      <w:r>
        <w:rPr>
          <w:rFonts w:ascii="Arial" w:hAnsi="Arial"/>
          <w:b/>
          <w:bCs/>
          <w:sz w:val="28"/>
          <w:szCs w:val="28"/>
        </w:rPr>
        <w:lastRenderedPageBreak/>
        <w:t>Table of contents</w:t>
      </w:r>
    </w:p>
    <w:p w14:paraId="72D71F25" w14:textId="342AB06C" w:rsidR="00D3322E" w:rsidRDefault="00D3322E" w:rsidP="004C4DCA">
      <w:pPr>
        <w:spacing w:before="57" w:after="57" w:line="360" w:lineRule="auto"/>
        <w:rPr>
          <w:rFonts w:hint="eastAsia"/>
          <w:sz w:val="22"/>
          <w:szCs w:val="22"/>
        </w:rPr>
      </w:pPr>
      <w:r>
        <w:rPr>
          <w:rFonts w:ascii="Arial" w:hAnsi="Arial"/>
          <w:sz w:val="22"/>
          <w:szCs w:val="22"/>
        </w:rPr>
        <w:t xml:space="preserve">1. Introduction ………………………………………………………………………………………3                                                                                                                                             </w:t>
      </w:r>
    </w:p>
    <w:p w14:paraId="41D2B76B" w14:textId="1154FCC7" w:rsidR="00D3322E" w:rsidRDefault="00D3322E" w:rsidP="004C4DCA">
      <w:pPr>
        <w:spacing w:before="57" w:after="57" w:line="360" w:lineRule="auto"/>
        <w:rPr>
          <w:rFonts w:hint="eastAsia"/>
          <w:sz w:val="22"/>
          <w:szCs w:val="22"/>
        </w:rPr>
      </w:pPr>
      <w:r>
        <w:rPr>
          <w:rFonts w:ascii="Arial" w:hAnsi="Arial"/>
          <w:sz w:val="22"/>
          <w:szCs w:val="22"/>
        </w:rPr>
        <w:t>2. Identifying the Problem Using Systems Thinking …………………………………………</w:t>
      </w:r>
      <w:r w:rsidR="000F3D9B">
        <w:rPr>
          <w:rFonts w:ascii="Arial" w:hAnsi="Arial"/>
          <w:sz w:val="22"/>
          <w:szCs w:val="22"/>
        </w:rPr>
        <w:t>...</w:t>
      </w:r>
      <w:r>
        <w:rPr>
          <w:rFonts w:ascii="Arial" w:hAnsi="Arial"/>
          <w:sz w:val="22"/>
          <w:szCs w:val="22"/>
        </w:rPr>
        <w:t>.4</w:t>
      </w:r>
    </w:p>
    <w:p w14:paraId="4BD349C7" w14:textId="15F39CEC" w:rsidR="00D3322E" w:rsidRDefault="00D3322E" w:rsidP="004C4DCA">
      <w:pPr>
        <w:pStyle w:val="BodyText"/>
        <w:spacing w:after="0" w:line="360" w:lineRule="auto"/>
        <w:jc w:val="both"/>
        <w:rPr>
          <w:rFonts w:ascii="Arial" w:hAnsi="Arial"/>
          <w:sz w:val="22"/>
          <w:szCs w:val="22"/>
        </w:rPr>
      </w:pPr>
      <w:r>
        <w:rPr>
          <w:rFonts w:ascii="Arial" w:hAnsi="Arial"/>
          <w:sz w:val="22"/>
          <w:szCs w:val="22"/>
        </w:rPr>
        <w:tab/>
        <w:t>2.1 Harms Associated with Medication .....................................................................4</w:t>
      </w:r>
    </w:p>
    <w:p w14:paraId="03C24332" w14:textId="55233493" w:rsidR="00D3322E" w:rsidRDefault="00D3322E" w:rsidP="004C4DCA">
      <w:pPr>
        <w:pStyle w:val="BodyText"/>
        <w:spacing w:after="0" w:line="360" w:lineRule="auto"/>
        <w:jc w:val="both"/>
        <w:rPr>
          <w:rFonts w:ascii="Arial" w:hAnsi="Arial"/>
          <w:sz w:val="22"/>
          <w:szCs w:val="22"/>
        </w:rPr>
      </w:pPr>
      <w:r>
        <w:rPr>
          <w:rFonts w:ascii="Arial" w:hAnsi="Arial"/>
          <w:sz w:val="22"/>
          <w:szCs w:val="22"/>
        </w:rPr>
        <w:tab/>
        <w:t>2.2 Link to Rich Picture ...........................................................................................</w:t>
      </w:r>
      <w:r w:rsidR="00FC3409">
        <w:rPr>
          <w:rFonts w:ascii="Arial" w:hAnsi="Arial"/>
          <w:sz w:val="22"/>
          <w:szCs w:val="22"/>
        </w:rPr>
        <w:t>.</w:t>
      </w:r>
      <w:r>
        <w:rPr>
          <w:rFonts w:ascii="Arial" w:hAnsi="Arial"/>
          <w:sz w:val="22"/>
          <w:szCs w:val="22"/>
        </w:rPr>
        <w:t xml:space="preserve">.5                                                                  </w:t>
      </w:r>
    </w:p>
    <w:p w14:paraId="4E9877DB" w14:textId="3D48BE72" w:rsidR="00D3322E" w:rsidRDefault="00D3322E" w:rsidP="004C4DCA">
      <w:pPr>
        <w:pStyle w:val="BodyText"/>
        <w:spacing w:after="0" w:line="360" w:lineRule="auto"/>
        <w:jc w:val="both"/>
        <w:rPr>
          <w:rFonts w:ascii="Arial" w:hAnsi="Arial"/>
          <w:sz w:val="22"/>
          <w:szCs w:val="22"/>
        </w:rPr>
      </w:pPr>
      <w:r>
        <w:rPr>
          <w:rFonts w:ascii="Arial" w:hAnsi="Arial"/>
          <w:sz w:val="22"/>
          <w:szCs w:val="22"/>
        </w:rPr>
        <w:tab/>
        <w:t>2.3 Feedback Loops .................................................................................................5</w:t>
      </w:r>
    </w:p>
    <w:p w14:paraId="4A3AEA38" w14:textId="304A4C45" w:rsidR="00D3322E" w:rsidRDefault="00D3322E" w:rsidP="004C4DCA">
      <w:pPr>
        <w:spacing w:before="57" w:after="57" w:line="360" w:lineRule="auto"/>
        <w:rPr>
          <w:rFonts w:ascii="Arial" w:hAnsi="Arial"/>
          <w:sz w:val="22"/>
          <w:szCs w:val="22"/>
        </w:rPr>
      </w:pPr>
      <w:r>
        <w:rPr>
          <w:rFonts w:ascii="Arial" w:hAnsi="Arial"/>
          <w:sz w:val="22"/>
          <w:szCs w:val="22"/>
        </w:rPr>
        <w:t>3. Centralisation vs. Decentralisation ……………………………………………………………6</w:t>
      </w:r>
    </w:p>
    <w:p w14:paraId="51384221" w14:textId="702B7ABC" w:rsidR="00D3322E" w:rsidRDefault="00D3322E" w:rsidP="004C4DCA">
      <w:pPr>
        <w:spacing w:before="57" w:after="57" w:line="360" w:lineRule="auto"/>
        <w:rPr>
          <w:rFonts w:ascii="Arial" w:hAnsi="Arial"/>
          <w:sz w:val="22"/>
          <w:szCs w:val="22"/>
        </w:rPr>
      </w:pPr>
      <w:r>
        <w:rPr>
          <w:rFonts w:ascii="Arial" w:hAnsi="Arial"/>
          <w:sz w:val="22"/>
          <w:szCs w:val="22"/>
        </w:rPr>
        <w:tab/>
        <w:t>3.1 Understanding Centralisation and Decentralisation in Healthcare ……………</w:t>
      </w:r>
      <w:r w:rsidR="00550F00">
        <w:rPr>
          <w:rFonts w:ascii="Arial" w:hAnsi="Arial"/>
          <w:sz w:val="22"/>
          <w:szCs w:val="22"/>
        </w:rPr>
        <w:t>...</w:t>
      </w:r>
      <w:r>
        <w:rPr>
          <w:rFonts w:ascii="Arial" w:hAnsi="Arial"/>
          <w:sz w:val="22"/>
          <w:szCs w:val="22"/>
        </w:rPr>
        <w:t>6</w:t>
      </w:r>
    </w:p>
    <w:p w14:paraId="764DD961" w14:textId="6C42086E" w:rsidR="00D3322E" w:rsidRDefault="00D3322E" w:rsidP="004C4DCA">
      <w:pPr>
        <w:spacing w:before="57" w:after="57" w:line="360" w:lineRule="auto"/>
        <w:rPr>
          <w:rFonts w:ascii="Arial" w:hAnsi="Arial"/>
          <w:sz w:val="22"/>
          <w:szCs w:val="22"/>
        </w:rPr>
      </w:pPr>
      <w:r>
        <w:rPr>
          <w:rFonts w:ascii="Arial" w:hAnsi="Arial"/>
          <w:sz w:val="22"/>
          <w:szCs w:val="22"/>
        </w:rPr>
        <w:tab/>
        <w:t>3.2 Centralisation Failures in Len’s Case ………………………………………………</w:t>
      </w:r>
      <w:r w:rsidR="00837A8B">
        <w:rPr>
          <w:rFonts w:ascii="Arial" w:hAnsi="Arial"/>
          <w:sz w:val="22"/>
          <w:szCs w:val="22"/>
        </w:rPr>
        <w:t>7</w:t>
      </w:r>
    </w:p>
    <w:p w14:paraId="239965EF" w14:textId="1CA6F54C" w:rsidR="00D3322E" w:rsidRDefault="00D3322E" w:rsidP="004C4DCA">
      <w:pPr>
        <w:spacing w:before="57" w:after="57" w:line="360" w:lineRule="auto"/>
        <w:rPr>
          <w:rFonts w:ascii="Arial" w:hAnsi="Arial"/>
          <w:sz w:val="22"/>
          <w:szCs w:val="22"/>
        </w:rPr>
      </w:pPr>
      <w:r>
        <w:rPr>
          <w:rFonts w:ascii="Arial" w:hAnsi="Arial"/>
          <w:sz w:val="22"/>
          <w:szCs w:val="22"/>
        </w:rPr>
        <w:tab/>
        <w:t>3.3 Decentralisation Failures in Len’s Case …………………………………………</w:t>
      </w:r>
      <w:r w:rsidR="00550F00">
        <w:rPr>
          <w:rFonts w:ascii="Arial" w:hAnsi="Arial"/>
          <w:sz w:val="22"/>
          <w:szCs w:val="22"/>
        </w:rPr>
        <w:t>...</w:t>
      </w:r>
      <w:r>
        <w:rPr>
          <w:rFonts w:ascii="Arial" w:hAnsi="Arial"/>
          <w:sz w:val="22"/>
          <w:szCs w:val="22"/>
        </w:rPr>
        <w:t>7</w:t>
      </w:r>
    </w:p>
    <w:p w14:paraId="4EE859DD" w14:textId="0B988087" w:rsidR="00D3322E" w:rsidRDefault="00D3322E" w:rsidP="004C4DCA">
      <w:pPr>
        <w:spacing w:before="57" w:after="57" w:line="360" w:lineRule="auto"/>
        <w:rPr>
          <w:rFonts w:ascii="Arial" w:hAnsi="Arial"/>
          <w:sz w:val="22"/>
          <w:szCs w:val="22"/>
        </w:rPr>
      </w:pPr>
      <w:r>
        <w:rPr>
          <w:rFonts w:ascii="Arial" w:hAnsi="Arial"/>
          <w:sz w:val="22"/>
          <w:szCs w:val="22"/>
        </w:rPr>
        <w:tab/>
        <w:t>3.4 Balancing Centralisation and Decentralisation ……………………………………</w:t>
      </w:r>
      <w:r w:rsidR="00837A8B">
        <w:rPr>
          <w:rFonts w:ascii="Arial" w:hAnsi="Arial"/>
          <w:sz w:val="22"/>
          <w:szCs w:val="22"/>
        </w:rPr>
        <w:t>8</w:t>
      </w:r>
    </w:p>
    <w:p w14:paraId="42CC5D89" w14:textId="4BD49E3A" w:rsidR="00D3322E" w:rsidRDefault="00D3322E" w:rsidP="004C4DCA">
      <w:pPr>
        <w:spacing w:before="57" w:after="57" w:line="360" w:lineRule="auto"/>
        <w:rPr>
          <w:rFonts w:ascii="Arial" w:hAnsi="Arial"/>
          <w:sz w:val="22"/>
          <w:szCs w:val="22"/>
        </w:rPr>
      </w:pPr>
      <w:r>
        <w:rPr>
          <w:rFonts w:ascii="Arial" w:hAnsi="Arial"/>
          <w:sz w:val="22"/>
          <w:szCs w:val="22"/>
        </w:rPr>
        <w:t>4. Leadership Theory Application ………………………………………………………………</w:t>
      </w:r>
      <w:r w:rsidR="00550F00">
        <w:rPr>
          <w:rFonts w:ascii="Arial" w:hAnsi="Arial"/>
          <w:sz w:val="22"/>
          <w:szCs w:val="22"/>
        </w:rPr>
        <w:t>..</w:t>
      </w:r>
      <w:r>
        <w:rPr>
          <w:rFonts w:ascii="Arial" w:hAnsi="Arial"/>
          <w:sz w:val="22"/>
          <w:szCs w:val="22"/>
        </w:rPr>
        <w:t>8</w:t>
      </w:r>
    </w:p>
    <w:p w14:paraId="352D19FA" w14:textId="608775B9"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4.1 Leadership Context in Len’s Case …………………………………………………</w:t>
      </w:r>
      <w:r w:rsidR="00866E19">
        <w:rPr>
          <w:rFonts w:ascii="Arial" w:hAnsi="Arial"/>
          <w:sz w:val="22"/>
          <w:szCs w:val="22"/>
        </w:rPr>
        <w:t>.</w:t>
      </w:r>
      <w:r>
        <w:rPr>
          <w:rFonts w:ascii="Arial" w:hAnsi="Arial"/>
          <w:sz w:val="22"/>
          <w:szCs w:val="22"/>
        </w:rPr>
        <w:t>8</w:t>
      </w:r>
    </w:p>
    <w:p w14:paraId="1E4A510E" w14:textId="173DFABB"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4.2 Great Man and Trait Theory Perspectives …………………………………………</w:t>
      </w:r>
      <w:r w:rsidR="00543A92">
        <w:rPr>
          <w:rFonts w:ascii="Arial" w:hAnsi="Arial"/>
          <w:sz w:val="22"/>
          <w:szCs w:val="22"/>
        </w:rPr>
        <w:t>9</w:t>
      </w:r>
    </w:p>
    <w:p w14:paraId="241459A2" w14:textId="2580C677"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4.3 Behavioural Leadership – Task and People Balance …………………………</w:t>
      </w:r>
      <w:r w:rsidR="00866E19">
        <w:rPr>
          <w:rFonts w:ascii="Arial" w:hAnsi="Arial"/>
          <w:sz w:val="22"/>
          <w:szCs w:val="22"/>
        </w:rPr>
        <w:t>…</w:t>
      </w:r>
      <w:r>
        <w:rPr>
          <w:rFonts w:ascii="Arial" w:hAnsi="Arial"/>
          <w:sz w:val="22"/>
          <w:szCs w:val="22"/>
        </w:rPr>
        <w:t>.9</w:t>
      </w:r>
    </w:p>
    <w:p w14:paraId="3BBF63A2" w14:textId="4B9B72C1"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4.4 Situational Leadership and Adaptability ……………………………………………9</w:t>
      </w:r>
    </w:p>
    <w:p w14:paraId="385E1824" w14:textId="1A38A646"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4.5 Tannenbaum and Schmidt Continuum ……………………………………………</w:t>
      </w:r>
      <w:r w:rsidR="00924262">
        <w:rPr>
          <w:rFonts w:ascii="Arial" w:hAnsi="Arial"/>
          <w:sz w:val="22"/>
          <w:szCs w:val="22"/>
        </w:rPr>
        <w:t>..</w:t>
      </w:r>
      <w:r>
        <w:rPr>
          <w:rFonts w:ascii="Arial" w:hAnsi="Arial"/>
          <w:sz w:val="22"/>
          <w:szCs w:val="22"/>
        </w:rPr>
        <w:t>9</w:t>
      </w:r>
    </w:p>
    <w:p w14:paraId="0CD0F233" w14:textId="032E678E"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4.6 Transformational Leadership and Safety Culture ………………………………</w:t>
      </w:r>
      <w:r w:rsidR="00924262">
        <w:rPr>
          <w:rFonts w:ascii="Arial" w:hAnsi="Arial"/>
          <w:sz w:val="22"/>
          <w:szCs w:val="22"/>
        </w:rPr>
        <w:t>..</w:t>
      </w:r>
      <w:r>
        <w:rPr>
          <w:rFonts w:ascii="Arial" w:hAnsi="Arial"/>
          <w:sz w:val="22"/>
          <w:szCs w:val="22"/>
        </w:rPr>
        <w:t>10</w:t>
      </w:r>
    </w:p>
    <w:p w14:paraId="46E84F31" w14:textId="12C991C2" w:rsidR="00D3322E" w:rsidRDefault="00D3322E" w:rsidP="004C4DCA">
      <w:pPr>
        <w:pStyle w:val="BodyText"/>
        <w:spacing w:after="0" w:line="360" w:lineRule="auto"/>
        <w:jc w:val="both"/>
        <w:rPr>
          <w:rFonts w:ascii="Arial" w:hAnsi="Arial"/>
          <w:sz w:val="22"/>
          <w:szCs w:val="22"/>
        </w:rPr>
      </w:pPr>
      <w:r>
        <w:rPr>
          <w:rFonts w:ascii="Arial" w:hAnsi="Arial"/>
          <w:sz w:val="22"/>
          <w:szCs w:val="22"/>
        </w:rPr>
        <w:tab/>
        <w:t>4.7 Critical Evaluation of Leadership Approaches ……………………………………1</w:t>
      </w:r>
      <w:r w:rsidR="00837A8B">
        <w:rPr>
          <w:rFonts w:ascii="Arial" w:hAnsi="Arial"/>
          <w:sz w:val="22"/>
          <w:szCs w:val="22"/>
        </w:rPr>
        <w:t>1</w:t>
      </w:r>
    </w:p>
    <w:p w14:paraId="5932DB46" w14:textId="36B3DC7E" w:rsidR="00D3322E" w:rsidRDefault="00D3322E" w:rsidP="004C4DCA">
      <w:pPr>
        <w:spacing w:before="57" w:after="57" w:line="360" w:lineRule="auto"/>
        <w:rPr>
          <w:rFonts w:ascii="Arial" w:hAnsi="Arial"/>
          <w:sz w:val="22"/>
          <w:szCs w:val="22"/>
        </w:rPr>
      </w:pPr>
      <w:r>
        <w:rPr>
          <w:rFonts w:ascii="Arial" w:hAnsi="Arial"/>
          <w:sz w:val="22"/>
          <w:szCs w:val="22"/>
        </w:rPr>
        <w:t>5. Critique, Improvements and Lessons Learned ……………………………………………</w:t>
      </w:r>
      <w:r w:rsidR="008826E7">
        <w:rPr>
          <w:rFonts w:ascii="Arial" w:hAnsi="Arial"/>
          <w:sz w:val="22"/>
          <w:szCs w:val="22"/>
        </w:rPr>
        <w:t>..</w:t>
      </w:r>
      <w:r>
        <w:rPr>
          <w:rFonts w:ascii="Arial" w:hAnsi="Arial"/>
          <w:sz w:val="22"/>
          <w:szCs w:val="22"/>
        </w:rPr>
        <w:t>1</w:t>
      </w:r>
      <w:r w:rsidR="00CA32FA">
        <w:rPr>
          <w:rFonts w:ascii="Arial" w:hAnsi="Arial"/>
          <w:sz w:val="22"/>
          <w:szCs w:val="22"/>
        </w:rPr>
        <w:t>2</w:t>
      </w:r>
    </w:p>
    <w:p w14:paraId="0F12E96B" w14:textId="2043640B" w:rsidR="00D3322E" w:rsidRDefault="00D3322E" w:rsidP="004C4DCA">
      <w:pPr>
        <w:spacing w:before="57" w:after="57" w:line="360" w:lineRule="auto"/>
        <w:rPr>
          <w:rFonts w:ascii="Arial" w:hAnsi="Arial"/>
          <w:sz w:val="22"/>
          <w:szCs w:val="22"/>
        </w:rPr>
      </w:pPr>
      <w:r>
        <w:rPr>
          <w:rFonts w:ascii="Arial" w:hAnsi="Arial"/>
          <w:sz w:val="22"/>
          <w:szCs w:val="22"/>
        </w:rPr>
        <w:tab/>
        <w:t>5.1 Issue 1 – Poor Communication and Patient Understanding ……………………</w:t>
      </w:r>
      <w:r w:rsidR="008826E7">
        <w:rPr>
          <w:rFonts w:ascii="Arial" w:hAnsi="Arial"/>
          <w:sz w:val="22"/>
          <w:szCs w:val="22"/>
        </w:rPr>
        <w:t>.</w:t>
      </w:r>
      <w:r>
        <w:rPr>
          <w:rFonts w:ascii="Arial" w:hAnsi="Arial"/>
          <w:sz w:val="22"/>
          <w:szCs w:val="22"/>
        </w:rPr>
        <w:t>1</w:t>
      </w:r>
      <w:r w:rsidR="008E1AE3">
        <w:rPr>
          <w:rFonts w:ascii="Arial" w:hAnsi="Arial"/>
          <w:sz w:val="22"/>
          <w:szCs w:val="22"/>
        </w:rPr>
        <w:t>2</w:t>
      </w:r>
    </w:p>
    <w:p w14:paraId="6391714E" w14:textId="086DAD9D" w:rsidR="00D3322E" w:rsidRDefault="00D3322E" w:rsidP="004C4DCA">
      <w:pPr>
        <w:spacing w:before="57" w:after="57" w:line="360" w:lineRule="auto"/>
        <w:rPr>
          <w:rFonts w:ascii="Arial" w:hAnsi="Arial"/>
          <w:sz w:val="22"/>
          <w:szCs w:val="22"/>
        </w:rPr>
      </w:pPr>
      <w:r>
        <w:rPr>
          <w:rFonts w:ascii="Arial" w:hAnsi="Arial"/>
          <w:sz w:val="22"/>
          <w:szCs w:val="22"/>
        </w:rPr>
        <w:tab/>
        <w:t>5.2 Issue 2 – Improper escalation and reporting procedures ………………………</w:t>
      </w:r>
      <w:r w:rsidR="00741B56">
        <w:rPr>
          <w:rFonts w:ascii="Arial" w:hAnsi="Arial"/>
          <w:sz w:val="22"/>
          <w:szCs w:val="22"/>
        </w:rPr>
        <w:t>..</w:t>
      </w:r>
      <w:r>
        <w:rPr>
          <w:rFonts w:ascii="Arial" w:hAnsi="Arial"/>
          <w:sz w:val="22"/>
          <w:szCs w:val="22"/>
        </w:rPr>
        <w:t>1</w:t>
      </w:r>
      <w:r w:rsidR="00CA32FA">
        <w:rPr>
          <w:rFonts w:ascii="Arial" w:hAnsi="Arial"/>
          <w:sz w:val="22"/>
          <w:szCs w:val="22"/>
        </w:rPr>
        <w:t>3</w:t>
      </w:r>
    </w:p>
    <w:p w14:paraId="5DB4A975" w14:textId="107AF809" w:rsidR="00D3322E" w:rsidRDefault="00D3322E" w:rsidP="004C4DCA">
      <w:pPr>
        <w:spacing w:before="57" w:after="57" w:line="360" w:lineRule="auto"/>
        <w:rPr>
          <w:rFonts w:ascii="Arial" w:hAnsi="Arial"/>
          <w:sz w:val="22"/>
          <w:szCs w:val="22"/>
        </w:rPr>
      </w:pPr>
      <w:r>
        <w:rPr>
          <w:rFonts w:ascii="Arial" w:hAnsi="Arial"/>
          <w:sz w:val="22"/>
          <w:szCs w:val="22"/>
        </w:rPr>
        <w:tab/>
        <w:t>5.3 Issue 3 – Confusing Medication Labelling and System Design ………………</w:t>
      </w:r>
      <w:r w:rsidR="008826E7">
        <w:rPr>
          <w:rFonts w:ascii="Arial" w:hAnsi="Arial"/>
          <w:sz w:val="22"/>
          <w:szCs w:val="22"/>
        </w:rPr>
        <w:t>...</w:t>
      </w:r>
      <w:r>
        <w:rPr>
          <w:rFonts w:ascii="Arial" w:hAnsi="Arial"/>
          <w:sz w:val="22"/>
          <w:szCs w:val="22"/>
        </w:rPr>
        <w:t>1</w:t>
      </w:r>
      <w:r w:rsidR="008E1AE3">
        <w:rPr>
          <w:rFonts w:ascii="Arial" w:hAnsi="Arial"/>
          <w:sz w:val="22"/>
          <w:szCs w:val="22"/>
        </w:rPr>
        <w:t>3</w:t>
      </w:r>
    </w:p>
    <w:p w14:paraId="76D5CB76" w14:textId="541C4ACB" w:rsidR="00D3322E" w:rsidRDefault="00D3322E" w:rsidP="004C4DCA">
      <w:pPr>
        <w:spacing w:before="57" w:after="57" w:line="360" w:lineRule="auto"/>
        <w:rPr>
          <w:rFonts w:ascii="Arial" w:hAnsi="Arial"/>
          <w:sz w:val="22"/>
          <w:szCs w:val="22"/>
        </w:rPr>
      </w:pPr>
      <w:r>
        <w:rPr>
          <w:rFonts w:ascii="Arial" w:hAnsi="Arial"/>
          <w:sz w:val="22"/>
          <w:szCs w:val="22"/>
        </w:rPr>
        <w:tab/>
        <w:t>5.4 Issue 4 – Ineffective Governance and Accountability ……………………………1</w:t>
      </w:r>
      <w:r w:rsidR="00CA32FA">
        <w:rPr>
          <w:rFonts w:ascii="Arial" w:hAnsi="Arial"/>
          <w:sz w:val="22"/>
          <w:szCs w:val="22"/>
        </w:rPr>
        <w:t>4</w:t>
      </w:r>
    </w:p>
    <w:p w14:paraId="02EB6588" w14:textId="7E2273FE" w:rsidR="00D3322E" w:rsidRDefault="00D3322E" w:rsidP="004C4DCA">
      <w:pPr>
        <w:spacing w:before="57" w:after="57" w:line="360" w:lineRule="auto"/>
        <w:rPr>
          <w:rFonts w:ascii="Arial" w:hAnsi="Arial"/>
          <w:sz w:val="22"/>
          <w:szCs w:val="22"/>
        </w:rPr>
      </w:pPr>
      <w:r>
        <w:rPr>
          <w:rFonts w:ascii="Arial" w:hAnsi="Arial"/>
          <w:sz w:val="22"/>
          <w:szCs w:val="22"/>
        </w:rPr>
        <w:tab/>
        <w:t>5.5 Lessons for Healthcare Organisations ……………………………………………</w:t>
      </w:r>
      <w:r w:rsidR="00741B56">
        <w:rPr>
          <w:rFonts w:ascii="Arial" w:hAnsi="Arial"/>
          <w:sz w:val="22"/>
          <w:szCs w:val="22"/>
        </w:rPr>
        <w:t>.</w:t>
      </w:r>
      <w:r>
        <w:rPr>
          <w:rFonts w:ascii="Arial" w:hAnsi="Arial"/>
          <w:sz w:val="22"/>
          <w:szCs w:val="22"/>
        </w:rPr>
        <w:t>1</w:t>
      </w:r>
      <w:r w:rsidR="00CA32FA">
        <w:rPr>
          <w:rFonts w:ascii="Arial" w:hAnsi="Arial"/>
          <w:sz w:val="22"/>
          <w:szCs w:val="22"/>
        </w:rPr>
        <w:t>4</w:t>
      </w:r>
    </w:p>
    <w:p w14:paraId="1BA2C908" w14:textId="54E43818" w:rsidR="00D3322E" w:rsidRDefault="00D3322E" w:rsidP="004C4DCA">
      <w:pPr>
        <w:spacing w:before="57" w:after="57" w:line="360" w:lineRule="auto"/>
        <w:rPr>
          <w:rFonts w:ascii="Arial" w:hAnsi="Arial"/>
          <w:sz w:val="22"/>
          <w:szCs w:val="22"/>
        </w:rPr>
      </w:pPr>
      <w:r>
        <w:rPr>
          <w:rFonts w:ascii="Arial" w:hAnsi="Arial"/>
          <w:sz w:val="22"/>
          <w:szCs w:val="22"/>
        </w:rPr>
        <w:t>6. Recommendation ……………………………………….……………………………………</w:t>
      </w:r>
      <w:r w:rsidR="00A0036D">
        <w:rPr>
          <w:rFonts w:ascii="Arial" w:hAnsi="Arial"/>
          <w:sz w:val="22"/>
          <w:szCs w:val="22"/>
        </w:rPr>
        <w:t>..</w:t>
      </w:r>
      <w:r>
        <w:rPr>
          <w:rFonts w:ascii="Arial" w:hAnsi="Arial"/>
          <w:sz w:val="22"/>
          <w:szCs w:val="22"/>
        </w:rPr>
        <w:t>1</w:t>
      </w:r>
      <w:r w:rsidR="00B71735">
        <w:rPr>
          <w:rFonts w:ascii="Arial" w:hAnsi="Arial"/>
          <w:sz w:val="22"/>
          <w:szCs w:val="22"/>
        </w:rPr>
        <w:t>5</w:t>
      </w:r>
    </w:p>
    <w:p w14:paraId="4F06FB58" w14:textId="4C19F26F" w:rsidR="00D3322E" w:rsidRDefault="00D3322E" w:rsidP="004C4DCA">
      <w:pPr>
        <w:spacing w:before="57" w:after="57" w:line="360" w:lineRule="auto"/>
        <w:rPr>
          <w:rFonts w:ascii="Arial" w:hAnsi="Arial"/>
          <w:sz w:val="22"/>
          <w:szCs w:val="22"/>
        </w:rPr>
      </w:pPr>
      <w:r>
        <w:rPr>
          <w:rFonts w:ascii="Arial" w:hAnsi="Arial"/>
          <w:sz w:val="22"/>
          <w:szCs w:val="22"/>
        </w:rPr>
        <w:tab/>
        <w:t>6.1 Strengthening Leadership for Patient Safety ……………………………………</w:t>
      </w:r>
      <w:r w:rsidR="0086330B">
        <w:rPr>
          <w:rFonts w:ascii="Arial" w:hAnsi="Arial"/>
          <w:sz w:val="22"/>
          <w:szCs w:val="22"/>
        </w:rPr>
        <w:t>.</w:t>
      </w:r>
      <w:r>
        <w:rPr>
          <w:rFonts w:ascii="Arial" w:hAnsi="Arial"/>
          <w:sz w:val="22"/>
          <w:szCs w:val="22"/>
        </w:rPr>
        <w:t>.1</w:t>
      </w:r>
      <w:r w:rsidR="00B71735">
        <w:rPr>
          <w:rFonts w:ascii="Arial" w:hAnsi="Arial"/>
          <w:sz w:val="22"/>
          <w:szCs w:val="22"/>
        </w:rPr>
        <w:t>5</w:t>
      </w:r>
    </w:p>
    <w:p w14:paraId="59E53BBB" w14:textId="2F64CB36" w:rsidR="00D3322E" w:rsidRDefault="00D3322E" w:rsidP="004C4DCA">
      <w:pPr>
        <w:spacing w:before="57" w:after="57" w:line="360" w:lineRule="auto"/>
        <w:rPr>
          <w:rFonts w:ascii="Arial" w:hAnsi="Arial"/>
          <w:sz w:val="22"/>
          <w:szCs w:val="22"/>
        </w:rPr>
      </w:pPr>
      <w:r>
        <w:rPr>
          <w:rFonts w:ascii="Arial" w:hAnsi="Arial"/>
          <w:sz w:val="22"/>
          <w:szCs w:val="22"/>
        </w:rPr>
        <w:tab/>
        <w:t>6.2 Improving Medication Safety Systems ……………………………………………</w:t>
      </w:r>
      <w:r w:rsidR="0086330B">
        <w:rPr>
          <w:rFonts w:ascii="Arial" w:hAnsi="Arial"/>
          <w:sz w:val="22"/>
          <w:szCs w:val="22"/>
        </w:rPr>
        <w:t>.</w:t>
      </w:r>
      <w:r>
        <w:rPr>
          <w:rFonts w:ascii="Arial" w:hAnsi="Arial"/>
          <w:sz w:val="22"/>
          <w:szCs w:val="22"/>
        </w:rPr>
        <w:t>1</w:t>
      </w:r>
      <w:r w:rsidR="008E1AE3">
        <w:rPr>
          <w:rFonts w:ascii="Arial" w:hAnsi="Arial"/>
          <w:sz w:val="22"/>
          <w:szCs w:val="22"/>
        </w:rPr>
        <w:t>5</w:t>
      </w:r>
    </w:p>
    <w:p w14:paraId="4A3149D4" w14:textId="4AF52E08" w:rsidR="00D3322E" w:rsidRDefault="00D3322E" w:rsidP="004C4DCA">
      <w:pPr>
        <w:spacing w:before="57" w:after="57" w:line="360" w:lineRule="auto"/>
        <w:rPr>
          <w:rFonts w:ascii="Arial" w:hAnsi="Arial"/>
          <w:sz w:val="22"/>
          <w:szCs w:val="22"/>
        </w:rPr>
      </w:pPr>
      <w:r>
        <w:rPr>
          <w:rFonts w:ascii="Arial" w:hAnsi="Arial"/>
          <w:sz w:val="22"/>
          <w:szCs w:val="22"/>
        </w:rPr>
        <w:tab/>
        <w:t>6.3 Strengthening Communication and Care Coordination …………………………</w:t>
      </w:r>
      <w:r w:rsidR="00847616">
        <w:rPr>
          <w:rFonts w:ascii="Arial" w:hAnsi="Arial"/>
          <w:sz w:val="22"/>
          <w:szCs w:val="22"/>
        </w:rPr>
        <w:t>.</w:t>
      </w:r>
      <w:r>
        <w:rPr>
          <w:rFonts w:ascii="Arial" w:hAnsi="Arial"/>
          <w:sz w:val="22"/>
          <w:szCs w:val="22"/>
        </w:rPr>
        <w:t>1</w:t>
      </w:r>
      <w:r w:rsidR="00B71735">
        <w:rPr>
          <w:rFonts w:ascii="Arial" w:hAnsi="Arial"/>
          <w:sz w:val="22"/>
          <w:szCs w:val="22"/>
        </w:rPr>
        <w:t>6</w:t>
      </w:r>
    </w:p>
    <w:p w14:paraId="5FEA1C23" w14:textId="5E800397" w:rsidR="00D3322E" w:rsidRDefault="00D3322E" w:rsidP="004C4DCA">
      <w:pPr>
        <w:spacing w:before="57" w:after="57" w:line="360" w:lineRule="auto"/>
        <w:rPr>
          <w:rFonts w:ascii="Arial" w:hAnsi="Arial"/>
          <w:sz w:val="22"/>
          <w:szCs w:val="22"/>
        </w:rPr>
      </w:pPr>
      <w:r>
        <w:rPr>
          <w:rFonts w:ascii="Arial" w:hAnsi="Arial"/>
          <w:sz w:val="22"/>
          <w:szCs w:val="22"/>
        </w:rPr>
        <w:tab/>
        <w:t>6.4 Enhancing Governance and Accountability ………………………………………</w:t>
      </w:r>
      <w:r w:rsidR="00847616">
        <w:rPr>
          <w:rFonts w:ascii="Arial" w:hAnsi="Arial"/>
          <w:sz w:val="22"/>
          <w:szCs w:val="22"/>
        </w:rPr>
        <w:t>.</w:t>
      </w:r>
      <w:r>
        <w:rPr>
          <w:rFonts w:ascii="Arial" w:hAnsi="Arial"/>
          <w:sz w:val="22"/>
          <w:szCs w:val="22"/>
        </w:rPr>
        <w:t>1</w:t>
      </w:r>
      <w:r w:rsidR="00DF5F9D">
        <w:rPr>
          <w:rFonts w:ascii="Arial" w:hAnsi="Arial"/>
          <w:sz w:val="22"/>
          <w:szCs w:val="22"/>
        </w:rPr>
        <w:t>6</w:t>
      </w:r>
    </w:p>
    <w:p w14:paraId="3346478D" w14:textId="092F7C8E" w:rsidR="00D3322E" w:rsidRDefault="00D3322E" w:rsidP="004C4DCA">
      <w:pPr>
        <w:spacing w:before="57" w:after="57" w:line="360" w:lineRule="auto"/>
        <w:rPr>
          <w:rFonts w:ascii="Arial" w:hAnsi="Arial"/>
          <w:sz w:val="22"/>
          <w:szCs w:val="22"/>
        </w:rPr>
      </w:pPr>
      <w:r>
        <w:rPr>
          <w:rFonts w:ascii="Arial" w:hAnsi="Arial"/>
          <w:sz w:val="22"/>
          <w:szCs w:val="22"/>
        </w:rPr>
        <w:t>7. Conclusion ………………………………………………………………………………………1</w:t>
      </w:r>
      <w:r w:rsidR="00B71735">
        <w:rPr>
          <w:rFonts w:ascii="Arial" w:hAnsi="Arial"/>
          <w:sz w:val="22"/>
          <w:szCs w:val="22"/>
        </w:rPr>
        <w:t>7</w:t>
      </w:r>
    </w:p>
    <w:p w14:paraId="2A33C816" w14:textId="4DA85E04" w:rsidR="00D3322E" w:rsidRDefault="00D3322E" w:rsidP="004C4DCA">
      <w:pPr>
        <w:spacing w:before="57" w:after="57" w:line="360" w:lineRule="auto"/>
        <w:rPr>
          <w:rFonts w:ascii="Arial" w:hAnsi="Arial"/>
          <w:sz w:val="22"/>
          <w:szCs w:val="22"/>
        </w:rPr>
      </w:pPr>
      <w:r>
        <w:rPr>
          <w:rFonts w:ascii="Arial" w:hAnsi="Arial"/>
          <w:sz w:val="22"/>
          <w:szCs w:val="22"/>
        </w:rPr>
        <w:t>8. Reference………………………………………………………………………………………...1</w:t>
      </w:r>
      <w:r w:rsidR="00B71735">
        <w:rPr>
          <w:rFonts w:ascii="Arial" w:hAnsi="Arial"/>
          <w:sz w:val="22"/>
          <w:szCs w:val="22"/>
        </w:rPr>
        <w:t>8</w:t>
      </w:r>
    </w:p>
    <w:p w14:paraId="1F8FC1FF" w14:textId="77777777" w:rsidR="00D3322E" w:rsidRDefault="00D3322E" w:rsidP="00D3322E">
      <w:pPr>
        <w:spacing w:before="57" w:after="57" w:line="360" w:lineRule="auto"/>
        <w:rPr>
          <w:rFonts w:ascii="Arial" w:hAnsi="Arial"/>
        </w:rPr>
      </w:pPr>
    </w:p>
    <w:p w14:paraId="69120A7B" w14:textId="77777777" w:rsidR="00D3322E" w:rsidRDefault="00D3322E" w:rsidP="00D3322E">
      <w:pPr>
        <w:pStyle w:val="BodyText"/>
        <w:spacing w:before="57" w:after="57" w:line="360" w:lineRule="auto"/>
        <w:jc w:val="both"/>
        <w:rPr>
          <w:rFonts w:hint="eastAsia"/>
        </w:rPr>
      </w:pPr>
      <w:r>
        <w:rPr>
          <w:rFonts w:ascii="Arial" w:hAnsi="Arial"/>
          <w:b/>
          <w:bCs/>
        </w:rPr>
        <w:lastRenderedPageBreak/>
        <w:t>1. Introduction</w:t>
      </w:r>
    </w:p>
    <w:p w14:paraId="74290F62" w14:textId="20088E9F" w:rsidR="00D3322E" w:rsidRDefault="00D3322E" w:rsidP="00D3322E">
      <w:pPr>
        <w:pStyle w:val="BodyText"/>
        <w:spacing w:after="0" w:line="360" w:lineRule="auto"/>
        <w:jc w:val="both"/>
        <w:rPr>
          <w:rFonts w:ascii="Arial" w:hAnsi="Arial"/>
          <w:sz w:val="22"/>
          <w:szCs w:val="22"/>
        </w:rPr>
      </w:pPr>
      <w:r>
        <w:rPr>
          <w:rFonts w:ascii="Arial" w:hAnsi="Arial"/>
          <w:sz w:val="22"/>
          <w:szCs w:val="22"/>
        </w:rPr>
        <w:tab/>
        <w:t>Patient safety is a core concern in modern healthcare and social care systems, especially in circumstances involving complicated medication protocols and vulnerable patients. Providing healthcare relies on effective communication, good teamwork, and clear clinical guidance. However, when these things aren't done right, it can sometimes cause harm that might've been prevented. This report investigates the case of Len, an 89-year-old man suffering from Charcot–Marie–Tooth disease,</w:t>
      </w:r>
      <w:r w:rsidR="00A77302">
        <w:rPr>
          <w:rFonts w:ascii="Arial" w:hAnsi="Arial"/>
          <w:sz w:val="22"/>
          <w:szCs w:val="22"/>
        </w:rPr>
        <w:t xml:space="preserve"> </w:t>
      </w:r>
      <w:r w:rsidR="00A77302" w:rsidRPr="00A77302">
        <w:rPr>
          <w:rFonts w:ascii="Arial" w:hAnsi="Arial"/>
          <w:sz w:val="22"/>
          <w:szCs w:val="22"/>
        </w:rPr>
        <w:t>a genetic disease affecting the peripheric nerves and impact the muscles (NHS, 2019)</w:t>
      </w:r>
      <w:r w:rsidR="00A77302">
        <w:rPr>
          <w:rFonts w:ascii="Arial" w:hAnsi="Arial"/>
          <w:sz w:val="22"/>
          <w:szCs w:val="22"/>
        </w:rPr>
        <w:t>,</w:t>
      </w:r>
      <w:r>
        <w:rPr>
          <w:rFonts w:ascii="Arial" w:hAnsi="Arial"/>
          <w:sz w:val="22"/>
          <w:szCs w:val="22"/>
        </w:rPr>
        <w:t xml:space="preserve"> who died from an accidental overdose from an oral morphine solution, following a misunderstanding of the instructions for administering medication on discharge from hospital (Manias </w:t>
      </w:r>
      <w:r>
        <w:rPr>
          <w:rFonts w:ascii="Arial" w:hAnsi="Arial"/>
          <w:i/>
          <w:iCs/>
          <w:sz w:val="22"/>
          <w:szCs w:val="22"/>
        </w:rPr>
        <w:t>et al</w:t>
      </w:r>
      <w:r>
        <w:rPr>
          <w:rFonts w:ascii="Arial" w:hAnsi="Arial"/>
          <w:sz w:val="22"/>
          <w:szCs w:val="22"/>
        </w:rPr>
        <w:t xml:space="preserve">., 2020; WHO, 2017). The evidence suggests that errors in medication are often associated with confusing labelling, a lack of understanding on the part of the patient, and communication failures during care transitions (Carayon </w:t>
      </w:r>
      <w:r>
        <w:rPr>
          <w:rFonts w:ascii="Arial" w:hAnsi="Arial"/>
          <w:i/>
          <w:iCs/>
          <w:sz w:val="22"/>
          <w:szCs w:val="22"/>
        </w:rPr>
        <w:t>et al.</w:t>
      </w:r>
      <w:r>
        <w:rPr>
          <w:rFonts w:ascii="Arial" w:hAnsi="Arial"/>
          <w:sz w:val="22"/>
          <w:szCs w:val="22"/>
        </w:rPr>
        <w:t xml:space="preserve">, 2020; Manias </w:t>
      </w:r>
      <w:r>
        <w:rPr>
          <w:rFonts w:ascii="Arial" w:hAnsi="Arial"/>
          <w:i/>
          <w:iCs/>
          <w:sz w:val="22"/>
          <w:szCs w:val="22"/>
        </w:rPr>
        <w:t>et al</w:t>
      </w:r>
      <w:r>
        <w:rPr>
          <w:rFonts w:ascii="Arial" w:hAnsi="Arial"/>
          <w:sz w:val="22"/>
          <w:szCs w:val="22"/>
        </w:rPr>
        <w:t>., 2020). The investigation conducted by Health Services Safety Investigation Agency (HSSIA) identified that systemic weaknesses, such as inadequate explanations and a failure to implement protective measures, led to the adverse outcome (Health Services Safety Investigation Agency, 2023).</w:t>
      </w:r>
      <w:r>
        <w:rPr>
          <w:rFonts w:ascii="Arial" w:hAnsi="Arial"/>
          <w:sz w:val="22"/>
          <w:szCs w:val="22"/>
        </w:rPr>
        <w:br/>
      </w:r>
      <w:r>
        <w:rPr>
          <w:rFonts w:ascii="Arial" w:hAnsi="Arial"/>
          <w:sz w:val="22"/>
          <w:szCs w:val="22"/>
        </w:rPr>
        <w:tab/>
        <w:t>Leadership in Health and Social Care can be described as the ability to inspire individuals and multidisciplinary teams to work towards a shared goal of providing safe, effective, and individual-centred care. This includes guiding professionals, assisting in decision-making, and assuring the consistent application of healthcare standards in practice (West</w:t>
      </w:r>
      <w:r>
        <w:rPr>
          <w:rFonts w:ascii="Arial" w:hAnsi="Arial"/>
          <w:i/>
          <w:iCs/>
          <w:sz w:val="22"/>
          <w:szCs w:val="22"/>
        </w:rPr>
        <w:t xml:space="preserve"> et al.</w:t>
      </w:r>
      <w:r>
        <w:rPr>
          <w:rFonts w:ascii="Arial" w:hAnsi="Arial"/>
          <w:sz w:val="22"/>
          <w:szCs w:val="22"/>
        </w:rPr>
        <w:t xml:space="preserve">, 2017; Alilyyani </w:t>
      </w:r>
      <w:r>
        <w:rPr>
          <w:rFonts w:ascii="Arial" w:hAnsi="Arial"/>
          <w:i/>
          <w:iCs/>
          <w:sz w:val="22"/>
          <w:szCs w:val="22"/>
        </w:rPr>
        <w:t>et al</w:t>
      </w:r>
      <w:r>
        <w:rPr>
          <w:rFonts w:ascii="Arial" w:hAnsi="Arial"/>
          <w:sz w:val="22"/>
          <w:szCs w:val="22"/>
        </w:rPr>
        <w:t xml:space="preserve">., 2018). Effective leadership also encourages open communication, especially when patients must self-administer high-risk medications outside of clinical environments (Carayon </w:t>
      </w:r>
      <w:r>
        <w:rPr>
          <w:rFonts w:ascii="Arial" w:hAnsi="Arial"/>
          <w:i/>
          <w:iCs/>
          <w:sz w:val="22"/>
          <w:szCs w:val="22"/>
        </w:rPr>
        <w:t>et al.</w:t>
      </w:r>
      <w:r>
        <w:rPr>
          <w:rFonts w:ascii="Arial" w:hAnsi="Arial"/>
          <w:sz w:val="22"/>
          <w:szCs w:val="22"/>
        </w:rPr>
        <w:t xml:space="preserve">, 2020). Organisational structures can influence leadership practices, either through centralisation or decentralisation. Centred systems position decision-making authority at superior levels, thereby supporting consistency and governance, while decentralised systems assign responsibility among teams, facilitating flexibility and capacity to respond to patient needs (Sfantou </w:t>
      </w:r>
      <w:r>
        <w:rPr>
          <w:rFonts w:ascii="Arial" w:hAnsi="Arial"/>
          <w:i/>
          <w:iCs/>
          <w:sz w:val="22"/>
          <w:szCs w:val="22"/>
        </w:rPr>
        <w:t>et al</w:t>
      </w:r>
      <w:r>
        <w:rPr>
          <w:rFonts w:ascii="Arial" w:hAnsi="Arial"/>
          <w:sz w:val="22"/>
          <w:szCs w:val="22"/>
        </w:rPr>
        <w:t xml:space="preserve">., 2017; Specchia </w:t>
      </w:r>
      <w:r>
        <w:rPr>
          <w:rFonts w:ascii="Arial" w:hAnsi="Arial"/>
          <w:i/>
          <w:iCs/>
          <w:sz w:val="22"/>
          <w:szCs w:val="22"/>
        </w:rPr>
        <w:t>et al</w:t>
      </w:r>
      <w:r>
        <w:rPr>
          <w:rFonts w:ascii="Arial" w:hAnsi="Arial"/>
          <w:sz w:val="22"/>
          <w:szCs w:val="22"/>
        </w:rPr>
        <w:t>., 2021). These approaches influence how healthcare organisations manage risks and deal with safety challenges.</w:t>
      </w:r>
    </w:p>
    <w:p w14:paraId="664028B9"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Leadership theories provide additional perspective on how leaders operate in medical settings. Transformational leadership is focused on motivating staff and promoting a common vision to improve care, while transactional leadership is focused on structure, rules, and monitoring performance (Specchia </w:t>
      </w:r>
      <w:r>
        <w:rPr>
          <w:rFonts w:ascii="Arial" w:hAnsi="Arial"/>
          <w:i/>
          <w:iCs/>
          <w:sz w:val="22"/>
          <w:szCs w:val="22"/>
        </w:rPr>
        <w:t>et al</w:t>
      </w:r>
      <w:r>
        <w:rPr>
          <w:rFonts w:ascii="Arial" w:hAnsi="Arial"/>
          <w:sz w:val="22"/>
          <w:szCs w:val="22"/>
        </w:rPr>
        <w:t xml:space="preserve">., 2021; Alilyyani </w:t>
      </w:r>
      <w:r>
        <w:rPr>
          <w:rFonts w:ascii="Arial" w:hAnsi="Arial"/>
          <w:i/>
          <w:iCs/>
          <w:sz w:val="22"/>
          <w:szCs w:val="22"/>
        </w:rPr>
        <w:t>et al.</w:t>
      </w:r>
      <w:r>
        <w:rPr>
          <w:rFonts w:ascii="Arial" w:hAnsi="Arial"/>
          <w:sz w:val="22"/>
          <w:szCs w:val="22"/>
        </w:rPr>
        <w:t xml:space="preserve">, 2018). Situational leadership underlines the need for adaptability, demanding leaders to adjust their approach accordingly to the context, team capacity, and level of urgency (Sfantou </w:t>
      </w:r>
      <w:r>
        <w:rPr>
          <w:rFonts w:ascii="Arial" w:hAnsi="Arial"/>
          <w:i/>
          <w:iCs/>
          <w:sz w:val="22"/>
          <w:szCs w:val="22"/>
        </w:rPr>
        <w:t>et al</w:t>
      </w:r>
      <w:r>
        <w:rPr>
          <w:rFonts w:ascii="Arial" w:hAnsi="Arial"/>
          <w:sz w:val="22"/>
          <w:szCs w:val="22"/>
        </w:rPr>
        <w:t xml:space="preserve">., 2017). Choosing an appropriate leadership style is critical to manage clinical risks and respond to </w:t>
      </w:r>
      <w:r>
        <w:rPr>
          <w:rFonts w:ascii="Arial" w:hAnsi="Arial"/>
          <w:sz w:val="22"/>
          <w:szCs w:val="22"/>
        </w:rPr>
        <w:lastRenderedPageBreak/>
        <w:t xml:space="preserve">patient safety incidents, as an effective leadership style fosters timely decision-making, transparent communication, and coordinated responses (West </w:t>
      </w:r>
      <w:r>
        <w:rPr>
          <w:rFonts w:ascii="Arial" w:hAnsi="Arial"/>
          <w:i/>
          <w:iCs/>
          <w:sz w:val="22"/>
          <w:szCs w:val="22"/>
        </w:rPr>
        <w:t>et al</w:t>
      </w:r>
      <w:r>
        <w:rPr>
          <w:rFonts w:ascii="Arial" w:hAnsi="Arial"/>
          <w:sz w:val="22"/>
          <w:szCs w:val="22"/>
        </w:rPr>
        <w:t xml:space="preserve">., 2017; Carayon </w:t>
      </w:r>
      <w:r>
        <w:rPr>
          <w:rFonts w:ascii="Arial" w:hAnsi="Arial"/>
          <w:i/>
          <w:iCs/>
          <w:sz w:val="22"/>
          <w:szCs w:val="22"/>
        </w:rPr>
        <w:t>et al</w:t>
      </w:r>
      <w:r>
        <w:rPr>
          <w:rFonts w:ascii="Arial" w:hAnsi="Arial"/>
          <w:sz w:val="22"/>
          <w:szCs w:val="22"/>
        </w:rPr>
        <w:t>., 2020). As outlined in the assessment guide, leadership is vital to address system vulnerabilities and improve accountability in healthcare organisations.</w:t>
      </w:r>
      <w:r>
        <w:rPr>
          <w:rFonts w:ascii="Arial" w:hAnsi="Arial"/>
          <w:sz w:val="22"/>
          <w:szCs w:val="22"/>
        </w:rPr>
        <w:br/>
        <w:t>This report will examine the case study by exploring leadership challenges, communication breakdowns, and systemic issues that led to the incident. It will evaluate how leadership styles impact patient safety and organisational performance and propose strategies to reduce the risk associated with medication errors.</w:t>
      </w:r>
    </w:p>
    <w:p w14:paraId="46672071" w14:textId="77777777" w:rsidR="00D3322E" w:rsidRDefault="00D3322E" w:rsidP="00D3322E">
      <w:pPr>
        <w:pStyle w:val="BodyText"/>
        <w:spacing w:after="0" w:line="360" w:lineRule="auto"/>
        <w:jc w:val="both"/>
        <w:rPr>
          <w:rFonts w:ascii="Arial" w:hAnsi="Arial"/>
          <w:sz w:val="22"/>
          <w:szCs w:val="22"/>
        </w:rPr>
      </w:pPr>
    </w:p>
    <w:p w14:paraId="7D5463B7" w14:textId="77777777" w:rsidR="00D3322E" w:rsidRDefault="00D3322E" w:rsidP="00D3322E">
      <w:pPr>
        <w:pStyle w:val="BodyText"/>
        <w:spacing w:after="0" w:line="360" w:lineRule="auto"/>
        <w:jc w:val="both"/>
        <w:rPr>
          <w:rFonts w:ascii="Arial" w:hAnsi="Arial"/>
          <w:b/>
          <w:bCs/>
        </w:rPr>
      </w:pPr>
      <w:r>
        <w:rPr>
          <w:rFonts w:ascii="Arial" w:hAnsi="Arial"/>
          <w:b/>
          <w:bCs/>
        </w:rPr>
        <w:t>2. Identifying the Problem Using Systems Thinking</w:t>
      </w:r>
    </w:p>
    <w:p w14:paraId="29826D6D" w14:textId="77777777" w:rsidR="00D3322E" w:rsidRDefault="00D3322E" w:rsidP="00D3322E">
      <w:pPr>
        <w:pStyle w:val="BodyText"/>
        <w:spacing w:after="0" w:line="360" w:lineRule="auto"/>
        <w:jc w:val="both"/>
        <w:rPr>
          <w:rFonts w:ascii="Arial" w:hAnsi="Arial"/>
          <w:b/>
          <w:bCs/>
        </w:rPr>
      </w:pPr>
    </w:p>
    <w:p w14:paraId="0BACB183" w14:textId="113FF0F4"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Len’s case reveals a </w:t>
      </w:r>
      <w:r w:rsidR="004F5E55">
        <w:rPr>
          <w:rFonts w:ascii="Arial" w:hAnsi="Arial"/>
          <w:sz w:val="22"/>
          <w:szCs w:val="22"/>
        </w:rPr>
        <w:t>serious shortcoming</w:t>
      </w:r>
      <w:r>
        <w:rPr>
          <w:rFonts w:ascii="Arial" w:hAnsi="Arial"/>
          <w:sz w:val="22"/>
          <w:szCs w:val="22"/>
        </w:rPr>
        <w:t xml:space="preserve"> in patient safety, linked to medication management, poor communication, and systemic deficiencies in health and social care services. In this situation, the main issue can be characterised as an involuntary morphine overdose, resulting as a consequence of</w:t>
      </w:r>
      <w:r w:rsidR="00EE2834">
        <w:rPr>
          <w:rFonts w:ascii="Arial" w:hAnsi="Arial"/>
          <w:sz w:val="22"/>
          <w:szCs w:val="22"/>
        </w:rPr>
        <w:t xml:space="preserve"> </w:t>
      </w:r>
      <w:r>
        <w:rPr>
          <w:rFonts w:ascii="Arial" w:hAnsi="Arial"/>
          <w:sz w:val="22"/>
          <w:szCs w:val="22"/>
        </w:rPr>
        <w:t xml:space="preserve">unclear medication instructions, poor communication, and insufficient safety safeguards at the system level, which have ultimately resulted in clinical complications and death. While the immediate cause seems to be a misunderstanding between the patient and her caregiver, systems reasoning demonstrates that the issue goes beyond an individual error and reflects broader organisational and structural failures (Carayon </w:t>
      </w:r>
      <w:r>
        <w:rPr>
          <w:rFonts w:ascii="Arial" w:hAnsi="Arial"/>
          <w:i/>
          <w:iCs/>
          <w:sz w:val="22"/>
          <w:szCs w:val="22"/>
        </w:rPr>
        <w:t>et al.</w:t>
      </w:r>
      <w:r>
        <w:rPr>
          <w:rFonts w:ascii="Arial" w:hAnsi="Arial"/>
          <w:sz w:val="22"/>
          <w:szCs w:val="22"/>
        </w:rPr>
        <w:t xml:space="preserve">, 2020; WHO, 2017). Systems reasoning highlights the fact that adverse health events are rarely caused by a sole </w:t>
      </w:r>
      <w:r w:rsidR="00563AF2">
        <w:rPr>
          <w:rFonts w:ascii="Arial" w:hAnsi="Arial"/>
          <w:sz w:val="22"/>
          <w:szCs w:val="22"/>
        </w:rPr>
        <w:t>factor but</w:t>
      </w:r>
      <w:r>
        <w:rPr>
          <w:rFonts w:ascii="Arial" w:hAnsi="Arial"/>
          <w:sz w:val="22"/>
          <w:szCs w:val="22"/>
        </w:rPr>
        <w:t xml:space="preserve"> arise from interactions among multiple elements of a complex system, such as people, processes, technologies, and organisational structures (Carayon </w:t>
      </w:r>
      <w:r>
        <w:rPr>
          <w:rFonts w:ascii="Arial" w:hAnsi="Arial"/>
          <w:i/>
          <w:iCs/>
          <w:sz w:val="22"/>
          <w:szCs w:val="22"/>
        </w:rPr>
        <w:t>et al.</w:t>
      </w:r>
      <w:r>
        <w:rPr>
          <w:rFonts w:ascii="Arial" w:hAnsi="Arial"/>
          <w:sz w:val="22"/>
          <w:szCs w:val="22"/>
        </w:rPr>
        <w:t>, 2020).</w:t>
      </w:r>
    </w:p>
    <w:p w14:paraId="1C24AC8E" w14:textId="77777777" w:rsidR="00563AF2" w:rsidRDefault="00563AF2" w:rsidP="00D3322E">
      <w:pPr>
        <w:pStyle w:val="BodyText"/>
        <w:spacing w:after="0" w:line="360" w:lineRule="auto"/>
        <w:jc w:val="both"/>
        <w:rPr>
          <w:rFonts w:ascii="Arial" w:hAnsi="Arial"/>
          <w:sz w:val="22"/>
          <w:szCs w:val="22"/>
        </w:rPr>
      </w:pPr>
    </w:p>
    <w:p w14:paraId="7B22A9EE"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2.1. Harms Associated with Medication</w:t>
      </w:r>
    </w:p>
    <w:p w14:paraId="7BDE0A44" w14:textId="03535CC3"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The harms associated with medication are recognised globally as a significant challenge in patient safety. Based on the World Health Organization, an estimated 1 in 10 patients will experience an adverse event during hospital care, with medication errors representing a significant proportion of these incidents (WHO, 2017). In UK context, according to the NHS, approximately 237 million medication errors occur annually, most of which are preventable and associated with systemic failures, rather than individual mistakes (Elliott </w:t>
      </w:r>
      <w:r>
        <w:rPr>
          <w:rFonts w:ascii="Arial" w:hAnsi="Arial"/>
          <w:i/>
          <w:iCs/>
          <w:sz w:val="22"/>
          <w:szCs w:val="22"/>
        </w:rPr>
        <w:t>et al.</w:t>
      </w:r>
      <w:r>
        <w:rPr>
          <w:rFonts w:ascii="Arial" w:hAnsi="Arial"/>
          <w:sz w:val="22"/>
          <w:szCs w:val="22"/>
        </w:rPr>
        <w:t xml:space="preserve">, 2018). Moreover, patient safety studies supported by Institute for Healthcare Improvement, suggest that medical errors are still one of the main causes for preventable harm worldwide, which highlights the urgent need to improve safety systems and leadership approaches (IHI, 2020). These statistics suggest that Len's case is not an isolated </w:t>
      </w:r>
      <w:r w:rsidR="00563AF2">
        <w:rPr>
          <w:rFonts w:ascii="Arial" w:hAnsi="Arial"/>
          <w:sz w:val="22"/>
          <w:szCs w:val="22"/>
        </w:rPr>
        <w:t>event but</w:t>
      </w:r>
      <w:r>
        <w:rPr>
          <w:rFonts w:ascii="Arial" w:hAnsi="Arial"/>
          <w:sz w:val="22"/>
          <w:szCs w:val="22"/>
        </w:rPr>
        <w:t xml:space="preserve"> rather reflects a wider systemic problem in healthcare delivery.</w:t>
      </w:r>
    </w:p>
    <w:p w14:paraId="103CC7D2"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lastRenderedPageBreak/>
        <w:tab/>
        <w:t xml:space="preserve">From a systems perspective, several interconnected shortcomings contributed to the incident. Firstly, the lack of communication between healthcare professionals and the patient is a significant factor. The instructions regarding morphine administration remained unclear, which indicates a failure in ensuring the patient's understanding and safe communication on discharge (Manias </w:t>
      </w:r>
      <w:r>
        <w:rPr>
          <w:rFonts w:ascii="Arial" w:hAnsi="Arial"/>
          <w:i/>
          <w:iCs/>
          <w:sz w:val="22"/>
          <w:szCs w:val="22"/>
        </w:rPr>
        <w:t>et al</w:t>
      </w:r>
      <w:r>
        <w:rPr>
          <w:rFonts w:ascii="Arial" w:hAnsi="Arial"/>
          <w:sz w:val="22"/>
          <w:szCs w:val="22"/>
        </w:rPr>
        <w:t xml:space="preserve">., 2020). In the second place, there was a lack of efficient safety mechanisms, such as checks and balances or follow-up support, which would have been able to identify an error in dosage, prior to causing harm. Third, the case highlights improper accountability and coordination among care units, especially between primary care, hospital services, and home care. This fragmented approach increases the possibility to lose information, and the risk of patient misunderstanding during care transition (Carayon </w:t>
      </w:r>
      <w:r>
        <w:rPr>
          <w:rFonts w:ascii="Arial" w:hAnsi="Arial"/>
          <w:i/>
          <w:iCs/>
          <w:sz w:val="22"/>
          <w:szCs w:val="22"/>
        </w:rPr>
        <w:t>et al.</w:t>
      </w:r>
      <w:r>
        <w:rPr>
          <w:rFonts w:ascii="Arial" w:hAnsi="Arial"/>
          <w:sz w:val="22"/>
          <w:szCs w:val="22"/>
        </w:rPr>
        <w:t xml:space="preserve">, 2020). Furthermore, poor training and patient education also contributed to this outcome. Patients and carers handling high-risk medications require clear, accessible guidance and checking on understanding, especially among the older population with multiple medical conditions. Without structured education and confirmation processes, there is a significant increase in risk of incorrect medication use (Manias </w:t>
      </w:r>
      <w:r>
        <w:rPr>
          <w:rFonts w:ascii="Arial" w:hAnsi="Arial"/>
          <w:i/>
          <w:iCs/>
          <w:sz w:val="22"/>
          <w:szCs w:val="22"/>
        </w:rPr>
        <w:t>et al.</w:t>
      </w:r>
      <w:r>
        <w:rPr>
          <w:rFonts w:ascii="Arial" w:hAnsi="Arial"/>
          <w:sz w:val="22"/>
          <w:szCs w:val="22"/>
        </w:rPr>
        <w:t xml:space="preserve">, 2020). </w:t>
      </w:r>
    </w:p>
    <w:p w14:paraId="18F12CBF" w14:textId="77777777" w:rsidR="00563AF2" w:rsidRDefault="00563AF2" w:rsidP="00D3322E">
      <w:pPr>
        <w:pStyle w:val="BodyText"/>
        <w:spacing w:after="0" w:line="360" w:lineRule="auto"/>
        <w:jc w:val="both"/>
        <w:rPr>
          <w:rFonts w:ascii="Arial" w:hAnsi="Arial"/>
          <w:sz w:val="22"/>
          <w:szCs w:val="22"/>
        </w:rPr>
      </w:pPr>
    </w:p>
    <w:p w14:paraId="06CA732C" w14:textId="77777777" w:rsidR="00D3322E" w:rsidRDefault="00D3322E" w:rsidP="00D3322E">
      <w:pPr>
        <w:pStyle w:val="BodyText"/>
        <w:spacing w:after="0" w:line="360" w:lineRule="auto"/>
        <w:jc w:val="both"/>
        <w:rPr>
          <w:rFonts w:ascii="Arial" w:hAnsi="Arial"/>
          <w:b/>
          <w:bCs/>
          <w:sz w:val="22"/>
          <w:szCs w:val="22"/>
        </w:rPr>
      </w:pPr>
      <w:r>
        <w:rPr>
          <w:rFonts w:ascii="Arial" w:hAnsi="Arial"/>
          <w:b/>
          <w:bCs/>
          <w:sz w:val="22"/>
          <w:szCs w:val="22"/>
        </w:rPr>
        <w:tab/>
        <w:t>2.2 Link to Rich Picture</w:t>
      </w:r>
    </w:p>
    <w:p w14:paraId="1FB11516" w14:textId="64F8C481"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Absence of these safety measures indicates a system that depends too much on patient understanding, rather than on strong communication protocols. These system weaknesses can be understood better by developing a Rich Picture, which visually represents how complex interactions are in healthcare systems. Main players in this case </w:t>
      </w:r>
      <w:r w:rsidR="00AE0877">
        <w:rPr>
          <w:rFonts w:ascii="Arial" w:hAnsi="Arial"/>
          <w:sz w:val="22"/>
          <w:szCs w:val="22"/>
        </w:rPr>
        <w:t>are</w:t>
      </w:r>
      <w:r>
        <w:rPr>
          <w:rFonts w:ascii="Arial" w:hAnsi="Arial"/>
          <w:sz w:val="22"/>
          <w:szCs w:val="22"/>
        </w:rPr>
        <w:t xml:space="preserve"> general practitioners, hospital doctors, pharmacists, patients and their caregivers, as well as administrators in the healthcare field, who are responsible for policy and governance. These processes include writing prescriptions, providing medication, informing patients, and monitoring (Gerlach </w:t>
      </w:r>
      <w:r>
        <w:rPr>
          <w:rFonts w:ascii="Arial" w:hAnsi="Arial"/>
          <w:i/>
          <w:iCs/>
          <w:sz w:val="22"/>
          <w:szCs w:val="22"/>
        </w:rPr>
        <w:t>et al.</w:t>
      </w:r>
      <w:r>
        <w:rPr>
          <w:rFonts w:ascii="Arial" w:hAnsi="Arial"/>
          <w:sz w:val="22"/>
          <w:szCs w:val="22"/>
        </w:rPr>
        <w:t xml:space="preserve">, 2020). Failures in these processes, particularly during the discharge and communication phases, have contributed to </w:t>
      </w:r>
      <w:r w:rsidR="00EE2834">
        <w:rPr>
          <w:rFonts w:ascii="Arial" w:hAnsi="Arial"/>
          <w:sz w:val="22"/>
          <w:szCs w:val="22"/>
        </w:rPr>
        <w:t>this adverse outcome</w:t>
      </w:r>
      <w:r>
        <w:rPr>
          <w:rFonts w:ascii="Arial" w:hAnsi="Arial"/>
          <w:sz w:val="22"/>
          <w:szCs w:val="22"/>
        </w:rPr>
        <w:t>.</w:t>
      </w:r>
    </w:p>
    <w:p w14:paraId="15ACE643" w14:textId="77777777" w:rsidR="00563AF2" w:rsidRDefault="00563AF2" w:rsidP="00D3322E">
      <w:pPr>
        <w:pStyle w:val="BodyText"/>
        <w:spacing w:after="0" w:line="360" w:lineRule="auto"/>
        <w:jc w:val="both"/>
        <w:rPr>
          <w:rFonts w:ascii="Arial" w:hAnsi="Arial"/>
          <w:sz w:val="22"/>
          <w:szCs w:val="22"/>
        </w:rPr>
      </w:pPr>
    </w:p>
    <w:p w14:paraId="6782A60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2.3 Feedback Loops</w:t>
      </w:r>
    </w:p>
    <w:p w14:paraId="1A27A3B3" w14:textId="77777777" w:rsidR="00D3322E" w:rsidRDefault="00D3322E" w:rsidP="00D3322E">
      <w:pPr>
        <w:pStyle w:val="BodyText"/>
        <w:spacing w:after="0" w:line="360" w:lineRule="auto"/>
        <w:jc w:val="both"/>
        <w:rPr>
          <w:rFonts w:ascii="Arial" w:hAnsi="Arial"/>
          <w:b/>
          <w:bCs/>
        </w:rPr>
      </w:pPr>
      <w:r>
        <w:rPr>
          <w:rStyle w:val="Strong"/>
          <w:rFonts w:ascii="Arial" w:hAnsi="Arial"/>
          <w:b w:val="0"/>
          <w:bCs w:val="0"/>
          <w:sz w:val="22"/>
          <w:szCs w:val="22"/>
        </w:rPr>
        <w:tab/>
        <w:t xml:space="preserve"> Feedback loops, such as incident reporting systems, surveillance mechanisms, and clinical audits, seem to have been either inefficient or unavailable in preventing this situation from escalating. If a robust feedback system was in place, it would have been possible to identify the issues related to medication earlier (Peerally, 2021). Furthermore, the case involved significant emotional factors, such as patient vulnerability, caregiver anxiety, and perceived uncertainty among healthcare personnel, all of which can impact decision-making and communication quality. Lastly, structural elements, such as hierarchical systems, policy restrictions, and lack of integrated digital support systems, have further constrained effective coordination and safe practices.</w:t>
      </w:r>
    </w:p>
    <w:p w14:paraId="7DBFBF00" w14:textId="77777777" w:rsidR="00D3322E" w:rsidRDefault="00D3322E" w:rsidP="00D3322E">
      <w:pPr>
        <w:pStyle w:val="BodyText"/>
        <w:spacing w:after="0" w:line="360" w:lineRule="auto"/>
        <w:jc w:val="both"/>
        <w:rPr>
          <w:rFonts w:ascii="Arial" w:hAnsi="Arial"/>
          <w:b/>
          <w:bCs/>
        </w:rPr>
      </w:pPr>
      <w:r>
        <w:rPr>
          <w:rStyle w:val="Strong"/>
          <w:rFonts w:ascii="Arial" w:hAnsi="Arial"/>
          <w:b w:val="0"/>
          <w:bCs w:val="0"/>
          <w:sz w:val="22"/>
          <w:szCs w:val="22"/>
        </w:rPr>
        <w:lastRenderedPageBreak/>
        <w:tab/>
        <w:t xml:space="preserve">It is essential to highlight that this incident demonstrates that failure was not solely due to individual misunderstanding, but more likely a combination of passive systemic vulnerabilities and active failures. Thus, systems thinking moves the focus from placing blame on individuals to an understanding of how organisational structure, communication processes, and leadership styles contribute to a given risk (Carayon </w:t>
      </w:r>
      <w:r>
        <w:rPr>
          <w:rStyle w:val="Strong"/>
          <w:rFonts w:ascii="Arial" w:hAnsi="Arial"/>
          <w:b w:val="0"/>
          <w:bCs w:val="0"/>
          <w:i/>
          <w:iCs/>
          <w:sz w:val="22"/>
          <w:szCs w:val="22"/>
        </w:rPr>
        <w:t>et al.</w:t>
      </w:r>
      <w:r>
        <w:rPr>
          <w:rStyle w:val="Strong"/>
          <w:rFonts w:ascii="Arial" w:hAnsi="Arial"/>
          <w:b w:val="0"/>
          <w:bCs w:val="0"/>
          <w:sz w:val="22"/>
          <w:szCs w:val="22"/>
        </w:rPr>
        <w:t>, 2020). The absence of clear communication protocols, insufficient safety checks, and insufficient patient-centred education indicate gaps in management supervision and system governance.</w:t>
      </w:r>
    </w:p>
    <w:p w14:paraId="400F4CF3" w14:textId="77777777" w:rsidR="00D3322E" w:rsidRDefault="00D3322E" w:rsidP="00D3322E">
      <w:pPr>
        <w:pStyle w:val="BodyText"/>
        <w:spacing w:after="0" w:line="360" w:lineRule="auto"/>
        <w:jc w:val="both"/>
        <w:rPr>
          <w:rFonts w:ascii="Arial" w:hAnsi="Arial"/>
          <w:b/>
          <w:bCs/>
        </w:rPr>
      </w:pPr>
      <w:r>
        <w:rPr>
          <w:rStyle w:val="Strong"/>
          <w:rFonts w:ascii="Arial" w:hAnsi="Arial"/>
          <w:b w:val="0"/>
          <w:bCs w:val="0"/>
          <w:sz w:val="22"/>
          <w:szCs w:val="22"/>
        </w:rPr>
        <w:tab/>
        <w:t>To conclude, Len’s case demonstrates how medication errors arise from complex interactions in healthcare systems, rather than from individual mistakes. By applying systems thinking, it is clear that improvements must focus on communication processes, training, organisational structures, and safety mechanisms. This approach is in line with global priorities for patient safety, which focus on designing resilient systems, minimising the risk of medical errors, and supporting a consistent and safe provision of care (WHO, 2017).</w:t>
      </w:r>
    </w:p>
    <w:p w14:paraId="2607DA20" w14:textId="77777777" w:rsidR="00D3322E" w:rsidRDefault="00D3322E" w:rsidP="00D3322E">
      <w:pPr>
        <w:pStyle w:val="BodyText"/>
        <w:spacing w:after="0" w:line="360" w:lineRule="auto"/>
        <w:jc w:val="both"/>
        <w:rPr>
          <w:rFonts w:ascii="Arial" w:hAnsi="Arial"/>
          <w:b/>
          <w:bCs/>
        </w:rPr>
      </w:pPr>
    </w:p>
    <w:p w14:paraId="1647BAEB" w14:textId="77777777" w:rsidR="00D3322E" w:rsidRDefault="00D3322E" w:rsidP="00D3322E">
      <w:pPr>
        <w:pStyle w:val="BodyText"/>
        <w:spacing w:after="0" w:line="360" w:lineRule="auto"/>
        <w:jc w:val="both"/>
        <w:rPr>
          <w:rFonts w:ascii="Arial" w:hAnsi="Arial"/>
          <w:b/>
          <w:bCs/>
        </w:rPr>
      </w:pPr>
      <w:r>
        <w:rPr>
          <w:rStyle w:val="Strong"/>
          <w:rFonts w:ascii="Arial" w:hAnsi="Arial"/>
        </w:rPr>
        <w:t>3. Centralisation vs. Decentralisation</w:t>
      </w:r>
    </w:p>
    <w:p w14:paraId="58DA932D"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3.1 Understanding Centralisation and Decentralisation in Healthcare</w:t>
      </w:r>
    </w:p>
    <w:p w14:paraId="544CFBF7" w14:textId="77777777" w:rsidR="00D3322E" w:rsidRDefault="00D3322E" w:rsidP="00D3322E">
      <w:pPr>
        <w:spacing w:before="57" w:after="57" w:line="360" w:lineRule="auto"/>
        <w:jc w:val="both"/>
        <w:rPr>
          <w:rFonts w:ascii="Arial" w:hAnsi="Arial"/>
          <w:sz w:val="22"/>
          <w:szCs w:val="22"/>
        </w:rPr>
      </w:pPr>
      <w:r>
        <w:rPr>
          <w:rFonts w:ascii="Arial" w:hAnsi="Arial"/>
          <w:sz w:val="22"/>
          <w:szCs w:val="22"/>
        </w:rPr>
        <w:tab/>
        <w:t>Centralisation and decentralisation are two important organisational methods that affect how decisions are made and applied in healthcare systems (Dougherty</w:t>
      </w:r>
      <w:r>
        <w:rPr>
          <w:rFonts w:ascii="Arial" w:hAnsi="Arial"/>
          <w:i/>
          <w:iCs/>
          <w:sz w:val="22"/>
          <w:szCs w:val="22"/>
        </w:rPr>
        <w:t xml:space="preserve"> et al</w:t>
      </w:r>
      <w:r>
        <w:rPr>
          <w:rFonts w:ascii="Arial" w:hAnsi="Arial"/>
          <w:sz w:val="22"/>
          <w:szCs w:val="22"/>
        </w:rPr>
        <w:t xml:space="preserve">., 2019). Centralisation means that decision-making authority is concentrated at national or higher levels, encouraging consistency, standardisation, and regulatory control across all services. In contrast, decentralisation distributes authority to front line professionals, facilitating flexibility, the ability to respond, and the ability to adapt to the individual needs of the patients (Sfantou </w:t>
      </w:r>
      <w:r>
        <w:rPr>
          <w:rFonts w:ascii="Arial" w:hAnsi="Arial"/>
          <w:i/>
          <w:iCs/>
          <w:sz w:val="22"/>
          <w:szCs w:val="22"/>
        </w:rPr>
        <w:t>et al.</w:t>
      </w:r>
      <w:r>
        <w:rPr>
          <w:rFonts w:ascii="Arial" w:hAnsi="Arial"/>
          <w:sz w:val="22"/>
          <w:szCs w:val="22"/>
        </w:rPr>
        <w:t xml:space="preserve">, 2017; Specchia </w:t>
      </w:r>
      <w:r>
        <w:rPr>
          <w:rFonts w:ascii="Arial" w:hAnsi="Arial"/>
          <w:i/>
          <w:iCs/>
          <w:sz w:val="22"/>
          <w:szCs w:val="22"/>
        </w:rPr>
        <w:t>et al</w:t>
      </w:r>
      <w:r>
        <w:rPr>
          <w:rFonts w:ascii="Arial" w:hAnsi="Arial"/>
          <w:sz w:val="22"/>
          <w:szCs w:val="22"/>
        </w:rPr>
        <w:t>., 2021). In practice, health systems function through a combination of these approaches, and finding an effective balance between them, is essential to ensure the delivery of safe, high-quality medical care.</w:t>
      </w:r>
    </w:p>
    <w:p w14:paraId="3F9BA0F6" w14:textId="77777777" w:rsidR="00563AF2" w:rsidRDefault="00563AF2" w:rsidP="00D3322E">
      <w:pPr>
        <w:spacing w:before="57" w:after="57" w:line="360" w:lineRule="auto"/>
        <w:jc w:val="both"/>
        <w:rPr>
          <w:rFonts w:ascii="Arial" w:hAnsi="Arial"/>
          <w:sz w:val="22"/>
          <w:szCs w:val="22"/>
        </w:rPr>
      </w:pPr>
    </w:p>
    <w:p w14:paraId="286B0BAC" w14:textId="77777777" w:rsidR="00D3322E" w:rsidRDefault="00D3322E" w:rsidP="00D3322E">
      <w:pPr>
        <w:spacing w:before="57" w:after="57" w:line="360" w:lineRule="auto"/>
        <w:rPr>
          <w:rFonts w:ascii="Arial" w:hAnsi="Arial"/>
          <w:b/>
          <w:bCs/>
          <w:sz w:val="22"/>
          <w:szCs w:val="22"/>
        </w:rPr>
      </w:pPr>
      <w:r>
        <w:rPr>
          <w:rFonts w:ascii="Arial" w:hAnsi="Arial"/>
          <w:b/>
          <w:bCs/>
          <w:sz w:val="22"/>
          <w:szCs w:val="22"/>
        </w:rPr>
        <w:tab/>
        <w:t>3.2 Centralisation Failures in Len’s Case</w:t>
      </w:r>
    </w:p>
    <w:p w14:paraId="2DAB9044" w14:textId="6BAE2232" w:rsidR="00D3322E" w:rsidRDefault="00D3322E" w:rsidP="00D3322E">
      <w:pPr>
        <w:spacing w:line="360" w:lineRule="auto"/>
        <w:jc w:val="both"/>
        <w:rPr>
          <w:rFonts w:ascii="Arial" w:hAnsi="Arial"/>
          <w:sz w:val="22"/>
          <w:szCs w:val="22"/>
        </w:rPr>
      </w:pPr>
      <w:r>
        <w:rPr>
          <w:rFonts w:ascii="Arial" w:hAnsi="Arial"/>
          <w:sz w:val="22"/>
          <w:szCs w:val="22"/>
        </w:rPr>
        <w:tab/>
        <w:t xml:space="preserve">In Len’s case, several deficiencies related to centralisation contributed to a failure in medication management. From a national and organisational perspective, it appears that there was insufficient coordination in the communication associated with high-risk medications, such as oral morphine solution. Research indicates that vague labelling and inappropriate information given to patients, particularly among elderly people who manage their treatment at home independently, are major factors contributing to mistakes in medication (Manias </w:t>
      </w:r>
      <w:r>
        <w:rPr>
          <w:rFonts w:ascii="Arial" w:hAnsi="Arial"/>
          <w:i/>
          <w:iCs/>
          <w:sz w:val="22"/>
          <w:szCs w:val="22"/>
        </w:rPr>
        <w:t>et al</w:t>
      </w:r>
      <w:r>
        <w:rPr>
          <w:rFonts w:ascii="Arial" w:hAnsi="Arial"/>
          <w:sz w:val="22"/>
          <w:szCs w:val="22"/>
        </w:rPr>
        <w:t xml:space="preserve">., 2020; World Health Organization, 2017). Although health systems frequently establish national guidelines regarding safe prescribing and dispensing of </w:t>
      </w:r>
      <w:r>
        <w:rPr>
          <w:rFonts w:ascii="Arial" w:hAnsi="Arial"/>
          <w:sz w:val="22"/>
          <w:szCs w:val="22"/>
        </w:rPr>
        <w:lastRenderedPageBreak/>
        <w:t>medications, these guidelines are not always applied consistently in different circumstances, which leads to inconsistencies in safety practices.</w:t>
      </w:r>
      <w:r>
        <w:rPr>
          <w:rFonts w:ascii="Arial" w:hAnsi="Arial"/>
          <w:sz w:val="22"/>
          <w:szCs w:val="22"/>
        </w:rPr>
        <w:br/>
      </w:r>
      <w:r>
        <w:rPr>
          <w:rFonts w:ascii="Arial" w:hAnsi="Arial"/>
          <w:sz w:val="22"/>
          <w:szCs w:val="22"/>
        </w:rPr>
        <w:tab/>
        <w:t xml:space="preserve">Furthermore, centralised systems may sometimes depend heavily on uniform protocols, without properly considering the individual circumstances of each patient. In this case, the instructions for administering the medication were not adapted to Len's age, health status, or his dependence on </w:t>
      </w:r>
      <w:r w:rsidR="00D82A14">
        <w:rPr>
          <w:rFonts w:ascii="Arial" w:hAnsi="Arial"/>
          <w:sz w:val="22"/>
          <w:szCs w:val="22"/>
        </w:rPr>
        <w:t>caregivers</w:t>
      </w:r>
      <w:r>
        <w:rPr>
          <w:rFonts w:ascii="Arial" w:hAnsi="Arial"/>
          <w:sz w:val="22"/>
          <w:szCs w:val="22"/>
        </w:rPr>
        <w:t xml:space="preserve">. Evidence indicates that highly rigid centralised approaches can limit healthcare professionals' ability to adapt communication and care, especially when dealing with vulnerable groups or complex treatment schemes (Sfantou </w:t>
      </w:r>
      <w:r>
        <w:rPr>
          <w:rFonts w:ascii="Arial" w:hAnsi="Arial"/>
          <w:i/>
          <w:iCs/>
          <w:sz w:val="22"/>
          <w:szCs w:val="22"/>
        </w:rPr>
        <w:t>et al.</w:t>
      </w:r>
      <w:r>
        <w:rPr>
          <w:rFonts w:ascii="Arial" w:hAnsi="Arial"/>
          <w:sz w:val="22"/>
          <w:szCs w:val="22"/>
        </w:rPr>
        <w:t xml:space="preserve">, 2017; Carayon </w:t>
      </w:r>
      <w:r>
        <w:rPr>
          <w:rFonts w:ascii="Arial" w:hAnsi="Arial"/>
          <w:i/>
          <w:iCs/>
          <w:sz w:val="22"/>
          <w:szCs w:val="22"/>
        </w:rPr>
        <w:t>et al.</w:t>
      </w:r>
      <w:r>
        <w:rPr>
          <w:rFonts w:ascii="Arial" w:hAnsi="Arial"/>
          <w:sz w:val="22"/>
          <w:szCs w:val="22"/>
        </w:rPr>
        <w:t>, 2020). Therefore, although centralisation seeks to improve consistency, it can involuntarily contribute to risks when it fails to consider the specific needs of each patient.</w:t>
      </w:r>
    </w:p>
    <w:p w14:paraId="29CA3ED2" w14:textId="77777777" w:rsidR="00D3322E" w:rsidRDefault="00D3322E" w:rsidP="00D3322E">
      <w:pPr>
        <w:spacing w:line="360" w:lineRule="auto"/>
        <w:jc w:val="both"/>
        <w:rPr>
          <w:rFonts w:ascii="Arial" w:hAnsi="Arial"/>
          <w:sz w:val="22"/>
          <w:szCs w:val="22"/>
        </w:rPr>
      </w:pPr>
      <w:r>
        <w:rPr>
          <w:rFonts w:ascii="Arial" w:hAnsi="Arial"/>
          <w:sz w:val="22"/>
          <w:szCs w:val="22"/>
        </w:rPr>
        <w:tab/>
        <w:t xml:space="preserve">Another limitation of centralisation is the potential discrepancy between policy development and its implementation. Even when safety guidelines are in place, ineffective communication or monitoring may lead to inconsistent application at the front line. This indicates that centralised governance is insufficient, without mechanisms to assure the translation of these standards into everyday clinical practice (Specchia </w:t>
      </w:r>
      <w:r>
        <w:rPr>
          <w:rFonts w:ascii="Arial" w:hAnsi="Arial"/>
          <w:i/>
          <w:iCs/>
          <w:sz w:val="22"/>
          <w:szCs w:val="22"/>
        </w:rPr>
        <w:t>et al.</w:t>
      </w:r>
      <w:r>
        <w:rPr>
          <w:rFonts w:ascii="Arial" w:hAnsi="Arial"/>
          <w:sz w:val="22"/>
          <w:szCs w:val="22"/>
        </w:rPr>
        <w:t>, 2021).</w:t>
      </w:r>
    </w:p>
    <w:p w14:paraId="5D498C81" w14:textId="77777777" w:rsidR="00563AF2" w:rsidRDefault="00563AF2" w:rsidP="00D3322E">
      <w:pPr>
        <w:spacing w:line="360" w:lineRule="auto"/>
        <w:jc w:val="both"/>
        <w:rPr>
          <w:rFonts w:ascii="Arial" w:hAnsi="Arial"/>
          <w:sz w:val="22"/>
          <w:szCs w:val="22"/>
        </w:rPr>
      </w:pPr>
    </w:p>
    <w:p w14:paraId="4ED8C805"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3.3 Decentralisation Failures in Len’s Case</w:t>
      </w:r>
    </w:p>
    <w:p w14:paraId="6D7E3776" w14:textId="3B476302" w:rsidR="00D3322E" w:rsidRDefault="00D3322E" w:rsidP="00D3322E">
      <w:pPr>
        <w:spacing w:line="360" w:lineRule="auto"/>
        <w:jc w:val="both"/>
        <w:rPr>
          <w:rFonts w:ascii="Arial" w:hAnsi="Arial"/>
          <w:sz w:val="22"/>
          <w:szCs w:val="22"/>
        </w:rPr>
      </w:pPr>
      <w:r>
        <w:rPr>
          <w:rFonts w:ascii="Arial" w:hAnsi="Arial"/>
          <w:sz w:val="22"/>
          <w:szCs w:val="22"/>
        </w:rPr>
        <w:tab/>
        <w:t xml:space="preserve">In </w:t>
      </w:r>
      <w:r w:rsidR="006B202E">
        <w:rPr>
          <w:rFonts w:ascii="Arial" w:hAnsi="Arial"/>
          <w:sz w:val="22"/>
          <w:szCs w:val="22"/>
        </w:rPr>
        <w:t>addition,</w:t>
      </w:r>
      <w:r>
        <w:rPr>
          <w:rFonts w:ascii="Arial" w:hAnsi="Arial"/>
          <w:sz w:val="22"/>
          <w:szCs w:val="22"/>
        </w:rPr>
        <w:t xml:space="preserve"> the problems associated with centralisation, Len’s case also reveals significant weaknesses in decentralised care processes. These systems rely on front line healthcare staff to apply clinical judgement, communicate efficiently and ensure the patient understanding (Harrison </w:t>
      </w:r>
      <w:r>
        <w:rPr>
          <w:rFonts w:ascii="Arial" w:hAnsi="Arial"/>
          <w:i/>
          <w:iCs/>
          <w:sz w:val="22"/>
          <w:szCs w:val="22"/>
        </w:rPr>
        <w:t>et al</w:t>
      </w:r>
      <w:r>
        <w:rPr>
          <w:rFonts w:ascii="Arial" w:hAnsi="Arial"/>
          <w:sz w:val="22"/>
          <w:szCs w:val="22"/>
        </w:rPr>
        <w:t xml:space="preserve">., 2018). Nevertheless, in this situation, there was a noticeable absence of reliable local processes designed to check whether Len and his caregiver understood the correct dose of morphine. Studies highlight the importance of structural communication strategies, such as “teach-back” techniques and follow-up reviews, in minimising medication errors and improve patient knowledge (Manias </w:t>
      </w:r>
      <w:r>
        <w:rPr>
          <w:rFonts w:ascii="Arial" w:hAnsi="Arial"/>
          <w:i/>
          <w:iCs/>
          <w:sz w:val="22"/>
          <w:szCs w:val="22"/>
        </w:rPr>
        <w:t>et al.</w:t>
      </w:r>
      <w:r>
        <w:rPr>
          <w:rFonts w:ascii="Arial" w:hAnsi="Arial"/>
          <w:sz w:val="22"/>
          <w:szCs w:val="22"/>
        </w:rPr>
        <w:t>, 2020; Fleming, 2024). Absence of such practices suggests weaknesses in terms of local accountability and patient-centred care.</w:t>
      </w:r>
    </w:p>
    <w:p w14:paraId="1E22AD4B" w14:textId="77777777" w:rsidR="00D3322E" w:rsidRDefault="00D3322E" w:rsidP="00D3322E">
      <w:pPr>
        <w:spacing w:line="360" w:lineRule="auto"/>
        <w:jc w:val="both"/>
        <w:rPr>
          <w:rFonts w:ascii="Arial" w:hAnsi="Arial"/>
          <w:sz w:val="22"/>
          <w:szCs w:val="22"/>
        </w:rPr>
      </w:pPr>
      <w:r>
        <w:rPr>
          <w:rFonts w:ascii="Arial" w:hAnsi="Arial"/>
          <w:sz w:val="22"/>
          <w:szCs w:val="22"/>
        </w:rPr>
        <w:tab/>
        <w:t xml:space="preserve">In addition, decentralisation is dependent on effective coordination between different healthcare providers, such as general practitioners, hospital staff, and community services. In this case, the communication between these groups seems fragmented, thus increasing the probability of misunderstandings and reduce care continuity (Ohrling </w:t>
      </w:r>
      <w:r>
        <w:rPr>
          <w:rFonts w:ascii="Arial" w:hAnsi="Arial"/>
          <w:i/>
          <w:iCs/>
          <w:sz w:val="22"/>
          <w:szCs w:val="22"/>
        </w:rPr>
        <w:t>et al</w:t>
      </w:r>
      <w:r>
        <w:rPr>
          <w:rFonts w:ascii="Arial" w:hAnsi="Arial"/>
          <w:sz w:val="22"/>
          <w:szCs w:val="22"/>
        </w:rPr>
        <w:t xml:space="preserve">., 2021). The transitions between care settings are recognised as high-risk episodes in terms of medication errors, especially when information is not shared or consolidated properly (Carayon </w:t>
      </w:r>
      <w:r>
        <w:rPr>
          <w:rFonts w:ascii="Arial" w:hAnsi="Arial"/>
          <w:i/>
          <w:iCs/>
          <w:sz w:val="22"/>
          <w:szCs w:val="22"/>
        </w:rPr>
        <w:t>et al.,</w:t>
      </w:r>
      <w:r>
        <w:rPr>
          <w:rFonts w:ascii="Arial" w:hAnsi="Arial"/>
          <w:sz w:val="22"/>
          <w:szCs w:val="22"/>
        </w:rPr>
        <w:t xml:space="preserve"> 2020; Manias </w:t>
      </w:r>
      <w:r>
        <w:rPr>
          <w:rFonts w:ascii="Arial" w:hAnsi="Arial"/>
          <w:i/>
          <w:iCs/>
          <w:sz w:val="22"/>
          <w:szCs w:val="22"/>
        </w:rPr>
        <w:t>et al</w:t>
      </w:r>
      <w:r>
        <w:rPr>
          <w:rFonts w:ascii="Arial" w:hAnsi="Arial"/>
          <w:sz w:val="22"/>
          <w:szCs w:val="22"/>
        </w:rPr>
        <w:t>., 2020). This illustrates that decentralised systems rely significantly on solid communication protocols and well-defined responsibilities.</w:t>
      </w:r>
    </w:p>
    <w:p w14:paraId="335EE0CD" w14:textId="77777777" w:rsidR="00D3322E" w:rsidRDefault="00D3322E" w:rsidP="00D3322E">
      <w:pPr>
        <w:spacing w:line="360" w:lineRule="auto"/>
        <w:jc w:val="both"/>
        <w:rPr>
          <w:rFonts w:ascii="Arial" w:hAnsi="Arial"/>
          <w:sz w:val="22"/>
          <w:szCs w:val="22"/>
        </w:rPr>
      </w:pPr>
      <w:r>
        <w:rPr>
          <w:rFonts w:ascii="Arial" w:hAnsi="Arial"/>
          <w:sz w:val="22"/>
          <w:szCs w:val="22"/>
        </w:rPr>
        <w:lastRenderedPageBreak/>
        <w:tab/>
        <w:t xml:space="preserve">The absence of local safety mechanisms provides additional evidence regarding decentralisation failures. Such processes, such as double-checking medication prescriptions, pharmacist advice, or follow-up monitoring, were absent or ineffective in preventing medication errors. The evidence indicates this gaps in front line practices, can cause inconsistencies in patient safety, especially when local oversight or standardisation is limited (Specchia </w:t>
      </w:r>
      <w:r>
        <w:rPr>
          <w:rFonts w:ascii="Arial" w:hAnsi="Arial"/>
          <w:i/>
          <w:iCs/>
          <w:sz w:val="22"/>
          <w:szCs w:val="22"/>
        </w:rPr>
        <w:t>et al</w:t>
      </w:r>
      <w:r>
        <w:rPr>
          <w:rFonts w:ascii="Arial" w:hAnsi="Arial"/>
          <w:sz w:val="22"/>
          <w:szCs w:val="22"/>
        </w:rPr>
        <w:t>., 2021). Without clear responsibilities and structured procedures, decentralisation can create gaps in care, rather than an improved reaction.</w:t>
      </w:r>
    </w:p>
    <w:p w14:paraId="4031542E" w14:textId="77777777" w:rsidR="00563AF2" w:rsidRDefault="00563AF2" w:rsidP="00D3322E">
      <w:pPr>
        <w:spacing w:line="360" w:lineRule="auto"/>
        <w:jc w:val="both"/>
        <w:rPr>
          <w:rFonts w:ascii="Arial" w:hAnsi="Arial"/>
          <w:sz w:val="22"/>
          <w:szCs w:val="22"/>
        </w:rPr>
      </w:pPr>
    </w:p>
    <w:p w14:paraId="59E2E80C" w14:textId="77777777" w:rsidR="00D3322E" w:rsidRDefault="00D3322E" w:rsidP="00D3322E">
      <w:pPr>
        <w:spacing w:before="57" w:after="57" w:line="360" w:lineRule="auto"/>
        <w:rPr>
          <w:rFonts w:ascii="Arial" w:hAnsi="Arial"/>
          <w:sz w:val="22"/>
          <w:szCs w:val="22"/>
        </w:rPr>
      </w:pPr>
      <w:r>
        <w:rPr>
          <w:rStyle w:val="Strong"/>
          <w:rFonts w:ascii="Arial" w:hAnsi="Arial"/>
          <w:b w:val="0"/>
          <w:bCs w:val="0"/>
          <w:sz w:val="22"/>
          <w:szCs w:val="22"/>
        </w:rPr>
        <w:tab/>
      </w:r>
      <w:r>
        <w:rPr>
          <w:rStyle w:val="Strong"/>
          <w:rFonts w:ascii="Arial" w:hAnsi="Arial"/>
          <w:sz w:val="22"/>
          <w:szCs w:val="22"/>
        </w:rPr>
        <w:t>3.4 Balancing Centralisation and Decentralisation</w:t>
      </w:r>
    </w:p>
    <w:p w14:paraId="70ECEA73"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Len’s case illustrates how failures in centralised and decentralised systems contributed to the negative outcome. Centralised systems have failed to ensure a consistent implementation of medication safety standards, while decentralised systems have demonstrated deficiencies in monitoring, communication, and patient awareness practices. This disparity highlights the importance of governance integration with front line healthcare delivery.</w:t>
      </w:r>
    </w:p>
    <w:p w14:paraId="4BEB32AA"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An effective health system necessitates centralised policies that define clear safety standards, in combination with a decentralised approach that empowers healthcare practitioners to adapt these standards to the individual needs of patients. Research indicates that organisations that achieve this balance may be more likely to provide safe, appropriate, and high-quality care (Sfantou </w:t>
      </w:r>
      <w:r>
        <w:rPr>
          <w:rStyle w:val="Strong"/>
          <w:rFonts w:ascii="Arial" w:hAnsi="Arial"/>
          <w:b w:val="0"/>
          <w:bCs w:val="0"/>
          <w:i/>
          <w:iCs/>
          <w:sz w:val="22"/>
          <w:szCs w:val="22"/>
        </w:rPr>
        <w:t>et al</w:t>
      </w:r>
      <w:r>
        <w:rPr>
          <w:rStyle w:val="Strong"/>
          <w:rFonts w:ascii="Arial" w:hAnsi="Arial"/>
          <w:b w:val="0"/>
          <w:bCs w:val="0"/>
          <w:sz w:val="22"/>
          <w:szCs w:val="22"/>
        </w:rPr>
        <w:t xml:space="preserve">., 2017; Specchia </w:t>
      </w:r>
      <w:r>
        <w:rPr>
          <w:rStyle w:val="Strong"/>
          <w:rFonts w:ascii="Arial" w:hAnsi="Arial"/>
          <w:b w:val="0"/>
          <w:bCs w:val="0"/>
          <w:i/>
          <w:iCs/>
          <w:sz w:val="22"/>
          <w:szCs w:val="22"/>
        </w:rPr>
        <w:t>et al.</w:t>
      </w:r>
      <w:r>
        <w:rPr>
          <w:rStyle w:val="Strong"/>
          <w:rFonts w:ascii="Arial" w:hAnsi="Arial"/>
          <w:b w:val="0"/>
          <w:bCs w:val="0"/>
          <w:sz w:val="22"/>
          <w:szCs w:val="22"/>
        </w:rPr>
        <w:t>, 2021). Therefore, strengthening both levels of the system, is essential to reduce the risks associated with medication and improve patient outcomes.</w:t>
      </w:r>
      <w:r>
        <w:rPr>
          <w:rFonts w:ascii="Arial" w:hAnsi="Arial"/>
          <w:sz w:val="22"/>
          <w:szCs w:val="22"/>
        </w:rPr>
        <w:br/>
      </w:r>
      <w:r>
        <w:rPr>
          <w:rStyle w:val="Strong"/>
          <w:rFonts w:ascii="Arial" w:hAnsi="Arial"/>
          <w:b w:val="0"/>
          <w:bCs w:val="0"/>
          <w:sz w:val="22"/>
          <w:szCs w:val="22"/>
        </w:rPr>
        <w:tab/>
        <w:t>In conclusion, the case demonstrates that neither centralisation nor decentralisation, on their own, are enough to guarantee patient safety. Centralised governance must be backed up by efficient implementation and monitoring, while decentralised care must be strengthened through clear communication, responsibility and structured safety processes. An approach that balances these two aspects is essential to prevent similar incidents and improve the quality and safety of healthcare delivery in general.</w:t>
      </w:r>
    </w:p>
    <w:p w14:paraId="19038B63" w14:textId="77777777" w:rsidR="00D3322E" w:rsidRDefault="00D3322E" w:rsidP="00D3322E">
      <w:pPr>
        <w:pStyle w:val="BodyText"/>
        <w:spacing w:after="0" w:line="360" w:lineRule="auto"/>
        <w:jc w:val="both"/>
        <w:rPr>
          <w:rStyle w:val="Strong"/>
          <w:rFonts w:hint="eastAsia"/>
        </w:rPr>
      </w:pPr>
    </w:p>
    <w:p w14:paraId="38071075" w14:textId="77777777" w:rsidR="00D3322E" w:rsidRDefault="00D3322E" w:rsidP="00D3322E">
      <w:pPr>
        <w:pStyle w:val="BodyText"/>
        <w:spacing w:after="0" w:line="360" w:lineRule="auto"/>
        <w:jc w:val="both"/>
        <w:rPr>
          <w:rFonts w:hint="eastAsia"/>
        </w:rPr>
      </w:pPr>
      <w:r>
        <w:rPr>
          <w:rFonts w:ascii="Arial" w:hAnsi="Arial"/>
          <w:b/>
          <w:bCs/>
        </w:rPr>
        <w:t>4</w:t>
      </w:r>
      <w:r>
        <w:rPr>
          <w:rStyle w:val="Strong"/>
          <w:rFonts w:ascii="Arial" w:hAnsi="Arial"/>
        </w:rPr>
        <w:t>. Leadership Theory Application</w:t>
      </w:r>
    </w:p>
    <w:p w14:paraId="020F3AE4" w14:textId="77777777" w:rsidR="00D3322E" w:rsidRDefault="00D3322E" w:rsidP="00D3322E">
      <w:pPr>
        <w:pStyle w:val="BodyText"/>
        <w:spacing w:after="0" w:line="360" w:lineRule="auto"/>
        <w:jc w:val="both"/>
        <w:rPr>
          <w:rStyle w:val="Strong"/>
          <w:rFonts w:hint="eastAsia"/>
        </w:rPr>
      </w:pPr>
    </w:p>
    <w:p w14:paraId="1D52DCE6" w14:textId="77777777" w:rsidR="00D3322E" w:rsidRDefault="00D3322E" w:rsidP="00D3322E">
      <w:pPr>
        <w:pStyle w:val="BodyText"/>
        <w:spacing w:after="0" w:line="360" w:lineRule="auto"/>
        <w:jc w:val="both"/>
        <w:rPr>
          <w:rFonts w:hint="eastAsia"/>
          <w:sz w:val="22"/>
          <w:szCs w:val="22"/>
        </w:rPr>
      </w:pPr>
      <w:r>
        <w:rPr>
          <w:rFonts w:ascii="Arial" w:hAnsi="Arial"/>
          <w:sz w:val="22"/>
          <w:szCs w:val="22"/>
        </w:rPr>
        <w:tab/>
      </w:r>
      <w:r>
        <w:rPr>
          <w:rFonts w:ascii="Arial" w:hAnsi="Arial"/>
          <w:b/>
          <w:bCs/>
          <w:sz w:val="22"/>
          <w:szCs w:val="22"/>
        </w:rPr>
        <w:t>4.1 Leadership Context in Len’s Case</w:t>
      </w:r>
    </w:p>
    <w:p w14:paraId="7FB0E9D6" w14:textId="4A0B2CFA" w:rsidR="006B20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Len’s case highlights how leadership influences health outcomes, especially in terms of communication, treatment management, and system planning. Leadership in healthcare is more than just a management role, it occurs at multiple levels, influencing how professionals communicate, make decisions, and cope with risks. In this case, an absence of clear </w:t>
      </w:r>
      <w:r>
        <w:rPr>
          <w:rFonts w:ascii="Arial" w:hAnsi="Arial"/>
          <w:sz w:val="22"/>
          <w:szCs w:val="22"/>
        </w:rPr>
        <w:lastRenderedPageBreak/>
        <w:t xml:space="preserve">communication, efficient patient education, and structured safety processes suggest that leadership practices were not adequately aligned with principles of safe, person-centred care (West </w:t>
      </w:r>
      <w:r>
        <w:rPr>
          <w:rFonts w:ascii="Arial" w:hAnsi="Arial"/>
          <w:i/>
          <w:iCs/>
          <w:sz w:val="22"/>
          <w:szCs w:val="22"/>
        </w:rPr>
        <w:t>et al</w:t>
      </w:r>
      <w:r>
        <w:rPr>
          <w:rFonts w:ascii="Arial" w:hAnsi="Arial"/>
          <w:sz w:val="22"/>
          <w:szCs w:val="22"/>
        </w:rPr>
        <w:t xml:space="preserve">., 2017; Carayon </w:t>
      </w:r>
      <w:r>
        <w:rPr>
          <w:rFonts w:ascii="Arial" w:hAnsi="Arial"/>
          <w:i/>
          <w:iCs/>
          <w:sz w:val="22"/>
          <w:szCs w:val="22"/>
        </w:rPr>
        <w:t>et al.</w:t>
      </w:r>
      <w:r>
        <w:rPr>
          <w:rFonts w:ascii="Arial" w:hAnsi="Arial"/>
          <w:sz w:val="22"/>
          <w:szCs w:val="22"/>
        </w:rPr>
        <w:t>, 2020).  Applying leadership theories offers a structured method to examine how different approaches may contribute to or prevent adverse outcomes</w:t>
      </w:r>
      <w:r w:rsidR="00D77BB2">
        <w:rPr>
          <w:rFonts w:ascii="Arial" w:hAnsi="Arial"/>
          <w:sz w:val="22"/>
          <w:szCs w:val="22"/>
        </w:rPr>
        <w:t>.</w:t>
      </w:r>
    </w:p>
    <w:p w14:paraId="5651C570"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4.2 Great Man and Trait Theory Perspectives</w:t>
      </w:r>
    </w:p>
    <w:p w14:paraId="1A1030E8"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"Great man" theory suggests that leadership relies on people who have authority, experience, and strong decision-making abilities. In healthcare, this might involve skilled practitioners who coordinate medical care and deal with critical decisions. Although such a leadership style may be efficient in situations of emergency or high pressure, it is less efficient in addressing complex systemic issues, including medication safety (Specchia </w:t>
      </w:r>
      <w:r>
        <w:rPr>
          <w:rFonts w:ascii="Arial" w:hAnsi="Arial"/>
          <w:i/>
          <w:iCs/>
          <w:sz w:val="22"/>
          <w:szCs w:val="22"/>
        </w:rPr>
        <w:t>et al.</w:t>
      </w:r>
      <w:r>
        <w:rPr>
          <w:rFonts w:ascii="Arial" w:hAnsi="Arial"/>
          <w:sz w:val="22"/>
          <w:szCs w:val="22"/>
        </w:rPr>
        <w:t xml:space="preserve">, 2021; West </w:t>
      </w:r>
      <w:r>
        <w:rPr>
          <w:rFonts w:ascii="Arial" w:hAnsi="Arial"/>
          <w:i/>
          <w:iCs/>
          <w:sz w:val="22"/>
          <w:szCs w:val="22"/>
        </w:rPr>
        <w:t>et al.,</w:t>
      </w:r>
      <w:r>
        <w:rPr>
          <w:rFonts w:ascii="Arial" w:hAnsi="Arial"/>
          <w:sz w:val="22"/>
          <w:szCs w:val="22"/>
        </w:rPr>
        <w:t xml:space="preserve"> 2017). In Len’s case, there is no indication that strong individual leadership provided safe discharge procedures or understanding for the patient, which suggests that relying on individual authority alone was inappropriate.</w:t>
      </w:r>
    </w:p>
    <w:p w14:paraId="7A30F83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Trait theory highlights personal characteristics, such as empathy, communication skills, and emotional intelligence. Studies indicate that leaders who possess these qualities contribute to a better team environment and positive outcomes for patients (Alilyyani </w:t>
      </w:r>
      <w:r>
        <w:rPr>
          <w:rFonts w:ascii="Arial" w:hAnsi="Arial"/>
          <w:i/>
          <w:iCs/>
          <w:sz w:val="22"/>
          <w:szCs w:val="22"/>
        </w:rPr>
        <w:t>et al</w:t>
      </w:r>
      <w:r>
        <w:rPr>
          <w:rFonts w:ascii="Arial" w:hAnsi="Arial"/>
          <w:sz w:val="22"/>
          <w:szCs w:val="22"/>
        </w:rPr>
        <w:t xml:space="preserve">., 2018; Specchia </w:t>
      </w:r>
      <w:r>
        <w:rPr>
          <w:rFonts w:ascii="Arial" w:hAnsi="Arial"/>
          <w:i/>
          <w:iCs/>
          <w:sz w:val="22"/>
          <w:szCs w:val="22"/>
        </w:rPr>
        <w:t>et al</w:t>
      </w:r>
      <w:r>
        <w:rPr>
          <w:rFonts w:ascii="Arial" w:hAnsi="Arial"/>
          <w:sz w:val="22"/>
          <w:szCs w:val="22"/>
        </w:rPr>
        <w:t>., 2021). In this case, a lack of clear and empathetic communication between the patient and the caregiver, suggests that these leadership attributes were not effectively implemented. If healthcare professionals prioritised understanding and verified instructions on how to use the medication, the probability of this error could have been minimised. This demonstrates that leadership qualities must be reinforced by a well-structured system, in order to ensure a uniform approach in practice.</w:t>
      </w:r>
    </w:p>
    <w:p w14:paraId="48699318" w14:textId="77777777" w:rsidR="00D77BB2" w:rsidRDefault="00D77BB2" w:rsidP="00D3322E">
      <w:pPr>
        <w:pStyle w:val="BodyText"/>
        <w:spacing w:after="0" w:line="360" w:lineRule="auto"/>
        <w:jc w:val="both"/>
        <w:rPr>
          <w:rFonts w:ascii="Arial" w:hAnsi="Arial"/>
          <w:sz w:val="22"/>
          <w:szCs w:val="22"/>
        </w:rPr>
      </w:pPr>
    </w:p>
    <w:p w14:paraId="43B032B2" w14:textId="77777777" w:rsidR="00D3322E" w:rsidRDefault="00D3322E" w:rsidP="00D3322E">
      <w:pPr>
        <w:pStyle w:val="BodyText"/>
        <w:spacing w:after="0" w:line="360" w:lineRule="auto"/>
        <w:jc w:val="both"/>
        <w:rPr>
          <w:rFonts w:ascii="Arial" w:hAnsi="Arial"/>
          <w:b/>
          <w:bCs/>
          <w:sz w:val="22"/>
          <w:szCs w:val="22"/>
        </w:rPr>
      </w:pPr>
      <w:r>
        <w:rPr>
          <w:rFonts w:ascii="Arial" w:hAnsi="Arial"/>
          <w:b/>
          <w:bCs/>
          <w:sz w:val="22"/>
          <w:szCs w:val="22"/>
        </w:rPr>
        <w:tab/>
        <w:t>4.3 Behavioural Leadership – Task and People Balance</w:t>
      </w:r>
    </w:p>
    <w:p w14:paraId="5995BE4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Behavioural leadership theory concentrates on how leaders maintain a balance between human-oriented and task-oriented behaviours. Task-oriented leadership focuses on efficiency, following procedures, and achieving clinical goals, while human-oriented leadership highlights communication, support, and involvement with patients and staff (Wong </w:t>
      </w:r>
      <w:r>
        <w:rPr>
          <w:rFonts w:ascii="Arial" w:hAnsi="Arial"/>
          <w:i/>
          <w:iCs/>
          <w:sz w:val="22"/>
          <w:szCs w:val="22"/>
        </w:rPr>
        <w:t>et al.</w:t>
      </w:r>
      <w:r>
        <w:rPr>
          <w:rFonts w:ascii="Arial" w:hAnsi="Arial"/>
          <w:sz w:val="22"/>
          <w:szCs w:val="22"/>
        </w:rPr>
        <w:t xml:space="preserve">, 2018; Alilyyani </w:t>
      </w:r>
      <w:r>
        <w:rPr>
          <w:rFonts w:ascii="Arial" w:hAnsi="Arial"/>
          <w:i/>
          <w:iCs/>
          <w:sz w:val="22"/>
          <w:szCs w:val="22"/>
        </w:rPr>
        <w:t>et al</w:t>
      </w:r>
      <w:r>
        <w:rPr>
          <w:rFonts w:ascii="Arial" w:hAnsi="Arial"/>
          <w:sz w:val="22"/>
          <w:szCs w:val="22"/>
        </w:rPr>
        <w:t xml:space="preserve">., 2018). Research suggests that healthcare organisations that achieve a balance between these two approaches experience improved safety outcomes and increased employee satisfaction (Wong et </w:t>
      </w:r>
      <w:r>
        <w:rPr>
          <w:rFonts w:ascii="Arial" w:hAnsi="Arial"/>
          <w:i/>
          <w:iCs/>
          <w:sz w:val="22"/>
          <w:szCs w:val="22"/>
        </w:rPr>
        <w:t>al.</w:t>
      </w:r>
      <w:r>
        <w:rPr>
          <w:rFonts w:ascii="Arial" w:hAnsi="Arial"/>
          <w:sz w:val="22"/>
          <w:szCs w:val="22"/>
        </w:rPr>
        <w:t>, 2018).</w:t>
      </w:r>
    </w:p>
    <w:p w14:paraId="60B1FEB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Len’s case, the leadership appears to have focused primarily on tasks. Healthcare professionals focused on prescribing medications and managing symptoms, but failed to assure that the patient and caregiver had fully understood the dosage instructions. This absence of people-oriented leadership resulted in poor communication and, unfortunately, an overdose. A more balanced approach to leadership, which includes both clinical efficiency </w:t>
      </w:r>
      <w:r>
        <w:rPr>
          <w:rFonts w:ascii="Arial" w:hAnsi="Arial"/>
          <w:sz w:val="22"/>
          <w:szCs w:val="22"/>
        </w:rPr>
        <w:lastRenderedPageBreak/>
        <w:t xml:space="preserve">and patient engagement, would have encouraged clearer communication and better outcomes (Belasen </w:t>
      </w:r>
      <w:r>
        <w:rPr>
          <w:rFonts w:ascii="Arial" w:hAnsi="Arial"/>
          <w:i/>
          <w:iCs/>
          <w:sz w:val="22"/>
          <w:szCs w:val="22"/>
        </w:rPr>
        <w:t>et al</w:t>
      </w:r>
      <w:r>
        <w:rPr>
          <w:rFonts w:ascii="Arial" w:hAnsi="Arial"/>
          <w:sz w:val="22"/>
          <w:szCs w:val="22"/>
        </w:rPr>
        <w:t>., 2024).</w:t>
      </w:r>
    </w:p>
    <w:p w14:paraId="323EF77D" w14:textId="77777777" w:rsidR="00D77BB2" w:rsidRDefault="00D77BB2" w:rsidP="00D3322E">
      <w:pPr>
        <w:pStyle w:val="BodyText"/>
        <w:spacing w:after="0" w:line="360" w:lineRule="auto"/>
        <w:jc w:val="both"/>
        <w:rPr>
          <w:rFonts w:ascii="Arial" w:hAnsi="Arial"/>
          <w:sz w:val="22"/>
          <w:szCs w:val="22"/>
        </w:rPr>
      </w:pPr>
    </w:p>
    <w:p w14:paraId="5A903CEE" w14:textId="77777777" w:rsidR="00D77BB2" w:rsidRDefault="00D77BB2" w:rsidP="00D3322E">
      <w:pPr>
        <w:pStyle w:val="BodyText"/>
        <w:spacing w:after="0" w:line="360" w:lineRule="auto"/>
        <w:jc w:val="both"/>
        <w:rPr>
          <w:rFonts w:ascii="Arial" w:hAnsi="Arial"/>
          <w:sz w:val="22"/>
          <w:szCs w:val="22"/>
        </w:rPr>
      </w:pPr>
    </w:p>
    <w:p w14:paraId="0BA1C2B9" w14:textId="77777777" w:rsidR="00D77BB2" w:rsidRDefault="00D77BB2" w:rsidP="00D3322E">
      <w:pPr>
        <w:pStyle w:val="BodyText"/>
        <w:spacing w:after="0" w:line="360" w:lineRule="auto"/>
        <w:jc w:val="both"/>
        <w:rPr>
          <w:rFonts w:ascii="Arial" w:hAnsi="Arial"/>
          <w:sz w:val="22"/>
          <w:szCs w:val="22"/>
        </w:rPr>
      </w:pPr>
    </w:p>
    <w:p w14:paraId="27867B0B"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4.4 Situational Leadership and Adaptability</w:t>
      </w:r>
    </w:p>
    <w:p w14:paraId="6D2B1B6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Situational leadership theory highlights the fact that effective leadership relies on adapting leadership style to the situation, considering patient needs, team abilities, and the risks involved (Sfantou </w:t>
      </w:r>
      <w:r>
        <w:rPr>
          <w:rFonts w:ascii="Arial" w:hAnsi="Arial"/>
          <w:i/>
          <w:iCs/>
          <w:sz w:val="22"/>
          <w:szCs w:val="22"/>
        </w:rPr>
        <w:t>et al.</w:t>
      </w:r>
      <w:r>
        <w:rPr>
          <w:rFonts w:ascii="Arial" w:hAnsi="Arial"/>
          <w:sz w:val="22"/>
          <w:szCs w:val="22"/>
        </w:rPr>
        <w:t xml:space="preserve">, 2017; Specchia </w:t>
      </w:r>
      <w:r>
        <w:rPr>
          <w:rFonts w:ascii="Arial" w:hAnsi="Arial"/>
          <w:i/>
          <w:iCs/>
          <w:sz w:val="22"/>
          <w:szCs w:val="22"/>
        </w:rPr>
        <w:t>et al.</w:t>
      </w:r>
      <w:r>
        <w:rPr>
          <w:rFonts w:ascii="Arial" w:hAnsi="Arial"/>
          <w:sz w:val="22"/>
          <w:szCs w:val="22"/>
        </w:rPr>
        <w:t xml:space="preserve">, 2021). In healthcare, this is really important when managing vulnerable patients or giving complex treatments. Leaders are required to adapt their approach to assure that communication and support are suitable to the situation. In this case, it appears that the management failed to adapt to Len's circumstances sufficiently. His age, existing health condition, and dependence on caregiver support, required a more personalised approach to communication. Evidence suggests that an adaptive leadership style improves patient safety and supports a better management approach to clinical risks (Carayon </w:t>
      </w:r>
      <w:r>
        <w:rPr>
          <w:rFonts w:ascii="Arial" w:hAnsi="Arial"/>
          <w:i/>
          <w:iCs/>
          <w:sz w:val="22"/>
          <w:szCs w:val="22"/>
        </w:rPr>
        <w:t>et al</w:t>
      </w:r>
      <w:r>
        <w:rPr>
          <w:rFonts w:ascii="Arial" w:hAnsi="Arial"/>
          <w:sz w:val="22"/>
          <w:szCs w:val="22"/>
        </w:rPr>
        <w:t xml:space="preserve">., 2020; Sfantou </w:t>
      </w:r>
      <w:r>
        <w:rPr>
          <w:rFonts w:ascii="Arial" w:hAnsi="Arial"/>
          <w:i/>
          <w:iCs/>
          <w:sz w:val="22"/>
          <w:szCs w:val="22"/>
        </w:rPr>
        <w:t>et al.</w:t>
      </w:r>
      <w:r>
        <w:rPr>
          <w:rFonts w:ascii="Arial" w:hAnsi="Arial"/>
          <w:sz w:val="22"/>
          <w:szCs w:val="22"/>
        </w:rPr>
        <w:t>, 2017). If healthcare practitioners acknowledged the need for additional clarification, simple instructions, or monitoring support, the medication error could have been avoided. This demonstrates that failure to adapt may have contributed to this care error.</w:t>
      </w:r>
    </w:p>
    <w:p w14:paraId="44797A11" w14:textId="77777777" w:rsidR="00D77BB2" w:rsidRDefault="00D77BB2" w:rsidP="00D3322E">
      <w:pPr>
        <w:pStyle w:val="BodyText"/>
        <w:spacing w:after="0" w:line="360" w:lineRule="auto"/>
        <w:jc w:val="both"/>
        <w:rPr>
          <w:rFonts w:ascii="Arial" w:hAnsi="Arial"/>
          <w:sz w:val="22"/>
          <w:szCs w:val="22"/>
        </w:rPr>
      </w:pPr>
    </w:p>
    <w:p w14:paraId="29C81AE9" w14:textId="77777777" w:rsidR="00D3322E" w:rsidRDefault="00D3322E" w:rsidP="00D3322E">
      <w:pPr>
        <w:pStyle w:val="BodyText"/>
        <w:spacing w:after="0" w:line="360" w:lineRule="auto"/>
        <w:jc w:val="both"/>
        <w:rPr>
          <w:rFonts w:ascii="Arial" w:hAnsi="Arial"/>
          <w:b/>
          <w:bCs/>
          <w:sz w:val="22"/>
          <w:szCs w:val="22"/>
        </w:rPr>
      </w:pPr>
      <w:r>
        <w:rPr>
          <w:rFonts w:ascii="Arial" w:hAnsi="Arial"/>
          <w:b/>
          <w:bCs/>
          <w:sz w:val="22"/>
          <w:szCs w:val="22"/>
        </w:rPr>
        <w:tab/>
        <w:t>4.5 Tannenbaum and Schmidt Continuum</w:t>
      </w:r>
    </w:p>
    <w:p w14:paraId="7CBD2F49"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The Tannenbaum and Schmidt model describes leadership as a continuous spectrum ranging from authoritarian to participatory approaches. Participatory leadership encourages team members and patients to engage in decision-making, promote communication, and encourage mutual understanding (Specchia </w:t>
      </w:r>
      <w:r>
        <w:rPr>
          <w:rFonts w:ascii="Arial" w:hAnsi="Arial"/>
          <w:i/>
          <w:iCs/>
          <w:sz w:val="22"/>
          <w:szCs w:val="22"/>
        </w:rPr>
        <w:t>et al</w:t>
      </w:r>
      <w:r>
        <w:rPr>
          <w:rFonts w:ascii="Arial" w:hAnsi="Arial"/>
          <w:sz w:val="22"/>
          <w:szCs w:val="22"/>
        </w:rPr>
        <w:t xml:space="preserve">., 2021; West </w:t>
      </w:r>
      <w:r>
        <w:rPr>
          <w:rFonts w:ascii="Arial" w:hAnsi="Arial"/>
          <w:i/>
          <w:iCs/>
          <w:sz w:val="22"/>
          <w:szCs w:val="22"/>
        </w:rPr>
        <w:t>et al</w:t>
      </w:r>
      <w:r>
        <w:rPr>
          <w:rFonts w:ascii="Arial" w:hAnsi="Arial"/>
          <w:sz w:val="22"/>
          <w:szCs w:val="22"/>
        </w:rPr>
        <w:t>., 2017). In healthcare, this method is particularly important to ensure that patients have a clear understanding of their treatment and can manage it safely.</w:t>
      </w:r>
    </w:p>
    <w:p w14:paraId="00CC112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Len’s case, leadership seems to have been more direct, with limited patient participation in determining the medication routine. The patient and caregiver were not properly involved in figuring out the correct dosage, which was part of the problem. Studies suggest that participatory leadership can help patients follow their treatment, communicate better, and stay safe (Alilyyani </w:t>
      </w:r>
      <w:r>
        <w:rPr>
          <w:rFonts w:ascii="Arial" w:hAnsi="Arial"/>
          <w:i/>
          <w:iCs/>
          <w:sz w:val="22"/>
          <w:szCs w:val="22"/>
        </w:rPr>
        <w:t>et al.</w:t>
      </w:r>
      <w:r>
        <w:rPr>
          <w:rFonts w:ascii="Arial" w:hAnsi="Arial"/>
          <w:sz w:val="22"/>
          <w:szCs w:val="22"/>
        </w:rPr>
        <w:t>, 2018). A more collaborative approach, like questioning and confirming that the information is properly understood, might have reduced the risk of an accidental overdose.</w:t>
      </w:r>
    </w:p>
    <w:p w14:paraId="5BDDAA50" w14:textId="77777777" w:rsidR="00D77BB2" w:rsidRDefault="00D77BB2" w:rsidP="00D3322E">
      <w:pPr>
        <w:pStyle w:val="BodyText"/>
        <w:spacing w:after="0" w:line="360" w:lineRule="auto"/>
        <w:jc w:val="both"/>
        <w:rPr>
          <w:rFonts w:ascii="Arial" w:hAnsi="Arial"/>
          <w:sz w:val="22"/>
          <w:szCs w:val="22"/>
        </w:rPr>
      </w:pPr>
    </w:p>
    <w:p w14:paraId="7D64B0FA" w14:textId="77777777" w:rsidR="00563AF2" w:rsidRDefault="00D3322E" w:rsidP="00D3322E">
      <w:pPr>
        <w:pStyle w:val="BodyText"/>
        <w:spacing w:after="0" w:line="360" w:lineRule="auto"/>
        <w:jc w:val="both"/>
        <w:rPr>
          <w:rFonts w:ascii="Arial" w:hAnsi="Arial"/>
          <w:sz w:val="22"/>
          <w:szCs w:val="22"/>
        </w:rPr>
      </w:pPr>
      <w:r>
        <w:rPr>
          <w:rFonts w:ascii="Arial" w:hAnsi="Arial"/>
          <w:sz w:val="22"/>
          <w:szCs w:val="22"/>
        </w:rPr>
        <w:tab/>
      </w:r>
    </w:p>
    <w:p w14:paraId="12F44F8D" w14:textId="77777777" w:rsidR="00563AF2" w:rsidRDefault="00563AF2" w:rsidP="00D3322E">
      <w:pPr>
        <w:pStyle w:val="BodyText"/>
        <w:spacing w:after="0" w:line="360" w:lineRule="auto"/>
        <w:jc w:val="both"/>
        <w:rPr>
          <w:rFonts w:ascii="Arial" w:hAnsi="Arial"/>
          <w:sz w:val="22"/>
          <w:szCs w:val="22"/>
        </w:rPr>
      </w:pPr>
    </w:p>
    <w:p w14:paraId="2FBA2AE1" w14:textId="0BE6FEFA" w:rsidR="00D3322E" w:rsidRDefault="00563AF2" w:rsidP="00D3322E">
      <w:pPr>
        <w:pStyle w:val="BodyText"/>
        <w:spacing w:after="0" w:line="360" w:lineRule="auto"/>
        <w:jc w:val="both"/>
        <w:rPr>
          <w:rFonts w:ascii="Arial" w:hAnsi="Arial"/>
          <w:sz w:val="22"/>
          <w:szCs w:val="22"/>
        </w:rPr>
      </w:pPr>
      <w:r>
        <w:rPr>
          <w:rFonts w:ascii="Arial" w:hAnsi="Arial"/>
          <w:sz w:val="22"/>
          <w:szCs w:val="22"/>
        </w:rPr>
        <w:lastRenderedPageBreak/>
        <w:t xml:space="preserve">            </w:t>
      </w:r>
      <w:r w:rsidR="00D3322E">
        <w:rPr>
          <w:rFonts w:ascii="Arial" w:hAnsi="Arial"/>
          <w:b/>
          <w:bCs/>
          <w:sz w:val="22"/>
          <w:szCs w:val="22"/>
        </w:rPr>
        <w:t>4.6 Transformational Leadership and Safety Culture</w:t>
      </w:r>
    </w:p>
    <w:p w14:paraId="140BD84D"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Transformational leadership focusses on inspiring and encouraging people to achieve shared goals, while also supporting innovation and constant improvement. In healthcare, leaders who use this approach develop a culture of safety, encourage clear communication, and help employees identify and manage risks (Boamah </w:t>
      </w:r>
      <w:r>
        <w:rPr>
          <w:rFonts w:ascii="Arial" w:hAnsi="Arial"/>
          <w:i/>
          <w:iCs/>
          <w:sz w:val="22"/>
          <w:szCs w:val="22"/>
        </w:rPr>
        <w:t>et al</w:t>
      </w:r>
      <w:r>
        <w:rPr>
          <w:rFonts w:ascii="Arial" w:hAnsi="Arial"/>
          <w:sz w:val="22"/>
          <w:szCs w:val="22"/>
        </w:rPr>
        <w:t xml:space="preserve">., 2018; West </w:t>
      </w:r>
      <w:r>
        <w:rPr>
          <w:rFonts w:ascii="Arial" w:hAnsi="Arial"/>
          <w:i/>
          <w:iCs/>
          <w:sz w:val="22"/>
          <w:szCs w:val="22"/>
        </w:rPr>
        <w:t>et al</w:t>
      </w:r>
      <w:r>
        <w:rPr>
          <w:rFonts w:ascii="Arial" w:hAnsi="Arial"/>
          <w:sz w:val="22"/>
          <w:szCs w:val="22"/>
        </w:rPr>
        <w:t xml:space="preserve">., 2017). Evidence indicates that transformational leadership is positively associated with improved patient safety, increased staff morale, and better organisational performance (Boamah </w:t>
      </w:r>
      <w:r>
        <w:rPr>
          <w:rFonts w:ascii="Arial" w:hAnsi="Arial"/>
          <w:i/>
          <w:iCs/>
          <w:sz w:val="22"/>
          <w:szCs w:val="22"/>
        </w:rPr>
        <w:t>et al.</w:t>
      </w:r>
      <w:r>
        <w:rPr>
          <w:rFonts w:ascii="Arial" w:hAnsi="Arial"/>
          <w:sz w:val="22"/>
          <w:szCs w:val="22"/>
        </w:rPr>
        <w:t>, 2018).</w:t>
      </w:r>
    </w:p>
    <w:p w14:paraId="2575C9CB"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this case, there is insufficient evidence to suggest that a strong safety culture is supported by transformational leadership. Absence of structured safety processes, such as a clear communication protocol and verifying patient knowledge, would suggest that the leadership was not active in preventing these risks (Domer </w:t>
      </w:r>
      <w:r>
        <w:rPr>
          <w:rFonts w:ascii="Arial" w:hAnsi="Arial"/>
          <w:i/>
          <w:iCs/>
          <w:sz w:val="22"/>
          <w:szCs w:val="22"/>
        </w:rPr>
        <w:t>et al.</w:t>
      </w:r>
      <w:r>
        <w:rPr>
          <w:rFonts w:ascii="Arial" w:hAnsi="Arial"/>
          <w:sz w:val="22"/>
          <w:szCs w:val="22"/>
        </w:rPr>
        <w:t xml:space="preserve">, 2021). A transformational approach could have been used to introduce systems, such as medication safety protocols, improving communication, and decrease reliance on individual judgment (Anjum </w:t>
      </w:r>
      <w:r>
        <w:rPr>
          <w:rFonts w:ascii="Arial" w:hAnsi="Arial"/>
          <w:i/>
          <w:iCs/>
          <w:sz w:val="22"/>
          <w:szCs w:val="22"/>
        </w:rPr>
        <w:t>et al.</w:t>
      </w:r>
      <w:r>
        <w:rPr>
          <w:rFonts w:ascii="Arial" w:hAnsi="Arial"/>
          <w:sz w:val="22"/>
          <w:szCs w:val="22"/>
        </w:rPr>
        <w:t>, 2024).</w:t>
      </w:r>
    </w:p>
    <w:p w14:paraId="0397C5A4" w14:textId="77777777" w:rsidR="00D77BB2" w:rsidRDefault="00D77BB2" w:rsidP="00D3322E">
      <w:pPr>
        <w:pStyle w:val="BodyText"/>
        <w:spacing w:after="0" w:line="360" w:lineRule="auto"/>
        <w:jc w:val="both"/>
        <w:rPr>
          <w:rFonts w:ascii="Arial" w:hAnsi="Arial"/>
          <w:sz w:val="22"/>
          <w:szCs w:val="22"/>
        </w:rPr>
      </w:pPr>
    </w:p>
    <w:p w14:paraId="32CB3B57"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4.7 Critical Evaluation of Leadership Approaches</w:t>
      </w:r>
    </w:p>
    <w:p w14:paraId="39B0387C" w14:textId="5CB7F9A0"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general, the leadership approach identified in this case seems to be mainly reactive and focused on tasks, rather than proactive and </w:t>
      </w:r>
      <w:r w:rsidR="006B202E">
        <w:rPr>
          <w:rFonts w:ascii="Arial" w:hAnsi="Arial"/>
          <w:sz w:val="22"/>
          <w:szCs w:val="22"/>
        </w:rPr>
        <w:t>patient centred</w:t>
      </w:r>
      <w:r>
        <w:rPr>
          <w:rFonts w:ascii="Arial" w:hAnsi="Arial"/>
          <w:sz w:val="22"/>
          <w:szCs w:val="22"/>
        </w:rPr>
        <w:t xml:space="preserve">. An absence of clear communication, inadequate adaptation to a specific patient's need, and the absence of a structured safety approach suggest that management was not operating effectively. Studies suggest that leadership styles that prioritise communication, adaptability, and team participation are more successful in minimising patient safety failures (Carayon </w:t>
      </w:r>
      <w:r>
        <w:rPr>
          <w:rFonts w:ascii="Arial" w:hAnsi="Arial"/>
          <w:i/>
          <w:iCs/>
          <w:sz w:val="22"/>
          <w:szCs w:val="22"/>
        </w:rPr>
        <w:t>et al.</w:t>
      </w:r>
      <w:r>
        <w:rPr>
          <w:rFonts w:ascii="Arial" w:hAnsi="Arial"/>
          <w:sz w:val="22"/>
          <w:szCs w:val="22"/>
        </w:rPr>
        <w:t xml:space="preserve">, 2020; West </w:t>
      </w:r>
      <w:r>
        <w:rPr>
          <w:rFonts w:ascii="Arial" w:hAnsi="Arial"/>
          <w:i/>
          <w:iCs/>
          <w:sz w:val="22"/>
          <w:szCs w:val="22"/>
        </w:rPr>
        <w:t>et al.</w:t>
      </w:r>
      <w:r>
        <w:rPr>
          <w:rFonts w:ascii="Arial" w:hAnsi="Arial"/>
          <w:sz w:val="22"/>
          <w:szCs w:val="22"/>
        </w:rPr>
        <w:t>, 2017).</w:t>
      </w:r>
    </w:p>
    <w:p w14:paraId="3873ADE6"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A distributive leadership approach, in combination with emotional intelligence, could have enhanced the outcomes. Distributive leadership promotes joint accountability, while the emotional intelligence approach supports a better communication and patient participation (Alilyyani et al., 2018). These approaches may have strengthened collaboration and probably reduced the possibility of a mistake.</w:t>
      </w:r>
    </w:p>
    <w:p w14:paraId="48E31F3B"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Overall, applying the leadership theories to Len’s case demonstrates how important it is to combine multiple leadership approaches in order to ensure patient safety. Transformational, situational, and participatory leadership styles are highly relevant in complex healthcare situations. Failure to apply these approaches led to breakdowns in communication and systemic failures in this case. Reinforcing leadership through flexibility, collaboration, and focusing on a patient-centred approach is essential to prevent such incidents and improve healthcare outcomes.</w:t>
      </w:r>
    </w:p>
    <w:p w14:paraId="382DAF0C" w14:textId="77777777" w:rsidR="00D77BB2" w:rsidRDefault="00D77BB2" w:rsidP="00D3322E">
      <w:pPr>
        <w:pStyle w:val="BodyText"/>
        <w:spacing w:after="0" w:line="360" w:lineRule="auto"/>
        <w:jc w:val="both"/>
        <w:rPr>
          <w:rFonts w:ascii="Arial" w:hAnsi="Arial"/>
          <w:sz w:val="22"/>
          <w:szCs w:val="22"/>
        </w:rPr>
      </w:pPr>
    </w:p>
    <w:p w14:paraId="31DCC578" w14:textId="27D777EE" w:rsidR="00D3322E" w:rsidRDefault="00D3322E" w:rsidP="00D3322E">
      <w:pPr>
        <w:pStyle w:val="BodyText"/>
        <w:spacing w:after="0" w:line="360" w:lineRule="auto"/>
        <w:jc w:val="both"/>
        <w:rPr>
          <w:rFonts w:ascii="Arial" w:hAnsi="Arial"/>
        </w:rPr>
      </w:pPr>
      <w:r>
        <w:rPr>
          <w:rFonts w:ascii="Arial" w:hAnsi="Arial"/>
          <w:b/>
          <w:bCs/>
        </w:rPr>
        <w:lastRenderedPageBreak/>
        <w:t>5</w:t>
      </w:r>
      <w:r>
        <w:rPr>
          <w:rStyle w:val="Strong"/>
          <w:rFonts w:ascii="Arial" w:hAnsi="Arial"/>
        </w:rPr>
        <w:t>. Critique, Improvements and Lessons Learned</w:t>
      </w:r>
      <w:r w:rsidR="00E71697">
        <w:rPr>
          <w:rFonts w:ascii="Arial" w:hAnsi="Arial"/>
        </w:rPr>
        <w:t xml:space="preserve">  </w:t>
      </w:r>
    </w:p>
    <w:p w14:paraId="50162426" w14:textId="77777777" w:rsidR="00E71697" w:rsidRPr="00E71697" w:rsidRDefault="00E71697" w:rsidP="00D3322E">
      <w:pPr>
        <w:pStyle w:val="BodyText"/>
        <w:spacing w:after="0" w:line="360" w:lineRule="auto"/>
        <w:jc w:val="both"/>
        <w:rPr>
          <w:rFonts w:ascii="Arial" w:hAnsi="Arial"/>
        </w:rPr>
      </w:pPr>
    </w:p>
    <w:p w14:paraId="59EBE6B2" w14:textId="6AC53E60" w:rsidR="006B202E" w:rsidRDefault="00D3322E" w:rsidP="00D3322E">
      <w:pPr>
        <w:pStyle w:val="BodyText"/>
        <w:spacing w:after="0" w:line="360" w:lineRule="auto"/>
        <w:jc w:val="both"/>
        <w:rPr>
          <w:rStyle w:val="Strong"/>
          <w:rFonts w:ascii="Arial" w:hAnsi="Arial"/>
          <w:b w:val="0"/>
          <w:bCs w:val="0"/>
          <w:sz w:val="22"/>
          <w:szCs w:val="22"/>
        </w:rPr>
      </w:pPr>
      <w:r>
        <w:rPr>
          <w:rStyle w:val="Strong"/>
          <w:rFonts w:ascii="Arial" w:hAnsi="Arial"/>
          <w:b w:val="0"/>
          <w:bCs w:val="0"/>
          <w:sz w:val="22"/>
          <w:szCs w:val="22"/>
        </w:rPr>
        <w:tab/>
        <w:t>Len’s case reveals multiple systemic failures regarding medication safety, communication, and leadership in healthcare providers in the UK. While the direct cause of the incident was an accidental morphine overdose, a detailed analysis highlights broader organisational weaknesses related to governance, patient communication, and safety practices. A critical evaluation of these issues is essential to identify improvement measures that can be aligned with national strategies for patient safety. Evidence from healthcare systems in the UK suggests that medication errors continue to be a significant issue, with approximately 237 million errors reported annually, many of which are avoidable and related to system failures, rather than individual actions (Elliott et al., 2018; NHS England, 2019). This highlights the necessity to move forward beyond placing blame on individuals, and to focus on improving systems, leadership, and safety culture</w:t>
      </w:r>
    </w:p>
    <w:p w14:paraId="4849454D" w14:textId="77777777" w:rsidR="00E71697" w:rsidRPr="00D77BB2" w:rsidRDefault="00E71697" w:rsidP="00D3322E">
      <w:pPr>
        <w:pStyle w:val="BodyText"/>
        <w:spacing w:after="0" w:line="360" w:lineRule="auto"/>
        <w:jc w:val="both"/>
        <w:rPr>
          <w:rFonts w:ascii="Arial" w:hAnsi="Arial"/>
          <w:sz w:val="22"/>
          <w:szCs w:val="22"/>
        </w:rPr>
      </w:pPr>
    </w:p>
    <w:p w14:paraId="235B342D"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5.1 Issue 1 – Poor Communication and Patient Understanding</w:t>
      </w:r>
    </w:p>
    <w:p w14:paraId="7CED6F98"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Len's case, one of the most prominent issues was the lack of clear communication and the patient's understanding of dosage instructions. Misunderstanding of the morphine dose indicates that the medical staff failed to effectively determine whether the patient understood or adjusted their communication to his specific needs. Research suggests that poor communication is one of the main reasons for medication errors, especially among older adults taking their medication at home (Manias </w:t>
      </w:r>
      <w:r>
        <w:rPr>
          <w:rFonts w:ascii="Arial" w:hAnsi="Arial"/>
          <w:i/>
          <w:iCs/>
          <w:sz w:val="22"/>
          <w:szCs w:val="22"/>
        </w:rPr>
        <w:t>et al.</w:t>
      </w:r>
      <w:r>
        <w:rPr>
          <w:rFonts w:ascii="Arial" w:hAnsi="Arial"/>
          <w:sz w:val="22"/>
          <w:szCs w:val="22"/>
        </w:rPr>
        <w:t xml:space="preserve">, 2020; Elliott </w:t>
      </w:r>
      <w:r>
        <w:rPr>
          <w:rFonts w:ascii="Arial" w:hAnsi="Arial"/>
          <w:i/>
          <w:iCs/>
          <w:sz w:val="22"/>
          <w:szCs w:val="22"/>
        </w:rPr>
        <w:t>et al.</w:t>
      </w:r>
      <w:r>
        <w:rPr>
          <w:rFonts w:ascii="Arial" w:hAnsi="Arial"/>
          <w:sz w:val="22"/>
          <w:szCs w:val="22"/>
        </w:rPr>
        <w:t>, 2018). In the UK, NHS England underlines the importance of clear communication with patients and collaborative decision-making to minimise safety incidents (NHS England, 2019).</w:t>
      </w:r>
    </w:p>
    <w:p w14:paraId="3BDF24D6"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order to address this issue, healthcare organisations are advised to implement structured communication strategies, such as the teach-back method, which involves asking patients to summarise the instructions to ensure they correctly understand them (Talevski </w:t>
      </w:r>
      <w:r>
        <w:rPr>
          <w:rFonts w:ascii="Arial" w:hAnsi="Arial"/>
          <w:i/>
          <w:iCs/>
          <w:sz w:val="22"/>
          <w:szCs w:val="22"/>
        </w:rPr>
        <w:t>et al.</w:t>
      </w:r>
      <w:r>
        <w:rPr>
          <w:rFonts w:ascii="Arial" w:hAnsi="Arial"/>
          <w:sz w:val="22"/>
          <w:szCs w:val="22"/>
        </w:rPr>
        <w:t>, 2020). Furthermore, written and visual materials adapted to patients' needs, particularly for high-risk medications, should be provided. Trained healthcare professionals in patient-centred communication are also important to ensure that messages are communicated effectively and clearly. These strategies have been proved to reduce medication errors significantly and improve patient safety results (Manias</w:t>
      </w:r>
      <w:r>
        <w:rPr>
          <w:rFonts w:ascii="Arial" w:hAnsi="Arial"/>
          <w:i/>
          <w:iCs/>
          <w:sz w:val="22"/>
          <w:szCs w:val="22"/>
        </w:rPr>
        <w:t xml:space="preserve"> et al.</w:t>
      </w:r>
      <w:r>
        <w:rPr>
          <w:rFonts w:ascii="Arial" w:hAnsi="Arial"/>
          <w:sz w:val="22"/>
          <w:szCs w:val="22"/>
        </w:rPr>
        <w:t>, 2020).</w:t>
      </w:r>
    </w:p>
    <w:p w14:paraId="1479E10A" w14:textId="77777777" w:rsidR="00D77BB2" w:rsidRDefault="00D77BB2" w:rsidP="00D3322E">
      <w:pPr>
        <w:pStyle w:val="BodyText"/>
        <w:spacing w:after="0" w:line="360" w:lineRule="auto"/>
        <w:jc w:val="both"/>
        <w:rPr>
          <w:rFonts w:ascii="Arial" w:hAnsi="Arial"/>
          <w:sz w:val="22"/>
          <w:szCs w:val="22"/>
        </w:rPr>
      </w:pPr>
    </w:p>
    <w:p w14:paraId="7A950114"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5.2 Issue 2 – Improper escalation and reporting procedures</w:t>
      </w:r>
    </w:p>
    <w:p w14:paraId="41574637"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An additional critical issue observed in this case was the lack of effective reporting and escalation mechanisms. There is no evidence that early warning signals or issues were identified and addressed before the harm was caused. In UK healthcare institutions, studies </w:t>
      </w:r>
      <w:r>
        <w:rPr>
          <w:rFonts w:ascii="Arial" w:hAnsi="Arial"/>
          <w:sz w:val="22"/>
          <w:szCs w:val="22"/>
        </w:rPr>
        <w:lastRenderedPageBreak/>
        <w:t>show that a significant percentage of employees feel uncomfortable to express their concerns, due to fear of being blamed or not feeling psychologically safe, which can cause delays in reporting and escalating incidents (O’Donovan and McAuliffe, 2020; NHS England, 2019). Late reporting decreases opportunities for early intervention and enhances the probability to cause harm.</w:t>
      </w:r>
    </w:p>
    <w:p w14:paraId="4C2D7FD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Strategies to improve this should focus on encouraging a culture of psychological safety, where employees feel empowered to report their concerns, without fear of negative repercussions (O’Donovan and McAuliffe, 2020). Leadership is crucial in creating such environments, encouraging transparency and supporting team members who report issues. Furthermore, implementing digital incident reporting systems may improve the timeliness and accuracy, allowing organisations to respond more promptly to emerging risks (Kumah </w:t>
      </w:r>
      <w:r>
        <w:rPr>
          <w:rFonts w:ascii="Arial" w:hAnsi="Arial"/>
          <w:i/>
          <w:iCs/>
          <w:sz w:val="22"/>
          <w:szCs w:val="22"/>
        </w:rPr>
        <w:t>et al</w:t>
      </w:r>
      <w:r>
        <w:rPr>
          <w:rFonts w:ascii="Arial" w:hAnsi="Arial"/>
          <w:sz w:val="22"/>
          <w:szCs w:val="22"/>
        </w:rPr>
        <w:t>., 2024). Also, regular safety audits and feedback loops must be established to ensure continuous learning and progress.</w:t>
      </w:r>
    </w:p>
    <w:p w14:paraId="0ABE120F" w14:textId="77777777" w:rsidR="001621D3" w:rsidRDefault="001621D3" w:rsidP="00D3322E">
      <w:pPr>
        <w:pStyle w:val="BodyText"/>
        <w:spacing w:after="0" w:line="360" w:lineRule="auto"/>
        <w:jc w:val="both"/>
        <w:rPr>
          <w:rFonts w:ascii="Arial" w:hAnsi="Arial"/>
          <w:sz w:val="22"/>
          <w:szCs w:val="22"/>
        </w:rPr>
      </w:pPr>
    </w:p>
    <w:p w14:paraId="088DA550"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5.3 Issue 3 – Confusing Medication Labelling and System Design</w:t>
      </w:r>
    </w:p>
    <w:p w14:paraId="3D0B9181"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This case also highlights concerns regarding medication labelling and system design. Confusion regarding the morphine dose would suggest that labelling and instructions were not clear or easy enough for the patient to understand. Studies performed in UK have identified that confusing medication labelling and packaging contributes significantly to medication error, especially in the case of high-risk medications, such as opioids (Elliott</w:t>
      </w:r>
      <w:r>
        <w:rPr>
          <w:rFonts w:ascii="Arial" w:hAnsi="Arial"/>
          <w:i/>
          <w:iCs/>
          <w:sz w:val="22"/>
          <w:szCs w:val="22"/>
        </w:rPr>
        <w:t xml:space="preserve"> et al</w:t>
      </w:r>
      <w:r>
        <w:rPr>
          <w:rFonts w:ascii="Arial" w:hAnsi="Arial"/>
          <w:sz w:val="22"/>
          <w:szCs w:val="22"/>
        </w:rPr>
        <w:t>., 2018; Royal Pharmaceutical Society, 2019). This highlights the importance of designing systems to minimise the risk of any human error.</w:t>
      </w:r>
    </w:p>
    <w:p w14:paraId="7FD9D87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In order to improve safety, healthcare organisations should adopt standardised labelling practices, such as clear instructions regarding medication dosages, simple language, and visual indicators (da Rocha </w:t>
      </w:r>
      <w:r>
        <w:rPr>
          <w:rFonts w:ascii="Arial" w:hAnsi="Arial"/>
          <w:i/>
          <w:iCs/>
          <w:sz w:val="22"/>
          <w:szCs w:val="22"/>
        </w:rPr>
        <w:t>et al.</w:t>
      </w:r>
      <w:r>
        <w:rPr>
          <w:rFonts w:ascii="Arial" w:hAnsi="Arial"/>
          <w:sz w:val="22"/>
          <w:szCs w:val="22"/>
        </w:rPr>
        <w:t>, 2021). Also, using barcoded medication administration systems can reduce mistakes by ensuring that the correct medication and dosage are confirmed before administering. In addition, pharmacists should play a proactive role in counselling patients and monitoring their understanding at medication dispensing. These strategies are consistent with national patient safety programs aimed to reduce adverse drug outcomes (NHS England, 2019).</w:t>
      </w:r>
    </w:p>
    <w:p w14:paraId="7B1E6C2D" w14:textId="77777777" w:rsidR="00D77BB2" w:rsidRDefault="00D77BB2" w:rsidP="00D3322E">
      <w:pPr>
        <w:pStyle w:val="BodyText"/>
        <w:spacing w:after="0" w:line="360" w:lineRule="auto"/>
        <w:jc w:val="both"/>
        <w:rPr>
          <w:rFonts w:ascii="Arial" w:hAnsi="Arial"/>
          <w:sz w:val="22"/>
          <w:szCs w:val="22"/>
        </w:rPr>
      </w:pPr>
    </w:p>
    <w:p w14:paraId="6352BF9F"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r>
      <w:r>
        <w:rPr>
          <w:rFonts w:ascii="Arial" w:hAnsi="Arial"/>
          <w:b/>
          <w:bCs/>
          <w:sz w:val="22"/>
          <w:szCs w:val="22"/>
        </w:rPr>
        <w:t>5.4 Issue 4 – Ineffective Governance and Accountability</w:t>
      </w:r>
    </w:p>
    <w:p w14:paraId="788E27F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Another obvious issue in this case is governance failure and the lack of accountability in all care structures. Fragmentation between primary care, hospital services, and home care has played a role in creating gaps in reporting and oversight (Chan </w:t>
      </w:r>
      <w:r>
        <w:rPr>
          <w:rFonts w:ascii="Arial" w:hAnsi="Arial"/>
          <w:i/>
          <w:iCs/>
          <w:sz w:val="22"/>
          <w:szCs w:val="22"/>
        </w:rPr>
        <w:t>et al.</w:t>
      </w:r>
      <w:r>
        <w:rPr>
          <w:rFonts w:ascii="Arial" w:hAnsi="Arial"/>
          <w:sz w:val="22"/>
          <w:szCs w:val="22"/>
        </w:rPr>
        <w:t xml:space="preserve">, 2019). In the UK, effective governance is critical to ensure consistent application of safety standards and a </w:t>
      </w:r>
      <w:r>
        <w:rPr>
          <w:rFonts w:ascii="Arial" w:hAnsi="Arial"/>
          <w:sz w:val="22"/>
          <w:szCs w:val="22"/>
        </w:rPr>
        <w:lastRenderedPageBreak/>
        <w:t>clear definition of accountability for patient care (Francis, 2017; NHS England, 2019). Weak governance structures can cause gaps in accountability, which increases the risk of errors and adverse outcomes.</w:t>
      </w:r>
    </w:p>
    <w:p w14:paraId="00A08D46"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Strategies for improvement must focus on reinforcing clinical governance frameworks, which include clear roles and responsibilities for managing medication and patient education. A focus should be placed on shared responsibility between healthcare providers, which is particularly important during care transitions (Auraaen </w:t>
      </w:r>
      <w:r>
        <w:rPr>
          <w:rFonts w:ascii="Arial" w:hAnsi="Arial"/>
          <w:i/>
          <w:iCs/>
          <w:sz w:val="22"/>
          <w:szCs w:val="22"/>
        </w:rPr>
        <w:t>et al.</w:t>
      </w:r>
      <w:r>
        <w:rPr>
          <w:rFonts w:ascii="Arial" w:hAnsi="Arial"/>
          <w:sz w:val="22"/>
          <w:szCs w:val="22"/>
        </w:rPr>
        <w:t>, 2020). Using integrated digital systems can improve exchange of information and assure continuity of care. Regular monitoring and audit processes are also needed to ensure compliance with safety standards and identify areas where improvement is necessary.</w:t>
      </w:r>
    </w:p>
    <w:p w14:paraId="17D7DF7A" w14:textId="77777777" w:rsidR="00DC27EA" w:rsidRDefault="00DC27EA" w:rsidP="00D3322E">
      <w:pPr>
        <w:pStyle w:val="BodyText"/>
        <w:spacing w:after="0" w:line="360" w:lineRule="auto"/>
        <w:jc w:val="both"/>
        <w:rPr>
          <w:rFonts w:ascii="Arial" w:hAnsi="Arial"/>
          <w:sz w:val="22"/>
          <w:szCs w:val="22"/>
        </w:rPr>
      </w:pPr>
    </w:p>
    <w:p w14:paraId="2A5855D4" w14:textId="77777777" w:rsidR="00D3322E" w:rsidRDefault="00D3322E" w:rsidP="00D3322E">
      <w:pPr>
        <w:spacing w:line="360" w:lineRule="auto"/>
        <w:rPr>
          <w:rFonts w:ascii="Arial" w:hAnsi="Arial"/>
          <w:sz w:val="22"/>
          <w:szCs w:val="22"/>
        </w:rPr>
      </w:pPr>
      <w:r>
        <w:rPr>
          <w:rStyle w:val="Strong"/>
          <w:rFonts w:ascii="Arial" w:hAnsi="Arial"/>
          <w:b w:val="0"/>
          <w:bCs w:val="0"/>
          <w:sz w:val="22"/>
          <w:szCs w:val="22"/>
        </w:rPr>
        <w:tab/>
      </w:r>
      <w:r>
        <w:rPr>
          <w:rStyle w:val="Strong"/>
          <w:rFonts w:ascii="Arial" w:hAnsi="Arial"/>
          <w:sz w:val="22"/>
          <w:szCs w:val="22"/>
        </w:rPr>
        <w:t>5.5 Lessons for Healthcare Organisations</w:t>
      </w:r>
    </w:p>
    <w:p w14:paraId="19E15D9E"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There are several essential lessons to be drawn from this case. Firstly, healthcare systems must not rely exclusively on individual awareness or professional judgment, rather than robust processes and protective measures that support safe practices. Evidence indicates that systems-based strategies are more effective to reduce errors, compared to a focus on individual performance alone (Carayon </w:t>
      </w:r>
      <w:r>
        <w:rPr>
          <w:rStyle w:val="Strong"/>
          <w:rFonts w:ascii="Arial" w:hAnsi="Arial"/>
          <w:b w:val="0"/>
          <w:bCs w:val="0"/>
          <w:i/>
          <w:iCs/>
          <w:sz w:val="22"/>
          <w:szCs w:val="22"/>
        </w:rPr>
        <w:t>et al</w:t>
      </w:r>
      <w:r>
        <w:rPr>
          <w:rStyle w:val="Strong"/>
          <w:rFonts w:ascii="Arial" w:hAnsi="Arial"/>
          <w:b w:val="0"/>
          <w:bCs w:val="0"/>
          <w:sz w:val="22"/>
          <w:szCs w:val="22"/>
        </w:rPr>
        <w:t>., 2020; Elliott</w:t>
      </w:r>
      <w:r>
        <w:rPr>
          <w:rStyle w:val="Strong"/>
          <w:rFonts w:ascii="Arial" w:hAnsi="Arial"/>
          <w:b w:val="0"/>
          <w:bCs w:val="0"/>
          <w:i/>
          <w:iCs/>
          <w:sz w:val="22"/>
          <w:szCs w:val="22"/>
        </w:rPr>
        <w:t xml:space="preserve"> et al</w:t>
      </w:r>
      <w:r>
        <w:rPr>
          <w:rStyle w:val="Strong"/>
          <w:rFonts w:ascii="Arial" w:hAnsi="Arial"/>
          <w:b w:val="0"/>
          <w:bCs w:val="0"/>
          <w:sz w:val="22"/>
          <w:szCs w:val="22"/>
        </w:rPr>
        <w:t>., 2018). Furthermore, a clear governance structure is necessary to ensure accountability and consistency in healthcare delivery. Without well-defined accountability and oversight, it is more likely there will be gaps in care.</w:t>
      </w:r>
      <w:r>
        <w:rPr>
          <w:rFonts w:ascii="Arial" w:hAnsi="Arial"/>
          <w:sz w:val="22"/>
          <w:szCs w:val="22"/>
        </w:rPr>
        <w:br/>
      </w:r>
      <w:r>
        <w:rPr>
          <w:rStyle w:val="Strong"/>
          <w:rFonts w:ascii="Arial" w:hAnsi="Arial"/>
          <w:b w:val="0"/>
          <w:bCs w:val="0"/>
          <w:sz w:val="22"/>
          <w:szCs w:val="22"/>
        </w:rPr>
        <w:t xml:space="preserve">Finally, patient-centred communication must be a high priority, particularly when prescribing high-risk medicines. Research indicates that organisations with a strong safety culture achieve improved patient results and less adverse events (O’Donovan and McAuliffe, 2020). </w:t>
      </w:r>
    </w:p>
    <w:p w14:paraId="75D12CD5"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Overall, patient-centred communication must be a high priority, particularly when prescribing high-risk medication. It is a fundamental component in safe care to assure that patients and healthcare professionals understand treatment instructions. Len’s case demonstrates how important it is to address system-level gaps in communication, governance, reporting, and medication management. By implementing a targeted improvement strategy, healthcare organisations can reduce the likelihood of similar incidents and increase patient safety. Strong leadership, promoting a culture of transparency, and designing safer systems are all essential steps in achieving consistent, high-quality care in UK healthcare system.</w:t>
      </w:r>
    </w:p>
    <w:p w14:paraId="74B1D2F0" w14:textId="77777777" w:rsidR="00D3322E" w:rsidRDefault="00D3322E" w:rsidP="00D3322E">
      <w:pPr>
        <w:spacing w:line="360" w:lineRule="auto"/>
        <w:jc w:val="both"/>
        <w:rPr>
          <w:rStyle w:val="Strong"/>
          <w:b w:val="0"/>
          <w:bCs w:val="0"/>
        </w:rPr>
      </w:pPr>
    </w:p>
    <w:p w14:paraId="67AD9029" w14:textId="77777777" w:rsidR="00E71697" w:rsidRDefault="00E71697" w:rsidP="00D3322E">
      <w:pPr>
        <w:spacing w:line="360" w:lineRule="auto"/>
        <w:jc w:val="both"/>
        <w:rPr>
          <w:rStyle w:val="Strong"/>
          <w:b w:val="0"/>
          <w:bCs w:val="0"/>
        </w:rPr>
      </w:pPr>
    </w:p>
    <w:p w14:paraId="41FF5E6E" w14:textId="77777777" w:rsidR="00E71697" w:rsidRDefault="00E71697" w:rsidP="00D3322E">
      <w:pPr>
        <w:spacing w:line="360" w:lineRule="auto"/>
        <w:jc w:val="both"/>
        <w:rPr>
          <w:rStyle w:val="Strong"/>
          <w:b w:val="0"/>
          <w:bCs w:val="0"/>
        </w:rPr>
      </w:pPr>
    </w:p>
    <w:p w14:paraId="488F5938" w14:textId="77777777" w:rsidR="00E71697" w:rsidRDefault="00E71697" w:rsidP="00D3322E">
      <w:pPr>
        <w:spacing w:line="360" w:lineRule="auto"/>
        <w:jc w:val="both"/>
        <w:rPr>
          <w:rStyle w:val="Strong"/>
          <w:rFonts w:hint="eastAsia"/>
          <w:b w:val="0"/>
          <w:bCs w:val="0"/>
        </w:rPr>
      </w:pPr>
    </w:p>
    <w:p w14:paraId="51E1DCFE" w14:textId="601B0C54" w:rsidR="00D3322E" w:rsidRPr="00E71697" w:rsidRDefault="00D3322E" w:rsidP="00D3322E">
      <w:pPr>
        <w:spacing w:line="360" w:lineRule="auto"/>
        <w:jc w:val="both"/>
        <w:rPr>
          <w:rStyle w:val="Strong"/>
          <w:rFonts w:ascii="Arial" w:hAnsi="Arial" w:hint="eastAsia"/>
          <w:b w:val="0"/>
          <w:bCs w:val="0"/>
          <w:sz w:val="22"/>
          <w:szCs w:val="22"/>
        </w:rPr>
      </w:pPr>
      <w:r>
        <w:rPr>
          <w:rStyle w:val="Strong"/>
          <w:rFonts w:ascii="Arial" w:hAnsi="Arial"/>
        </w:rPr>
        <w:lastRenderedPageBreak/>
        <w:t>6. Recommendations</w:t>
      </w:r>
    </w:p>
    <w:p w14:paraId="60E7EE76" w14:textId="77777777" w:rsidR="00D3322E" w:rsidRDefault="00D3322E" w:rsidP="00D3322E">
      <w:pPr>
        <w:spacing w:before="57" w:after="57" w:line="360" w:lineRule="auto"/>
        <w:rPr>
          <w:rFonts w:ascii="Arial" w:hAnsi="Arial"/>
          <w:sz w:val="22"/>
          <w:szCs w:val="22"/>
        </w:rPr>
      </w:pPr>
      <w:r>
        <w:rPr>
          <w:rFonts w:ascii="Arial" w:hAnsi="Arial"/>
          <w:sz w:val="22"/>
          <w:szCs w:val="22"/>
        </w:rPr>
        <w:tab/>
      </w:r>
      <w:r>
        <w:rPr>
          <w:rFonts w:ascii="Arial" w:hAnsi="Arial"/>
          <w:b/>
          <w:bCs/>
          <w:sz w:val="22"/>
          <w:szCs w:val="22"/>
        </w:rPr>
        <w:t>6.1 Strengthening Leadership for Patient Safety</w:t>
      </w:r>
    </w:p>
    <w:p w14:paraId="3CB41E2D" w14:textId="77777777" w:rsidR="00D3322E" w:rsidRDefault="00D3322E" w:rsidP="00D3322E">
      <w:pPr>
        <w:pStyle w:val="BodyText"/>
        <w:spacing w:after="0" w:line="360" w:lineRule="auto"/>
        <w:jc w:val="both"/>
        <w:rPr>
          <w:rFonts w:ascii="Arial" w:hAnsi="Arial"/>
          <w:sz w:val="22"/>
          <w:szCs w:val="22"/>
        </w:rPr>
      </w:pPr>
      <w:r>
        <w:rPr>
          <w:rStyle w:val="Strong"/>
          <w:rFonts w:ascii="Arial" w:hAnsi="Arial"/>
          <w:b w:val="0"/>
          <w:bCs w:val="0"/>
          <w:sz w:val="22"/>
          <w:szCs w:val="22"/>
        </w:rPr>
        <w:tab/>
        <w:t xml:space="preserve">An essential recommendation is to adopt transformational leadership strategies to improve patient safety and communication within the healthcare organisation. A transformational leadership style fosters a shared vision, staff commitment and openness, elements that are essential to encourage healthcare professionals to report incidents and prevent errors. Data gathered from healthcare providers in the UK demonstrates that organisations with strong leadership and a supportive safety culture observe reduced rates of negative incidents and improved patient results (West </w:t>
      </w:r>
      <w:r>
        <w:rPr>
          <w:rStyle w:val="Strong"/>
          <w:rFonts w:ascii="Arial" w:hAnsi="Arial"/>
          <w:b w:val="0"/>
          <w:bCs w:val="0"/>
          <w:i/>
          <w:iCs/>
          <w:sz w:val="22"/>
          <w:szCs w:val="22"/>
        </w:rPr>
        <w:t>et al</w:t>
      </w:r>
      <w:r>
        <w:rPr>
          <w:rStyle w:val="Strong"/>
          <w:rFonts w:ascii="Arial" w:hAnsi="Arial"/>
          <w:b w:val="0"/>
          <w:bCs w:val="0"/>
          <w:sz w:val="22"/>
          <w:szCs w:val="22"/>
        </w:rPr>
        <w:t xml:space="preserve">., 2017; O’Donovan and McAuliffe, 2020). </w:t>
      </w:r>
    </w:p>
    <w:p w14:paraId="77855ED2" w14:textId="23C7FD25" w:rsidR="00D133E8" w:rsidRDefault="00D3322E" w:rsidP="00E71697">
      <w:pPr>
        <w:pStyle w:val="BodyText"/>
        <w:spacing w:after="0" w:line="360" w:lineRule="auto"/>
        <w:jc w:val="both"/>
        <w:rPr>
          <w:rStyle w:val="Strong"/>
          <w:rFonts w:ascii="Arial" w:hAnsi="Arial"/>
          <w:b w:val="0"/>
          <w:bCs w:val="0"/>
          <w:sz w:val="22"/>
          <w:szCs w:val="22"/>
        </w:rPr>
      </w:pPr>
      <w:r>
        <w:rPr>
          <w:rStyle w:val="Strong"/>
          <w:rFonts w:ascii="Arial" w:hAnsi="Arial"/>
          <w:b w:val="0"/>
          <w:bCs w:val="0"/>
          <w:sz w:val="22"/>
          <w:szCs w:val="22"/>
        </w:rPr>
        <w:tab/>
        <w:t>Leaders should be actively encouraging psychological safety by supporting staff in expressing their opinions, in reporting incidents, and by acting responsibly. In addition, training programs focusing on emotional intelligence, communication, and patient-centred leadership should be introduced to strengthen leadership capabilities throughout the care system.</w:t>
      </w:r>
    </w:p>
    <w:p w14:paraId="5CFD05F5" w14:textId="77777777" w:rsidR="00C35F28" w:rsidRDefault="00C35F28" w:rsidP="00E71697">
      <w:pPr>
        <w:pStyle w:val="BodyText"/>
        <w:spacing w:after="0" w:line="360" w:lineRule="auto"/>
        <w:jc w:val="both"/>
        <w:rPr>
          <w:rFonts w:ascii="Arial" w:hAnsi="Arial"/>
          <w:sz w:val="22"/>
          <w:szCs w:val="22"/>
        </w:rPr>
      </w:pPr>
    </w:p>
    <w:p w14:paraId="5FC3E410" w14:textId="37B1C10D" w:rsidR="00D3322E" w:rsidRDefault="00DC27EA" w:rsidP="00D3322E">
      <w:pPr>
        <w:spacing w:before="57" w:after="57" w:line="360" w:lineRule="auto"/>
        <w:rPr>
          <w:rFonts w:ascii="Arial" w:hAnsi="Arial"/>
          <w:sz w:val="22"/>
          <w:szCs w:val="22"/>
        </w:rPr>
      </w:pPr>
      <w:r>
        <w:rPr>
          <w:rFonts w:ascii="Arial" w:hAnsi="Arial"/>
          <w:b/>
          <w:bCs/>
          <w:sz w:val="22"/>
          <w:szCs w:val="22"/>
        </w:rPr>
        <w:t xml:space="preserve">            </w:t>
      </w:r>
      <w:r w:rsidR="00D3322E">
        <w:rPr>
          <w:rFonts w:ascii="Arial" w:hAnsi="Arial"/>
          <w:b/>
          <w:bCs/>
          <w:sz w:val="22"/>
          <w:szCs w:val="22"/>
        </w:rPr>
        <w:t>6.2 Improving Medication Safety Systems</w:t>
      </w:r>
    </w:p>
    <w:p w14:paraId="7911324B" w14:textId="77777777" w:rsidR="00D3322E" w:rsidRDefault="00D3322E" w:rsidP="00D3322E">
      <w:pPr>
        <w:pStyle w:val="BodyText"/>
        <w:spacing w:before="57" w:after="57" w:line="360" w:lineRule="auto"/>
        <w:jc w:val="both"/>
        <w:rPr>
          <w:rFonts w:ascii="Arial" w:hAnsi="Arial"/>
          <w:sz w:val="22"/>
          <w:szCs w:val="22"/>
        </w:rPr>
      </w:pPr>
      <w:r>
        <w:rPr>
          <w:rFonts w:ascii="Arial" w:hAnsi="Arial"/>
          <w:sz w:val="22"/>
          <w:szCs w:val="22"/>
        </w:rPr>
        <w:tab/>
        <w:t>In order to reduce the risks related to medication administration, healthcare organisations are encouraged to introduce automated safety technologies, such as medication systems based on barcodes and electronic prescriptions. These systems verify the accuracy of the medication and dosage before administration, thereby reducing the probability of human error. Research from the UK highlights that medication errors continue to be a major concern for patient safety, with an estimated 1 million errors occurring annually, many of which could be prevented through improved system design (Elliott et al., 2018; NHS England, 2019). Furthermore, medication labelling should be standardised, with clear language, visual support and instructions that are understandable to patients, to minimise confusion, in particular for high-risk medications, such as opioids.</w:t>
      </w:r>
    </w:p>
    <w:p w14:paraId="23C36A7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 xml:space="preserve">Pharmacists also play an important role in patient education, as they can provide advice when medications are dispensed and ensure that patients understand them. Structured communication techniques, such as the “teach-back” method, must be used systematically to assure that patients and caregivers can follow dosing instructions correctly (Manias </w:t>
      </w:r>
      <w:r>
        <w:rPr>
          <w:rFonts w:ascii="Arial" w:hAnsi="Arial"/>
          <w:i/>
          <w:iCs/>
          <w:sz w:val="22"/>
          <w:szCs w:val="22"/>
        </w:rPr>
        <w:t>et al</w:t>
      </w:r>
      <w:r>
        <w:rPr>
          <w:rFonts w:ascii="Arial" w:hAnsi="Arial"/>
          <w:sz w:val="22"/>
          <w:szCs w:val="22"/>
        </w:rPr>
        <w:t>., 2020).</w:t>
      </w:r>
    </w:p>
    <w:p w14:paraId="631EDF2C" w14:textId="77777777" w:rsidR="00C35F28" w:rsidRDefault="00C35F28" w:rsidP="00D3322E">
      <w:pPr>
        <w:pStyle w:val="BodyText"/>
        <w:spacing w:after="0" w:line="360" w:lineRule="auto"/>
        <w:jc w:val="both"/>
        <w:rPr>
          <w:rFonts w:ascii="Arial" w:hAnsi="Arial"/>
          <w:sz w:val="22"/>
          <w:szCs w:val="22"/>
        </w:rPr>
      </w:pPr>
    </w:p>
    <w:p w14:paraId="55217A75" w14:textId="77777777" w:rsidR="00C35F28" w:rsidRDefault="00C35F28" w:rsidP="00D3322E">
      <w:pPr>
        <w:pStyle w:val="BodyText"/>
        <w:spacing w:after="0" w:line="360" w:lineRule="auto"/>
        <w:jc w:val="both"/>
        <w:rPr>
          <w:rFonts w:ascii="Arial" w:hAnsi="Arial"/>
          <w:sz w:val="22"/>
          <w:szCs w:val="22"/>
        </w:rPr>
      </w:pPr>
    </w:p>
    <w:p w14:paraId="0EF00447" w14:textId="77777777" w:rsidR="00C35F28" w:rsidRDefault="00C35F28" w:rsidP="00D3322E">
      <w:pPr>
        <w:pStyle w:val="BodyText"/>
        <w:spacing w:after="0" w:line="360" w:lineRule="auto"/>
        <w:jc w:val="both"/>
        <w:rPr>
          <w:rFonts w:ascii="Arial" w:hAnsi="Arial"/>
          <w:sz w:val="22"/>
          <w:szCs w:val="22"/>
        </w:rPr>
      </w:pPr>
    </w:p>
    <w:p w14:paraId="54756400" w14:textId="77777777" w:rsidR="00C35F28" w:rsidRDefault="00C35F28" w:rsidP="00D3322E">
      <w:pPr>
        <w:pStyle w:val="BodyText"/>
        <w:spacing w:after="0" w:line="360" w:lineRule="auto"/>
        <w:jc w:val="both"/>
        <w:rPr>
          <w:rFonts w:ascii="Arial" w:hAnsi="Arial"/>
          <w:sz w:val="22"/>
          <w:szCs w:val="22"/>
        </w:rPr>
      </w:pPr>
    </w:p>
    <w:p w14:paraId="1AD7735B" w14:textId="77777777" w:rsidR="00D3322E" w:rsidRDefault="00D3322E" w:rsidP="00D3322E">
      <w:pPr>
        <w:spacing w:before="57" w:after="57" w:line="360" w:lineRule="auto"/>
        <w:rPr>
          <w:rFonts w:ascii="Arial" w:hAnsi="Arial"/>
          <w:sz w:val="22"/>
          <w:szCs w:val="22"/>
        </w:rPr>
      </w:pPr>
      <w:r>
        <w:rPr>
          <w:rFonts w:ascii="Arial" w:hAnsi="Arial"/>
          <w:sz w:val="22"/>
          <w:szCs w:val="22"/>
        </w:rPr>
        <w:lastRenderedPageBreak/>
        <w:tab/>
      </w:r>
      <w:r>
        <w:rPr>
          <w:rFonts w:ascii="Arial" w:hAnsi="Arial"/>
          <w:b/>
          <w:bCs/>
          <w:sz w:val="22"/>
          <w:szCs w:val="22"/>
        </w:rPr>
        <w:t>6.3 Strengthening Communication and Care Coordination</w:t>
      </w:r>
    </w:p>
    <w:p w14:paraId="567118AA"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 xml:space="preserve">Another important recommendation is to implement daily safety meetings and structured </w:t>
      </w:r>
      <w:r>
        <w:rPr>
          <w:rFonts w:ascii="Arial" w:hAnsi="Arial"/>
          <w:sz w:val="22"/>
          <w:szCs w:val="22"/>
        </w:rPr>
        <w:tab/>
        <w:t>communication practices in order to improve coordination among healthcare providers. Safety meetings allow teams to address risks, share information, and determine potential issues before they become severe. Evidence from medical practice in the UK suggests that ongoing communication among team members, helps improve awareness regarding the clinical situation and reduces the probability of errors (NHS Improvement, 2018; O’Donovan and McAuliffe, 2020).</w:t>
      </w:r>
    </w:p>
    <w:p w14:paraId="4BCC0AD9" w14:textId="77777777" w:rsidR="00D3322E" w:rsidRDefault="00D3322E" w:rsidP="00D3322E">
      <w:pPr>
        <w:pStyle w:val="BodyText"/>
        <w:spacing w:after="0" w:line="360" w:lineRule="auto"/>
        <w:jc w:val="both"/>
        <w:rPr>
          <w:rFonts w:ascii="Arial" w:hAnsi="Arial"/>
          <w:sz w:val="22"/>
          <w:szCs w:val="22"/>
        </w:rPr>
      </w:pPr>
      <w:r>
        <w:tab/>
      </w:r>
      <w:r>
        <w:rPr>
          <w:rFonts w:ascii="Arial" w:hAnsi="Arial"/>
          <w:sz w:val="22"/>
          <w:szCs w:val="22"/>
        </w:rPr>
        <w:t>Improved communication during care transitions is also critical. Standardised discharge protocols should be implemented to ensure that patients receive consistent, complete, and clear information about their treatments (The Royal Pharmaceutical Society of Great Britain, 2025). This should encompass written instructions, oral explanations, and a confirmation of their understanding. Integrated digital systems should be used to facilitate information exchange between primary care, hospital, and community providers, thereby ensuring care continuity and decreasing fragmentation (WHO, 2018).</w:t>
      </w:r>
    </w:p>
    <w:p w14:paraId="6E3880D6" w14:textId="77777777" w:rsidR="00C35F28" w:rsidRDefault="00C35F28" w:rsidP="00D3322E">
      <w:pPr>
        <w:pStyle w:val="BodyText"/>
        <w:spacing w:after="0" w:line="360" w:lineRule="auto"/>
        <w:jc w:val="both"/>
        <w:rPr>
          <w:rFonts w:hint="eastAsia"/>
        </w:rPr>
      </w:pPr>
    </w:p>
    <w:p w14:paraId="6DC8FF8B" w14:textId="77777777" w:rsidR="00D3322E" w:rsidRDefault="00D3322E" w:rsidP="00D3322E">
      <w:pPr>
        <w:spacing w:before="57" w:after="57" w:line="360" w:lineRule="auto"/>
        <w:rPr>
          <w:rFonts w:ascii="Arial" w:hAnsi="Arial"/>
          <w:sz w:val="22"/>
          <w:szCs w:val="22"/>
        </w:rPr>
      </w:pPr>
      <w:r>
        <w:rPr>
          <w:rStyle w:val="Strong"/>
          <w:rFonts w:ascii="Arial" w:hAnsi="Arial"/>
          <w:b w:val="0"/>
          <w:bCs w:val="0"/>
          <w:sz w:val="22"/>
          <w:szCs w:val="22"/>
        </w:rPr>
        <w:tab/>
      </w:r>
      <w:r>
        <w:rPr>
          <w:rStyle w:val="Strong"/>
          <w:rFonts w:ascii="Arial" w:hAnsi="Arial"/>
          <w:sz w:val="22"/>
          <w:szCs w:val="22"/>
        </w:rPr>
        <w:t>6.4 Enhancing Governance and Accountability</w:t>
      </w:r>
    </w:p>
    <w:p w14:paraId="53007A18" w14:textId="77777777" w:rsidR="00D3322E" w:rsidRDefault="00D3322E" w:rsidP="00D3322E">
      <w:pPr>
        <w:pStyle w:val="BodyText"/>
        <w:spacing w:before="57" w:after="57" w:line="360" w:lineRule="auto"/>
        <w:jc w:val="both"/>
        <w:rPr>
          <w:rFonts w:ascii="Arial" w:hAnsi="Arial"/>
          <w:sz w:val="22"/>
          <w:szCs w:val="22"/>
        </w:rPr>
      </w:pPr>
      <w:r>
        <w:rPr>
          <w:rStyle w:val="Strong"/>
          <w:rFonts w:ascii="Arial" w:hAnsi="Arial"/>
          <w:sz w:val="22"/>
          <w:szCs w:val="22"/>
        </w:rPr>
        <w:tab/>
      </w:r>
      <w:r>
        <w:rPr>
          <w:rStyle w:val="Strong"/>
          <w:rFonts w:ascii="Arial" w:hAnsi="Arial"/>
          <w:b w:val="0"/>
          <w:bCs w:val="0"/>
          <w:sz w:val="22"/>
          <w:szCs w:val="22"/>
        </w:rPr>
        <w:t>Healthcare providers should bolster clinical governance practices to assure clear accountability and consistent enforcement for safety standards. This includes setting clear roles and responsibilities in medication management, implementing strong audit systems, and monitoring adherence to safety protocols. Evidence from healthcare systems in the UK suggests that effective governance structures are connected with improved quality in healthcare and reduced risks to patients (Francis, 2017; NHS England, 2019).</w:t>
      </w:r>
    </w:p>
    <w:p w14:paraId="5458DBA3" w14:textId="77777777" w:rsidR="00D3322E" w:rsidRDefault="00D3322E" w:rsidP="00D3322E">
      <w:pPr>
        <w:pStyle w:val="BodyText"/>
        <w:spacing w:after="0" w:line="360" w:lineRule="auto"/>
        <w:jc w:val="both"/>
        <w:rPr>
          <w:rFonts w:ascii="Arial" w:hAnsi="Arial"/>
          <w:sz w:val="22"/>
          <w:szCs w:val="22"/>
        </w:rPr>
      </w:pPr>
      <w:r>
        <w:rPr>
          <w:rFonts w:ascii="Arial" w:hAnsi="Arial"/>
          <w:sz w:val="22"/>
          <w:szCs w:val="22"/>
        </w:rPr>
        <w:tab/>
        <w:t xml:space="preserve">Audits and feedback mechanisms should be introduced to identify areas for improvement and to support continuous learning for healthcare workers (Jamtvedt </w:t>
      </w:r>
      <w:r>
        <w:rPr>
          <w:rFonts w:ascii="Arial" w:hAnsi="Arial"/>
          <w:i/>
          <w:iCs/>
          <w:sz w:val="22"/>
          <w:szCs w:val="22"/>
        </w:rPr>
        <w:t>et al</w:t>
      </w:r>
      <w:r>
        <w:rPr>
          <w:rFonts w:ascii="Arial" w:hAnsi="Arial"/>
          <w:sz w:val="22"/>
          <w:szCs w:val="22"/>
        </w:rPr>
        <w:t xml:space="preserve">., 2019). Furthermore, organisations should invest in digital incident reporting systems, to enable timely detection and analysis of any safety incidents. These systems should be underpinned by leadership practices that encourage transparency and learning, instead of a culture of blame (Kumah </w:t>
      </w:r>
      <w:r>
        <w:rPr>
          <w:rFonts w:ascii="Arial" w:hAnsi="Arial"/>
          <w:i/>
          <w:iCs/>
          <w:sz w:val="22"/>
          <w:szCs w:val="22"/>
        </w:rPr>
        <w:t>et al</w:t>
      </w:r>
      <w:r>
        <w:rPr>
          <w:rFonts w:ascii="Arial" w:hAnsi="Arial"/>
          <w:sz w:val="22"/>
          <w:szCs w:val="22"/>
        </w:rPr>
        <w:t>., 2024).</w:t>
      </w:r>
    </w:p>
    <w:p w14:paraId="6FEECBC9" w14:textId="77777777" w:rsidR="00D3322E" w:rsidRDefault="00D3322E" w:rsidP="00D3322E">
      <w:pPr>
        <w:pStyle w:val="BodyText"/>
        <w:spacing w:after="0" w:line="360" w:lineRule="auto"/>
        <w:jc w:val="both"/>
        <w:rPr>
          <w:rFonts w:hint="eastAsia"/>
        </w:rPr>
      </w:pPr>
    </w:p>
    <w:p w14:paraId="685DCBD7" w14:textId="77777777" w:rsidR="00C35F28" w:rsidRDefault="00C35F28" w:rsidP="00D3322E">
      <w:pPr>
        <w:spacing w:line="360" w:lineRule="auto"/>
        <w:jc w:val="both"/>
        <w:rPr>
          <w:rStyle w:val="Strong"/>
          <w:rFonts w:ascii="Arial" w:hAnsi="Arial"/>
        </w:rPr>
      </w:pPr>
    </w:p>
    <w:p w14:paraId="521234A5" w14:textId="77777777" w:rsidR="00C35F28" w:rsidRDefault="00C35F28" w:rsidP="00D3322E">
      <w:pPr>
        <w:spacing w:line="360" w:lineRule="auto"/>
        <w:jc w:val="both"/>
        <w:rPr>
          <w:rStyle w:val="Strong"/>
          <w:rFonts w:ascii="Arial" w:hAnsi="Arial"/>
        </w:rPr>
      </w:pPr>
    </w:p>
    <w:p w14:paraId="37D94AC3" w14:textId="77777777" w:rsidR="00C35F28" w:rsidRDefault="00C35F28" w:rsidP="00D3322E">
      <w:pPr>
        <w:spacing w:line="360" w:lineRule="auto"/>
        <w:jc w:val="both"/>
        <w:rPr>
          <w:rStyle w:val="Strong"/>
          <w:rFonts w:ascii="Arial" w:hAnsi="Arial"/>
        </w:rPr>
      </w:pPr>
    </w:p>
    <w:p w14:paraId="3078A9FE" w14:textId="77777777" w:rsidR="00C35F28" w:rsidRDefault="00C35F28" w:rsidP="00D3322E">
      <w:pPr>
        <w:spacing w:line="360" w:lineRule="auto"/>
        <w:jc w:val="both"/>
        <w:rPr>
          <w:rStyle w:val="Strong"/>
          <w:rFonts w:ascii="Arial" w:hAnsi="Arial"/>
        </w:rPr>
      </w:pPr>
    </w:p>
    <w:p w14:paraId="42DCBF17" w14:textId="77777777" w:rsidR="00C35F28" w:rsidRDefault="00C35F28" w:rsidP="00D3322E">
      <w:pPr>
        <w:spacing w:line="360" w:lineRule="auto"/>
        <w:jc w:val="both"/>
        <w:rPr>
          <w:rStyle w:val="Strong"/>
          <w:rFonts w:ascii="Arial" w:hAnsi="Arial"/>
        </w:rPr>
      </w:pPr>
    </w:p>
    <w:p w14:paraId="370CDA7A" w14:textId="201E3B7C" w:rsidR="00D3322E" w:rsidRDefault="00D3322E" w:rsidP="00D3322E">
      <w:pPr>
        <w:spacing w:line="360" w:lineRule="auto"/>
        <w:jc w:val="both"/>
        <w:rPr>
          <w:rFonts w:ascii="Arial" w:hAnsi="Arial"/>
          <w:sz w:val="22"/>
          <w:szCs w:val="22"/>
        </w:rPr>
      </w:pPr>
      <w:r>
        <w:rPr>
          <w:rStyle w:val="Strong"/>
          <w:rFonts w:ascii="Arial" w:hAnsi="Arial"/>
        </w:rPr>
        <w:lastRenderedPageBreak/>
        <w:t>7. Conclusion</w:t>
      </w:r>
    </w:p>
    <w:p w14:paraId="032648ED" w14:textId="77777777" w:rsidR="00D3322E" w:rsidRDefault="00D3322E" w:rsidP="00D3322E">
      <w:pPr>
        <w:spacing w:line="360" w:lineRule="auto"/>
        <w:jc w:val="both"/>
        <w:rPr>
          <w:rStyle w:val="Strong"/>
          <w:rFonts w:hint="eastAsia"/>
          <w:b w:val="0"/>
          <w:bCs w:val="0"/>
        </w:rPr>
      </w:pPr>
    </w:p>
    <w:p w14:paraId="6EC84DF6" w14:textId="44141DF4"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Analysing Len's case, demonstrates that this negative outcome was not caused by a single mistake, but due to a combination of leadership failures and systemic shortcomings in the healthcare system. Among the main leadership limitations identified in the case study </w:t>
      </w:r>
      <w:r w:rsidR="004613FF">
        <w:rPr>
          <w:rStyle w:val="Strong"/>
          <w:rFonts w:ascii="Arial" w:hAnsi="Arial"/>
          <w:b w:val="0"/>
          <w:bCs w:val="0"/>
          <w:sz w:val="22"/>
          <w:szCs w:val="22"/>
        </w:rPr>
        <w:t>were</w:t>
      </w:r>
      <w:r>
        <w:rPr>
          <w:rStyle w:val="Strong"/>
          <w:rFonts w:ascii="Arial" w:hAnsi="Arial"/>
          <w:b w:val="0"/>
          <w:bCs w:val="0"/>
          <w:sz w:val="22"/>
          <w:szCs w:val="22"/>
        </w:rPr>
        <w:t xml:space="preserve"> ineffective communication, failure to adopt patient-centred approaches, and inadequate adaptation to patient needs. Leadership practices seemed mainly focused on task completion and on a reactive approach, placing a limited focus on patient understanding or implementing preventive safety measures. </w:t>
      </w:r>
      <w:r w:rsidR="004613FF">
        <w:rPr>
          <w:rStyle w:val="Strong"/>
          <w:rFonts w:ascii="Arial" w:hAnsi="Arial"/>
          <w:b w:val="0"/>
          <w:bCs w:val="0"/>
          <w:sz w:val="22"/>
          <w:szCs w:val="22"/>
        </w:rPr>
        <w:t>Evidence</w:t>
      </w:r>
      <w:r>
        <w:rPr>
          <w:rStyle w:val="Strong"/>
          <w:rFonts w:ascii="Arial" w:hAnsi="Arial"/>
          <w:b w:val="0"/>
          <w:bCs w:val="0"/>
          <w:sz w:val="22"/>
          <w:szCs w:val="22"/>
        </w:rPr>
        <w:t xml:space="preserve"> suggest that leadership styles that prioritise communication, collaboration, and adaptability are more efficient to reduce patient safety incidents (West </w:t>
      </w:r>
      <w:r>
        <w:rPr>
          <w:rStyle w:val="Strong"/>
          <w:rFonts w:ascii="Arial" w:hAnsi="Arial"/>
          <w:b w:val="0"/>
          <w:bCs w:val="0"/>
          <w:i/>
          <w:iCs/>
          <w:sz w:val="22"/>
          <w:szCs w:val="22"/>
        </w:rPr>
        <w:t>et al.</w:t>
      </w:r>
      <w:r>
        <w:rPr>
          <w:rStyle w:val="Strong"/>
          <w:rFonts w:ascii="Arial" w:hAnsi="Arial"/>
          <w:b w:val="0"/>
          <w:bCs w:val="0"/>
          <w:sz w:val="22"/>
          <w:szCs w:val="22"/>
        </w:rPr>
        <w:t xml:space="preserve">, 2017; Carayon </w:t>
      </w:r>
      <w:r>
        <w:rPr>
          <w:rStyle w:val="Strong"/>
          <w:rFonts w:ascii="Arial" w:hAnsi="Arial"/>
          <w:b w:val="0"/>
          <w:bCs w:val="0"/>
          <w:i/>
          <w:iCs/>
          <w:sz w:val="22"/>
          <w:szCs w:val="22"/>
        </w:rPr>
        <w:t>et al</w:t>
      </w:r>
      <w:r>
        <w:rPr>
          <w:rStyle w:val="Strong"/>
          <w:rFonts w:ascii="Arial" w:hAnsi="Arial"/>
          <w:b w:val="0"/>
          <w:bCs w:val="0"/>
          <w:sz w:val="22"/>
          <w:szCs w:val="22"/>
        </w:rPr>
        <w:t>., 2020).</w:t>
      </w:r>
    </w:p>
    <w:p w14:paraId="1563DA79"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 xml:space="preserve">From a systems thinking approach, several interrelated deficiencies have been highlighted, such as poor communication between departments, not giving patients enough information, a lack of solid safety checks, and poor coordination between services. Altogether, these increased the chances for medication errors and decreased the ability to intervene early. Evidence from the UK suggests that medication errors are frequently associated with systemic design failures, rather than individual neglect, which reinforces an emphasis on systemic solutions (Elliott </w:t>
      </w:r>
      <w:r>
        <w:rPr>
          <w:rStyle w:val="Strong"/>
          <w:rFonts w:ascii="Arial" w:hAnsi="Arial"/>
          <w:b w:val="0"/>
          <w:bCs w:val="0"/>
          <w:i/>
          <w:iCs/>
          <w:sz w:val="22"/>
          <w:szCs w:val="22"/>
        </w:rPr>
        <w:t>et al.</w:t>
      </w:r>
      <w:r>
        <w:rPr>
          <w:rStyle w:val="Strong"/>
          <w:rFonts w:ascii="Arial" w:hAnsi="Arial"/>
          <w:b w:val="0"/>
          <w:bCs w:val="0"/>
          <w:sz w:val="22"/>
          <w:szCs w:val="22"/>
        </w:rPr>
        <w:t>, 2018; NHS England, 2019).</w:t>
      </w:r>
    </w:p>
    <w:p w14:paraId="32C100FD" w14:textId="77777777" w:rsidR="00D3322E" w:rsidRDefault="00D3322E" w:rsidP="00D3322E">
      <w:pPr>
        <w:spacing w:line="360" w:lineRule="auto"/>
        <w:jc w:val="both"/>
        <w:rPr>
          <w:rFonts w:ascii="Arial" w:hAnsi="Arial"/>
          <w:sz w:val="22"/>
          <w:szCs w:val="22"/>
        </w:rPr>
      </w:pPr>
      <w:r>
        <w:rPr>
          <w:rStyle w:val="Strong"/>
          <w:rFonts w:ascii="Arial" w:hAnsi="Arial"/>
          <w:b w:val="0"/>
          <w:bCs w:val="0"/>
          <w:sz w:val="22"/>
          <w:szCs w:val="22"/>
        </w:rPr>
        <w:tab/>
        <w:t>Governance structures and leadership approaches have played a key role in shaping these outcomes. Weak governance has contributed to unclear accountability and inconsistent implementation of safety standards, while limited leadership effectiveness has reduced the ability to manage risks proactively. In contrast, stronger governance, combined with transformational and participatory leadership, could have improved communication, enhanced patient safety, and supported better decision-making.</w:t>
      </w:r>
    </w:p>
    <w:p w14:paraId="5A9B2754" w14:textId="54CC4540" w:rsidR="00D3322E" w:rsidRDefault="00D3322E" w:rsidP="001621D3">
      <w:pPr>
        <w:spacing w:line="360" w:lineRule="auto"/>
        <w:jc w:val="both"/>
        <w:rPr>
          <w:rFonts w:ascii="Arial" w:hAnsi="Arial"/>
          <w:sz w:val="22"/>
          <w:szCs w:val="22"/>
        </w:rPr>
      </w:pPr>
      <w:r>
        <w:rPr>
          <w:rStyle w:val="Strong"/>
          <w:rFonts w:ascii="Arial" w:hAnsi="Arial"/>
          <w:b w:val="0"/>
          <w:bCs w:val="0"/>
          <w:sz w:val="22"/>
          <w:szCs w:val="22"/>
        </w:rPr>
        <w:tab/>
        <w:t>As a whole, this case proves that a systemic approach provides a more sustainable approach for improvement, addressing organisational and systemic issues, instead of focusing on individual performance alone. By reinforcing leadership, governance, and system design, healthcare organisations may reduce risks and improve patient results.</w:t>
      </w:r>
    </w:p>
    <w:p w14:paraId="26E00C0E" w14:textId="77777777" w:rsidR="001621D3" w:rsidRPr="001621D3" w:rsidRDefault="001621D3" w:rsidP="001621D3">
      <w:pPr>
        <w:spacing w:line="360" w:lineRule="auto"/>
        <w:jc w:val="both"/>
        <w:rPr>
          <w:rFonts w:ascii="Arial" w:hAnsi="Arial"/>
          <w:sz w:val="22"/>
          <w:szCs w:val="22"/>
        </w:rPr>
      </w:pPr>
    </w:p>
    <w:p w14:paraId="55605A0A" w14:textId="77777777" w:rsidR="00C35F28" w:rsidRDefault="00C35F28" w:rsidP="00A16815">
      <w:pPr>
        <w:spacing w:before="57" w:after="57" w:line="360" w:lineRule="auto"/>
        <w:jc w:val="center"/>
        <w:rPr>
          <w:rFonts w:ascii="Arial" w:hAnsi="Arial"/>
          <w:b/>
          <w:bCs/>
          <w:sz w:val="22"/>
          <w:szCs w:val="22"/>
        </w:rPr>
      </w:pPr>
    </w:p>
    <w:p w14:paraId="6592055D" w14:textId="77777777" w:rsidR="00C35F28" w:rsidRDefault="00C35F28" w:rsidP="00A16815">
      <w:pPr>
        <w:spacing w:before="57" w:after="57" w:line="360" w:lineRule="auto"/>
        <w:jc w:val="center"/>
        <w:rPr>
          <w:rFonts w:ascii="Arial" w:hAnsi="Arial"/>
          <w:b/>
          <w:bCs/>
          <w:sz w:val="22"/>
          <w:szCs w:val="22"/>
        </w:rPr>
      </w:pPr>
    </w:p>
    <w:p w14:paraId="384BA3EF" w14:textId="77777777" w:rsidR="00C35F28" w:rsidRDefault="00C35F28" w:rsidP="00A16815">
      <w:pPr>
        <w:spacing w:before="57" w:after="57" w:line="360" w:lineRule="auto"/>
        <w:jc w:val="center"/>
        <w:rPr>
          <w:rFonts w:ascii="Arial" w:hAnsi="Arial"/>
          <w:b/>
          <w:bCs/>
          <w:sz w:val="22"/>
          <w:szCs w:val="22"/>
        </w:rPr>
      </w:pPr>
    </w:p>
    <w:p w14:paraId="59EFE947" w14:textId="77777777" w:rsidR="00C35F28" w:rsidRDefault="00C35F28" w:rsidP="00A16815">
      <w:pPr>
        <w:spacing w:before="57" w:after="57" w:line="360" w:lineRule="auto"/>
        <w:jc w:val="center"/>
        <w:rPr>
          <w:rFonts w:ascii="Arial" w:hAnsi="Arial"/>
          <w:b/>
          <w:bCs/>
          <w:sz w:val="22"/>
          <w:szCs w:val="22"/>
        </w:rPr>
      </w:pPr>
    </w:p>
    <w:p w14:paraId="0430E06C" w14:textId="77777777" w:rsidR="00C35F28" w:rsidRDefault="00C35F28" w:rsidP="00A16815">
      <w:pPr>
        <w:spacing w:before="57" w:after="57" w:line="360" w:lineRule="auto"/>
        <w:jc w:val="center"/>
        <w:rPr>
          <w:rFonts w:ascii="Arial" w:hAnsi="Arial"/>
          <w:b/>
          <w:bCs/>
          <w:sz w:val="22"/>
          <w:szCs w:val="22"/>
        </w:rPr>
      </w:pPr>
    </w:p>
    <w:p w14:paraId="3DA75527" w14:textId="77777777" w:rsidR="00C35F28" w:rsidRDefault="00C35F28" w:rsidP="00A16815">
      <w:pPr>
        <w:spacing w:before="57" w:after="57" w:line="360" w:lineRule="auto"/>
        <w:jc w:val="center"/>
        <w:rPr>
          <w:rFonts w:ascii="Arial" w:hAnsi="Arial"/>
          <w:b/>
          <w:bCs/>
          <w:sz w:val="22"/>
          <w:szCs w:val="22"/>
        </w:rPr>
      </w:pPr>
    </w:p>
    <w:p w14:paraId="7705F4A2" w14:textId="621E40C3" w:rsidR="00A16815" w:rsidRDefault="00D3322E" w:rsidP="00A16815">
      <w:pPr>
        <w:spacing w:before="57" w:after="57" w:line="360" w:lineRule="auto"/>
        <w:jc w:val="center"/>
        <w:rPr>
          <w:rFonts w:ascii="Arial" w:hAnsi="Arial"/>
          <w:b/>
          <w:bCs/>
          <w:sz w:val="22"/>
          <w:szCs w:val="22"/>
        </w:rPr>
      </w:pPr>
      <w:r>
        <w:rPr>
          <w:rFonts w:ascii="Arial" w:hAnsi="Arial"/>
          <w:b/>
          <w:bCs/>
          <w:sz w:val="22"/>
          <w:szCs w:val="22"/>
        </w:rPr>
        <w:lastRenderedPageBreak/>
        <w:t>References</w:t>
      </w:r>
    </w:p>
    <w:p w14:paraId="7D9F0C8B" w14:textId="77777777" w:rsidR="00B71735" w:rsidRPr="00A16815" w:rsidRDefault="00B71735" w:rsidP="00A16815">
      <w:pPr>
        <w:spacing w:before="57" w:after="57" w:line="360" w:lineRule="auto"/>
        <w:jc w:val="center"/>
        <w:rPr>
          <w:rFonts w:ascii="Arial" w:hAnsi="Arial"/>
          <w:b/>
          <w:bCs/>
          <w:sz w:val="22"/>
          <w:szCs w:val="22"/>
        </w:rPr>
      </w:pPr>
    </w:p>
    <w:p w14:paraId="059CE0D1" w14:textId="2150B042" w:rsidR="00D3322E" w:rsidRPr="004F07DD" w:rsidRDefault="00D3322E" w:rsidP="00A16815">
      <w:pPr>
        <w:pStyle w:val="BodyText"/>
        <w:spacing w:after="0" w:line="360" w:lineRule="auto"/>
        <w:rPr>
          <w:rFonts w:ascii="Arial" w:hAnsi="Arial"/>
          <w:color w:val="44546A" w:themeColor="text2"/>
          <w:sz w:val="22"/>
          <w:szCs w:val="22"/>
        </w:rPr>
      </w:pPr>
      <w:r w:rsidRPr="004F07DD">
        <w:rPr>
          <w:rFonts w:ascii="Arial" w:hAnsi="Arial"/>
          <w:sz w:val="22"/>
          <w:szCs w:val="22"/>
        </w:rPr>
        <w:t xml:space="preserve">Alilyyani, B., Wong, C.A. and Cummings, G. (2018) ‘Antecedents, mediators, and outcomes of authentic leadership in healthcare: A systematic review’, </w:t>
      </w:r>
      <w:r w:rsidRPr="004F07DD">
        <w:rPr>
          <w:rStyle w:val="Emphasis"/>
          <w:rFonts w:ascii="Arial" w:hAnsi="Arial"/>
          <w:sz w:val="22"/>
          <w:szCs w:val="22"/>
        </w:rPr>
        <w:t>International Journal of Nursing Studies</w:t>
      </w:r>
      <w:r w:rsidRPr="004F07DD">
        <w:rPr>
          <w:rFonts w:ascii="Arial" w:hAnsi="Arial"/>
          <w:sz w:val="22"/>
          <w:szCs w:val="22"/>
        </w:rPr>
        <w:t xml:space="preserve">, 83, pp.34–64. Available at: </w:t>
      </w:r>
      <w:hyperlink r:id="rId7" w:history="1">
        <w:r w:rsidRPr="004F07DD">
          <w:rPr>
            <w:rStyle w:val="Hyperlink"/>
            <w:rFonts w:ascii="Arial" w:hAnsi="Arial"/>
            <w:sz w:val="22"/>
            <w:szCs w:val="22"/>
          </w:rPr>
          <w:t>https://www.sciencedirect.com/science/article/pii/S0020748918300700</w:t>
        </w:r>
      </w:hyperlink>
      <w:r w:rsidRPr="004F07DD">
        <w:rPr>
          <w:rFonts w:ascii="Arial" w:hAnsi="Arial"/>
          <w:sz w:val="22"/>
          <w:szCs w:val="22"/>
        </w:rPr>
        <w:t xml:space="preserve">  (Accessed: 04 March 2026)</w:t>
      </w:r>
      <w:r w:rsidR="00B1644E" w:rsidRPr="004F07DD">
        <w:rPr>
          <w:rFonts w:ascii="Arial" w:hAnsi="Arial"/>
          <w:sz w:val="22"/>
          <w:szCs w:val="22"/>
        </w:rPr>
        <w:t>.</w:t>
      </w:r>
    </w:p>
    <w:p w14:paraId="6E6964CD" w14:textId="77020127"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Anjum, F., Din, B.R.U. and ASHRAF, S. (2024) Patient safety and quality improvement: reducing medical errors in healthcare. </w:t>
      </w:r>
      <w:r w:rsidRPr="004F07DD">
        <w:rPr>
          <w:rFonts w:ascii="Arial" w:hAnsi="Arial"/>
          <w:i/>
          <w:color w:val="000000"/>
          <w:sz w:val="22"/>
          <w:szCs w:val="22"/>
        </w:rPr>
        <w:t>Multidisciplinary Journal of Healthcare (MJH)</w:t>
      </w:r>
      <w:r w:rsidRPr="004F07DD">
        <w:rPr>
          <w:rFonts w:ascii="Arial" w:hAnsi="Arial"/>
          <w:color w:val="000000"/>
          <w:sz w:val="22"/>
          <w:szCs w:val="22"/>
        </w:rPr>
        <w:t xml:space="preserve">, </w:t>
      </w:r>
      <w:r w:rsidRPr="004F07DD">
        <w:rPr>
          <w:rFonts w:ascii="Arial" w:hAnsi="Arial"/>
          <w:i/>
          <w:color w:val="000000"/>
          <w:sz w:val="22"/>
          <w:szCs w:val="22"/>
        </w:rPr>
        <w:t>1</w:t>
      </w:r>
      <w:r w:rsidRPr="004F07DD">
        <w:rPr>
          <w:rFonts w:ascii="Arial" w:hAnsi="Arial"/>
          <w:color w:val="000000"/>
          <w:sz w:val="22"/>
          <w:szCs w:val="22"/>
        </w:rPr>
        <w:t xml:space="preserve">(2), pp.13-23. Available at: </w:t>
      </w:r>
      <w:hyperlink r:id="rId8" w:history="1">
        <w:r w:rsidRPr="004F07DD">
          <w:rPr>
            <w:rStyle w:val="Hyperlink"/>
            <w:rFonts w:ascii="Arial" w:hAnsi="Arial"/>
            <w:color w:val="4B2589"/>
            <w:sz w:val="22"/>
            <w:szCs w:val="22"/>
          </w:rPr>
          <w:t>https://researchcorridor.org/index.php/mjh/article/view/49</w:t>
        </w:r>
      </w:hyperlink>
      <w:r w:rsidR="00B1644E" w:rsidRPr="004F07DD">
        <w:rPr>
          <w:rFonts w:ascii="Arial" w:hAnsi="Arial"/>
          <w:color w:val="4B2589"/>
          <w:sz w:val="22"/>
          <w:szCs w:val="22"/>
        </w:rPr>
        <w:t>.</w:t>
      </w:r>
      <w:r w:rsidR="00B1644E" w:rsidRPr="004F07DD">
        <w:rPr>
          <w:rFonts w:ascii="Arial" w:hAnsi="Arial"/>
          <w:sz w:val="22"/>
          <w:szCs w:val="22"/>
        </w:rPr>
        <w:t xml:space="preserve"> </w:t>
      </w:r>
      <w:r w:rsidRPr="004F07DD">
        <w:rPr>
          <w:rFonts w:ascii="Arial" w:hAnsi="Arial"/>
          <w:color w:val="000000"/>
          <w:sz w:val="22"/>
          <w:szCs w:val="22"/>
        </w:rPr>
        <w:t xml:space="preserve"> (Accessed: 10 March 2026)</w:t>
      </w:r>
      <w:r w:rsidR="00B1644E" w:rsidRPr="004F07DD">
        <w:rPr>
          <w:rFonts w:ascii="Arial" w:hAnsi="Arial"/>
          <w:color w:val="000000"/>
          <w:sz w:val="22"/>
          <w:szCs w:val="22"/>
        </w:rPr>
        <w:t>.</w:t>
      </w:r>
    </w:p>
    <w:p w14:paraId="5C4CF31F" w14:textId="20127261"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color w:val="000000"/>
          <w:sz w:val="22"/>
          <w:szCs w:val="22"/>
        </w:rPr>
        <w:t xml:space="preserve">Auraaen, A., Saar, K. and Klazinga, N. (2020) System governance towards improved patient safety: key functions, approaches and pathways to implementation. </w:t>
      </w:r>
      <w:r w:rsidRPr="004F07DD">
        <w:rPr>
          <w:rFonts w:ascii="Arial" w:hAnsi="Arial"/>
          <w:i/>
          <w:color w:val="000000"/>
          <w:sz w:val="22"/>
          <w:szCs w:val="22"/>
        </w:rPr>
        <w:t>OECD Health Working Papers</w:t>
      </w:r>
      <w:r w:rsidRPr="004F07DD">
        <w:rPr>
          <w:rFonts w:ascii="Arial" w:hAnsi="Arial"/>
          <w:color w:val="000000"/>
          <w:sz w:val="22"/>
          <w:szCs w:val="22"/>
        </w:rPr>
        <w:t xml:space="preserve">, (120), pp.0_1-116. Available at: </w:t>
      </w:r>
      <w:hyperlink r:id="rId9" w:history="1">
        <w:r w:rsidRPr="004F07DD">
          <w:rPr>
            <w:rStyle w:val="Hyperlink"/>
            <w:rFonts w:ascii="Arial" w:hAnsi="Arial"/>
            <w:color w:val="4B2589"/>
            <w:sz w:val="22"/>
            <w:szCs w:val="22"/>
          </w:rPr>
          <w:t>https://search.proquest.com/openview/5104f61a86e92429b8b5e8358e71de55/1?pq-origsite=gscholar&amp;cbl=54484</w:t>
        </w:r>
      </w:hyperlink>
      <w:hyperlink>
        <w:r w:rsidRPr="004F07DD">
          <w:rPr>
            <w:rFonts w:ascii="Arial" w:hAnsi="Arial"/>
            <w:color w:val="000000"/>
            <w:sz w:val="22"/>
            <w:szCs w:val="22"/>
          </w:rPr>
          <w:t xml:space="preserve"> (Accessed: 13 March 2026)</w:t>
        </w:r>
      </w:hyperlink>
      <w:r w:rsidR="00B1644E" w:rsidRPr="004F07DD">
        <w:rPr>
          <w:rFonts w:ascii="Arial" w:hAnsi="Arial"/>
          <w:sz w:val="22"/>
          <w:szCs w:val="22"/>
        </w:rPr>
        <w:t>.</w:t>
      </w:r>
    </w:p>
    <w:p w14:paraId="0F17E6C6" w14:textId="2E1A70B9"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color w:val="000000"/>
          <w:sz w:val="22"/>
          <w:szCs w:val="22"/>
        </w:rPr>
        <w:t xml:space="preserve">Belasen, A.T., Eisenberg, B. and Borgos, J. (2024) </w:t>
      </w:r>
      <w:r w:rsidRPr="004F07DD">
        <w:rPr>
          <w:rFonts w:ascii="Arial" w:hAnsi="Arial"/>
          <w:i/>
          <w:color w:val="000000"/>
          <w:sz w:val="22"/>
          <w:szCs w:val="22"/>
        </w:rPr>
        <w:t>Transforming leadership, improving the patient experience: communication strategies for driving patient satisfaction</w:t>
      </w:r>
      <w:r w:rsidRPr="004F07DD">
        <w:rPr>
          <w:rFonts w:ascii="Arial" w:hAnsi="Arial"/>
          <w:color w:val="000000"/>
          <w:sz w:val="22"/>
          <w:szCs w:val="22"/>
        </w:rPr>
        <w:t xml:space="preserve">. Productivity Press. Available at: </w:t>
      </w:r>
      <w:hyperlink r:id="rId10" w:history="1">
        <w:r w:rsidRPr="004F07DD">
          <w:rPr>
            <w:rStyle w:val="Hyperlink"/>
            <w:rFonts w:ascii="Arial" w:hAnsi="Arial"/>
            <w:color w:val="4B2589"/>
            <w:sz w:val="22"/>
            <w:szCs w:val="22"/>
          </w:rPr>
          <w:t>https://www.taylorfrancis.com/books/mono/10.4324/9781003431077/transforming-leadership-improving-patient-experience-alan-belasen-ph-barry-eisenberg-ph-jill-borgos-ph</w:t>
        </w:r>
      </w:hyperlink>
      <w:r w:rsidRPr="004F07DD">
        <w:rPr>
          <w:rFonts w:ascii="Arial" w:hAnsi="Arial"/>
          <w:color w:val="4B2589"/>
          <w:sz w:val="22"/>
          <w:szCs w:val="22"/>
        </w:rPr>
        <w:t xml:space="preserve"> </w:t>
      </w:r>
      <w:r w:rsidRPr="004F07DD">
        <w:rPr>
          <w:rFonts w:ascii="Arial" w:hAnsi="Arial"/>
          <w:color w:val="000000"/>
          <w:sz w:val="22"/>
          <w:szCs w:val="22"/>
        </w:rPr>
        <w:t>(Accessed: 10 March 2026)</w:t>
      </w:r>
    </w:p>
    <w:p w14:paraId="22FCECBC" w14:textId="275CCC68"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Boamah, S.A., Laschinger, H.K.S., Wong, C. and Clarke, S. (2018) Effect of transformational leadership on job satisfaction and patient safety outcomes, </w:t>
      </w:r>
      <w:r w:rsidRPr="004F07DD">
        <w:rPr>
          <w:rStyle w:val="Emphasis"/>
          <w:rFonts w:ascii="Arial" w:hAnsi="Arial"/>
          <w:sz w:val="22"/>
          <w:szCs w:val="22"/>
        </w:rPr>
        <w:t>Nursing Outlook</w:t>
      </w:r>
      <w:r w:rsidRPr="004F07DD">
        <w:rPr>
          <w:rFonts w:ascii="Arial" w:hAnsi="Arial"/>
          <w:sz w:val="22"/>
          <w:szCs w:val="22"/>
        </w:rPr>
        <w:t xml:space="preserve">, 66(2), pp. 180–189. Available at: </w:t>
      </w:r>
      <w:hyperlink r:id="rId11" w:history="1">
        <w:r w:rsidRPr="004F07DD">
          <w:rPr>
            <w:rStyle w:val="Hyperlink"/>
            <w:rFonts w:ascii="Arial" w:hAnsi="Arial"/>
            <w:sz w:val="22"/>
            <w:szCs w:val="22"/>
          </w:rPr>
          <w:t>https://www.sciencedirect.com/science/article/pii/S0029655417302154</w:t>
        </w:r>
      </w:hyperlink>
      <w:r w:rsidRPr="004F07DD">
        <w:rPr>
          <w:rFonts w:ascii="Arial" w:hAnsi="Arial"/>
          <w:sz w:val="22"/>
          <w:szCs w:val="22"/>
        </w:rPr>
        <w:t xml:space="preserve">  (Accessed: 11 March 2026). </w:t>
      </w:r>
    </w:p>
    <w:p w14:paraId="5C12A19E" w14:textId="11AB3F31"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Carayon, P., Wooldridge, A., Hose, B., Salwei, M. and Benneyan, J. (2020) ‘Challenges and opportunities for improving patient safety through human factors and systems engineering’, </w:t>
      </w:r>
      <w:r w:rsidRPr="004F07DD">
        <w:rPr>
          <w:rStyle w:val="Emphasis"/>
          <w:rFonts w:ascii="Arial" w:hAnsi="Arial"/>
          <w:sz w:val="22"/>
          <w:szCs w:val="22"/>
        </w:rPr>
        <w:t>Health Affairs</w:t>
      </w:r>
      <w:r w:rsidRPr="004F07DD">
        <w:rPr>
          <w:rFonts w:ascii="Arial" w:hAnsi="Arial"/>
          <w:sz w:val="22"/>
          <w:szCs w:val="22"/>
        </w:rPr>
        <w:t xml:space="preserve">, 39(11), pp.1862–1869. Available at: </w:t>
      </w:r>
      <w:hyperlink r:id="rId12" w:history="1">
        <w:r w:rsidRPr="004F07DD">
          <w:rPr>
            <w:rStyle w:val="Hyperlink"/>
            <w:rFonts w:ascii="Arial" w:hAnsi="Arial"/>
            <w:sz w:val="22"/>
            <w:szCs w:val="22"/>
          </w:rPr>
          <w:t>https://www.healthaffairs.org/doi/10.1377/hlthaff.2020.01562</w:t>
        </w:r>
      </w:hyperlink>
      <w:r w:rsidRPr="004F07DD">
        <w:rPr>
          <w:rFonts w:ascii="Arial" w:hAnsi="Arial"/>
          <w:sz w:val="22"/>
          <w:szCs w:val="22"/>
        </w:rPr>
        <w:t xml:space="preserve">  (Accessed: 04 March 2026)</w:t>
      </w:r>
      <w:r w:rsidR="00AC68F8" w:rsidRPr="004F07DD">
        <w:rPr>
          <w:rFonts w:ascii="Arial" w:hAnsi="Arial"/>
          <w:sz w:val="22"/>
          <w:szCs w:val="22"/>
        </w:rPr>
        <w:t>.</w:t>
      </w:r>
    </w:p>
    <w:p w14:paraId="50B89D1D" w14:textId="7D4A1FB0" w:rsidR="004613FF"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Chan, B.T., Veillard, J.H., Cowling, K., Klazinga, N.S., Brown, A.D. and Leatherman, S., (2019) Stewardship of quality of care in health systems: Core functions, common pitfalls, and potential solutions. </w:t>
      </w:r>
      <w:r w:rsidRPr="004F07DD">
        <w:rPr>
          <w:rFonts w:ascii="Arial" w:hAnsi="Arial"/>
          <w:i/>
          <w:color w:val="000000"/>
          <w:sz w:val="22"/>
          <w:szCs w:val="22"/>
        </w:rPr>
        <w:t>Public Administration and Development</w:t>
      </w:r>
      <w:r w:rsidRPr="004F07DD">
        <w:rPr>
          <w:rFonts w:ascii="Arial" w:hAnsi="Arial"/>
          <w:color w:val="000000"/>
          <w:sz w:val="22"/>
          <w:szCs w:val="22"/>
        </w:rPr>
        <w:t xml:space="preserve">, </w:t>
      </w:r>
      <w:r w:rsidRPr="004F07DD">
        <w:rPr>
          <w:rFonts w:ascii="Arial" w:hAnsi="Arial"/>
          <w:i/>
          <w:color w:val="000000"/>
          <w:sz w:val="22"/>
          <w:szCs w:val="22"/>
        </w:rPr>
        <w:t>39</w:t>
      </w:r>
      <w:r w:rsidRPr="004F07DD">
        <w:rPr>
          <w:rFonts w:ascii="Arial" w:hAnsi="Arial"/>
          <w:color w:val="000000"/>
          <w:sz w:val="22"/>
          <w:szCs w:val="22"/>
        </w:rPr>
        <w:t>(1), pp.34-46</w:t>
      </w:r>
      <w:r w:rsidRPr="004F07DD">
        <w:rPr>
          <w:rFonts w:ascii="Arial" w:hAnsi="Arial"/>
          <w:color w:val="222222"/>
          <w:sz w:val="22"/>
          <w:szCs w:val="22"/>
        </w:rPr>
        <w:t>.</w:t>
      </w:r>
      <w:r w:rsidRPr="004F07DD">
        <w:rPr>
          <w:rFonts w:ascii="Arial" w:hAnsi="Arial"/>
          <w:sz w:val="22"/>
          <w:szCs w:val="22"/>
        </w:rPr>
        <w:t xml:space="preserve"> Available at: </w:t>
      </w:r>
      <w:hyperlink r:id="rId13" w:history="1">
        <w:r w:rsidRPr="004F07DD">
          <w:rPr>
            <w:rStyle w:val="Hyperlink"/>
            <w:rFonts w:ascii="Arial" w:hAnsi="Arial"/>
            <w:sz w:val="22"/>
            <w:szCs w:val="22"/>
          </w:rPr>
          <w:t>https://onlinelibrary.wiley.com/doi/abs/10.1002/pad.1835</w:t>
        </w:r>
      </w:hyperlink>
      <w:hyperlink>
        <w:r w:rsidRPr="004F07DD">
          <w:rPr>
            <w:rFonts w:ascii="Arial" w:hAnsi="Arial"/>
            <w:sz w:val="22"/>
            <w:szCs w:val="22"/>
          </w:rPr>
          <w:t xml:space="preserve"> (Accessed: 13 March 2026)</w:t>
        </w:r>
      </w:hyperlink>
      <w:r w:rsidR="00BF6622" w:rsidRPr="004F07DD">
        <w:rPr>
          <w:rFonts w:ascii="Arial" w:hAnsi="Arial"/>
          <w:sz w:val="22"/>
          <w:szCs w:val="22"/>
        </w:rPr>
        <w:t>.</w:t>
      </w:r>
    </w:p>
    <w:p w14:paraId="7E35CE4E" w14:textId="77777777" w:rsidR="00B71735" w:rsidRPr="00C35F28" w:rsidRDefault="00B71735" w:rsidP="00A16815">
      <w:pPr>
        <w:pStyle w:val="BodyText"/>
        <w:spacing w:after="0" w:line="360" w:lineRule="auto"/>
        <w:rPr>
          <w:rFonts w:ascii="Arial" w:hAnsi="Arial"/>
          <w:sz w:val="22"/>
          <w:szCs w:val="22"/>
        </w:rPr>
      </w:pPr>
    </w:p>
    <w:p w14:paraId="0DA04CCF" w14:textId="31101313"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lastRenderedPageBreak/>
        <w:t xml:space="preserve">Rocha, B.S., Moraes, C.G., Okumura, L.M., da Cruz, F., Sirtori, L. and da Silva Pons, E., (2021) Interventions to reduce problems related to the readability and comprehensibility of drug packages and labels: a systematic review. </w:t>
      </w:r>
      <w:r w:rsidRPr="004F07DD">
        <w:rPr>
          <w:rFonts w:ascii="Arial" w:hAnsi="Arial"/>
          <w:i/>
          <w:color w:val="000000"/>
          <w:sz w:val="22"/>
          <w:szCs w:val="22"/>
        </w:rPr>
        <w:t>Journal of Patient Safety</w:t>
      </w:r>
      <w:r w:rsidRPr="004F07DD">
        <w:rPr>
          <w:rFonts w:ascii="Arial" w:hAnsi="Arial"/>
          <w:color w:val="000000"/>
          <w:sz w:val="22"/>
          <w:szCs w:val="22"/>
        </w:rPr>
        <w:t xml:space="preserve">, </w:t>
      </w:r>
      <w:r w:rsidRPr="004F07DD">
        <w:rPr>
          <w:rFonts w:ascii="Arial" w:hAnsi="Arial"/>
          <w:i/>
          <w:color w:val="000000"/>
          <w:sz w:val="22"/>
          <w:szCs w:val="22"/>
        </w:rPr>
        <w:t>17</w:t>
      </w:r>
      <w:r w:rsidRPr="004F07DD">
        <w:rPr>
          <w:rFonts w:ascii="Arial" w:hAnsi="Arial"/>
          <w:color w:val="000000"/>
          <w:sz w:val="22"/>
          <w:szCs w:val="22"/>
        </w:rPr>
        <w:t xml:space="preserve">(8), pp.e1494-e1506. Available at: </w:t>
      </w:r>
      <w:hyperlink r:id="rId14" w:history="1">
        <w:r w:rsidRPr="004F07DD">
          <w:rPr>
            <w:rStyle w:val="Hyperlink"/>
            <w:rFonts w:ascii="Arial" w:hAnsi="Arial"/>
            <w:color w:val="4B2589"/>
            <w:sz w:val="22"/>
            <w:szCs w:val="22"/>
          </w:rPr>
          <w:t>https://journals.lww.com/journalpatientsafety/fulltext/2021/12000/interventions_to_reduce_problems_related_to_the.114.aspx</w:t>
        </w:r>
      </w:hyperlink>
      <w:hyperlink>
        <w:r w:rsidRPr="004F07DD">
          <w:rPr>
            <w:rFonts w:ascii="Arial" w:hAnsi="Arial"/>
            <w:color w:val="000000"/>
            <w:sz w:val="22"/>
            <w:szCs w:val="22"/>
          </w:rPr>
          <w:t xml:space="preserve"> (Accessed: 12 March 2026)</w:t>
        </w:r>
      </w:hyperlink>
      <w:r w:rsidR="00BF6622" w:rsidRPr="004F07DD">
        <w:rPr>
          <w:rFonts w:ascii="Arial" w:hAnsi="Arial"/>
          <w:sz w:val="22"/>
          <w:szCs w:val="22"/>
        </w:rPr>
        <w:t>.</w:t>
      </w:r>
    </w:p>
    <w:p w14:paraId="59AF6648" w14:textId="72B49E9A"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Domer, G., Gallagher, T.M., Shahabzada, S., Sotherland, J., Paul, E.N., Kumar, K.N., Wilson, B., Salpekar, S. and Kaur, P. (2021) Patient safety: preventing patient harm and building capacity for patient safety. In </w:t>
      </w:r>
      <w:r w:rsidRPr="004F07DD">
        <w:rPr>
          <w:rFonts w:ascii="Arial" w:hAnsi="Arial"/>
          <w:i/>
          <w:color w:val="000000"/>
          <w:sz w:val="22"/>
          <w:szCs w:val="22"/>
        </w:rPr>
        <w:t>Contemporary Topics in Patient Safety-Volume 1</w:t>
      </w:r>
      <w:r w:rsidRPr="004F07DD">
        <w:rPr>
          <w:rFonts w:ascii="Arial" w:hAnsi="Arial"/>
          <w:color w:val="000000"/>
          <w:sz w:val="22"/>
          <w:szCs w:val="22"/>
        </w:rPr>
        <w:t xml:space="preserve">. IntechOpen. Available at: </w:t>
      </w:r>
      <w:hyperlink r:id="rId15" w:history="1">
        <w:r w:rsidRPr="004F07DD">
          <w:rPr>
            <w:rStyle w:val="Hyperlink"/>
            <w:rFonts w:ascii="Arial" w:hAnsi="Arial"/>
            <w:color w:val="4B2589"/>
            <w:sz w:val="22"/>
            <w:szCs w:val="22"/>
          </w:rPr>
          <w:t>https://www.intechopen.com/chapters/79011</w:t>
        </w:r>
      </w:hyperlink>
      <w:r w:rsidRPr="004F07DD">
        <w:rPr>
          <w:rFonts w:ascii="Arial" w:hAnsi="Arial"/>
          <w:color w:val="000000"/>
          <w:sz w:val="22"/>
          <w:szCs w:val="22"/>
        </w:rPr>
        <w:t xml:space="preserve"> (Accessed: 10 March 2026)</w:t>
      </w:r>
      <w:r w:rsidR="00CF10D6" w:rsidRPr="004F07DD">
        <w:rPr>
          <w:rFonts w:ascii="Arial" w:hAnsi="Arial"/>
          <w:color w:val="000000"/>
          <w:sz w:val="22"/>
          <w:szCs w:val="22"/>
        </w:rPr>
        <w:t>.</w:t>
      </w:r>
      <w:r w:rsidRPr="004F07DD">
        <w:rPr>
          <w:rFonts w:ascii="Arial" w:hAnsi="Arial"/>
          <w:color w:val="000000"/>
          <w:sz w:val="22"/>
          <w:szCs w:val="22"/>
        </w:rPr>
        <w:t xml:space="preserve">                                               </w:t>
      </w:r>
    </w:p>
    <w:p w14:paraId="38F3C421" w14:textId="20240046"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Dougherty, S., Lorenzoni, L., Marino, A. and Murtin, F. (2019) The impact of decentralisation on the performance of health care systems: A non-linear relationship. Available at: </w:t>
      </w:r>
      <w:hyperlink r:id="rId16" w:history="1">
        <w:r w:rsidRPr="004F07DD">
          <w:rPr>
            <w:rStyle w:val="Hyperlink"/>
            <w:rFonts w:ascii="Arial" w:hAnsi="Arial"/>
            <w:color w:val="4B2589"/>
            <w:sz w:val="22"/>
            <w:szCs w:val="22"/>
          </w:rPr>
          <w:t>https://www.oecd.org/content/dam/oecd/en/publications/reports/2019/03/the-impact-of-decentralisation-on-the-performance-of-health</w:t>
        </w:r>
      </w:hyperlink>
      <w:hyperlink r:id="rId17" w:history="1">
        <w:r w:rsidRPr="004F07DD">
          <w:rPr>
            <w:rStyle w:val="Hyperlink"/>
            <w:rFonts w:ascii="Arial" w:hAnsi="Arial"/>
            <w:color w:val="4B2589"/>
            <w:sz w:val="22"/>
            <w:szCs w:val="22"/>
          </w:rPr>
          <w:t xml:space="preserve"> care</w:t>
        </w:r>
      </w:hyperlink>
      <w:hyperlink r:id="rId18" w:history="1">
        <w:r w:rsidRPr="004F07DD">
          <w:rPr>
            <w:rStyle w:val="Hyperlink"/>
            <w:rFonts w:ascii="Arial" w:hAnsi="Arial"/>
            <w:color w:val="4B2589"/>
            <w:sz w:val="22"/>
            <w:szCs w:val="22"/>
          </w:rPr>
          <w:t>systems_a31e2263/04208b83-en.pdf</w:t>
        </w:r>
      </w:hyperlink>
      <w:r w:rsidRPr="004F07DD">
        <w:rPr>
          <w:rFonts w:ascii="Arial" w:hAnsi="Arial"/>
          <w:color w:val="000000"/>
          <w:sz w:val="22"/>
          <w:szCs w:val="22"/>
        </w:rPr>
        <w:t xml:space="preserve"> (Accessed: 08 March 2026)</w:t>
      </w:r>
      <w:r w:rsidR="00CF10D6" w:rsidRPr="004F07DD">
        <w:rPr>
          <w:rFonts w:ascii="Arial" w:hAnsi="Arial"/>
          <w:color w:val="000000"/>
          <w:sz w:val="22"/>
          <w:szCs w:val="22"/>
        </w:rPr>
        <w:t>.</w:t>
      </w:r>
    </w:p>
    <w:p w14:paraId="7AB7F602" w14:textId="38A21116"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Elliott, R.A., Camacho, E., Campbell, F., Jankovic, D., St James, M.M., Kaltenthaler, E., Wong, R., Sculpher, M. and Faria, R. (2018) Prevalence and economic burden of medication errors in the NHS in England, </w:t>
      </w:r>
      <w:r w:rsidRPr="004F07DD">
        <w:rPr>
          <w:rStyle w:val="Emphasis"/>
          <w:rFonts w:ascii="Arial" w:hAnsi="Arial"/>
          <w:color w:val="000000"/>
          <w:sz w:val="22"/>
          <w:szCs w:val="22"/>
        </w:rPr>
        <w:t>BMJ Quality &amp; Safety</w:t>
      </w:r>
      <w:r w:rsidRPr="004F07DD">
        <w:rPr>
          <w:rFonts w:ascii="Arial" w:hAnsi="Arial"/>
          <w:color w:val="000000"/>
          <w:sz w:val="22"/>
          <w:szCs w:val="22"/>
        </w:rPr>
        <w:t xml:space="preserve">, 27(11), pp. 1–10. Available at: </w:t>
      </w:r>
      <w:hyperlink r:id="rId19" w:history="1">
        <w:r w:rsidRPr="004F07DD">
          <w:rPr>
            <w:rStyle w:val="Hyperlink"/>
            <w:rFonts w:ascii="Arial" w:hAnsi="Arial"/>
            <w:color w:val="4B2589"/>
            <w:sz w:val="22"/>
            <w:szCs w:val="22"/>
          </w:rPr>
          <w:t>https://qualitysafety.bmj.com/content/27/11/1</w:t>
        </w:r>
      </w:hyperlink>
      <w:r w:rsidRPr="004F07DD">
        <w:rPr>
          <w:rFonts w:ascii="Arial" w:hAnsi="Arial"/>
          <w:color w:val="000000"/>
          <w:sz w:val="22"/>
          <w:szCs w:val="22"/>
        </w:rPr>
        <w:t xml:space="preserve"> (Accessed: 08 March 2026).       </w:t>
      </w:r>
    </w:p>
    <w:p w14:paraId="7E65AAA0" w14:textId="59780D0D"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Fleming, J. (2024) Staff Education: Improving Nursing Knowledge on Patient Medication Adherence Strategies using Teach-Back (Doctoral dissertation, Walden University). Available at: </w:t>
      </w:r>
      <w:hyperlink r:id="rId20" w:history="1">
        <w:r w:rsidRPr="004F07DD">
          <w:rPr>
            <w:rStyle w:val="Hyperlink"/>
            <w:rFonts w:ascii="Arial" w:hAnsi="Arial"/>
            <w:color w:val="4B2589"/>
            <w:sz w:val="22"/>
            <w:szCs w:val="22"/>
          </w:rPr>
          <w:t>https://search.proquest.com/openview/b1fdd912a1db9d816c97984983f0f2ea/1?pq-origsite=gscholar&amp;cbl=18750&amp;diss=y</w:t>
        </w:r>
      </w:hyperlink>
      <w:r w:rsidRPr="004F07DD">
        <w:rPr>
          <w:rFonts w:ascii="Arial" w:hAnsi="Arial"/>
          <w:color w:val="000000"/>
          <w:sz w:val="22"/>
          <w:szCs w:val="22"/>
        </w:rPr>
        <w:t xml:space="preserve"> (Accessed: 10 March 2026)</w:t>
      </w:r>
      <w:r w:rsidR="000952F9" w:rsidRPr="004F07DD">
        <w:rPr>
          <w:rFonts w:ascii="Arial" w:hAnsi="Arial"/>
          <w:color w:val="000000"/>
          <w:sz w:val="22"/>
          <w:szCs w:val="22"/>
        </w:rPr>
        <w:t>.</w:t>
      </w:r>
    </w:p>
    <w:p w14:paraId="1D4FBEBA" w14:textId="5D7369E2"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color w:val="000000"/>
          <w:sz w:val="22"/>
          <w:szCs w:val="22"/>
        </w:rPr>
        <w:t xml:space="preserve">Francis, R. (2017) </w:t>
      </w:r>
      <w:r w:rsidRPr="004F07DD">
        <w:rPr>
          <w:rStyle w:val="Emphasis"/>
          <w:rFonts w:ascii="Arial" w:hAnsi="Arial"/>
          <w:color w:val="000000"/>
          <w:sz w:val="22"/>
          <w:szCs w:val="22"/>
        </w:rPr>
        <w:t>Freedom to Speak Up Review: Report into creating an open and honest reporting culture in the NHS</w:t>
      </w:r>
      <w:r w:rsidRPr="004F07DD">
        <w:rPr>
          <w:rFonts w:ascii="Arial" w:hAnsi="Arial"/>
          <w:color w:val="000000"/>
          <w:sz w:val="22"/>
          <w:szCs w:val="22"/>
        </w:rPr>
        <w:t xml:space="preserve">. London: Department of Health, pp. 15–30. Available at: </w:t>
      </w:r>
      <w:hyperlink r:id="rId21" w:history="1">
        <w:r w:rsidRPr="004F07DD">
          <w:rPr>
            <w:rStyle w:val="Hyperlink"/>
            <w:rFonts w:ascii="Arial" w:hAnsi="Arial"/>
            <w:color w:val="4B2589"/>
            <w:sz w:val="22"/>
            <w:szCs w:val="22"/>
          </w:rPr>
          <w:t>https://www.gov.uk/government/publications/speaking-up-review-report</w:t>
        </w:r>
      </w:hyperlink>
      <w:hyperlink>
        <w:r w:rsidRPr="004F07DD">
          <w:rPr>
            <w:rFonts w:ascii="Arial" w:hAnsi="Arial"/>
            <w:color w:val="000000"/>
            <w:sz w:val="22"/>
            <w:szCs w:val="22"/>
          </w:rPr>
          <w:t xml:space="preserve"> (Accessed: 12 March 2026). </w:t>
        </w:r>
      </w:hyperlink>
    </w:p>
    <w:p w14:paraId="55233A6B" w14:textId="5378728F" w:rsidR="000952F9"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Gerlach, N., Michiels-Corsten, M., Viniol, A., Schleef, T., Junius-Walker, U., Krause, O. and Donner-Banzhoff, N. (2020) Professional roles of general practitioners, community pharmacists and specialist providers in collaborative medication deprescribing-a qualitative study. </w:t>
      </w:r>
      <w:r w:rsidRPr="004F07DD">
        <w:rPr>
          <w:rFonts w:ascii="Arial" w:hAnsi="Arial"/>
          <w:i/>
          <w:color w:val="000000"/>
          <w:sz w:val="22"/>
          <w:szCs w:val="22"/>
        </w:rPr>
        <w:t>BMC family practice</w:t>
      </w:r>
      <w:r w:rsidRPr="004F07DD">
        <w:rPr>
          <w:rFonts w:ascii="Arial" w:hAnsi="Arial"/>
          <w:color w:val="000000"/>
          <w:sz w:val="22"/>
          <w:szCs w:val="22"/>
        </w:rPr>
        <w:t xml:space="preserve">, </w:t>
      </w:r>
      <w:r w:rsidRPr="004F07DD">
        <w:rPr>
          <w:rFonts w:ascii="Arial" w:hAnsi="Arial"/>
          <w:i/>
          <w:color w:val="000000"/>
          <w:sz w:val="22"/>
          <w:szCs w:val="22"/>
        </w:rPr>
        <w:t>21</w:t>
      </w:r>
      <w:r w:rsidRPr="004F07DD">
        <w:rPr>
          <w:rFonts w:ascii="Arial" w:hAnsi="Arial"/>
          <w:color w:val="000000"/>
          <w:sz w:val="22"/>
          <w:szCs w:val="22"/>
        </w:rPr>
        <w:t xml:space="preserve">(1), p.183. Available at: </w:t>
      </w:r>
      <w:hyperlink r:id="rId22" w:history="1">
        <w:r w:rsidRPr="004F07DD">
          <w:rPr>
            <w:rStyle w:val="Hyperlink"/>
            <w:rFonts w:ascii="Arial" w:hAnsi="Arial"/>
            <w:color w:val="4B2589"/>
            <w:sz w:val="22"/>
            <w:szCs w:val="22"/>
          </w:rPr>
          <w:t>https://pmc.ncbi.nlm.nih.gov/articles/PMC7487755/</w:t>
        </w:r>
      </w:hyperlink>
      <w:hyperlink>
        <w:r w:rsidRPr="004F07DD">
          <w:rPr>
            <w:rFonts w:ascii="Arial" w:hAnsi="Arial"/>
            <w:color w:val="000000"/>
            <w:sz w:val="22"/>
            <w:szCs w:val="22"/>
          </w:rPr>
          <w:t xml:space="preserve"> (Accessed: 05 March 2026)</w:t>
        </w:r>
      </w:hyperlink>
      <w:r w:rsidR="000952F9" w:rsidRPr="004F07DD">
        <w:rPr>
          <w:rFonts w:ascii="Arial" w:hAnsi="Arial"/>
          <w:sz w:val="22"/>
          <w:szCs w:val="22"/>
        </w:rPr>
        <w:t>.</w:t>
      </w:r>
    </w:p>
    <w:p w14:paraId="1F661B21" w14:textId="77777777" w:rsidR="00B71735" w:rsidRDefault="00B71735" w:rsidP="00A16815">
      <w:pPr>
        <w:pStyle w:val="BodyText"/>
        <w:spacing w:after="0" w:line="360" w:lineRule="auto"/>
        <w:rPr>
          <w:rFonts w:ascii="Arial" w:hAnsi="Arial"/>
          <w:sz w:val="22"/>
          <w:szCs w:val="22"/>
        </w:rPr>
      </w:pPr>
    </w:p>
    <w:p w14:paraId="3D704748" w14:textId="77777777" w:rsidR="00B71735" w:rsidRDefault="00B71735" w:rsidP="00A16815">
      <w:pPr>
        <w:pStyle w:val="BodyText"/>
        <w:spacing w:after="0" w:line="360" w:lineRule="auto"/>
        <w:rPr>
          <w:rFonts w:ascii="Arial" w:hAnsi="Arial"/>
          <w:sz w:val="22"/>
          <w:szCs w:val="22"/>
        </w:rPr>
      </w:pPr>
    </w:p>
    <w:p w14:paraId="0F713F9B" w14:textId="77777777" w:rsidR="00B71735" w:rsidRPr="004F07DD" w:rsidRDefault="00B71735" w:rsidP="00A16815">
      <w:pPr>
        <w:pStyle w:val="BodyText"/>
        <w:spacing w:after="0" w:line="360" w:lineRule="auto"/>
        <w:rPr>
          <w:rFonts w:ascii="Arial" w:hAnsi="Arial"/>
          <w:sz w:val="22"/>
          <w:szCs w:val="22"/>
        </w:rPr>
      </w:pPr>
    </w:p>
    <w:p w14:paraId="26F58B33" w14:textId="76F5779B"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lastRenderedPageBreak/>
        <w:t xml:space="preserve">Harrison, R.P., Rafiq, Q.A. and Medcalf, N. (2018) Centralised versus decentralised manufacturing and the delivery of healthcare products: A United Kingdom exemplar. </w:t>
      </w:r>
      <w:r w:rsidRPr="004F07DD">
        <w:rPr>
          <w:rFonts w:ascii="Arial" w:hAnsi="Arial"/>
          <w:i/>
          <w:color w:val="000000"/>
          <w:sz w:val="22"/>
          <w:szCs w:val="22"/>
        </w:rPr>
        <w:t>Cytotherapy</w:t>
      </w:r>
      <w:r w:rsidRPr="004F07DD">
        <w:rPr>
          <w:rFonts w:ascii="Arial" w:hAnsi="Arial"/>
          <w:color w:val="000000"/>
          <w:sz w:val="22"/>
          <w:szCs w:val="22"/>
        </w:rPr>
        <w:t xml:space="preserve">, </w:t>
      </w:r>
      <w:r w:rsidRPr="004F07DD">
        <w:rPr>
          <w:rFonts w:ascii="Arial" w:hAnsi="Arial"/>
          <w:i/>
          <w:color w:val="000000"/>
          <w:sz w:val="22"/>
          <w:szCs w:val="22"/>
        </w:rPr>
        <w:t>20</w:t>
      </w:r>
      <w:r w:rsidRPr="004F07DD">
        <w:rPr>
          <w:rFonts w:ascii="Arial" w:hAnsi="Arial"/>
          <w:color w:val="000000"/>
          <w:sz w:val="22"/>
          <w:szCs w:val="22"/>
        </w:rPr>
        <w:t xml:space="preserve">(6), pp.873-890. Available at: </w:t>
      </w:r>
      <w:hyperlink r:id="rId23" w:history="1">
        <w:r w:rsidRPr="004F07DD">
          <w:rPr>
            <w:rStyle w:val="Hyperlink"/>
            <w:rFonts w:ascii="Arial" w:hAnsi="Arial"/>
            <w:color w:val="4B2589"/>
            <w:sz w:val="22"/>
            <w:szCs w:val="22"/>
          </w:rPr>
          <w:t>https://www.sciencedirect.com/science/article/pii/S1465324918305140</w:t>
        </w:r>
      </w:hyperlink>
      <w:hyperlink>
        <w:r w:rsidRPr="004F07DD">
          <w:rPr>
            <w:rFonts w:ascii="Arial" w:hAnsi="Arial"/>
            <w:color w:val="000000"/>
            <w:sz w:val="22"/>
            <w:szCs w:val="22"/>
          </w:rPr>
          <w:t xml:space="preserve"> (Accessed: 10 March 2026</w:t>
        </w:r>
        <w:r w:rsidR="00D8494D" w:rsidRPr="004F07DD">
          <w:rPr>
            <w:rFonts w:ascii="Arial" w:hAnsi="Arial"/>
            <w:color w:val="000000"/>
            <w:sz w:val="22"/>
            <w:szCs w:val="22"/>
          </w:rPr>
          <w:t>)</w:t>
        </w:r>
        <w:r w:rsidR="000952F9" w:rsidRPr="004F07DD">
          <w:rPr>
            <w:rFonts w:ascii="Arial" w:hAnsi="Arial"/>
            <w:color w:val="000000"/>
            <w:sz w:val="22"/>
            <w:szCs w:val="22"/>
          </w:rPr>
          <w:t>.</w:t>
        </w:r>
        <w:r w:rsidR="00D8494D" w:rsidRPr="004F07DD">
          <w:rPr>
            <w:rFonts w:ascii="Arial" w:hAnsi="Arial"/>
            <w:color w:val="000000"/>
            <w:sz w:val="22"/>
            <w:szCs w:val="22"/>
          </w:rPr>
          <w:t xml:space="preserve"> </w:t>
        </w:r>
      </w:hyperlink>
    </w:p>
    <w:p w14:paraId="34E9F99F" w14:textId="03E363F8"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Health Services Safety Investigations Body (2023) </w:t>
      </w:r>
      <w:r w:rsidRPr="004F07DD">
        <w:rPr>
          <w:rStyle w:val="Emphasis"/>
          <w:rFonts w:ascii="Arial" w:hAnsi="Arial"/>
          <w:color w:val="000000"/>
          <w:sz w:val="22"/>
          <w:szCs w:val="22"/>
        </w:rPr>
        <w:t>Unintentional overdose of morphine sulfate oral solution: Investigation report</w:t>
      </w:r>
      <w:r w:rsidRPr="004F07DD">
        <w:rPr>
          <w:rFonts w:ascii="Arial" w:hAnsi="Arial"/>
          <w:color w:val="000000"/>
          <w:sz w:val="22"/>
          <w:szCs w:val="22"/>
        </w:rPr>
        <w:t xml:space="preserve">. Available at: </w:t>
      </w:r>
      <w:hyperlink r:id="rId24" w:tgtFrame="_new" w:history="1">
        <w:r w:rsidRPr="004F07DD">
          <w:rPr>
            <w:rStyle w:val="Hyperlink"/>
            <w:rFonts w:ascii="Arial" w:hAnsi="Arial"/>
            <w:color w:val="4B2589"/>
            <w:sz w:val="22"/>
            <w:szCs w:val="22"/>
          </w:rPr>
          <w:t>https://www.hssib.org.uk/patient-safety-investigations/unintentional-overdose-of-morphine-sulfate-oral-solution/investigation-report/</w:t>
        </w:r>
      </w:hyperlink>
      <w:r w:rsidRPr="004F07DD">
        <w:rPr>
          <w:rFonts w:ascii="Arial" w:hAnsi="Arial"/>
          <w:color w:val="4B2589"/>
          <w:sz w:val="22"/>
          <w:szCs w:val="22"/>
        </w:rPr>
        <w:t xml:space="preserve"> </w:t>
      </w:r>
      <w:r w:rsidRPr="004F07DD">
        <w:rPr>
          <w:rFonts w:ascii="Arial" w:hAnsi="Arial"/>
          <w:color w:val="000000"/>
          <w:sz w:val="22"/>
          <w:szCs w:val="22"/>
        </w:rPr>
        <w:t>(Accessed: 03 March 2026)</w:t>
      </w:r>
      <w:r w:rsidR="000952F9" w:rsidRPr="004F07DD">
        <w:rPr>
          <w:rFonts w:ascii="Arial" w:hAnsi="Arial"/>
          <w:color w:val="000000"/>
          <w:sz w:val="22"/>
          <w:szCs w:val="22"/>
        </w:rPr>
        <w:t>.</w:t>
      </w:r>
    </w:p>
    <w:p w14:paraId="0F1A174A" w14:textId="0F5B4E9D"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Jamtvedt, G., Flottorp, S. and Ivers, N. (2019) Audit and feedback as a quality strategy. </w:t>
      </w:r>
      <w:r w:rsidRPr="004F07DD">
        <w:rPr>
          <w:rFonts w:ascii="Arial" w:hAnsi="Arial"/>
          <w:i/>
          <w:color w:val="000000"/>
          <w:sz w:val="22"/>
          <w:szCs w:val="22"/>
        </w:rPr>
        <w:t>Improving healthcare quality in Europe</w:t>
      </w:r>
      <w:r w:rsidRPr="004F07DD">
        <w:rPr>
          <w:rFonts w:ascii="Arial" w:hAnsi="Arial"/>
          <w:color w:val="000000"/>
          <w:sz w:val="22"/>
          <w:szCs w:val="22"/>
        </w:rPr>
        <w:t xml:space="preserve">, p.265. </w:t>
      </w:r>
    </w:p>
    <w:p w14:paraId="76FC3324" w14:textId="408A2933"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Kumah, A., Zon, J., Obot, E., Yaw, T.K., Nketsiah, E. and Bobie, S.A. (2024) Using incident reporting systems to improve patient safety and quality of care. </w:t>
      </w:r>
      <w:r w:rsidRPr="004F07DD">
        <w:rPr>
          <w:rFonts w:ascii="Arial" w:hAnsi="Arial"/>
          <w:i/>
          <w:color w:val="000000"/>
          <w:sz w:val="22"/>
          <w:szCs w:val="22"/>
        </w:rPr>
        <w:t>Global Journal on Quality and Safety in Healthcare</w:t>
      </w:r>
      <w:r w:rsidRPr="004F07DD">
        <w:rPr>
          <w:rFonts w:ascii="Arial" w:hAnsi="Arial"/>
          <w:color w:val="000000"/>
          <w:sz w:val="22"/>
          <w:szCs w:val="22"/>
        </w:rPr>
        <w:t xml:space="preserve">, </w:t>
      </w:r>
      <w:r w:rsidRPr="004F07DD">
        <w:rPr>
          <w:rFonts w:ascii="Arial" w:hAnsi="Arial"/>
          <w:i/>
          <w:color w:val="000000"/>
          <w:sz w:val="22"/>
          <w:szCs w:val="22"/>
        </w:rPr>
        <w:t>7</w:t>
      </w:r>
      <w:r w:rsidRPr="004F07DD">
        <w:rPr>
          <w:rFonts w:ascii="Arial" w:hAnsi="Arial"/>
          <w:color w:val="000000"/>
          <w:sz w:val="22"/>
          <w:szCs w:val="22"/>
        </w:rPr>
        <w:t xml:space="preserve">(4), pp.228-231. Available at: </w:t>
      </w:r>
      <w:hyperlink r:id="rId25" w:history="1">
        <w:r w:rsidRPr="004F07DD">
          <w:rPr>
            <w:rStyle w:val="Hyperlink"/>
            <w:rFonts w:ascii="Arial" w:hAnsi="Arial"/>
            <w:color w:val="4B2589"/>
            <w:sz w:val="22"/>
            <w:szCs w:val="22"/>
          </w:rPr>
          <w:t>https://pmc.ncbi.nlm.nih.gov/articles/PMC11554398/</w:t>
        </w:r>
      </w:hyperlink>
      <w:hyperlink>
        <w:r w:rsidRPr="004F07DD">
          <w:rPr>
            <w:rFonts w:ascii="Arial" w:hAnsi="Arial"/>
            <w:color w:val="000000"/>
            <w:sz w:val="22"/>
            <w:szCs w:val="22"/>
          </w:rPr>
          <w:t xml:space="preserve"> (Accessed: 11 March 202</w:t>
        </w:r>
        <w:r w:rsidR="000952F9" w:rsidRPr="004F07DD">
          <w:rPr>
            <w:rFonts w:ascii="Arial" w:hAnsi="Arial"/>
            <w:color w:val="000000"/>
            <w:sz w:val="22"/>
            <w:szCs w:val="22"/>
          </w:rPr>
          <w:t>6</w:t>
        </w:r>
        <w:r w:rsidRPr="004F07DD">
          <w:rPr>
            <w:rFonts w:ascii="Arial" w:hAnsi="Arial"/>
            <w:color w:val="000000"/>
            <w:sz w:val="22"/>
            <w:szCs w:val="22"/>
          </w:rPr>
          <w:t>)</w:t>
        </w:r>
      </w:hyperlink>
      <w:r w:rsidR="000952F9" w:rsidRPr="004F07DD">
        <w:rPr>
          <w:rFonts w:ascii="Arial" w:hAnsi="Arial"/>
          <w:sz w:val="22"/>
          <w:szCs w:val="22"/>
        </w:rPr>
        <w:t>.</w:t>
      </w:r>
    </w:p>
    <w:p w14:paraId="6394C143" w14:textId="77777777" w:rsidR="00E71191" w:rsidRDefault="00D3322E" w:rsidP="00E71191">
      <w:pPr>
        <w:spacing w:line="360" w:lineRule="auto"/>
        <w:rPr>
          <w:rFonts w:ascii="Arial" w:hAnsi="Arial"/>
          <w:sz w:val="22"/>
          <w:szCs w:val="22"/>
          <w14:ligatures w14:val="none"/>
        </w:rPr>
      </w:pPr>
      <w:r w:rsidRPr="004F07DD">
        <w:rPr>
          <w:rFonts w:ascii="Arial" w:hAnsi="Arial"/>
          <w:sz w:val="22"/>
          <w:szCs w:val="22"/>
        </w:rPr>
        <w:t xml:space="preserve">Manias, E., Kusljic, S. and Wu, A. (2020) Interventions to reduce medication errors in adult intensive care: A systematic review, </w:t>
      </w:r>
      <w:r w:rsidRPr="004F07DD">
        <w:rPr>
          <w:rStyle w:val="Emphasis"/>
          <w:rFonts w:ascii="Arial" w:hAnsi="Arial"/>
          <w:sz w:val="22"/>
          <w:szCs w:val="22"/>
        </w:rPr>
        <w:t>British Journal of Clinical Pharmacology</w:t>
      </w:r>
      <w:r w:rsidRPr="004F07DD">
        <w:rPr>
          <w:rFonts w:ascii="Arial" w:hAnsi="Arial"/>
          <w:sz w:val="22"/>
          <w:szCs w:val="22"/>
        </w:rPr>
        <w:t xml:space="preserve">, 86(1), pp.13–30. Available at: </w:t>
      </w:r>
      <w:hyperlink r:id="rId26" w:tgtFrame="_new" w:history="1">
        <w:r w:rsidRPr="004F07DD">
          <w:rPr>
            <w:rStyle w:val="Hyperlink"/>
            <w:rFonts w:ascii="Arial" w:hAnsi="Arial"/>
            <w:sz w:val="22"/>
            <w:szCs w:val="22"/>
          </w:rPr>
          <w:t>https://bpspubs.onlinelibrary.wiley.com/doi/10.1111/bcp.14144</w:t>
        </w:r>
      </w:hyperlink>
      <w:r w:rsidRPr="004F07DD">
        <w:rPr>
          <w:rFonts w:ascii="Arial" w:hAnsi="Arial"/>
          <w:sz w:val="22"/>
          <w:szCs w:val="22"/>
        </w:rPr>
        <w:t xml:space="preserve"> (Accessed: 03 March 2026)</w:t>
      </w:r>
      <w:r w:rsidR="000952F9" w:rsidRPr="004F07DD">
        <w:rPr>
          <w:rFonts w:ascii="Arial" w:hAnsi="Arial"/>
          <w:sz w:val="22"/>
          <w:szCs w:val="22"/>
        </w:rPr>
        <w:t>.</w:t>
      </w:r>
      <w:r w:rsidR="00AB5BE4" w:rsidRPr="00AB5BE4">
        <w:rPr>
          <w:rFonts w:ascii="Arial" w:hAnsi="Arial"/>
          <w:sz w:val="22"/>
          <w:szCs w:val="22"/>
          <w14:ligatures w14:val="none"/>
        </w:rPr>
        <w:t xml:space="preserve"> </w:t>
      </w:r>
    </w:p>
    <w:p w14:paraId="0C7961CB" w14:textId="3B8E77BF" w:rsidR="00AB5BE4" w:rsidRPr="00E71191" w:rsidRDefault="00AB5BE4" w:rsidP="00E71191">
      <w:pPr>
        <w:spacing w:line="360" w:lineRule="auto"/>
        <w:rPr>
          <w:rFonts w:ascii="Arial" w:hAnsi="Arial"/>
          <w:sz w:val="22"/>
          <w:szCs w:val="22"/>
          <w14:ligatures w14:val="none"/>
        </w:rPr>
      </w:pPr>
      <w:r w:rsidRPr="00AB5BE4">
        <w:rPr>
          <w:rFonts w:ascii="Arial" w:hAnsi="Arial"/>
          <w:sz w:val="22"/>
          <w:szCs w:val="22"/>
          <w14:ligatures w14:val="none"/>
        </w:rPr>
        <w:t>NHS (2019). </w:t>
      </w:r>
      <w:r w:rsidRPr="00AB5BE4">
        <w:rPr>
          <w:rFonts w:ascii="Arial" w:hAnsi="Arial"/>
          <w:i/>
          <w:iCs/>
          <w:sz w:val="22"/>
          <w:szCs w:val="22"/>
          <w14:ligatures w14:val="none"/>
        </w:rPr>
        <w:t>Overview - Charcot-Marie-Tooth disease</w:t>
      </w:r>
      <w:r w:rsidRPr="00AB5BE4">
        <w:rPr>
          <w:rFonts w:ascii="Arial" w:hAnsi="Arial"/>
          <w:sz w:val="22"/>
          <w:szCs w:val="22"/>
          <w14:ligatures w14:val="none"/>
        </w:rPr>
        <w:t xml:space="preserve">. Nhs. Available at: </w:t>
      </w:r>
      <w:hyperlink r:id="rId27" w:history="1">
        <w:r w:rsidRPr="00AB5BE4">
          <w:rPr>
            <w:rFonts w:ascii="Arial" w:hAnsi="Arial"/>
            <w:color w:val="000080"/>
            <w:sz w:val="22"/>
            <w:szCs w:val="22"/>
            <w:u w:val="single"/>
            <w14:ligatures w14:val="none"/>
          </w:rPr>
          <w:t>https://www.nhs.uk/conditions/charcot-marie-tooth-disease/</w:t>
        </w:r>
      </w:hyperlink>
      <w:r w:rsidRPr="00AB5BE4">
        <w:rPr>
          <w:rFonts w:ascii="Arial" w:hAnsi="Arial"/>
          <w:sz w:val="22"/>
          <w:szCs w:val="22"/>
          <w14:ligatures w14:val="none"/>
        </w:rPr>
        <w:t>. (Accessed: 03 Mar. 2026)</w:t>
      </w:r>
    </w:p>
    <w:p w14:paraId="57A2EA24" w14:textId="64B31893"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NHS England (2019) </w:t>
      </w:r>
      <w:r w:rsidRPr="004F07DD">
        <w:rPr>
          <w:rStyle w:val="Emphasis"/>
          <w:rFonts w:ascii="Arial" w:hAnsi="Arial"/>
          <w:sz w:val="22"/>
          <w:szCs w:val="22"/>
        </w:rPr>
        <w:t>The NHS Patient Safety Strategy: Safer culture, safer systems, safer patients</w:t>
      </w:r>
      <w:r w:rsidRPr="004F07DD">
        <w:rPr>
          <w:rFonts w:ascii="Arial" w:hAnsi="Arial"/>
          <w:sz w:val="22"/>
          <w:szCs w:val="22"/>
        </w:rPr>
        <w:t xml:space="preserve">, pp. 10–35. Available at: </w:t>
      </w:r>
      <w:hyperlink r:id="rId28" w:tgtFrame="_new" w:history="1">
        <w:r w:rsidRPr="004F07DD">
          <w:rPr>
            <w:rStyle w:val="Hyperlink"/>
            <w:rFonts w:ascii="Arial" w:hAnsi="Arial"/>
            <w:sz w:val="22"/>
            <w:szCs w:val="22"/>
          </w:rPr>
          <w:t>https://www.england.nhs.uk/patient-safety/the-nhs-patient-safety-strategy/</w:t>
        </w:r>
      </w:hyperlink>
      <w:r w:rsidRPr="004F07DD">
        <w:rPr>
          <w:rFonts w:ascii="Arial" w:hAnsi="Arial"/>
          <w:sz w:val="22"/>
          <w:szCs w:val="22"/>
        </w:rPr>
        <w:t xml:space="preserve"> (Accessed: 12 March 2026)</w:t>
      </w:r>
      <w:r w:rsidR="00072BB6" w:rsidRPr="004F07DD">
        <w:rPr>
          <w:rFonts w:ascii="Arial" w:hAnsi="Arial"/>
          <w:sz w:val="22"/>
          <w:szCs w:val="22"/>
        </w:rPr>
        <w:t>.</w:t>
      </w:r>
    </w:p>
    <w:p w14:paraId="1FFD3B73" w14:textId="46055310"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NHS Improvement (2018) </w:t>
      </w:r>
      <w:r w:rsidRPr="004F07DD">
        <w:rPr>
          <w:rStyle w:val="Emphasis"/>
          <w:rFonts w:ascii="Arial" w:hAnsi="Arial"/>
          <w:sz w:val="22"/>
          <w:szCs w:val="22"/>
        </w:rPr>
        <w:t>Implementing Safety Huddles in Healthcare Settings</w:t>
      </w:r>
      <w:r w:rsidRPr="004F07DD">
        <w:rPr>
          <w:rFonts w:ascii="Arial" w:hAnsi="Arial"/>
          <w:sz w:val="22"/>
          <w:szCs w:val="22"/>
        </w:rPr>
        <w:t xml:space="preserve">, pp. 5–18. Available at: </w:t>
      </w:r>
      <w:hyperlink r:id="rId29" w:history="1">
        <w:r w:rsidRPr="004F07DD">
          <w:rPr>
            <w:rStyle w:val="Hyperlink"/>
            <w:rFonts w:ascii="Arial" w:hAnsi="Arial"/>
            <w:sz w:val="22"/>
            <w:szCs w:val="22"/>
          </w:rPr>
          <w:t>https://improvement.nhs.uk/resources/safety-huddles/</w:t>
        </w:r>
      </w:hyperlink>
      <w:r w:rsidRPr="004F07DD">
        <w:rPr>
          <w:rFonts w:ascii="Arial" w:hAnsi="Arial"/>
          <w:sz w:val="22"/>
          <w:szCs w:val="22"/>
        </w:rPr>
        <w:t xml:space="preserve">  (Accessed: 11 March 2026)</w:t>
      </w:r>
      <w:r w:rsidR="008008A4" w:rsidRPr="004F07DD">
        <w:rPr>
          <w:rFonts w:ascii="Arial" w:hAnsi="Arial"/>
          <w:sz w:val="22"/>
          <w:szCs w:val="22"/>
        </w:rPr>
        <w:t>.</w:t>
      </w:r>
    </w:p>
    <w:p w14:paraId="50DE727C" w14:textId="0F038B6F"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Ohrling, M., Øvretveit, J. and Brommels, M. (2021) Can management decentralisation resolve challenges faced by healthcare service delivery organisations? Findings for managers and researchers from a scoping review. </w:t>
      </w:r>
      <w:r w:rsidRPr="004F07DD">
        <w:rPr>
          <w:rFonts w:ascii="Arial" w:hAnsi="Arial"/>
          <w:i/>
          <w:color w:val="000000"/>
          <w:sz w:val="22"/>
          <w:szCs w:val="22"/>
        </w:rPr>
        <w:t>The International Journal of Health Planning and Management</w:t>
      </w:r>
      <w:r w:rsidRPr="004F07DD">
        <w:rPr>
          <w:rFonts w:ascii="Arial" w:hAnsi="Arial"/>
          <w:color w:val="000000"/>
          <w:sz w:val="22"/>
          <w:szCs w:val="22"/>
        </w:rPr>
        <w:t xml:space="preserve">, </w:t>
      </w:r>
      <w:r w:rsidRPr="004F07DD">
        <w:rPr>
          <w:rFonts w:ascii="Arial" w:hAnsi="Arial"/>
          <w:i/>
          <w:color w:val="000000"/>
          <w:sz w:val="22"/>
          <w:szCs w:val="22"/>
        </w:rPr>
        <w:t>36</w:t>
      </w:r>
      <w:r w:rsidRPr="004F07DD">
        <w:rPr>
          <w:rFonts w:ascii="Arial" w:hAnsi="Arial"/>
          <w:color w:val="000000"/>
          <w:sz w:val="22"/>
          <w:szCs w:val="22"/>
        </w:rPr>
        <w:t>(1), pp.30-4</w:t>
      </w:r>
      <w:r w:rsidRPr="004F07DD">
        <w:rPr>
          <w:rFonts w:ascii="Arial" w:hAnsi="Arial"/>
          <w:color w:val="222222"/>
          <w:sz w:val="22"/>
          <w:szCs w:val="22"/>
        </w:rPr>
        <w:t>1.</w:t>
      </w:r>
      <w:r w:rsidRPr="004F07DD">
        <w:rPr>
          <w:rFonts w:ascii="Arial" w:hAnsi="Arial"/>
          <w:sz w:val="22"/>
          <w:szCs w:val="22"/>
        </w:rPr>
        <w:t xml:space="preserve"> Available at: </w:t>
      </w:r>
      <w:hyperlink r:id="rId30" w:history="1">
        <w:r w:rsidRPr="004F07DD">
          <w:rPr>
            <w:rStyle w:val="Hyperlink"/>
            <w:rFonts w:ascii="Arial" w:hAnsi="Arial"/>
            <w:sz w:val="22"/>
            <w:szCs w:val="22"/>
          </w:rPr>
          <w:t>https://onlinelibrary.wiley.com/doi/abs/10.1002/hpm.3058</w:t>
        </w:r>
      </w:hyperlink>
      <w:hyperlink>
        <w:r w:rsidRPr="004F07DD">
          <w:rPr>
            <w:rFonts w:ascii="Arial" w:hAnsi="Arial"/>
            <w:sz w:val="22"/>
            <w:szCs w:val="22"/>
          </w:rPr>
          <w:t xml:space="preserve"> (Accessed: 09 March 2026)</w:t>
        </w:r>
      </w:hyperlink>
      <w:r w:rsidR="008008A4" w:rsidRPr="004F07DD">
        <w:rPr>
          <w:rFonts w:ascii="Arial" w:hAnsi="Arial"/>
          <w:sz w:val="22"/>
          <w:szCs w:val="22"/>
        </w:rPr>
        <w:t>.</w:t>
      </w:r>
    </w:p>
    <w:p w14:paraId="00DAD25F" w14:textId="0DA251F1"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O’Donovan, R. and McAuliffe, E. (2020) A systematic review exploring the content and outcomes of interventions to improve psychological safety, speaking up and voice behaviour. </w:t>
      </w:r>
      <w:r w:rsidRPr="004F07DD">
        <w:rPr>
          <w:rFonts w:ascii="Arial" w:hAnsi="Arial"/>
          <w:i/>
          <w:color w:val="000000"/>
          <w:sz w:val="22"/>
          <w:szCs w:val="22"/>
        </w:rPr>
        <w:t>BMC health services research</w:t>
      </w:r>
      <w:r w:rsidRPr="004F07DD">
        <w:rPr>
          <w:rFonts w:ascii="Arial" w:hAnsi="Arial"/>
          <w:color w:val="000000"/>
          <w:sz w:val="22"/>
          <w:szCs w:val="22"/>
        </w:rPr>
        <w:t xml:space="preserve">, </w:t>
      </w:r>
      <w:r w:rsidRPr="004F07DD">
        <w:rPr>
          <w:rFonts w:ascii="Arial" w:hAnsi="Arial"/>
          <w:i/>
          <w:color w:val="000000"/>
          <w:sz w:val="22"/>
          <w:szCs w:val="22"/>
        </w:rPr>
        <w:t>20</w:t>
      </w:r>
      <w:r w:rsidRPr="004F07DD">
        <w:rPr>
          <w:rFonts w:ascii="Arial" w:hAnsi="Arial"/>
          <w:color w:val="000000"/>
          <w:sz w:val="22"/>
          <w:szCs w:val="22"/>
        </w:rPr>
        <w:t xml:space="preserve">(1), p.101. Available at: </w:t>
      </w:r>
      <w:hyperlink r:id="rId31" w:history="1">
        <w:r w:rsidRPr="004F07DD">
          <w:rPr>
            <w:rStyle w:val="Hyperlink"/>
            <w:rFonts w:ascii="Arial" w:hAnsi="Arial"/>
            <w:color w:val="4B2589"/>
            <w:sz w:val="22"/>
            <w:szCs w:val="22"/>
          </w:rPr>
          <w:t>https://link.springer.com/article/10.1186/s12913-020-4931-2</w:t>
        </w:r>
      </w:hyperlink>
      <w:r w:rsidRPr="004F07DD">
        <w:rPr>
          <w:rFonts w:ascii="Arial" w:hAnsi="Arial"/>
          <w:color w:val="000000"/>
          <w:sz w:val="22"/>
          <w:szCs w:val="22"/>
        </w:rPr>
        <w:t xml:space="preserve"> (Accessed: 12 March 2026)</w:t>
      </w:r>
      <w:r w:rsidR="00072BB6" w:rsidRPr="004F07DD">
        <w:rPr>
          <w:rFonts w:ascii="Arial" w:hAnsi="Arial"/>
          <w:color w:val="000000"/>
          <w:sz w:val="22"/>
          <w:szCs w:val="22"/>
        </w:rPr>
        <w:t>.</w:t>
      </w:r>
    </w:p>
    <w:p w14:paraId="65C53963" w14:textId="34929E44"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lastRenderedPageBreak/>
        <w:t xml:space="preserve">Peerally, F.M. (2021) </w:t>
      </w:r>
      <w:r w:rsidRPr="004F07DD">
        <w:rPr>
          <w:rFonts w:ascii="Arial" w:hAnsi="Arial"/>
          <w:i/>
          <w:color w:val="000000"/>
          <w:sz w:val="22"/>
          <w:szCs w:val="22"/>
        </w:rPr>
        <w:t xml:space="preserve">Improving risk controls following root cause analysis of serious incidents in healthcare </w:t>
      </w:r>
      <w:r w:rsidRPr="004F07DD">
        <w:rPr>
          <w:rFonts w:ascii="Arial" w:hAnsi="Arial"/>
          <w:color w:val="000000"/>
          <w:sz w:val="22"/>
          <w:szCs w:val="22"/>
        </w:rPr>
        <w:t xml:space="preserve">(Doctoral dissertation, University of Leicester). Available at: </w:t>
      </w:r>
      <w:hyperlink r:id="rId32" w:history="1">
        <w:r w:rsidRPr="004F07DD">
          <w:rPr>
            <w:rStyle w:val="Hyperlink"/>
            <w:rFonts w:ascii="Arial" w:hAnsi="Arial"/>
            <w:color w:val="4B2589"/>
            <w:sz w:val="22"/>
            <w:szCs w:val="22"/>
          </w:rPr>
          <w:t>https://figshare.le.ac.uk/articles/thesis/Improving_risk_controls_following_root_cause_analysis_of_serious_incidents_in_healthcare/15112434/1</w:t>
        </w:r>
      </w:hyperlink>
      <w:hyperlink>
        <w:r w:rsidRPr="004F07DD">
          <w:rPr>
            <w:rFonts w:ascii="Arial" w:hAnsi="Arial"/>
            <w:color w:val="000000"/>
            <w:sz w:val="22"/>
            <w:szCs w:val="22"/>
          </w:rPr>
          <w:t xml:space="preserve"> (Accessed: 05 March 2026)</w:t>
        </w:r>
      </w:hyperlink>
      <w:r w:rsidR="00072BB6" w:rsidRPr="004F07DD">
        <w:rPr>
          <w:rFonts w:ascii="Arial" w:hAnsi="Arial"/>
          <w:sz w:val="22"/>
          <w:szCs w:val="22"/>
        </w:rPr>
        <w:t>.</w:t>
      </w:r>
    </w:p>
    <w:p w14:paraId="4275822F" w14:textId="13ACFA9C" w:rsidR="004613FF" w:rsidRPr="00543918"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Royal Pharmaceutical Society (2019) </w:t>
      </w:r>
      <w:r w:rsidRPr="004F07DD">
        <w:rPr>
          <w:rStyle w:val="Emphasis"/>
          <w:rFonts w:ascii="Arial" w:hAnsi="Arial"/>
          <w:color w:val="000000"/>
          <w:sz w:val="22"/>
          <w:szCs w:val="22"/>
        </w:rPr>
        <w:t>Medicines Safety: Improving medication use in the NHS</w:t>
      </w:r>
      <w:r w:rsidRPr="004F07DD">
        <w:rPr>
          <w:rFonts w:ascii="Arial" w:hAnsi="Arial"/>
          <w:color w:val="000000"/>
          <w:sz w:val="22"/>
          <w:szCs w:val="22"/>
        </w:rPr>
        <w:t xml:space="preserve">, pp. 8–22. Available at: </w:t>
      </w:r>
      <w:r w:rsidRPr="004F07DD">
        <w:rPr>
          <w:rFonts w:ascii="Arial" w:hAnsi="Arial"/>
          <w:color w:val="4B2589"/>
          <w:sz w:val="22"/>
          <w:szCs w:val="22"/>
          <w:u w:val="single"/>
        </w:rPr>
        <w:t xml:space="preserve">https://www.rpharms.com/resources/reports/medicines-safety </w:t>
      </w:r>
      <w:r w:rsidRPr="004F07DD">
        <w:rPr>
          <w:rFonts w:ascii="Arial" w:hAnsi="Arial"/>
          <w:color w:val="000000"/>
          <w:sz w:val="22"/>
          <w:szCs w:val="22"/>
        </w:rPr>
        <w:t>(Accessed: 14 March 2026)</w:t>
      </w:r>
      <w:r w:rsidR="00144748" w:rsidRPr="004F07DD">
        <w:rPr>
          <w:rFonts w:ascii="Arial" w:hAnsi="Arial"/>
          <w:color w:val="000000"/>
          <w:sz w:val="22"/>
          <w:szCs w:val="22"/>
        </w:rPr>
        <w:t>.</w:t>
      </w:r>
    </w:p>
    <w:p w14:paraId="1C0E99DC" w14:textId="52CDF67A"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Royal Pharmaceutical Society of Great Britain (2025) </w:t>
      </w:r>
      <w:r w:rsidRPr="004F07DD">
        <w:rPr>
          <w:rFonts w:ascii="Arial" w:hAnsi="Arial"/>
          <w:i/>
          <w:iCs/>
          <w:color w:val="000000"/>
          <w:sz w:val="22"/>
          <w:szCs w:val="22"/>
        </w:rPr>
        <w:t>Guidance on</w:t>
      </w:r>
    </w:p>
    <w:p w14:paraId="77315021" w14:textId="64E585A1"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i/>
          <w:iCs/>
          <w:color w:val="000000"/>
          <w:sz w:val="22"/>
          <w:szCs w:val="22"/>
        </w:rPr>
        <w:t>Discharge and Transfer Planning.</w:t>
      </w:r>
      <w:r w:rsidRPr="004F07DD">
        <w:rPr>
          <w:rFonts w:ascii="Arial" w:hAnsi="Arial"/>
          <w:color w:val="000000"/>
          <w:sz w:val="22"/>
          <w:szCs w:val="22"/>
        </w:rPr>
        <w:t xml:space="preserve"> Available at: </w:t>
      </w:r>
      <w:hyperlink r:id="rId33" w:history="1">
        <w:r w:rsidRPr="004F07DD">
          <w:rPr>
            <w:rStyle w:val="Hyperlink"/>
            <w:rFonts w:ascii="Arial" w:hAnsi="Arial"/>
            <w:color w:val="4B2589"/>
            <w:sz w:val="22"/>
            <w:szCs w:val="22"/>
          </w:rPr>
          <w:t>https://cpe.org.uk/wp-content/uploads/2013/07/Moving20Medicines20new1.pdf</w:t>
        </w:r>
      </w:hyperlink>
      <w:r w:rsidRPr="004F07DD">
        <w:rPr>
          <w:rFonts w:ascii="Arial" w:hAnsi="Arial"/>
          <w:color w:val="4B2589"/>
          <w:sz w:val="22"/>
          <w:szCs w:val="22"/>
        </w:rPr>
        <w:t xml:space="preserve"> </w:t>
      </w:r>
      <w:r w:rsidRPr="004F07DD">
        <w:rPr>
          <w:rFonts w:ascii="Arial" w:hAnsi="Arial"/>
          <w:color w:val="000000"/>
          <w:sz w:val="22"/>
          <w:szCs w:val="22"/>
        </w:rPr>
        <w:t>(Accessed: 14 March 2026)</w:t>
      </w:r>
      <w:r w:rsidR="00144748" w:rsidRPr="004F07DD">
        <w:rPr>
          <w:rFonts w:ascii="Arial" w:hAnsi="Arial"/>
          <w:color w:val="000000"/>
          <w:sz w:val="22"/>
          <w:szCs w:val="22"/>
        </w:rPr>
        <w:t>.</w:t>
      </w:r>
    </w:p>
    <w:p w14:paraId="39DBFF92" w14:textId="69866BE1"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Sfantou, D.F., Laliotis, A., Patelarou, A., Sifaki-Pistolla, D., Matalliotakis, M. and Patelarou, E. (2017) Importance of leadership style towards quality of care measures in healthcare settings: A systematic review, </w:t>
      </w:r>
      <w:r w:rsidRPr="004F07DD">
        <w:rPr>
          <w:rStyle w:val="Emphasis"/>
          <w:rFonts w:ascii="Arial" w:hAnsi="Arial"/>
          <w:sz w:val="22"/>
          <w:szCs w:val="22"/>
        </w:rPr>
        <w:t>Healthcare</w:t>
      </w:r>
      <w:r w:rsidRPr="004F07DD">
        <w:rPr>
          <w:rFonts w:ascii="Arial" w:hAnsi="Arial"/>
          <w:sz w:val="22"/>
          <w:szCs w:val="22"/>
        </w:rPr>
        <w:t xml:space="preserve">, 5(4), p.73. Available at: </w:t>
      </w:r>
      <w:hyperlink r:id="rId34" w:tgtFrame="_new" w:history="1">
        <w:r w:rsidRPr="004F07DD">
          <w:rPr>
            <w:rStyle w:val="Hyperlink"/>
            <w:rFonts w:ascii="Arial" w:hAnsi="Arial"/>
            <w:sz w:val="22"/>
            <w:szCs w:val="22"/>
          </w:rPr>
          <w:t>https://www.mdpi.com/2227-9032/5/4/73</w:t>
        </w:r>
      </w:hyperlink>
      <w:r w:rsidRPr="004F07DD">
        <w:rPr>
          <w:rFonts w:ascii="Arial" w:hAnsi="Arial"/>
          <w:sz w:val="22"/>
          <w:szCs w:val="22"/>
        </w:rPr>
        <w:t xml:space="preserve"> (Accessed: 05 March 2026)</w:t>
      </w:r>
      <w:r w:rsidR="00144748" w:rsidRPr="004F07DD">
        <w:rPr>
          <w:rFonts w:ascii="Arial" w:hAnsi="Arial"/>
          <w:sz w:val="22"/>
          <w:szCs w:val="22"/>
        </w:rPr>
        <w:t>.</w:t>
      </w:r>
    </w:p>
    <w:p w14:paraId="47E84800" w14:textId="221E1029"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Specchia, M.L., Cozzolino, M.R., Carini, E., Di Pilla, A., Galletti, C., Ricciardi, W. and Damiani, G. (2021) Leadership styles and nurses’ job satisfaction. Results of a systematic review, </w:t>
      </w:r>
      <w:r w:rsidRPr="004F07DD">
        <w:rPr>
          <w:rStyle w:val="Emphasis"/>
          <w:rFonts w:ascii="Arial" w:hAnsi="Arial"/>
          <w:sz w:val="22"/>
          <w:szCs w:val="22"/>
        </w:rPr>
        <w:t>International Journal of Environmental Research and Public Health</w:t>
      </w:r>
      <w:r w:rsidRPr="004F07DD">
        <w:rPr>
          <w:rFonts w:ascii="Arial" w:hAnsi="Arial"/>
          <w:sz w:val="22"/>
          <w:szCs w:val="22"/>
        </w:rPr>
        <w:t xml:space="preserve">, 18(4), p.1552. Available at: </w:t>
      </w:r>
      <w:hyperlink r:id="rId35" w:tgtFrame="_new" w:history="1">
        <w:r w:rsidRPr="004F07DD">
          <w:rPr>
            <w:rStyle w:val="Hyperlink"/>
            <w:rFonts w:ascii="Arial" w:hAnsi="Arial"/>
            <w:sz w:val="22"/>
            <w:szCs w:val="22"/>
          </w:rPr>
          <w:t>https://www.mdpi.com/1660-4601/18/4/1552</w:t>
        </w:r>
      </w:hyperlink>
      <w:r w:rsidRPr="004F07DD">
        <w:rPr>
          <w:rFonts w:ascii="Arial" w:hAnsi="Arial"/>
          <w:sz w:val="22"/>
          <w:szCs w:val="22"/>
        </w:rPr>
        <w:t xml:space="preserve"> (Accessed: 03 March 2026)</w:t>
      </w:r>
      <w:r w:rsidR="00BF429F" w:rsidRPr="004F07DD">
        <w:rPr>
          <w:rFonts w:ascii="Arial" w:hAnsi="Arial"/>
          <w:sz w:val="22"/>
          <w:szCs w:val="22"/>
        </w:rPr>
        <w:t>.</w:t>
      </w:r>
    </w:p>
    <w:p w14:paraId="351EF82D" w14:textId="283D3862" w:rsidR="00D3322E" w:rsidRPr="004F07DD" w:rsidRDefault="00D3322E" w:rsidP="00A16815">
      <w:pPr>
        <w:pStyle w:val="BodyText"/>
        <w:spacing w:after="0" w:line="360" w:lineRule="auto"/>
        <w:rPr>
          <w:rFonts w:ascii="Arial" w:hAnsi="Arial"/>
          <w:color w:val="000000"/>
          <w:sz w:val="22"/>
          <w:szCs w:val="22"/>
        </w:rPr>
      </w:pPr>
      <w:r w:rsidRPr="004F07DD">
        <w:rPr>
          <w:rFonts w:ascii="Arial" w:hAnsi="Arial"/>
          <w:color w:val="000000"/>
          <w:sz w:val="22"/>
          <w:szCs w:val="22"/>
        </w:rPr>
        <w:t xml:space="preserve">Talevski, J., Shee, A.W., Rasmussen, B., Kemp, G. and Beauchamp, A. (2020) Teach-back: A systematic review of implementation and impacts. </w:t>
      </w:r>
      <w:r w:rsidRPr="004F07DD">
        <w:rPr>
          <w:rFonts w:ascii="Arial" w:hAnsi="Arial"/>
          <w:i/>
          <w:color w:val="000000"/>
          <w:sz w:val="22"/>
          <w:szCs w:val="22"/>
        </w:rPr>
        <w:t>PloS one</w:t>
      </w:r>
      <w:r w:rsidRPr="004F07DD">
        <w:rPr>
          <w:rFonts w:ascii="Arial" w:hAnsi="Arial"/>
          <w:color w:val="000000"/>
          <w:sz w:val="22"/>
          <w:szCs w:val="22"/>
        </w:rPr>
        <w:t xml:space="preserve">, </w:t>
      </w:r>
      <w:r w:rsidRPr="004F07DD">
        <w:rPr>
          <w:rFonts w:ascii="Arial" w:hAnsi="Arial"/>
          <w:i/>
          <w:color w:val="000000"/>
          <w:sz w:val="22"/>
          <w:szCs w:val="22"/>
        </w:rPr>
        <w:t>15</w:t>
      </w:r>
      <w:r w:rsidRPr="004F07DD">
        <w:rPr>
          <w:rFonts w:ascii="Arial" w:hAnsi="Arial"/>
          <w:color w:val="000000"/>
          <w:sz w:val="22"/>
          <w:szCs w:val="22"/>
        </w:rPr>
        <w:t xml:space="preserve">(4), p.e0231350. Available at: </w:t>
      </w:r>
      <w:hyperlink r:id="rId36" w:history="1">
        <w:r w:rsidRPr="004F07DD">
          <w:rPr>
            <w:rStyle w:val="Hyperlink"/>
            <w:rFonts w:ascii="Arial" w:hAnsi="Arial"/>
            <w:color w:val="4B2589"/>
            <w:sz w:val="22"/>
            <w:szCs w:val="22"/>
          </w:rPr>
          <w:t>https://journals.plos.org/plosone/article?id=10.1371/journal.pone.0231350&amp;utm_source=chatgpt.com</w:t>
        </w:r>
      </w:hyperlink>
      <w:r w:rsidRPr="004F07DD">
        <w:rPr>
          <w:rFonts w:ascii="Arial" w:hAnsi="Arial"/>
          <w:color w:val="4B2589"/>
          <w:sz w:val="22"/>
          <w:szCs w:val="22"/>
        </w:rPr>
        <w:t xml:space="preserve"> </w:t>
      </w:r>
      <w:r w:rsidRPr="004F07DD">
        <w:rPr>
          <w:rFonts w:ascii="Arial" w:hAnsi="Arial"/>
          <w:color w:val="000000"/>
          <w:sz w:val="22"/>
          <w:szCs w:val="22"/>
        </w:rPr>
        <w:t>(Accessed: 11 March 2026)</w:t>
      </w:r>
      <w:r w:rsidR="00BF429F" w:rsidRPr="004F07DD">
        <w:rPr>
          <w:rFonts w:ascii="Arial" w:hAnsi="Arial"/>
          <w:color w:val="000000"/>
          <w:sz w:val="22"/>
          <w:szCs w:val="22"/>
        </w:rPr>
        <w:t>.</w:t>
      </w:r>
    </w:p>
    <w:p w14:paraId="00239777" w14:textId="1BCF49E2"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West, M., Eckert, R., Collins, B. and Chowla, R. (2017) </w:t>
      </w:r>
      <w:r w:rsidRPr="004F07DD">
        <w:rPr>
          <w:rStyle w:val="Emphasis"/>
          <w:rFonts w:ascii="Arial" w:hAnsi="Arial"/>
          <w:sz w:val="22"/>
          <w:szCs w:val="22"/>
        </w:rPr>
        <w:t>Caring to Change: How Compassionate Leadership Can Stimulate Innovation in Health Care</w:t>
      </w:r>
      <w:r w:rsidRPr="004F07DD">
        <w:rPr>
          <w:rFonts w:ascii="Arial" w:hAnsi="Arial"/>
          <w:sz w:val="22"/>
          <w:szCs w:val="22"/>
        </w:rPr>
        <w:t xml:space="preserve">. London: The King’s Fund. Available at: </w:t>
      </w:r>
      <w:hyperlink r:id="rId37" w:tgtFrame="_new" w:history="1">
        <w:r w:rsidRPr="004F07DD">
          <w:rPr>
            <w:rStyle w:val="Hyperlink"/>
            <w:rFonts w:ascii="Arial" w:hAnsi="Arial"/>
            <w:sz w:val="22"/>
            <w:szCs w:val="22"/>
          </w:rPr>
          <w:t>https://www.kingsfund.org.uk/publications/caring-change</w:t>
        </w:r>
      </w:hyperlink>
      <w:r w:rsidRPr="004F07DD">
        <w:rPr>
          <w:rFonts w:ascii="Arial" w:hAnsi="Arial"/>
          <w:sz w:val="22"/>
          <w:szCs w:val="22"/>
        </w:rPr>
        <w:t xml:space="preserve"> (Accessed: 05 March 2026)</w:t>
      </w:r>
      <w:r w:rsidR="00BF429F" w:rsidRPr="004F07DD">
        <w:rPr>
          <w:rFonts w:ascii="Arial" w:hAnsi="Arial"/>
          <w:sz w:val="22"/>
          <w:szCs w:val="22"/>
        </w:rPr>
        <w:t>.</w:t>
      </w:r>
    </w:p>
    <w:p w14:paraId="70765DC9" w14:textId="0120218C"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World Health Organization (2017) </w:t>
      </w:r>
      <w:r w:rsidRPr="004F07DD">
        <w:rPr>
          <w:rStyle w:val="Emphasis"/>
          <w:rFonts w:ascii="Arial" w:hAnsi="Arial"/>
          <w:sz w:val="22"/>
          <w:szCs w:val="22"/>
        </w:rPr>
        <w:t>Medication Without Harm: WHO Global Patient Safety Challenge</w:t>
      </w:r>
      <w:r w:rsidRPr="004F07DD">
        <w:rPr>
          <w:rFonts w:ascii="Arial" w:hAnsi="Arial"/>
          <w:sz w:val="22"/>
          <w:szCs w:val="22"/>
        </w:rPr>
        <w:t xml:space="preserve">. Available at: </w:t>
      </w:r>
      <w:hyperlink r:id="rId38" w:tgtFrame="_new" w:history="1">
        <w:r w:rsidRPr="004F07DD">
          <w:rPr>
            <w:rStyle w:val="Hyperlink"/>
            <w:rFonts w:ascii="Arial" w:hAnsi="Arial"/>
            <w:sz w:val="22"/>
            <w:szCs w:val="22"/>
          </w:rPr>
          <w:t>https://www.who.int/publications/i/item/WHO-HIS-SDS-2017.6</w:t>
        </w:r>
      </w:hyperlink>
      <w:r w:rsidRPr="004F07DD">
        <w:rPr>
          <w:rFonts w:ascii="Arial" w:hAnsi="Arial"/>
          <w:sz w:val="22"/>
          <w:szCs w:val="22"/>
        </w:rPr>
        <w:t xml:space="preserve"> (Accessed: 02 March 2026)</w:t>
      </w:r>
      <w:r w:rsidR="00BF429F" w:rsidRPr="004F07DD">
        <w:rPr>
          <w:rFonts w:ascii="Arial" w:hAnsi="Arial"/>
          <w:sz w:val="22"/>
          <w:szCs w:val="22"/>
        </w:rPr>
        <w:t>.</w:t>
      </w:r>
      <w:r w:rsidRPr="004F07DD">
        <w:rPr>
          <w:rFonts w:ascii="Arial" w:hAnsi="Arial"/>
          <w:sz w:val="22"/>
          <w:szCs w:val="22"/>
        </w:rPr>
        <w:t xml:space="preserve">                                               </w:t>
      </w:r>
    </w:p>
    <w:p w14:paraId="07F8D2A6" w14:textId="48D42AA4" w:rsidR="00D3322E" w:rsidRPr="004F07DD" w:rsidRDefault="00D3322E" w:rsidP="00A16815">
      <w:pPr>
        <w:pStyle w:val="BodyText"/>
        <w:spacing w:after="0" w:line="360" w:lineRule="auto"/>
        <w:rPr>
          <w:rFonts w:ascii="Arial" w:hAnsi="Arial"/>
          <w:sz w:val="22"/>
          <w:szCs w:val="22"/>
        </w:rPr>
      </w:pPr>
      <w:r w:rsidRPr="004F07DD">
        <w:rPr>
          <w:rFonts w:ascii="Arial" w:hAnsi="Arial"/>
          <w:sz w:val="22"/>
          <w:szCs w:val="22"/>
        </w:rPr>
        <w:t xml:space="preserve">World Health Organization (2017) </w:t>
      </w:r>
      <w:r w:rsidRPr="004F07DD">
        <w:rPr>
          <w:rStyle w:val="Emphasis"/>
          <w:rFonts w:ascii="Arial" w:hAnsi="Arial"/>
          <w:sz w:val="22"/>
          <w:szCs w:val="22"/>
        </w:rPr>
        <w:t>Medication Without Harm: WHO Global Patient Safety Challenge</w:t>
      </w:r>
      <w:r w:rsidRPr="004F07DD">
        <w:rPr>
          <w:rFonts w:ascii="Arial" w:hAnsi="Arial"/>
          <w:sz w:val="22"/>
          <w:szCs w:val="22"/>
        </w:rPr>
        <w:t xml:space="preserve">, pp. 3–18. Available at: </w:t>
      </w:r>
      <w:hyperlink r:id="rId39" w:tgtFrame="_new" w:history="1">
        <w:r w:rsidRPr="004F07DD">
          <w:rPr>
            <w:rStyle w:val="Hyperlink"/>
            <w:rFonts w:ascii="Arial" w:hAnsi="Arial"/>
            <w:sz w:val="22"/>
            <w:szCs w:val="22"/>
          </w:rPr>
          <w:t>https://www.who.int/publications/i/item/WHO-HIS-SDS-2017.6</w:t>
        </w:r>
      </w:hyperlink>
      <w:r w:rsidRPr="004F07DD">
        <w:rPr>
          <w:rFonts w:ascii="Arial" w:hAnsi="Arial"/>
          <w:sz w:val="22"/>
          <w:szCs w:val="22"/>
        </w:rPr>
        <w:t xml:space="preserve"> (Accessed: 06 March 2026)</w:t>
      </w:r>
      <w:r w:rsidR="00B7738A" w:rsidRPr="004F07DD">
        <w:rPr>
          <w:rFonts w:ascii="Arial" w:hAnsi="Arial"/>
          <w:sz w:val="22"/>
          <w:szCs w:val="22"/>
        </w:rPr>
        <w:t>.</w:t>
      </w:r>
    </w:p>
    <w:p w14:paraId="6FB5D815" w14:textId="1B686755" w:rsidR="00D3322E" w:rsidRPr="004F07DD" w:rsidRDefault="00D3322E" w:rsidP="00A16815">
      <w:pPr>
        <w:pStyle w:val="BodyText"/>
        <w:spacing w:after="0" w:line="360" w:lineRule="auto"/>
        <w:rPr>
          <w:rFonts w:ascii="Arial" w:hAnsi="Arial"/>
          <w:sz w:val="22"/>
          <w:szCs w:val="22"/>
        </w:rPr>
      </w:pPr>
      <w:r w:rsidRPr="004F07DD">
        <w:rPr>
          <w:rFonts w:ascii="Arial" w:hAnsi="Arial"/>
          <w:color w:val="000000"/>
          <w:sz w:val="22"/>
          <w:szCs w:val="22"/>
        </w:rPr>
        <w:t xml:space="preserve">World Health Organization (2018) </w:t>
      </w:r>
      <w:r w:rsidRPr="004F07DD">
        <w:rPr>
          <w:rFonts w:ascii="Arial" w:hAnsi="Arial"/>
          <w:i/>
          <w:iCs/>
          <w:color w:val="000000"/>
          <w:sz w:val="22"/>
          <w:szCs w:val="22"/>
        </w:rPr>
        <w:t>Continuity and coordination of care: a practice brief to support implementation of the WHO Framework on integrated people-centred health services.</w:t>
      </w:r>
      <w:r w:rsidRPr="004F07DD">
        <w:rPr>
          <w:rFonts w:ascii="Arial" w:hAnsi="Arial"/>
          <w:color w:val="000000"/>
          <w:sz w:val="22"/>
          <w:szCs w:val="22"/>
        </w:rPr>
        <w:t xml:space="preserve"> Available at: </w:t>
      </w:r>
      <w:hyperlink r:id="rId40" w:history="1">
        <w:r w:rsidRPr="004F07DD">
          <w:rPr>
            <w:rStyle w:val="Hyperlink"/>
            <w:rFonts w:ascii="Arial" w:hAnsi="Arial"/>
            <w:color w:val="4B2589"/>
            <w:sz w:val="22"/>
            <w:szCs w:val="22"/>
          </w:rPr>
          <w:t>https://iris.who.int/bitstream/handle/10665/274628/9789241514033-eng.pdf</w:t>
        </w:r>
      </w:hyperlink>
      <w:r w:rsidRPr="004F07DD">
        <w:rPr>
          <w:rFonts w:ascii="Arial" w:hAnsi="Arial"/>
          <w:color w:val="4B2589"/>
          <w:sz w:val="22"/>
          <w:szCs w:val="22"/>
        </w:rPr>
        <w:t xml:space="preserve"> </w:t>
      </w:r>
      <w:r w:rsidRPr="004F07DD">
        <w:rPr>
          <w:rFonts w:ascii="Arial" w:hAnsi="Arial"/>
          <w:color w:val="000000"/>
          <w:sz w:val="22"/>
          <w:szCs w:val="22"/>
        </w:rPr>
        <w:t>(Accessed: 14 March 2026)</w:t>
      </w:r>
      <w:r w:rsidR="00BF429F" w:rsidRPr="004F07DD">
        <w:rPr>
          <w:rFonts w:ascii="Arial" w:hAnsi="Arial"/>
          <w:color w:val="000000"/>
          <w:sz w:val="22"/>
          <w:szCs w:val="22"/>
        </w:rPr>
        <w:t>.</w:t>
      </w:r>
    </w:p>
    <w:p w14:paraId="2E2F9D29" w14:textId="2F93DA59" w:rsidR="00D3322E" w:rsidRPr="004F07DD" w:rsidRDefault="00D3322E" w:rsidP="00A16815">
      <w:pPr>
        <w:pStyle w:val="BodyText"/>
        <w:spacing w:line="360" w:lineRule="auto"/>
        <w:rPr>
          <w:rFonts w:ascii="Arial" w:hAnsi="Arial"/>
          <w:sz w:val="22"/>
          <w:szCs w:val="22"/>
        </w:rPr>
      </w:pPr>
      <w:r w:rsidRPr="004F07DD">
        <w:rPr>
          <w:rFonts w:ascii="Arial" w:hAnsi="Arial"/>
          <w:sz w:val="22"/>
          <w:szCs w:val="22"/>
        </w:rPr>
        <w:lastRenderedPageBreak/>
        <w:t xml:space="preserve">Wong, C.A., Cummings, G.G. and Ducharme, L. (2018) The relationship between nursing leadership and patient outcomes: A systematic review update’, </w:t>
      </w:r>
      <w:r w:rsidRPr="004F07DD">
        <w:rPr>
          <w:rStyle w:val="Emphasis"/>
          <w:rFonts w:ascii="Arial" w:hAnsi="Arial"/>
          <w:sz w:val="22"/>
          <w:szCs w:val="22"/>
        </w:rPr>
        <w:t>Journal of Nursing Management</w:t>
      </w:r>
      <w:r w:rsidRPr="004F07DD">
        <w:rPr>
          <w:rFonts w:ascii="Arial" w:hAnsi="Arial"/>
          <w:sz w:val="22"/>
          <w:szCs w:val="22"/>
        </w:rPr>
        <w:t xml:space="preserve">, 26(4), pp. 1–15. Available at: </w:t>
      </w:r>
      <w:hyperlink r:id="rId41" w:history="1">
        <w:r w:rsidRPr="004F07DD">
          <w:rPr>
            <w:rStyle w:val="Hyperlink"/>
            <w:rFonts w:ascii="Arial" w:hAnsi="Arial"/>
            <w:sz w:val="22"/>
            <w:szCs w:val="22"/>
          </w:rPr>
          <w:t>https://onlinelibrary.wiley.com/doi/10.1111/jonm.12562</w:t>
        </w:r>
      </w:hyperlink>
      <w:r w:rsidRPr="004F07DD">
        <w:rPr>
          <w:rFonts w:ascii="Arial" w:hAnsi="Arial"/>
          <w:sz w:val="22"/>
          <w:szCs w:val="22"/>
        </w:rPr>
        <w:t xml:space="preserve">  (Accessed: 08 March 2026)</w:t>
      </w:r>
      <w:r w:rsidR="00BF429F" w:rsidRPr="004F07DD">
        <w:rPr>
          <w:rFonts w:ascii="Arial" w:hAnsi="Arial"/>
          <w:sz w:val="22"/>
          <w:szCs w:val="22"/>
        </w:rPr>
        <w:t>.</w:t>
      </w:r>
    </w:p>
    <w:sectPr w:rsidR="00D3322E" w:rsidRPr="004F07DD">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2001C" w14:textId="77777777" w:rsidR="00D65E86" w:rsidRDefault="00D65E86" w:rsidP="007A459B">
      <w:pPr>
        <w:rPr>
          <w:rFonts w:hint="eastAsia"/>
        </w:rPr>
      </w:pPr>
      <w:r>
        <w:separator/>
      </w:r>
    </w:p>
  </w:endnote>
  <w:endnote w:type="continuationSeparator" w:id="0">
    <w:p w14:paraId="3D1647BF" w14:textId="77777777" w:rsidR="00D65E86" w:rsidRDefault="00D65E86" w:rsidP="007A459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548684"/>
      <w:docPartObj>
        <w:docPartGallery w:val="Page Numbers (Bottom of Page)"/>
        <w:docPartUnique/>
      </w:docPartObj>
    </w:sdtPr>
    <w:sdtEndPr>
      <w:rPr>
        <w:noProof/>
      </w:rPr>
    </w:sdtEndPr>
    <w:sdtContent>
      <w:p w14:paraId="2365FEF1" w14:textId="57023B57" w:rsidR="007A459B" w:rsidRDefault="007A459B">
        <w:pPr>
          <w:pStyle w:val="Footer"/>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01E3FCBF" w14:textId="77777777" w:rsidR="007A459B" w:rsidRDefault="007A459B">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C22B3" w14:textId="77777777" w:rsidR="00D65E86" w:rsidRDefault="00D65E86" w:rsidP="007A459B">
      <w:pPr>
        <w:rPr>
          <w:rFonts w:hint="eastAsia"/>
        </w:rPr>
      </w:pPr>
      <w:r>
        <w:separator/>
      </w:r>
    </w:p>
  </w:footnote>
  <w:footnote w:type="continuationSeparator" w:id="0">
    <w:p w14:paraId="63D6A18C" w14:textId="77777777" w:rsidR="00D65E86" w:rsidRDefault="00D65E86" w:rsidP="007A459B">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3387"/>
    <w:rsid w:val="00072BB6"/>
    <w:rsid w:val="000952F9"/>
    <w:rsid w:val="000C19ED"/>
    <w:rsid w:val="000F3D9B"/>
    <w:rsid w:val="00130A7D"/>
    <w:rsid w:val="00144748"/>
    <w:rsid w:val="001621D3"/>
    <w:rsid w:val="001C4D9A"/>
    <w:rsid w:val="002C4E09"/>
    <w:rsid w:val="002F0FA9"/>
    <w:rsid w:val="003622DA"/>
    <w:rsid w:val="00423387"/>
    <w:rsid w:val="004613FF"/>
    <w:rsid w:val="004C4DCA"/>
    <w:rsid w:val="004D487F"/>
    <w:rsid w:val="004F07DD"/>
    <w:rsid w:val="004F5E55"/>
    <w:rsid w:val="00516B2C"/>
    <w:rsid w:val="00543918"/>
    <w:rsid w:val="00543A92"/>
    <w:rsid w:val="00550F00"/>
    <w:rsid w:val="00563AF2"/>
    <w:rsid w:val="00596737"/>
    <w:rsid w:val="006546D2"/>
    <w:rsid w:val="006B202E"/>
    <w:rsid w:val="00712A65"/>
    <w:rsid w:val="00741B56"/>
    <w:rsid w:val="00784C7D"/>
    <w:rsid w:val="007A459B"/>
    <w:rsid w:val="007E0950"/>
    <w:rsid w:val="008008A4"/>
    <w:rsid w:val="00830D1A"/>
    <w:rsid w:val="00837A8B"/>
    <w:rsid w:val="00847616"/>
    <w:rsid w:val="0086330B"/>
    <w:rsid w:val="00866E19"/>
    <w:rsid w:val="008826E7"/>
    <w:rsid w:val="008D2BA5"/>
    <w:rsid w:val="008E1AE3"/>
    <w:rsid w:val="00924262"/>
    <w:rsid w:val="00A0036D"/>
    <w:rsid w:val="00A16815"/>
    <w:rsid w:val="00A23600"/>
    <w:rsid w:val="00A42E39"/>
    <w:rsid w:val="00A77302"/>
    <w:rsid w:val="00AA3C47"/>
    <w:rsid w:val="00AB5BE4"/>
    <w:rsid w:val="00AC68F8"/>
    <w:rsid w:val="00AE0877"/>
    <w:rsid w:val="00AE473A"/>
    <w:rsid w:val="00B1644E"/>
    <w:rsid w:val="00B31500"/>
    <w:rsid w:val="00B71735"/>
    <w:rsid w:val="00B71F32"/>
    <w:rsid w:val="00B7738A"/>
    <w:rsid w:val="00BC4A71"/>
    <w:rsid w:val="00BF429F"/>
    <w:rsid w:val="00BF6622"/>
    <w:rsid w:val="00C35F28"/>
    <w:rsid w:val="00CA32FA"/>
    <w:rsid w:val="00CF10D6"/>
    <w:rsid w:val="00D133E8"/>
    <w:rsid w:val="00D3322E"/>
    <w:rsid w:val="00D65E86"/>
    <w:rsid w:val="00D77BB2"/>
    <w:rsid w:val="00D82A14"/>
    <w:rsid w:val="00D8494D"/>
    <w:rsid w:val="00DC27EA"/>
    <w:rsid w:val="00DE06A3"/>
    <w:rsid w:val="00DF5F9D"/>
    <w:rsid w:val="00E71191"/>
    <w:rsid w:val="00E71697"/>
    <w:rsid w:val="00E771E2"/>
    <w:rsid w:val="00E90132"/>
    <w:rsid w:val="00EA1904"/>
    <w:rsid w:val="00EE2834"/>
    <w:rsid w:val="00EE3EC3"/>
    <w:rsid w:val="00F327FF"/>
    <w:rsid w:val="00FC318D"/>
    <w:rsid w:val="00FC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D14A3"/>
  <w15:chartTrackingRefBased/>
  <w15:docId w15:val="{B09A78E0-7681-4D91-BA57-95201CF1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22E"/>
    <w:pPr>
      <w:suppressAutoHyphens/>
      <w:spacing w:after="0" w:line="240" w:lineRule="auto"/>
    </w:pPr>
    <w:rPr>
      <w:rFonts w:ascii="Liberation Serif" w:eastAsia="NSimSun" w:hAnsi="Liberation Serif" w:cs="Arial"/>
      <w:sz w:val="24"/>
      <w:szCs w:val="24"/>
      <w:lang w:eastAsia="zh-CN" w:bidi="hi-IN"/>
    </w:rPr>
  </w:style>
  <w:style w:type="paragraph" w:styleId="Heading1">
    <w:name w:val="heading 1"/>
    <w:basedOn w:val="Normal"/>
    <w:next w:val="Normal"/>
    <w:link w:val="Heading1Char"/>
    <w:uiPriority w:val="9"/>
    <w:qFormat/>
    <w:rsid w:val="004233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33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338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338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338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33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3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38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38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3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33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338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338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338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33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3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3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387"/>
    <w:rPr>
      <w:rFonts w:eastAsiaTheme="majorEastAsia" w:cstheme="majorBidi"/>
      <w:color w:val="272727" w:themeColor="text1" w:themeTint="D8"/>
    </w:rPr>
  </w:style>
  <w:style w:type="paragraph" w:styleId="Title">
    <w:name w:val="Title"/>
    <w:basedOn w:val="Normal"/>
    <w:next w:val="Normal"/>
    <w:link w:val="TitleChar"/>
    <w:uiPriority w:val="10"/>
    <w:qFormat/>
    <w:rsid w:val="0042338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3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3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3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387"/>
    <w:pPr>
      <w:spacing w:before="160"/>
      <w:jc w:val="center"/>
    </w:pPr>
    <w:rPr>
      <w:i/>
      <w:iCs/>
      <w:color w:val="404040" w:themeColor="text1" w:themeTint="BF"/>
    </w:rPr>
  </w:style>
  <w:style w:type="character" w:customStyle="1" w:styleId="QuoteChar">
    <w:name w:val="Quote Char"/>
    <w:basedOn w:val="DefaultParagraphFont"/>
    <w:link w:val="Quote"/>
    <w:uiPriority w:val="29"/>
    <w:rsid w:val="00423387"/>
    <w:rPr>
      <w:i/>
      <w:iCs/>
      <w:color w:val="404040" w:themeColor="text1" w:themeTint="BF"/>
    </w:rPr>
  </w:style>
  <w:style w:type="paragraph" w:styleId="ListParagraph">
    <w:name w:val="List Paragraph"/>
    <w:basedOn w:val="Normal"/>
    <w:uiPriority w:val="34"/>
    <w:qFormat/>
    <w:rsid w:val="00423387"/>
    <w:pPr>
      <w:ind w:left="720"/>
      <w:contextualSpacing/>
    </w:pPr>
  </w:style>
  <w:style w:type="character" w:styleId="IntenseEmphasis">
    <w:name w:val="Intense Emphasis"/>
    <w:basedOn w:val="DefaultParagraphFont"/>
    <w:uiPriority w:val="21"/>
    <w:qFormat/>
    <w:rsid w:val="00423387"/>
    <w:rPr>
      <w:i/>
      <w:iCs/>
      <w:color w:val="2F5496" w:themeColor="accent1" w:themeShade="BF"/>
    </w:rPr>
  </w:style>
  <w:style w:type="paragraph" w:styleId="IntenseQuote">
    <w:name w:val="Intense Quote"/>
    <w:basedOn w:val="Normal"/>
    <w:next w:val="Normal"/>
    <w:link w:val="IntenseQuoteChar"/>
    <w:uiPriority w:val="30"/>
    <w:qFormat/>
    <w:rsid w:val="004233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3387"/>
    <w:rPr>
      <w:i/>
      <w:iCs/>
      <w:color w:val="2F5496" w:themeColor="accent1" w:themeShade="BF"/>
    </w:rPr>
  </w:style>
  <w:style w:type="character" w:styleId="IntenseReference">
    <w:name w:val="Intense Reference"/>
    <w:basedOn w:val="DefaultParagraphFont"/>
    <w:uiPriority w:val="32"/>
    <w:qFormat/>
    <w:rsid w:val="00423387"/>
    <w:rPr>
      <w:b/>
      <w:bCs/>
      <w:smallCaps/>
      <w:color w:val="2F5496" w:themeColor="accent1" w:themeShade="BF"/>
      <w:spacing w:val="5"/>
    </w:rPr>
  </w:style>
  <w:style w:type="character" w:styleId="Hyperlink">
    <w:name w:val="Hyperlink"/>
    <w:semiHidden/>
    <w:unhideWhenUsed/>
    <w:rsid w:val="00D3322E"/>
    <w:rPr>
      <w:color w:val="000080"/>
      <w:u w:val="single"/>
    </w:rPr>
  </w:style>
  <w:style w:type="paragraph" w:styleId="BodyText">
    <w:name w:val="Body Text"/>
    <w:basedOn w:val="Normal"/>
    <w:link w:val="BodyTextChar"/>
    <w:unhideWhenUsed/>
    <w:rsid w:val="00D3322E"/>
    <w:pPr>
      <w:spacing w:after="140" w:line="276" w:lineRule="auto"/>
    </w:pPr>
  </w:style>
  <w:style w:type="character" w:customStyle="1" w:styleId="BodyTextChar">
    <w:name w:val="Body Text Char"/>
    <w:basedOn w:val="DefaultParagraphFont"/>
    <w:link w:val="BodyText"/>
    <w:rsid w:val="00D3322E"/>
    <w:rPr>
      <w:rFonts w:ascii="Liberation Serif" w:eastAsia="NSimSun" w:hAnsi="Liberation Serif" w:cs="Arial"/>
      <w:sz w:val="24"/>
      <w:szCs w:val="24"/>
      <w:lang w:eastAsia="zh-CN" w:bidi="hi-IN"/>
    </w:rPr>
  </w:style>
  <w:style w:type="character" w:styleId="Strong">
    <w:name w:val="Strong"/>
    <w:basedOn w:val="DefaultParagraphFont"/>
    <w:qFormat/>
    <w:rsid w:val="00D3322E"/>
    <w:rPr>
      <w:b/>
      <w:bCs/>
    </w:rPr>
  </w:style>
  <w:style w:type="character" w:styleId="Emphasis">
    <w:name w:val="Emphasis"/>
    <w:basedOn w:val="DefaultParagraphFont"/>
    <w:qFormat/>
    <w:rsid w:val="00D3322E"/>
    <w:rPr>
      <w:i/>
      <w:iCs/>
    </w:rPr>
  </w:style>
  <w:style w:type="paragraph" w:styleId="Header">
    <w:name w:val="header"/>
    <w:basedOn w:val="Normal"/>
    <w:link w:val="HeaderChar"/>
    <w:uiPriority w:val="99"/>
    <w:unhideWhenUsed/>
    <w:rsid w:val="007A459B"/>
    <w:pPr>
      <w:tabs>
        <w:tab w:val="center" w:pos="4513"/>
        <w:tab w:val="right" w:pos="9026"/>
      </w:tabs>
    </w:pPr>
    <w:rPr>
      <w:rFonts w:cs="Mangal"/>
      <w:szCs w:val="21"/>
    </w:rPr>
  </w:style>
  <w:style w:type="character" w:customStyle="1" w:styleId="HeaderChar">
    <w:name w:val="Header Char"/>
    <w:basedOn w:val="DefaultParagraphFont"/>
    <w:link w:val="Header"/>
    <w:uiPriority w:val="99"/>
    <w:rsid w:val="007A459B"/>
    <w:rPr>
      <w:rFonts w:ascii="Liberation Serif" w:eastAsia="NSimSun" w:hAnsi="Liberation Serif" w:cs="Mangal"/>
      <w:sz w:val="24"/>
      <w:szCs w:val="21"/>
      <w:lang w:eastAsia="zh-CN" w:bidi="hi-IN"/>
    </w:rPr>
  </w:style>
  <w:style w:type="paragraph" w:styleId="Footer">
    <w:name w:val="footer"/>
    <w:basedOn w:val="Normal"/>
    <w:link w:val="FooterChar"/>
    <w:uiPriority w:val="99"/>
    <w:unhideWhenUsed/>
    <w:rsid w:val="007A459B"/>
    <w:pPr>
      <w:tabs>
        <w:tab w:val="center" w:pos="4513"/>
        <w:tab w:val="right" w:pos="9026"/>
      </w:tabs>
    </w:pPr>
    <w:rPr>
      <w:rFonts w:cs="Mangal"/>
      <w:szCs w:val="21"/>
    </w:rPr>
  </w:style>
  <w:style w:type="character" w:customStyle="1" w:styleId="FooterChar">
    <w:name w:val="Footer Char"/>
    <w:basedOn w:val="DefaultParagraphFont"/>
    <w:link w:val="Footer"/>
    <w:uiPriority w:val="99"/>
    <w:rsid w:val="007A459B"/>
    <w:rPr>
      <w:rFonts w:ascii="Liberation Serif" w:eastAsia="NSimSun" w:hAnsi="Liberation Serif" w:cs="Mangal"/>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002/pad.1835" TargetMode="External"/><Relationship Id="rId18" Type="http://schemas.openxmlformats.org/officeDocument/2006/relationships/hyperlink" Target="https://www.oecd.org/content/dam/oecd/en/publications/reports/2019/03/the-impact-of-decentralisation-on-the-performance-of-health-care-systems_a31e2263/04208b83-en.pdf" TargetMode="External"/><Relationship Id="rId26" Type="http://schemas.openxmlformats.org/officeDocument/2006/relationships/hyperlink" Target="https://bpspubs.onlinelibrary.wiley.com/doi/10.1111/bcp.14144" TargetMode="External"/><Relationship Id="rId39" Type="http://schemas.openxmlformats.org/officeDocument/2006/relationships/hyperlink" Target="https://www.who.int/publications/i/item/WHO-HIS-SDS-2017.6" TargetMode="External"/><Relationship Id="rId21" Type="http://schemas.openxmlformats.org/officeDocument/2006/relationships/hyperlink" Target="https://www.gov.uk/government/publications/speaking-up-review-report" TargetMode="External"/><Relationship Id="rId34" Type="http://schemas.openxmlformats.org/officeDocument/2006/relationships/hyperlink" Target="https://www.mdpi.com/2227-9032/5/4/73" TargetMode="External"/><Relationship Id="rId42" Type="http://schemas.openxmlformats.org/officeDocument/2006/relationships/footer" Target="footer1.xml"/><Relationship Id="rId7" Type="http://schemas.openxmlformats.org/officeDocument/2006/relationships/hyperlink" Target="https://www.sciencedirect.com/science/article/pii/S0020748918300700" TargetMode="External"/><Relationship Id="rId2" Type="http://schemas.openxmlformats.org/officeDocument/2006/relationships/settings" Target="settings.xml"/><Relationship Id="rId16" Type="http://schemas.openxmlformats.org/officeDocument/2006/relationships/hyperlink" Target="https://www.oecd.org/content/dam/oecd/en/publications/reports/2019/03/the-impact-of-decentralisation-on-the-performance-of-health" TargetMode="External"/><Relationship Id="rId20" Type="http://schemas.openxmlformats.org/officeDocument/2006/relationships/hyperlink" Target="https://search.proquest.com/openview/b1fdd912a1db9d816c97984983f0f2ea/1?pq-origsite=gscholar&amp;cbl=18750&amp;diss=y" TargetMode="External"/><Relationship Id="rId29" Type="http://schemas.openxmlformats.org/officeDocument/2006/relationships/hyperlink" Target="https://improvement.nhs.uk/resources/safety-huddles/" TargetMode="External"/><Relationship Id="rId41" Type="http://schemas.openxmlformats.org/officeDocument/2006/relationships/hyperlink" Target="https://onlinelibrary.wiley.com/doi/10.1111/jonm.12562"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ciencedirect.com/science/article/pii/S0029655417302154" TargetMode="External"/><Relationship Id="rId24" Type="http://schemas.openxmlformats.org/officeDocument/2006/relationships/hyperlink" Target="https://www.hssib.org.uk/patient-safety-investigations/unintentional-overdose-of-morphine-sulfate-oral-solution/investigation-report/" TargetMode="External"/><Relationship Id="rId32" Type="http://schemas.openxmlformats.org/officeDocument/2006/relationships/hyperlink" Target="https://figshare.le.ac.uk/articles/thesis/Improving_risk_controls_following_root_cause_analysis_of_serious_incidents_in_healthcare/15112434/1" TargetMode="External"/><Relationship Id="rId37" Type="http://schemas.openxmlformats.org/officeDocument/2006/relationships/hyperlink" Target="https://www.kingsfund.org.uk/publications/caring-change" TargetMode="External"/><Relationship Id="rId40" Type="http://schemas.openxmlformats.org/officeDocument/2006/relationships/hyperlink" Target="https://iris.who.int/bitstream/handle/10665/274628/9789241514033-eng.pdf" TargetMode="External"/><Relationship Id="rId5" Type="http://schemas.openxmlformats.org/officeDocument/2006/relationships/endnotes" Target="endnotes.xml"/><Relationship Id="rId15" Type="http://schemas.openxmlformats.org/officeDocument/2006/relationships/hyperlink" Target="https://www.intechopen.com/chapters/79011" TargetMode="External"/><Relationship Id="rId23" Type="http://schemas.openxmlformats.org/officeDocument/2006/relationships/hyperlink" Target="https://www.sciencedirect.com/science/article/pii/S1465324918305140" TargetMode="External"/><Relationship Id="rId28" Type="http://schemas.openxmlformats.org/officeDocument/2006/relationships/hyperlink" Target="https://www.england.nhs.uk/patient-safety/the-nhs-patient-safety-strategy/" TargetMode="External"/><Relationship Id="rId36" Type="http://schemas.openxmlformats.org/officeDocument/2006/relationships/hyperlink" Target="https://journals.plos.org/plosone/article?id=10.1371/journal.pone.0231350&amp;utm_source=chatgpt.com" TargetMode="External"/><Relationship Id="rId10" Type="http://schemas.openxmlformats.org/officeDocument/2006/relationships/hyperlink" Target="https://www.taylorfrancis.com/books/mono/10.4324/9781003431077/transforming-leadership-improving-patient-experience-alan-belasen-ph-barry-eisenberg-ph-jill-borgos-ph" TargetMode="External"/><Relationship Id="rId19" Type="http://schemas.openxmlformats.org/officeDocument/2006/relationships/hyperlink" Target="https://qualitysafety.bmj.com/content/27/11/1" TargetMode="External"/><Relationship Id="rId31" Type="http://schemas.openxmlformats.org/officeDocument/2006/relationships/hyperlink" Target="https://link.springer.com/article/10.1186/s12913-020-4931-2"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earch.proquest.com/openview/5104f61a86e92429b8b5e8358e71de55/1?pq-origsite=gscholar&amp;cbl=54484" TargetMode="External"/><Relationship Id="rId14" Type="http://schemas.openxmlformats.org/officeDocument/2006/relationships/hyperlink" Target="https://journals.lww.com/journalpatientsafety/fulltext/2021/12000/interventions_to_reduce_problems_related_to_the.114.aspx" TargetMode="External"/><Relationship Id="rId22" Type="http://schemas.openxmlformats.org/officeDocument/2006/relationships/hyperlink" Target="https://pmc.ncbi.nlm.nih.gov/articles/PMC7487755/" TargetMode="External"/><Relationship Id="rId27" Type="http://schemas.openxmlformats.org/officeDocument/2006/relationships/hyperlink" Target="https://www.nhs.uk/conditions/charcot-marie-tooth-disease/" TargetMode="External"/><Relationship Id="rId30" Type="http://schemas.openxmlformats.org/officeDocument/2006/relationships/hyperlink" Target="https://onlinelibrary.wiley.com/doi/abs/10.1002/hpm.3058" TargetMode="External"/><Relationship Id="rId35" Type="http://schemas.openxmlformats.org/officeDocument/2006/relationships/hyperlink" Target="https://www.mdpi.com/1660-4601/18/4/1552" TargetMode="External"/><Relationship Id="rId43" Type="http://schemas.openxmlformats.org/officeDocument/2006/relationships/fontTable" Target="fontTable.xml"/><Relationship Id="rId8" Type="http://schemas.openxmlformats.org/officeDocument/2006/relationships/hyperlink" Target="https://researchcorridor.org/index.php/mjh/article/view/49" TargetMode="External"/><Relationship Id="rId3" Type="http://schemas.openxmlformats.org/officeDocument/2006/relationships/webSettings" Target="webSettings.xml"/><Relationship Id="rId12" Type="http://schemas.openxmlformats.org/officeDocument/2006/relationships/hyperlink" Target="https://www.healthaffairs.org/doi/10.1377/hlthaff.2020.01562" TargetMode="External"/><Relationship Id="rId17" Type="http://schemas.openxmlformats.org/officeDocument/2006/relationships/hyperlink" Target="https://www.oecd.org/content/dam/oecd/en/publications/reports/2019/03/the-impact-of-decentralisation-on-the-performance-of-health-care" TargetMode="External"/><Relationship Id="rId25" Type="http://schemas.openxmlformats.org/officeDocument/2006/relationships/hyperlink" Target="https://pmc.ncbi.nlm.nih.gov/articles/PMC11554398/" TargetMode="External"/><Relationship Id="rId33" Type="http://schemas.openxmlformats.org/officeDocument/2006/relationships/hyperlink" Target="https://cpe.org.uk/wp-content/uploads/2013/07/Moving20Medicines20new1.pdf" TargetMode="External"/><Relationship Id="rId38" Type="http://schemas.openxmlformats.org/officeDocument/2006/relationships/hyperlink" Target="https://www.who.int/publications/i/item/WHO-HIS-SDS-201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22</Pages>
  <Words>8444</Words>
  <Characters>48135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Dinu</dc:creator>
  <cp:keywords/>
  <dc:description/>
  <cp:lastModifiedBy>Simona Dinu</cp:lastModifiedBy>
  <cp:revision>71</cp:revision>
  <dcterms:created xsi:type="dcterms:W3CDTF">2026-03-26T18:34:00Z</dcterms:created>
  <dcterms:modified xsi:type="dcterms:W3CDTF">2026-03-26T20:14:00Z</dcterms:modified>
</cp:coreProperties>
</file>