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9FA29" w14:textId="77777777" w:rsidR="00B52428" w:rsidRDefault="00B52428" w:rsidP="00B52428">
      <w:pPr>
        <w:jc w:val="center"/>
        <w:rPr>
          <w:rFonts w:ascii="Times New Roman" w:hAnsi="Times New Roman" w:cs="Times New Roman"/>
        </w:rPr>
      </w:pPr>
    </w:p>
    <w:p w14:paraId="3CC0581D" w14:textId="77777777" w:rsidR="00B52428" w:rsidRDefault="00B52428" w:rsidP="00B52428">
      <w:pPr>
        <w:jc w:val="center"/>
        <w:rPr>
          <w:rFonts w:ascii="Times New Roman" w:hAnsi="Times New Roman" w:cs="Times New Roman"/>
        </w:rPr>
      </w:pPr>
    </w:p>
    <w:p w14:paraId="58CF218A" w14:textId="77777777" w:rsidR="00B52428" w:rsidRDefault="00B52428" w:rsidP="00B52428">
      <w:pPr>
        <w:jc w:val="center"/>
        <w:rPr>
          <w:rFonts w:ascii="Times New Roman" w:hAnsi="Times New Roman" w:cs="Times New Roman"/>
        </w:rPr>
      </w:pPr>
    </w:p>
    <w:p w14:paraId="44010103" w14:textId="77777777" w:rsidR="00B52428" w:rsidRDefault="00B52428" w:rsidP="00B52428">
      <w:pPr>
        <w:spacing w:line="480" w:lineRule="auto"/>
        <w:rPr>
          <w:rFonts w:ascii="Times New Roman" w:hAnsi="Times New Roman" w:cs="Times New Roman"/>
        </w:rPr>
      </w:pPr>
    </w:p>
    <w:p w14:paraId="49A02376" w14:textId="77777777" w:rsidR="00B52428" w:rsidRDefault="00B52428" w:rsidP="00B52428">
      <w:pPr>
        <w:spacing w:line="480" w:lineRule="auto"/>
        <w:ind w:left="720" w:hanging="720"/>
        <w:jc w:val="center"/>
        <w:rPr>
          <w:rFonts w:ascii="Times New Roman" w:hAnsi="Times New Roman" w:cs="Times New Roman"/>
        </w:rPr>
      </w:pPr>
    </w:p>
    <w:p w14:paraId="228ED99A" w14:textId="7B031752" w:rsidR="00B52428" w:rsidRPr="00B52428" w:rsidRDefault="00B52428" w:rsidP="00B52428">
      <w:pPr>
        <w:spacing w:line="480" w:lineRule="auto"/>
        <w:ind w:left="720" w:hanging="720"/>
        <w:jc w:val="center"/>
        <w:rPr>
          <w:rFonts w:ascii="Times New Roman" w:hAnsi="Times New Roman" w:cs="Times New Roman"/>
          <w:b/>
          <w:bCs/>
        </w:rPr>
      </w:pPr>
      <w:r w:rsidRPr="00B52428">
        <w:rPr>
          <w:rFonts w:ascii="Times New Roman" w:hAnsi="Times New Roman" w:cs="Times New Roman"/>
          <w:b/>
          <w:bCs/>
        </w:rPr>
        <w:t>ECAD7004</w:t>
      </w:r>
    </w:p>
    <w:p w14:paraId="71246750" w14:textId="77777777" w:rsidR="00B52428" w:rsidRDefault="00B52428" w:rsidP="00B52428">
      <w:pPr>
        <w:spacing w:line="480" w:lineRule="auto"/>
        <w:ind w:left="720" w:hanging="720"/>
        <w:rPr>
          <w:rFonts w:ascii="Times New Roman" w:hAnsi="Times New Roman" w:cs="Times New Roman"/>
        </w:rPr>
      </w:pPr>
    </w:p>
    <w:p w14:paraId="48C8632E" w14:textId="77777777" w:rsidR="00B52428" w:rsidRPr="00B52428" w:rsidRDefault="00B52428" w:rsidP="00B52428">
      <w:pPr>
        <w:spacing w:line="480" w:lineRule="auto"/>
        <w:ind w:left="720" w:hanging="720"/>
        <w:jc w:val="center"/>
        <w:rPr>
          <w:rFonts w:ascii="Times New Roman" w:hAnsi="Times New Roman" w:cs="Times New Roman"/>
        </w:rPr>
      </w:pPr>
    </w:p>
    <w:p w14:paraId="552ABA28" w14:textId="1B932761" w:rsidR="00B52428" w:rsidRPr="00B52428" w:rsidRDefault="00B52428" w:rsidP="00B52428">
      <w:pPr>
        <w:spacing w:line="480" w:lineRule="auto"/>
        <w:ind w:left="720" w:hanging="720"/>
        <w:jc w:val="center"/>
        <w:rPr>
          <w:rFonts w:ascii="Times New Roman" w:hAnsi="Times New Roman" w:cs="Times New Roman"/>
          <w:b/>
          <w:bCs/>
        </w:rPr>
      </w:pPr>
      <w:r w:rsidRPr="00B52428">
        <w:rPr>
          <w:rFonts w:ascii="Times New Roman" w:hAnsi="Times New Roman" w:cs="Times New Roman"/>
          <w:b/>
          <w:bCs/>
        </w:rPr>
        <w:t>An exploratory case study arising from practice</w:t>
      </w:r>
      <w:r w:rsidRPr="00B52428">
        <w:rPr>
          <w:rFonts w:ascii="Times New Roman" w:hAnsi="Times New Roman" w:cs="Times New Roman"/>
          <w:b/>
          <w:bCs/>
        </w:rPr>
        <w:t xml:space="preserve"> </w:t>
      </w:r>
      <w:r w:rsidRPr="00B52428">
        <w:rPr>
          <w:rFonts w:ascii="Times New Roman" w:hAnsi="Times New Roman" w:cs="Times New Roman"/>
          <w:b/>
          <w:bCs/>
        </w:rPr>
        <w:t>(noticing) and investigated further through identified</w:t>
      </w:r>
      <w:r w:rsidRPr="00B52428">
        <w:rPr>
          <w:rFonts w:ascii="Times New Roman" w:hAnsi="Times New Roman" w:cs="Times New Roman"/>
          <w:b/>
          <w:bCs/>
        </w:rPr>
        <w:t xml:space="preserve"> </w:t>
      </w:r>
      <w:r w:rsidRPr="00B52428">
        <w:rPr>
          <w:rFonts w:ascii="Times New Roman" w:hAnsi="Times New Roman" w:cs="Times New Roman"/>
          <w:b/>
          <w:bCs/>
        </w:rPr>
        <w:t>research tools. The assignment concludes with the</w:t>
      </w:r>
      <w:r w:rsidRPr="00B52428">
        <w:rPr>
          <w:rFonts w:ascii="Times New Roman" w:hAnsi="Times New Roman" w:cs="Times New Roman"/>
          <w:b/>
          <w:bCs/>
        </w:rPr>
        <w:t xml:space="preserve"> </w:t>
      </w:r>
      <w:r w:rsidRPr="00B52428">
        <w:rPr>
          <w:rFonts w:ascii="Times New Roman" w:hAnsi="Times New Roman" w:cs="Times New Roman"/>
          <w:b/>
          <w:bCs/>
        </w:rPr>
        <w:t>identification of an intervention which can be piloted</w:t>
      </w:r>
      <w:r w:rsidRPr="00B52428">
        <w:rPr>
          <w:rFonts w:ascii="Times New Roman" w:hAnsi="Times New Roman" w:cs="Times New Roman"/>
          <w:b/>
          <w:bCs/>
        </w:rPr>
        <w:t xml:space="preserve"> </w:t>
      </w:r>
      <w:r w:rsidRPr="00B52428">
        <w:rPr>
          <w:rFonts w:ascii="Times New Roman" w:hAnsi="Times New Roman" w:cs="Times New Roman"/>
          <w:b/>
          <w:bCs/>
        </w:rPr>
        <w:t>throughout PTE and evidenced through reflection in</w:t>
      </w:r>
      <w:r w:rsidRPr="00B52428">
        <w:rPr>
          <w:rFonts w:ascii="Times New Roman" w:hAnsi="Times New Roman" w:cs="Times New Roman"/>
          <w:b/>
          <w:bCs/>
        </w:rPr>
        <w:t xml:space="preserve"> </w:t>
      </w:r>
      <w:r w:rsidRPr="00B52428">
        <w:rPr>
          <w:rFonts w:ascii="Times New Roman" w:hAnsi="Times New Roman" w:cs="Times New Roman"/>
          <w:b/>
          <w:bCs/>
        </w:rPr>
        <w:t>the PLP (professional learning standards).</w:t>
      </w:r>
    </w:p>
    <w:p w14:paraId="71E6536F" w14:textId="77777777" w:rsidR="00B52428" w:rsidRDefault="00B52428" w:rsidP="00B52428">
      <w:pPr>
        <w:spacing w:line="480" w:lineRule="auto"/>
        <w:rPr>
          <w:rFonts w:ascii="Times New Roman" w:hAnsi="Times New Roman" w:cs="Times New Roman"/>
        </w:rPr>
      </w:pPr>
    </w:p>
    <w:p w14:paraId="3E65D05E" w14:textId="77777777" w:rsidR="00B52428" w:rsidRDefault="00B52428" w:rsidP="00B52428">
      <w:pPr>
        <w:spacing w:line="480" w:lineRule="auto"/>
        <w:ind w:left="720" w:hanging="720"/>
        <w:jc w:val="center"/>
        <w:rPr>
          <w:rFonts w:ascii="Times New Roman" w:hAnsi="Times New Roman" w:cs="Times New Roman"/>
        </w:rPr>
      </w:pPr>
    </w:p>
    <w:p w14:paraId="2A35468F" w14:textId="780A54D6" w:rsidR="002B79A0" w:rsidRPr="00B52428" w:rsidRDefault="00B52428" w:rsidP="00B52428">
      <w:pPr>
        <w:spacing w:line="480" w:lineRule="auto"/>
        <w:ind w:left="720" w:hanging="720"/>
        <w:jc w:val="center"/>
        <w:rPr>
          <w:rFonts w:ascii="Times New Roman" w:hAnsi="Times New Roman" w:cs="Times New Roman"/>
          <w:b/>
          <w:bCs/>
          <w:i/>
          <w:iCs/>
        </w:rPr>
      </w:pPr>
      <w:r>
        <w:rPr>
          <w:rFonts w:ascii="Times New Roman" w:hAnsi="Times New Roman" w:cs="Times New Roman"/>
          <w:b/>
          <w:bCs/>
          <w:i/>
          <w:iCs/>
        </w:rPr>
        <w:t>‘</w:t>
      </w:r>
      <w:r w:rsidRPr="00B52428">
        <w:rPr>
          <w:rFonts w:ascii="Times New Roman" w:hAnsi="Times New Roman" w:cs="Times New Roman"/>
          <w:b/>
          <w:bCs/>
          <w:i/>
          <w:iCs/>
        </w:rPr>
        <w:t>How do Year 6 Pupils and Teachers Perceive the Impact of Mindfulness and Wellbeing Practices on Pupil Regulation, Academic Engagement, and Mental Health</w:t>
      </w:r>
      <w:r>
        <w:rPr>
          <w:rFonts w:ascii="Times New Roman" w:hAnsi="Times New Roman" w:cs="Times New Roman"/>
          <w:b/>
          <w:bCs/>
          <w:i/>
          <w:iCs/>
        </w:rPr>
        <w:t>’</w:t>
      </w:r>
    </w:p>
    <w:p w14:paraId="601355AE" w14:textId="77777777" w:rsidR="00B52428" w:rsidRDefault="00B52428" w:rsidP="00B52428">
      <w:pPr>
        <w:spacing w:line="480" w:lineRule="auto"/>
        <w:ind w:left="720" w:hanging="720"/>
        <w:jc w:val="center"/>
        <w:rPr>
          <w:rFonts w:ascii="Times New Roman" w:hAnsi="Times New Roman" w:cs="Times New Roman"/>
        </w:rPr>
      </w:pPr>
    </w:p>
    <w:p w14:paraId="639F68BB" w14:textId="77777777" w:rsidR="00B52428" w:rsidRDefault="00B52428" w:rsidP="00B52428">
      <w:pPr>
        <w:spacing w:line="480" w:lineRule="auto"/>
        <w:ind w:left="720" w:hanging="720"/>
        <w:jc w:val="center"/>
        <w:rPr>
          <w:rFonts w:ascii="Times New Roman" w:hAnsi="Times New Roman" w:cs="Times New Roman"/>
        </w:rPr>
      </w:pPr>
    </w:p>
    <w:p w14:paraId="2C4F04F8" w14:textId="77777777" w:rsidR="00B52428" w:rsidRDefault="00B52428" w:rsidP="00B52428">
      <w:pPr>
        <w:spacing w:line="480" w:lineRule="auto"/>
        <w:ind w:left="720" w:hanging="720"/>
        <w:jc w:val="center"/>
        <w:rPr>
          <w:rFonts w:ascii="Times New Roman" w:hAnsi="Times New Roman" w:cs="Times New Roman"/>
        </w:rPr>
      </w:pPr>
    </w:p>
    <w:p w14:paraId="3816D340" w14:textId="17E24586" w:rsidR="00B52428" w:rsidRPr="00B52428" w:rsidRDefault="00B52428" w:rsidP="00B52428">
      <w:pPr>
        <w:spacing w:line="480" w:lineRule="auto"/>
        <w:ind w:left="720" w:hanging="720"/>
        <w:jc w:val="center"/>
        <w:rPr>
          <w:rFonts w:ascii="Times New Roman" w:hAnsi="Times New Roman" w:cs="Times New Roman"/>
          <w:b/>
          <w:bCs/>
        </w:rPr>
      </w:pPr>
      <w:r w:rsidRPr="00B52428">
        <w:rPr>
          <w:rFonts w:ascii="Times New Roman" w:hAnsi="Times New Roman" w:cs="Times New Roman"/>
          <w:b/>
          <w:bCs/>
        </w:rPr>
        <w:t xml:space="preserve">Laura Townsend </w:t>
      </w:r>
    </w:p>
    <w:p w14:paraId="1B5BCFAE" w14:textId="2BB4D771" w:rsidR="00B52428" w:rsidRPr="00B52428" w:rsidRDefault="00B52428" w:rsidP="00B52428">
      <w:pPr>
        <w:spacing w:line="480" w:lineRule="auto"/>
        <w:ind w:left="720" w:hanging="720"/>
        <w:jc w:val="center"/>
        <w:rPr>
          <w:rFonts w:ascii="Times New Roman" w:hAnsi="Times New Roman" w:cs="Times New Roman"/>
          <w:b/>
          <w:bCs/>
        </w:rPr>
      </w:pPr>
      <w:r w:rsidRPr="00B52428">
        <w:rPr>
          <w:rFonts w:ascii="Times New Roman" w:hAnsi="Times New Roman" w:cs="Times New Roman"/>
          <w:b/>
          <w:bCs/>
        </w:rPr>
        <w:t xml:space="preserve">Student Number – 2305843 </w:t>
      </w:r>
    </w:p>
    <w:p w14:paraId="552CA271" w14:textId="64EDA159" w:rsidR="00B52428" w:rsidRPr="00B52428" w:rsidRDefault="00B52428" w:rsidP="00B52428">
      <w:pPr>
        <w:spacing w:line="480" w:lineRule="auto"/>
        <w:ind w:left="720" w:hanging="720"/>
        <w:jc w:val="center"/>
        <w:rPr>
          <w:rFonts w:ascii="Times New Roman" w:hAnsi="Times New Roman" w:cs="Times New Roman"/>
          <w:b/>
          <w:bCs/>
        </w:rPr>
      </w:pPr>
      <w:r w:rsidRPr="00B52428">
        <w:rPr>
          <w:rFonts w:ascii="Times New Roman" w:hAnsi="Times New Roman" w:cs="Times New Roman"/>
          <w:b/>
          <w:bCs/>
        </w:rPr>
        <w:t xml:space="preserve">Word Count - </w:t>
      </w:r>
      <w:r>
        <w:rPr>
          <w:rFonts w:ascii="Times New Roman" w:hAnsi="Times New Roman" w:cs="Times New Roman"/>
          <w:b/>
          <w:bCs/>
        </w:rPr>
        <w:t>4872</w:t>
      </w:r>
    </w:p>
    <w:p w14:paraId="243FF928" w14:textId="77777777" w:rsidR="00B52428" w:rsidRDefault="00B52428" w:rsidP="00B52428">
      <w:pPr>
        <w:spacing w:line="480" w:lineRule="auto"/>
        <w:rPr>
          <w:rFonts w:ascii="Times New Roman" w:hAnsi="Times New Roman" w:cs="Times New Roman"/>
        </w:rPr>
      </w:pPr>
    </w:p>
    <w:p w14:paraId="351CB6CB" w14:textId="77777777" w:rsidR="00B52428" w:rsidRDefault="00B52428" w:rsidP="00B52428">
      <w:pPr>
        <w:spacing w:line="480" w:lineRule="auto"/>
        <w:rPr>
          <w:rFonts w:ascii="Times New Roman" w:hAnsi="Times New Roman" w:cs="Times New Roman"/>
        </w:rPr>
      </w:pPr>
    </w:p>
    <w:p w14:paraId="31BD4D98" w14:textId="77777777" w:rsidR="00B52428" w:rsidRDefault="00B52428" w:rsidP="00B52428">
      <w:pPr>
        <w:spacing w:line="480" w:lineRule="auto"/>
        <w:ind w:left="720" w:hanging="720"/>
        <w:jc w:val="center"/>
        <w:rPr>
          <w:rFonts w:ascii="Times New Roman" w:hAnsi="Times New Roman" w:cs="Times New Roman"/>
        </w:rPr>
      </w:pPr>
    </w:p>
    <w:p w14:paraId="02C2EA3D" w14:textId="77777777" w:rsidR="00B52428" w:rsidRDefault="00B52428" w:rsidP="00B52428">
      <w:pPr>
        <w:spacing w:line="480" w:lineRule="auto"/>
        <w:ind w:left="720" w:hanging="720"/>
        <w:rPr>
          <w:rFonts w:ascii="Times New Roman" w:hAnsi="Times New Roman" w:cs="Times New Roman"/>
        </w:rPr>
      </w:pPr>
    </w:p>
    <w:p w14:paraId="33473264" w14:textId="77777777" w:rsidR="00B52428" w:rsidRDefault="00B52428" w:rsidP="00B52428">
      <w:pPr>
        <w:spacing w:line="480" w:lineRule="auto"/>
        <w:ind w:left="720" w:hanging="720"/>
        <w:rPr>
          <w:rFonts w:ascii="Times New Roman" w:hAnsi="Times New Roman" w:cs="Times New Roman"/>
        </w:rPr>
      </w:pPr>
    </w:p>
    <w:p w14:paraId="2ADF2F2B" w14:textId="254D7D96" w:rsidR="00B52428" w:rsidRDefault="00B52428" w:rsidP="00B52428">
      <w:pPr>
        <w:spacing w:line="480" w:lineRule="auto"/>
        <w:ind w:left="720" w:hanging="720"/>
        <w:rPr>
          <w:rFonts w:ascii="Times New Roman" w:hAnsi="Times New Roman" w:cs="Times New Roman"/>
          <w:b/>
          <w:bCs/>
        </w:rPr>
      </w:pPr>
      <w:r>
        <w:rPr>
          <w:rFonts w:ascii="Times New Roman" w:hAnsi="Times New Roman" w:cs="Times New Roman"/>
          <w:b/>
          <w:bCs/>
        </w:rPr>
        <w:lastRenderedPageBreak/>
        <w:t>Research Context</w:t>
      </w:r>
    </w:p>
    <w:p w14:paraId="4ED23096" w14:textId="0AA29968"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research question, ‘How do Year 6 Pupils and Teachers Perceive the Impact of Mindfulness and Well-Being Practices on Pupil Regulation, Academic Engagement, and Mental Health?’ is not just a query but a crucial investigation into students' and educators’ subjective experiences and perspectives. It delves into the effectiveness of mindfulness and well-being interventions in enhancing student well-being and academic engagement, a topic of utmost importance in the current educational landscape. </w:t>
      </w:r>
    </w:p>
    <w:p w14:paraId="4F597086" w14:textId="77777777" w:rsidR="00B52428" w:rsidRDefault="00B52428" w:rsidP="00B52428">
      <w:pPr>
        <w:spacing w:line="480" w:lineRule="auto"/>
        <w:ind w:left="720" w:hanging="720"/>
        <w:jc w:val="both"/>
        <w:rPr>
          <w:rFonts w:ascii="Times New Roman" w:hAnsi="Times New Roman" w:cs="Times New Roman"/>
        </w:rPr>
      </w:pPr>
    </w:p>
    <w:p w14:paraId="772E16E1" w14:textId="70192601"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This research explores the perceptions of Year 6 pupils and teachers regarding the impact of mindfulness and well-being practices on pupil regulation, academic engagement, and mental health within the context of ‘School B’ and the Welsh educational system. The research seeks to understand how these practices are perceived to influence various aspects of students’ well-being and academic performance in the context of ‘School B’. Previous research has highlighted the importance of nurturing mindfulness in children and youth to promote their well-being, in line with the principles of the Welsh Curriculum (Greenberg &amp; Harris, 2012; Welsh Government, 2015), and the efficacy of mindfulness-based programs in preventing depressive relapse (Kuyken et al., 2016). </w:t>
      </w:r>
    </w:p>
    <w:p w14:paraId="58D06C05" w14:textId="77777777" w:rsidR="00B52428" w:rsidRDefault="00B52428" w:rsidP="00B52428">
      <w:pPr>
        <w:spacing w:line="480" w:lineRule="auto"/>
        <w:ind w:left="720" w:hanging="720"/>
        <w:jc w:val="both"/>
        <w:rPr>
          <w:rFonts w:ascii="Times New Roman" w:hAnsi="Times New Roman" w:cs="Times New Roman"/>
        </w:rPr>
      </w:pPr>
    </w:p>
    <w:p w14:paraId="710545D2" w14:textId="461ACE71"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research question emerged from recognising the increasing importance of addressing mental health and well-being concerns among primary school-aged children, a priority highlighted within the Welsh curriculum framework. As an educator, I am interested in understanding the potential efficiency of mindfulness and well-being practices in addressing these concerns and enhancing student outcomes in alignment with the goals set forth by the Welsh Government for education in Wales. This research is directly </w:t>
      </w:r>
      <w:r>
        <w:rPr>
          <w:rFonts w:ascii="Times New Roman" w:hAnsi="Times New Roman" w:cs="Times New Roman"/>
        </w:rPr>
        <w:lastRenderedPageBreak/>
        <w:t xml:space="preserve">linked to my Professional Learning Plan (PLP), which emphasises developing and implementing evidence-based interventions to support student well-being and academic success by the Welsh curriculum standards. Furthermore, reviewing the evidence and policy context surrounding mindfulness with children and young people has underscored its potential benefits in educational settings (Weare, 2013).  </w:t>
      </w:r>
    </w:p>
    <w:p w14:paraId="2F037BEA" w14:textId="77777777" w:rsidR="00B52428" w:rsidRDefault="00B52428" w:rsidP="00B52428">
      <w:pPr>
        <w:spacing w:line="480" w:lineRule="auto"/>
        <w:ind w:left="720" w:hanging="720"/>
        <w:jc w:val="both"/>
        <w:rPr>
          <w:rFonts w:ascii="Times New Roman" w:hAnsi="Times New Roman" w:cs="Times New Roman"/>
        </w:rPr>
      </w:pPr>
    </w:p>
    <w:p w14:paraId="0A76A092" w14:textId="4CC56530"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‘School B’ provides the backdrop for this research. It serves as a microcosm of the broader educational landscape, grappling with the challenges of promoting student well-being amidst academic pressures. Within this context, the Year 6 class represents a crucial stage in students’ educational journey, marked by transitions and increasing academic demands. The effects of a mindfulness-based education program on pre and early adolescents’ well-being and social and emotional competence have been studied extensively (Schonert-Reichl &amp; Lawlor, 2010), providing valuable insights into the potential benefits of integrating mindfulness and well-being practices in educational settings. </w:t>
      </w:r>
    </w:p>
    <w:p w14:paraId="58B87B55" w14:textId="77777777" w:rsidR="00B52428" w:rsidRDefault="00B52428" w:rsidP="00B52428">
      <w:pPr>
        <w:spacing w:line="480" w:lineRule="auto"/>
        <w:ind w:left="720" w:hanging="720"/>
        <w:jc w:val="both"/>
        <w:rPr>
          <w:rFonts w:ascii="Times New Roman" w:hAnsi="Times New Roman" w:cs="Times New Roman"/>
        </w:rPr>
      </w:pPr>
    </w:p>
    <w:p w14:paraId="630B96BC" w14:textId="6E7AE4DB" w:rsidR="00B52428" w:rsidRDefault="00B52428" w:rsidP="00B52428">
      <w:pPr>
        <w:spacing w:line="480" w:lineRule="auto"/>
        <w:ind w:left="720" w:hanging="720"/>
        <w:jc w:val="both"/>
        <w:rPr>
          <w:rFonts w:ascii="Times New Roman" w:hAnsi="Times New Roman" w:cs="Times New Roman"/>
          <w:b/>
          <w:bCs/>
        </w:rPr>
      </w:pPr>
      <w:r w:rsidRPr="00B52428">
        <w:rPr>
          <w:rFonts w:ascii="Times New Roman" w:hAnsi="Times New Roman" w:cs="Times New Roman"/>
          <w:b/>
          <w:bCs/>
        </w:rPr>
        <w:t xml:space="preserve">Literature Review </w:t>
      </w:r>
    </w:p>
    <w:p w14:paraId="478DC309" w14:textId="3B0CBD4D"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The literature surrounding mindfulness and well</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being practices in educational settings, including those in Wales, has experienced substantial growth in recent years. Reflecting an increasing interest in addressing student well-being alongside academic achievement, numerous studies have delved into various facets of mindfulness interventions, investigating their impact on student well-being, educational engagement, and mental health. Additionally, research has scrutini</w:t>
      </w:r>
      <w:r>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ed the perceptions of both students and teachers regarding the efficacy of these practices.</w:t>
      </w:r>
    </w:p>
    <w:p w14:paraId="336BC499" w14:textId="77777777" w:rsidR="00B52428" w:rsidRDefault="00B52428" w:rsidP="00B52428">
      <w:pPr>
        <w:spacing w:line="480" w:lineRule="auto"/>
        <w:jc w:val="both"/>
        <w:rPr>
          <w:rFonts w:ascii="Times New Roman" w:hAnsi="Times New Roman" w:cs="Times New Roman"/>
        </w:rPr>
      </w:pPr>
    </w:p>
    <w:p w14:paraId="0A8E6274" w14:textId="5018FD3F"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lastRenderedPageBreak/>
        <w:t>Implementation and Integration into Teaching</w:t>
      </w:r>
    </w:p>
    <w:p w14:paraId="5B3AB184" w14:textId="7EADF7B2"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Mindfulness can be integrated into teaching through various stages, including dedicated mindfulness sessions, embedding mindfulness principles into classroom routines, and incorporating mindfulness into existing curriculum subjects (Zenner et al., 2014). Collaboration among staff members is crucial for sharing best practices and ensuring consistent implementation across classrooms (Jennings et al., 2013). </w:t>
      </w:r>
    </w:p>
    <w:p w14:paraId="578BB2BA" w14:textId="77777777" w:rsidR="00B52428" w:rsidRDefault="00B52428" w:rsidP="00B52428">
      <w:pPr>
        <w:spacing w:line="480" w:lineRule="auto"/>
        <w:ind w:left="720" w:hanging="720"/>
        <w:jc w:val="both"/>
        <w:rPr>
          <w:rFonts w:ascii="Times New Roman" w:hAnsi="Times New Roman" w:cs="Times New Roman"/>
        </w:rPr>
      </w:pPr>
    </w:p>
    <w:p w14:paraId="645070FD" w14:textId="0CAFB3B2"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Furthermore, ‘School B’ </w:t>
      </w:r>
      <w:r>
        <w:rPr>
          <w:rFonts w:ascii="Times New Roman" w:hAnsi="Times New Roman" w:cs="Times New Roman"/>
          <w:color w:val="0D0D0D"/>
          <w:shd w:val="clear" w:color="auto" w:fill="FFFFFF"/>
        </w:rPr>
        <w:t>effectively</w:t>
      </w:r>
      <w:r>
        <w:rPr>
          <w:rFonts w:ascii="Times New Roman" w:hAnsi="Times New Roman" w:cs="Times New Roman"/>
          <w:color w:val="0D0D0D"/>
          <w:shd w:val="clear" w:color="auto" w:fill="FFFFFF"/>
        </w:rPr>
        <w:t xml:space="preserve"> </w:t>
      </w:r>
      <w:r>
        <w:rPr>
          <w:rFonts w:ascii="Times New Roman" w:hAnsi="Times New Roman" w:cs="Times New Roman"/>
          <w:color w:val="0D0D0D"/>
          <w:shd w:val="clear" w:color="auto" w:fill="FFFFFF"/>
        </w:rPr>
        <w:t>supports</w:t>
      </w:r>
      <w:r>
        <w:rPr>
          <w:rFonts w:ascii="Times New Roman" w:hAnsi="Times New Roman" w:cs="Times New Roman"/>
          <w:color w:val="0D0D0D"/>
          <w:shd w:val="clear" w:color="auto" w:fill="FFFFFF"/>
        </w:rPr>
        <w:t xml:space="preserve"> pupils with additional learning and social-emotional needs. Staff promptly identify these needs and collaborate with the ALNCo to implement tailored interventions, ensuring that nearly all pupils make good progress from their starting points (ESTYN, 2024). This aligns with research emphasising the importance of early identification and targeted support for students with diverse needs (Gregory &amp; Chapman, 2013; Lane et al., 2007). </w:t>
      </w:r>
    </w:p>
    <w:p w14:paraId="4E55DE16" w14:textId="4B8D7B38"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The school's proactive approach to promoting social and emotional well-being is evident through robust tracking mechanisms and support for students' emotional needs. Teachers actively monitor students’ well-being and provide support as needed, creating a safe and supportive learning environment conducive to academic success (Durlak et al</w:t>
      </w:r>
      <w:r>
        <w:rPr>
          <w:rFonts w:ascii="Times New Roman" w:hAnsi="Times New Roman" w:cs="Times New Roman"/>
          <w:color w:val="0D0D0D"/>
          <w:shd w:val="clear" w:color="auto" w:fill="FFFFFF"/>
        </w:rPr>
        <w:t>.</w:t>
      </w:r>
      <w:r>
        <w:rPr>
          <w:rFonts w:ascii="Times New Roman" w:hAnsi="Times New Roman" w:cs="Times New Roman"/>
          <w:color w:val="0D0D0D"/>
          <w:shd w:val="clear" w:color="auto" w:fill="FFFFFF"/>
        </w:rPr>
        <w:t xml:space="preserve">, 2011; Zins et al., 2004). </w:t>
      </w:r>
    </w:p>
    <w:p w14:paraId="435A908B" w14:textId="2692F6D7"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Moreover, ‘School B’ effectively supports students’ spiritual, moral, social, and cultural development through diverse learning experiences. The school provides opportunities for students to learn about diversity, engage in creative expression, and thoughtfully explore values and beliefs (ESTN, 2024). This holistic approach aligns with the principles of holistic education, which emphasi</w:t>
      </w:r>
      <w:r>
        <w:rPr>
          <w:rFonts w:ascii="Times New Roman" w:hAnsi="Times New Roman" w:cs="Times New Roman"/>
          <w:color w:val="0D0D0D"/>
          <w:shd w:val="clear" w:color="auto" w:fill="FFFFFF"/>
        </w:rPr>
        <w:t>s</w:t>
      </w:r>
      <w:r>
        <w:rPr>
          <w:rFonts w:ascii="Times New Roman" w:hAnsi="Times New Roman" w:cs="Times New Roman"/>
          <w:color w:val="0D0D0D"/>
          <w:shd w:val="clear" w:color="auto" w:fill="FFFFFF"/>
        </w:rPr>
        <w:t xml:space="preserve">e the development of the whole child, indicating their moral and ethical understanding (Miller &amp; Seller, 2019; Noddings, 2013). </w:t>
      </w:r>
    </w:p>
    <w:p w14:paraId="3256BABB"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36A28C1F" w14:textId="0A7D309B"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Assessing the effectiveness of mindfulness activities requires ongoing evaluation and collaboration between staff members (Felver et al., 2016). </w:t>
      </w:r>
      <w:r>
        <w:rPr>
          <w:rFonts w:ascii="Times New Roman" w:hAnsi="Times New Roman" w:cs="Times New Roman"/>
        </w:rPr>
        <w:t>They provide</w:t>
      </w:r>
      <w:r>
        <w:rPr>
          <w:rFonts w:ascii="Times New Roman" w:hAnsi="Times New Roman" w:cs="Times New Roman"/>
        </w:rPr>
        <w:t xml:space="preserve"> teacher training and support in integrating mindfulness into their teaching practice (Jennings et al., 2013). Providing teacher training and support in implementing mindfulness practices is essential for ensuring the fidelity and sustainability of these interventions (Mendelson et al., 2010). Collaboration among staff members is crucial for sharing best practices and ensuring consistent implementation across classrooms (Jennings et al., 2013). </w:t>
      </w:r>
    </w:p>
    <w:p w14:paraId="5B48A477" w14:textId="77777777" w:rsidR="00B52428" w:rsidRDefault="00B52428" w:rsidP="00B52428">
      <w:pPr>
        <w:spacing w:line="480" w:lineRule="auto"/>
        <w:ind w:left="720" w:hanging="720"/>
        <w:jc w:val="both"/>
        <w:rPr>
          <w:rFonts w:ascii="Times New Roman" w:hAnsi="Times New Roman" w:cs="Times New Roman"/>
        </w:rPr>
      </w:pPr>
    </w:p>
    <w:p w14:paraId="4A7DCFAC" w14:textId="2156065B"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Implementing mindfulness activities may be challenging due to limited resources, time constraints, resistance from staff or parents, and the need for ongoing support and professional development (Felver et al., 2016). Addressing these challenges requires a whole-school approach and commitment from school leadership (Jennings et al., 2013). However, by leveraging collaborative approaches and aligning with government initiatives, schools can overcome these challenges and create supportive environments conducive to </w:t>
      </w:r>
      <w:r>
        <w:rPr>
          <w:rFonts w:ascii="Times New Roman" w:hAnsi="Times New Roman" w:cs="Times New Roman"/>
        </w:rPr>
        <w:t>students’</w:t>
      </w:r>
      <w:r>
        <w:rPr>
          <w:rFonts w:ascii="Times New Roman" w:hAnsi="Times New Roman" w:cs="Times New Roman"/>
        </w:rPr>
        <w:t xml:space="preserve"> flourishment. </w:t>
      </w:r>
    </w:p>
    <w:p w14:paraId="07C4676C" w14:textId="77777777" w:rsidR="00B52428" w:rsidRDefault="00B52428" w:rsidP="00B52428">
      <w:pPr>
        <w:spacing w:line="480" w:lineRule="auto"/>
        <w:ind w:left="720" w:hanging="720"/>
        <w:jc w:val="both"/>
        <w:rPr>
          <w:rFonts w:ascii="Times New Roman" w:hAnsi="Times New Roman" w:cs="Times New Roman"/>
        </w:rPr>
      </w:pPr>
    </w:p>
    <w:p w14:paraId="2F07E116" w14:textId="152D7157"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 xml:space="preserve">Children’s Response and Observed Changes in Behaviours </w:t>
      </w:r>
    </w:p>
    <w:p w14:paraId="60BAA437" w14:textId="2F87AA50"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Mindfulness activities have garnered attention for their potential to enhance children’s well-being by fostering emotional regulation, stress reduction, and improved concentration (Greenberg &amp; Harris, 2012). However, implementing mindfulness practices in schools presents variability in frequency and duration, with some advocating for daily sessions while others emphasise integration into daily routines (Felver et al., 2016). </w:t>
      </w:r>
    </w:p>
    <w:p w14:paraId="225BB347"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25948407" w14:textId="5B6410C8"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lastRenderedPageBreak/>
        <w:t xml:space="preserve">Engaging children in mindfulness activities is essential to making them enjoyable and </w:t>
      </w:r>
      <w:r>
        <w:rPr>
          <w:rFonts w:ascii="Times New Roman" w:hAnsi="Times New Roman" w:cs="Times New Roman"/>
        </w:rPr>
        <w:t>age-appropriate</w:t>
      </w:r>
      <w:r>
        <w:rPr>
          <w:rFonts w:ascii="Times New Roman" w:hAnsi="Times New Roman" w:cs="Times New Roman"/>
        </w:rPr>
        <w:t xml:space="preserve">. Playing, creativity, and storytelling can enhance children’s participation and enjoyment (Conner &amp; White, 2018). Additionally, providing opportunities for movement and sensory experiences can further engage children in mindfulness practices. </w:t>
      </w:r>
      <w:r>
        <w:rPr>
          <w:rFonts w:ascii="Times New Roman" w:hAnsi="Times New Roman" w:cs="Times New Roman"/>
        </w:rPr>
        <w:t xml:space="preserve">Additionally, ‘School B’ promotes healthy living and physical activity through various initiatives, including active transportation and participation in school tournaments. Research suggests that promoting physical activity improves student well-being and academic performance (CDC, 2010; Hillman et al., 2008). </w:t>
      </w:r>
    </w:p>
    <w:p w14:paraId="0F0D06B5" w14:textId="77777777" w:rsidR="00B52428" w:rsidRDefault="00B52428" w:rsidP="00B52428">
      <w:pPr>
        <w:spacing w:line="480" w:lineRule="auto"/>
        <w:ind w:left="720" w:hanging="720"/>
        <w:jc w:val="both"/>
        <w:rPr>
          <w:rFonts w:ascii="Times New Roman" w:hAnsi="Times New Roman" w:cs="Times New Roman"/>
        </w:rPr>
      </w:pPr>
    </w:p>
    <w:p w14:paraId="0318DCAF" w14:textId="7CCC19DF"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Children’s response to mindfulness activities varies, but many report feeling calmer, more focused, and better able to manage their emotions after engaging in mindfulness practices (Mendelson et al., 2010). Teachers often observe improvements in behaviour, such as reduced impulsivity and increased empathy, among students who regularly practice mindfulness (Felver et al., 2016). However, resistance from staff or parents may hinder the adoption of mindfulness practices in schools (Felver et al., 2016). </w:t>
      </w:r>
    </w:p>
    <w:p w14:paraId="6CB3A8C6" w14:textId="77777777" w:rsidR="00B52428" w:rsidRDefault="00B52428" w:rsidP="00B52428">
      <w:pPr>
        <w:spacing w:line="480" w:lineRule="auto"/>
        <w:ind w:left="720" w:hanging="720"/>
        <w:jc w:val="both"/>
        <w:rPr>
          <w:rFonts w:ascii="Times New Roman" w:hAnsi="Times New Roman" w:cs="Times New Roman"/>
        </w:rPr>
      </w:pPr>
    </w:p>
    <w:p w14:paraId="220C9860" w14:textId="77777777" w:rsidR="00B52428" w:rsidRPr="00B52428" w:rsidRDefault="00B52428" w:rsidP="00B52428">
      <w:pPr>
        <w:spacing w:line="480" w:lineRule="auto"/>
        <w:ind w:left="720" w:hanging="720"/>
        <w:jc w:val="both"/>
        <w:rPr>
          <w:rFonts w:ascii="Times New Roman" w:hAnsi="Times New Roman" w:cs="Times New Roman"/>
        </w:rPr>
      </w:pPr>
      <w:r w:rsidRPr="00B52428">
        <w:rPr>
          <w:rFonts w:ascii="Times New Roman" w:hAnsi="Times New Roman" w:cs="Times New Roman"/>
          <w:color w:val="0D0D0D"/>
          <w:shd w:val="clear" w:color="auto" w:fill="FFFFFF"/>
        </w:rPr>
        <w:t>Education theorists such as Piaget and Bronfenbrenner furnish valuable insights into child development and the ecological influences on learning. Piaget's theory of cognitive development delineates the evolving cognitive abilities of children, thereby informing the design of age-appropriate mindfulness practices (Piaget, 1952). Similarly, Bronfenbrenner's ecological systems theory underscores the broader environmental factors shaping child development, stressing the significance of considering contextual influences in implementing mindfulness interventions (Bronfenbrenner, 1979).</w:t>
      </w:r>
    </w:p>
    <w:p w14:paraId="2FA859D1" w14:textId="6CD73BC2"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Synthesi</w:t>
      </w:r>
      <w:r>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 xml:space="preserve">ing findings from these theorists, educators can tailor interventions that target specific aspects of student well-being and academic performance. Moreover, aligning with </w:t>
      </w:r>
      <w:r w:rsidRPr="00B52428">
        <w:rPr>
          <w:rFonts w:ascii="Times New Roman" w:hAnsi="Times New Roman" w:cs="Times New Roman"/>
          <w:color w:val="0D0D0D"/>
          <w:shd w:val="clear" w:color="auto" w:fill="FFFFFF"/>
        </w:rPr>
        <w:lastRenderedPageBreak/>
        <w:t>government initiatives, such as the Health and Well-being Area of Learning and Experience (AoLE) in the Curriculum for Wales, underscores the importance of integrating mindfulness practices into the educational curriculum to support student flourishing.</w:t>
      </w:r>
    </w:p>
    <w:p w14:paraId="1463731B"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148BD72D" w14:textId="4D6702DE"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 xml:space="preserve">Pupil Regulation, Academic Engagement, and Mental Health </w:t>
      </w:r>
    </w:p>
    <w:p w14:paraId="56DA7ADC" w14:textId="6EF41335"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Mindfulness practices have been shown to support pupil regulation by promoting self-awareness and emotional regulation skills (Schonert-Reichl &amp; Lawlor, 2010). Theorists such as (Durlak et al. 2011) suggest that interventions focusing on social-emotional learning, including mindfulness, can enhance students’ ability to regulate their emotions and behaviours, leading to improved classroom behaviour and academic performance. </w:t>
      </w:r>
    </w:p>
    <w:p w14:paraId="4E32FBD1" w14:textId="77777777" w:rsidR="00B52428" w:rsidRDefault="00B52428" w:rsidP="00B52428">
      <w:pPr>
        <w:spacing w:line="480" w:lineRule="auto"/>
        <w:ind w:left="720" w:hanging="720"/>
        <w:jc w:val="both"/>
        <w:rPr>
          <w:rFonts w:ascii="Times New Roman" w:hAnsi="Times New Roman" w:cs="Times New Roman"/>
        </w:rPr>
      </w:pPr>
    </w:p>
    <w:p w14:paraId="59C21B8D" w14:textId="6DCBDBCF"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The ESTYN report on ‘School B’ provides valuable insights into the school’s commitment to supporting student well-being and holistic development. The school’s strong identity as ‘… Stars’ foster a sense of belonging among students, positively influencing attendance and overall school experiences (ESTYN, 2024). This emphasis on school identity aligns with research indicating that a positive school climate and sense of belonging contribute to improved academic outcomes and student well-being (Goodenow, 1993; Roeser et al., 1996). </w:t>
      </w:r>
    </w:p>
    <w:p w14:paraId="5621E30F"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31A9DF77" w14:textId="7DC9FDD7"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Moreover, research indicates that mindfulness practices can enhance academic engagement by improving attention and focus (Greenberg &amp; Harris, 2012). Zimmerman's theory (2000) emphasises the importance of self-regulation in academic engagement, suggesting that </w:t>
      </w:r>
      <w:r>
        <w:rPr>
          <w:rFonts w:ascii="Times New Roman" w:hAnsi="Times New Roman" w:cs="Times New Roman"/>
        </w:rPr>
        <w:lastRenderedPageBreak/>
        <w:t xml:space="preserve">mindfulness skills may help students regulate their attention and focus on learning tasks. </w:t>
      </w:r>
    </w:p>
    <w:p w14:paraId="4D0CA462" w14:textId="255FDFB2"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Furthermore, mindfulness skills have been linked to improvements in mental health outcomes, including reduced symptoms of anxiety and depression (Kuyken et al., 2016). The Welsh Government recognises the importance of supporting student mental health and well-being in schools, emphasising promoting mental health literacy and resilience-building strategies, including mindfulness practices (Welsh Government, 2015). </w:t>
      </w:r>
    </w:p>
    <w:p w14:paraId="48755D9A" w14:textId="4416078B"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While research suggests that mindfulness activities can positively impact academic performance by improving attention and cognitive functioning, more studies are needed to understand the long-term effects on educational outcomes (Felver et al., 2016). The theorists of (Durlak et al. 2011) and (Zimmerman 2000) provide frameworks for understanding the impact of mindfulness practices on pupil regulation and academic engagement. </w:t>
      </w:r>
    </w:p>
    <w:p w14:paraId="5D5BF565" w14:textId="77777777" w:rsidR="00B52428" w:rsidRDefault="00B52428" w:rsidP="00B52428">
      <w:pPr>
        <w:spacing w:line="480" w:lineRule="auto"/>
        <w:jc w:val="both"/>
        <w:rPr>
          <w:rFonts w:ascii="Times New Roman" w:hAnsi="Times New Roman" w:cs="Times New Roman"/>
        </w:rPr>
      </w:pPr>
    </w:p>
    <w:p w14:paraId="2B424289" w14:textId="270A59CA"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literature review comprehensively explores mindfulness and well-being practices in educational settings, emphasising their implementation, effectiveness, and impact on student outcomes. Key themes include integrating mindfulness into teaching through strategies like dedicated sessions and staff collaboration despite challenges like resource limitations and resistance. Children's varying responses to mindfulness activities highlight the need for engaging, age-appropriate approaches. </w:t>
      </w:r>
    </w:p>
    <w:p w14:paraId="524F84D3" w14:textId="7F7E48EF"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Additionally, the research underscores the potential of mindfulness to enhance pupil regulation, academic achievement, and mental health, aligning with the Welsh government initiatives to promote student well-being. Incorporating insights from educational theorists enriches our understanding, emphasising the need for further research to address implementation challenges and deepen our understanding of long-term effects. </w:t>
      </w:r>
      <w:r>
        <w:rPr>
          <w:rFonts w:ascii="Times New Roman" w:hAnsi="Times New Roman" w:cs="Times New Roman"/>
        </w:rPr>
        <w:lastRenderedPageBreak/>
        <w:t xml:space="preserve">By leveraging evidence-based strategies and government support, schools can foster supportive environments for student flourishment. </w:t>
      </w:r>
    </w:p>
    <w:p w14:paraId="643CDC05" w14:textId="77777777" w:rsidR="00B52428" w:rsidRDefault="00B52428" w:rsidP="00B52428">
      <w:pPr>
        <w:spacing w:line="480" w:lineRule="auto"/>
        <w:ind w:left="720" w:hanging="720"/>
        <w:jc w:val="both"/>
        <w:rPr>
          <w:rFonts w:ascii="Times New Roman" w:hAnsi="Times New Roman" w:cs="Times New Roman"/>
        </w:rPr>
      </w:pPr>
    </w:p>
    <w:p w14:paraId="3B5D200E" w14:textId="25B5FB22" w:rsidR="00B52428" w:rsidRDefault="00B52428" w:rsidP="00B52428">
      <w:pPr>
        <w:spacing w:line="480" w:lineRule="auto"/>
        <w:ind w:left="720" w:hanging="720"/>
        <w:jc w:val="both"/>
        <w:rPr>
          <w:rFonts w:ascii="Times New Roman" w:hAnsi="Times New Roman" w:cs="Times New Roman"/>
          <w:b/>
          <w:bCs/>
        </w:rPr>
      </w:pPr>
      <w:r>
        <w:rPr>
          <w:rFonts w:ascii="Times New Roman" w:hAnsi="Times New Roman" w:cs="Times New Roman"/>
          <w:b/>
          <w:bCs/>
        </w:rPr>
        <w:t xml:space="preserve">Explanation of Case Study </w:t>
      </w:r>
    </w:p>
    <w:p w14:paraId="6D18FA95" w14:textId="503DC00C"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Case study research is a qualitative method used to explore complex phenomena within their real-life contexts. It involves an in-depth examination of a single case or multiple cases to gain a detailed understanding of the subject under investigation (Yin, 2018). </w:t>
      </w:r>
      <w:r>
        <w:rPr>
          <w:rFonts w:ascii="Times New Roman" w:hAnsi="Times New Roman" w:cs="Times New Roman"/>
        </w:rPr>
        <w:t xml:space="preserve">One of the primary </w:t>
      </w:r>
      <w:r>
        <w:rPr>
          <w:rFonts w:ascii="Times New Roman" w:hAnsi="Times New Roman" w:cs="Times New Roman"/>
        </w:rPr>
        <w:t>reason</w:t>
      </w:r>
      <w:r>
        <w:rPr>
          <w:rFonts w:ascii="Times New Roman" w:hAnsi="Times New Roman" w:cs="Times New Roman"/>
        </w:rPr>
        <w:t xml:space="preserve">s </w:t>
      </w:r>
      <w:r>
        <w:rPr>
          <w:rFonts w:ascii="Times New Roman" w:hAnsi="Times New Roman" w:cs="Times New Roman"/>
        </w:rPr>
        <w:t>for</w:t>
      </w:r>
      <w:r>
        <w:rPr>
          <w:rFonts w:ascii="Times New Roman" w:hAnsi="Times New Roman" w:cs="Times New Roman"/>
        </w:rPr>
        <w:t xml:space="preserve"> using a case study approach is to provide rich, detailed insights into the dynamics of a specific phenomenon within its natural setting (Stake, 1955). By focusing on a single case or a small number of cases, researchers can delve deeply into the context, processes, and outcomes associated with the phenomenon of interest (Yin, 2018). </w:t>
      </w:r>
      <w:r>
        <w:rPr>
          <w:rFonts w:ascii="Times New Roman" w:hAnsi="Times New Roman" w:cs="Times New Roman"/>
        </w:rPr>
        <w:t xml:space="preserve">This study employs a case study approach to investigate the impact of mindfulness and well-being practices on pupil regulation, academic engagement, and mental health among Year 6 pupils and teachers at ‘School B’. </w:t>
      </w:r>
    </w:p>
    <w:p w14:paraId="5516B6BB" w14:textId="721F8BA5"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Furthermore, case study research is particularly well-suited for investigating complex, multifaceted phenomena that cannot be adequately captured through quantitative methods alone (Baxter &amp; Jack, 2008). It allows researchers to capture the intricacies and nuances of human experiences, perceptions, and interactions in their natural environment (Yin, 2018). </w:t>
      </w:r>
    </w:p>
    <w:p w14:paraId="2905A65D" w14:textId="77777777" w:rsidR="00B52428" w:rsidRDefault="00B52428" w:rsidP="00B52428">
      <w:pPr>
        <w:spacing w:line="480" w:lineRule="auto"/>
        <w:ind w:left="720" w:hanging="720"/>
        <w:jc w:val="both"/>
        <w:rPr>
          <w:rFonts w:ascii="Times New Roman" w:hAnsi="Times New Roman" w:cs="Times New Roman"/>
        </w:rPr>
      </w:pPr>
    </w:p>
    <w:p w14:paraId="2848CB95" w14:textId="7C7AA3BF"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Despite its strengths, the researcher had to consider the case study research's limitations. One limitation is the potential need for more generalizability of findings to broader populations or contexts (Yin, 2018). Since case studies typically focus on a specific case or cases, the findings may only apply to other settings or groups with careful consideration of contextual factors. Additionally, case study research can be time-</w:t>
      </w:r>
      <w:r>
        <w:rPr>
          <w:rFonts w:ascii="Times New Roman" w:hAnsi="Times New Roman" w:cs="Times New Roman"/>
        </w:rPr>
        <w:lastRenderedPageBreak/>
        <w:t xml:space="preserve">consuming and resource-intensive, requiring extensive data collection and analysis efforts (Baxter &amp; Jack, 2008). </w:t>
      </w:r>
    </w:p>
    <w:p w14:paraId="739609FF" w14:textId="77777777" w:rsidR="00B52428" w:rsidRDefault="00B52428" w:rsidP="00B52428">
      <w:pPr>
        <w:spacing w:line="480" w:lineRule="auto"/>
        <w:ind w:left="720" w:hanging="720"/>
        <w:jc w:val="both"/>
        <w:rPr>
          <w:rFonts w:ascii="Times New Roman" w:hAnsi="Times New Roman" w:cs="Times New Roman"/>
        </w:rPr>
      </w:pPr>
    </w:p>
    <w:p w14:paraId="4FDC7FB4" w14:textId="104C7F02"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In terms of participants, the case study will involve Year 6 pupils, teachers and ‘School B’s’ health and well-being officer. Year 6 pupils represent a critical stage in their educational journey, characterised by transitions and increasing academic demands. They are particularly relevant for investigating the impact of mindfulness and well-being practices. Teachers and the health and well-being officer play a central role in implementing these practices and observing their effects on students, making their perspectives essential for a comprehensive understanding of the phenomenon. </w:t>
      </w:r>
    </w:p>
    <w:p w14:paraId="029883EC" w14:textId="0E214514"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To ensure a representative sample, purposive sampling will select participants with direct experience with mindfulness and well-being practices at ‘School B’ (Palinkas et al., 2015). This sampling method allows the intentional selection of participants based on their relevance to the research question and objectives. By including a diverse range of participants, including both male and female pupils and teachers from different socio-economic backgrounds, the study aims to capture a comprehensive range of perspectives on the topic. </w:t>
      </w:r>
    </w:p>
    <w:p w14:paraId="0035E659" w14:textId="77777777" w:rsidR="00B52428" w:rsidRDefault="00B52428" w:rsidP="00B52428">
      <w:pPr>
        <w:spacing w:line="480" w:lineRule="auto"/>
        <w:jc w:val="both"/>
        <w:rPr>
          <w:rFonts w:ascii="Times New Roman" w:hAnsi="Times New Roman" w:cs="Times New Roman"/>
        </w:rPr>
      </w:pPr>
    </w:p>
    <w:p w14:paraId="11B8A5AF" w14:textId="1E4F3F74" w:rsidR="00B52428" w:rsidRPr="00B52428" w:rsidRDefault="00B52428" w:rsidP="00B52428">
      <w:pPr>
        <w:spacing w:line="480" w:lineRule="auto"/>
        <w:ind w:left="720" w:hanging="720"/>
        <w:jc w:val="both"/>
        <w:rPr>
          <w:rFonts w:ascii="Times New Roman" w:hAnsi="Times New Roman" w:cs="Times New Roman"/>
          <w:b/>
          <w:bCs/>
        </w:rPr>
      </w:pPr>
      <w:r>
        <w:rPr>
          <w:rFonts w:ascii="Times New Roman" w:hAnsi="Times New Roman" w:cs="Times New Roman"/>
          <w:b/>
          <w:bCs/>
        </w:rPr>
        <w:t xml:space="preserve">Research Methods </w:t>
      </w:r>
    </w:p>
    <w:p w14:paraId="2FE6A22E" w14:textId="77777777"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 xml:space="preserve">Sampling </w:t>
      </w:r>
    </w:p>
    <w:p w14:paraId="15FC2D57" w14:textId="186D3067" w:rsidR="00B52428" w:rsidRP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rPr>
        <w:t xml:space="preserve">Participants in this study include Year 6 pupils, teachers, and the school wellbeing officer from ‘School B’. Purposive sampling selects participants based on their relevance to the research questions and the study's objectives (Creswell &amp; Creswell, 2017). </w:t>
      </w:r>
    </w:p>
    <w:p w14:paraId="066422D3" w14:textId="77777777" w:rsidR="00B52428" w:rsidRP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A convenience sampling approach is used for observations. The researcher observed mindfulness and well-being sessions across different classrooms to capture diverse </w:t>
      </w:r>
      <w:r>
        <w:rPr>
          <w:rFonts w:ascii="Times New Roman" w:hAnsi="Times New Roman" w:cs="Times New Roman"/>
        </w:rPr>
        <w:lastRenderedPageBreak/>
        <w:t xml:space="preserve">experiences. For questionnaires, participants are selected based on their availability and willingness to participate through consent forms for the pupils from parents and guardians and emailed permission from teachers and the wellbeing officer, ensuring a varied representation of perspectives among pupils, teachers, and officers. </w:t>
      </w:r>
    </w:p>
    <w:p w14:paraId="570636E0" w14:textId="77777777" w:rsidR="00B52428" w:rsidRDefault="00B52428" w:rsidP="00B52428">
      <w:pPr>
        <w:spacing w:line="480" w:lineRule="auto"/>
        <w:ind w:left="720" w:hanging="720"/>
        <w:jc w:val="both"/>
        <w:rPr>
          <w:rFonts w:ascii="Times New Roman" w:hAnsi="Times New Roman" w:cs="Times New Roman"/>
        </w:rPr>
      </w:pPr>
    </w:p>
    <w:p w14:paraId="6E914FCB" w14:textId="12813B57" w:rsidR="00B52428" w:rsidRPr="00B52428" w:rsidRDefault="00B52428" w:rsidP="00B52428">
      <w:pPr>
        <w:spacing w:line="480" w:lineRule="auto"/>
        <w:ind w:left="720" w:hanging="720"/>
        <w:jc w:val="both"/>
        <w:rPr>
          <w:rFonts w:ascii="Times New Roman" w:hAnsi="Times New Roman" w:cs="Times New Roman"/>
          <w:b/>
          <w:bCs/>
          <w:i/>
          <w:iCs/>
        </w:rPr>
      </w:pPr>
      <w:r w:rsidRPr="00B52428">
        <w:rPr>
          <w:rFonts w:ascii="Times New Roman" w:hAnsi="Times New Roman" w:cs="Times New Roman"/>
          <w:b/>
          <w:bCs/>
          <w:i/>
          <w:iCs/>
        </w:rPr>
        <w:t xml:space="preserve">Observations </w:t>
      </w:r>
    </w:p>
    <w:p w14:paraId="21C43E2E" w14:textId="3481BC5C"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Observation is a qualitative research method used to observe and systematically record behaviours, interactions, and events naturally occurring in real-world settings (Creswell &amp; Creswell, 2017). In this study, observations are conducted during mindfulness and well-being sessions in the classroom environment to capture the implementation of these practices and their effects on pupil behaviour and engagement. </w:t>
      </w:r>
    </w:p>
    <w:p w14:paraId="2AD2EF37" w14:textId="4D1D30C2"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literature suggests that observation allows researchers to understand better participants’ behaviours and interactions within their natural context (Bogdan &amp; Biklen, 2006). By directly observing the implementation of mindfulness and well-being practices, researchers can identify patterns, challenges, and successes in their integration into teaching and learning processes. </w:t>
      </w:r>
    </w:p>
    <w:p w14:paraId="1A464625" w14:textId="36D5CE18"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However, observation also has limitations, including the potential for observer bias and the inability to capture participants’ subjective experiences (Creswell &amp; Creswell, 2017). To mitigate these limitations during my research, I maintained a reflective stance. I employed a structured observation schedule, focusing on specific behaviours and interactions related to mindfulness and well-being practices. </w:t>
      </w:r>
    </w:p>
    <w:p w14:paraId="6FBE3A6F" w14:textId="369AC917"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A thematic analysis approach was employed to systematically identify and analyse patterns, themes, and meanings within the observed data (Braun &amp; Clarke, 2006). This method facilitated exploring various aspects of mindfulness and wellbeing practices, including their implementation strategies, observed effects on pupil behaviour and engagement, </w:t>
      </w:r>
      <w:r>
        <w:rPr>
          <w:rFonts w:ascii="Times New Roman" w:hAnsi="Times New Roman" w:cs="Times New Roman"/>
        </w:rPr>
        <w:lastRenderedPageBreak/>
        <w:t xml:space="preserve">and the challenges encountered in integrating these practices into daily routines. The thematic analysis identified recurring patterns and noteworthy insights, providing a comprehensive understanding of the observed phenomena (Braun &amp; Clarke, 2006). By adopting this approach, the observational data was rigorously analysed to uncover rich and meaningful insights into the implementation and impact of mindfulness and well-being practices in the classroom environment at ‘School B’.  </w:t>
      </w:r>
    </w:p>
    <w:p w14:paraId="76BDACFE" w14:textId="77777777" w:rsidR="00B52428" w:rsidRDefault="00B52428" w:rsidP="00B52428">
      <w:pPr>
        <w:spacing w:line="480" w:lineRule="auto"/>
        <w:ind w:left="720" w:hanging="720"/>
        <w:jc w:val="both"/>
        <w:rPr>
          <w:rFonts w:ascii="Times New Roman" w:hAnsi="Times New Roman" w:cs="Times New Roman"/>
        </w:rPr>
      </w:pPr>
    </w:p>
    <w:p w14:paraId="2824D3CC" w14:textId="609E9A6C"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 xml:space="preserve">Questionnaires </w:t>
      </w:r>
    </w:p>
    <w:p w14:paraId="20867E6B" w14:textId="6143EEBA"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A quantitative and qualitative questionnaire collects participant data and research through standardised questions (Denscombe, 2014). This study administers questionnaires to Year 6 pupils, teachers, and the school well-being officer to gather qualitative data on their perceptions and experiences with mindfulness and well-being practices in the classroom. </w:t>
      </w:r>
    </w:p>
    <w:p w14:paraId="42B65C5E" w14:textId="40702630"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literature suggests that questionnaires are efficient and cost-effective for collecting data and research from many participants (Bryman, 2016). Questionnaires also allow for data collection and analysis to standardise, facilitating comparisons across participants and groups. </w:t>
      </w:r>
    </w:p>
    <w:p w14:paraId="6BB49780" w14:textId="77777777"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However, questionnaires may suffer from low response rates and the potential for participants to misinterpret or provide incomplete responses (Denscombe, 2014). In this research study, clear instructions are provided to enhance the validity and reliability of the questionnaire, and efforts are made to ensure the questions are understandable and relevant to participants’ experiences. </w:t>
      </w:r>
    </w:p>
    <w:p w14:paraId="1233901F" w14:textId="77777777"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In designing the questionnaire for Year 6 students,</w:t>
      </w:r>
      <w:r>
        <w:rPr>
          <w:rFonts w:ascii="Times New Roman" w:hAnsi="Times New Roman" w:cs="Times New Roman"/>
        </w:rPr>
        <w:t xml:space="preserve"> teachers and the health and well-being officer,</w:t>
      </w:r>
      <w:r>
        <w:rPr>
          <w:rFonts w:ascii="Times New Roman" w:hAnsi="Times New Roman" w:cs="Times New Roman"/>
        </w:rPr>
        <w:t xml:space="preserve"> a specific structure was employed to ensure clarity, relevance, and ease of response (Bryman, 2016). The questions were crafted as open-ended, allowing </w:t>
      </w:r>
      <w:r>
        <w:rPr>
          <w:rFonts w:ascii="Times New Roman" w:hAnsi="Times New Roman" w:cs="Times New Roman"/>
        </w:rPr>
        <w:lastRenderedPageBreak/>
        <w:t xml:space="preserve">participants to express their thoughts and experiences (Denscombe, 2014). This approach aligns with qualitative research methodologies, aiming to capture rich and detailed responses that provide insights into participants’ perceptions and experiences with mindfulness and well-being practices (Creswell &amp; Creswell, 2017). </w:t>
      </w:r>
    </w:p>
    <w:p w14:paraId="6EDAB7E0" w14:textId="37D56FEC"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Open-ended questions encourage participants to articulate their understanding of well-being and mindfulness, describe their engagement in related activities, and offer suggestions for improvement (Denscombe, 2014). Additionally, the questionnaire includes specific prompts, such as asking about the frequency of mindfulness activities and their perceived benefits, to guide participants in providing detailed responses (Bryman, 2016). </w:t>
      </w:r>
    </w:p>
    <w:p w14:paraId="458B42D5" w14:textId="77777777" w:rsidR="00B52428" w:rsidRDefault="00B52428" w:rsidP="00B52428">
      <w:pPr>
        <w:spacing w:line="480" w:lineRule="auto"/>
        <w:ind w:left="720" w:hanging="720"/>
        <w:jc w:val="both"/>
        <w:rPr>
          <w:rFonts w:ascii="Times New Roman" w:hAnsi="Times New Roman" w:cs="Times New Roman"/>
        </w:rPr>
      </w:pPr>
    </w:p>
    <w:p w14:paraId="1CFB2E36" w14:textId="6577D1B3"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b/>
          <w:bCs/>
          <w:i/>
          <w:iCs/>
        </w:rPr>
        <w:t>Year 6 Questionnaires (Appendix 1)</w:t>
      </w:r>
    </w:p>
    <w:p w14:paraId="2D999B9D" w14:textId="6A6F3E19"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age of the pupils was a significant factor considered in the questionnaire design. Questions were formulated in a manner that is age-appropriate and accessible to Year 6 students, ensuring that the language used is comprehensible and engaging (Bogdan &amp; Biklen, 2006). Moreover, the questions were tailored to resonate with the experiences and developmental stage of the participants, fostering a sense of relevance and encouraging active participation (Bogdan &amp; Biklen, 2006). </w:t>
      </w:r>
    </w:p>
    <w:p w14:paraId="5D661891" w14:textId="5B78B730"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literature surrounding mindfulness and well-being practices in educational settings informed the design of the questionnaire, guiding the selection of relevant topics and framing of questions (Greenberg &amp; Harris, 2012). Drawing upon existing research, the questionnaire was structured to explore key themes such as students’ understanding of mindfulness and well-being, their engagement in related activities, and their perceptions of the impact on academic performance and overall well-being (Greenberg &amp; Harris, 2012). </w:t>
      </w:r>
    </w:p>
    <w:p w14:paraId="24377A80" w14:textId="77777777" w:rsidR="00B52428" w:rsidRDefault="00B52428" w:rsidP="00B52428">
      <w:pPr>
        <w:spacing w:line="480" w:lineRule="auto"/>
        <w:ind w:left="720" w:hanging="720"/>
        <w:jc w:val="both"/>
        <w:rPr>
          <w:rFonts w:ascii="Times New Roman" w:hAnsi="Times New Roman" w:cs="Times New Roman"/>
        </w:rPr>
      </w:pPr>
    </w:p>
    <w:p w14:paraId="1CF3024E" w14:textId="39D17D6E"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Teachers and Health and Well-being Officer’s Questionnaires (Appendix 2 and 3)</w:t>
      </w:r>
    </w:p>
    <w:p w14:paraId="6942ED61" w14:textId="6B213CF6" w:rsidR="00B52428" w:rsidRP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 questions were carefully crafted to address key aspects of mindfulness and well-being practices, including implementation strategies, observed changes in pupil behaviour, assessment of effectiveness, and suggestions for improvement (Bryman, 2016). For example, teachers were asked about the specific practices they incorporate into their teaching, how they integrate them into daily lessons, and their observations of pupil responses and behaviour changes (Bogdan &amp; Biklen, 2006). Similarly, the health and wellbeing officer was queried about integrating practices into the school curriculum, providing training and support to teachers, addressing challenges encountered, collaborating with teachers, and planning for continuous improvement (Greenberg &amp; Harris, 2012). </w:t>
      </w:r>
    </w:p>
    <w:p w14:paraId="1C03B860" w14:textId="77777777" w:rsidR="00B52428" w:rsidRDefault="00B52428" w:rsidP="00B52428">
      <w:pPr>
        <w:spacing w:line="480" w:lineRule="auto"/>
        <w:jc w:val="both"/>
        <w:rPr>
          <w:rFonts w:ascii="Times New Roman" w:hAnsi="Times New Roman" w:cs="Times New Roman"/>
          <w:b/>
          <w:bCs/>
        </w:rPr>
      </w:pPr>
    </w:p>
    <w:p w14:paraId="70AE9724" w14:textId="062A42BF" w:rsidR="00B52428" w:rsidRPr="00B52428" w:rsidRDefault="00B52428" w:rsidP="00B52428">
      <w:pPr>
        <w:spacing w:line="480" w:lineRule="auto"/>
        <w:ind w:left="720" w:hanging="720"/>
        <w:jc w:val="both"/>
        <w:rPr>
          <w:rFonts w:ascii="Times New Roman" w:hAnsi="Times New Roman" w:cs="Times New Roman"/>
          <w:b/>
          <w:bCs/>
        </w:rPr>
      </w:pPr>
      <w:r>
        <w:rPr>
          <w:rFonts w:ascii="Times New Roman" w:hAnsi="Times New Roman" w:cs="Times New Roman"/>
          <w:b/>
          <w:bCs/>
        </w:rPr>
        <w:t xml:space="preserve">Data Presentation and Analysis Methods </w:t>
      </w:r>
    </w:p>
    <w:p w14:paraId="33149EC0" w14:textId="667110E8"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Thematic analysis is a widely used method for identifying patterns, themes, and meanings within qualitative data (Braun &amp; Clarke, 2006). This approach is suitable for analysing the rich and nuanced responses from observations and open-ended questionnaire responses. The thematic analysis involved several iterative stages, including familiarising the data, generalising initial codes, searching for themes, reviewing themes, defining and naming themes, and producing the final report (Braun &amp; Clarke, 2006). </w:t>
      </w:r>
    </w:p>
    <w:p w14:paraId="76937AD9" w14:textId="77777777" w:rsidR="00B52428" w:rsidRDefault="00B52428" w:rsidP="00B52428">
      <w:pPr>
        <w:spacing w:line="480" w:lineRule="auto"/>
        <w:jc w:val="both"/>
        <w:rPr>
          <w:rFonts w:ascii="Times New Roman" w:hAnsi="Times New Roman" w:cs="Times New Roman"/>
          <w:color w:val="0D0D0D"/>
          <w:shd w:val="clear" w:color="auto" w:fill="FFFFFF"/>
        </w:rPr>
      </w:pPr>
    </w:p>
    <w:p w14:paraId="5AA16677" w14:textId="77777777" w:rsidR="00B52428" w:rsidRDefault="00B52428" w:rsidP="00B52428">
      <w:pPr>
        <w:spacing w:line="480" w:lineRule="auto"/>
        <w:ind w:left="720" w:hanging="720"/>
        <w:jc w:val="both"/>
        <w:rPr>
          <w:rFonts w:ascii="Times New Roman" w:hAnsi="Times New Roman" w:cs="Times New Roman"/>
        </w:rPr>
      </w:pPr>
      <w:r w:rsidRPr="00B52428">
        <w:rPr>
          <w:rFonts w:ascii="Times New Roman" w:hAnsi="Times New Roman" w:cs="Times New Roman"/>
          <w:color w:val="0D0D0D"/>
          <w:shd w:val="clear" w:color="auto" w:fill="FFFFFF"/>
        </w:rPr>
        <w:t xml:space="preserve">To ensure the trustworthiness of the findings, measures </w:t>
      </w:r>
      <w:r w:rsidRPr="00B52428">
        <w:rPr>
          <w:rFonts w:ascii="Times New Roman" w:hAnsi="Times New Roman" w:cs="Times New Roman"/>
          <w:color w:val="0D0D0D"/>
          <w:shd w:val="clear" w:color="auto" w:fill="FFFFFF"/>
        </w:rPr>
        <w:t xml:space="preserve">are </w:t>
      </w:r>
      <w:r w:rsidRPr="00B52428">
        <w:rPr>
          <w:rFonts w:ascii="Times New Roman" w:hAnsi="Times New Roman" w:cs="Times New Roman"/>
          <w:color w:val="0D0D0D"/>
          <w:shd w:val="clear" w:color="auto" w:fill="FFFFFF"/>
        </w:rPr>
        <w:t xml:space="preserve">taken to enhance credibility, transferability, dependability, and confirmability (Lincoln &amp; Guba, 1985). Credibility will be established through prolonged engagement with the data, member checking, and </w:t>
      </w:r>
      <w:r w:rsidRPr="00B52428">
        <w:rPr>
          <w:rFonts w:ascii="Times New Roman" w:hAnsi="Times New Roman" w:cs="Times New Roman"/>
          <w:color w:val="0D0D0D"/>
          <w:shd w:val="clear" w:color="auto" w:fill="FFFFFF"/>
        </w:rPr>
        <w:lastRenderedPageBreak/>
        <w:t xml:space="preserve">triangulation of data sources (observations and questionnaires). Transferability </w:t>
      </w:r>
      <w:r w:rsidRPr="00B52428">
        <w:rPr>
          <w:rFonts w:ascii="Times New Roman" w:hAnsi="Times New Roman" w:cs="Times New Roman"/>
          <w:color w:val="0D0D0D"/>
          <w:shd w:val="clear" w:color="auto" w:fill="FFFFFF"/>
        </w:rPr>
        <w:t>is</w:t>
      </w:r>
      <w:r w:rsidRPr="00B52428">
        <w:rPr>
          <w:rFonts w:ascii="Times New Roman" w:hAnsi="Times New Roman" w:cs="Times New Roman"/>
          <w:color w:val="0D0D0D"/>
          <w:shd w:val="clear" w:color="auto" w:fill="FFFFFF"/>
        </w:rPr>
        <w:t xml:space="preserve"> addressed by providing a detailed description of the research context, participants, and data collection procedures to enable readers to assess the applicability of the findings to other contexts. Dependability w</w:t>
      </w:r>
      <w:r w:rsidRPr="00B52428">
        <w:rPr>
          <w:rFonts w:ascii="Times New Roman" w:hAnsi="Times New Roman" w:cs="Times New Roman"/>
          <w:color w:val="0D0D0D"/>
          <w:shd w:val="clear" w:color="auto" w:fill="FFFFFF"/>
        </w:rPr>
        <w:t>as</w:t>
      </w:r>
      <w:r w:rsidRPr="00B52428">
        <w:rPr>
          <w:rFonts w:ascii="Times New Roman" w:hAnsi="Times New Roman" w:cs="Times New Roman"/>
          <w:color w:val="0D0D0D"/>
          <w:shd w:val="clear" w:color="auto" w:fill="FFFFFF"/>
        </w:rPr>
        <w:t xml:space="preserve"> ensured through the systematic and transparent documentation of data collection and analysis procedures, allowing for replication by other researchers. Confirmability w</w:t>
      </w:r>
      <w:r w:rsidRPr="00B52428">
        <w:rPr>
          <w:rFonts w:ascii="Times New Roman" w:hAnsi="Times New Roman" w:cs="Times New Roman"/>
          <w:color w:val="0D0D0D"/>
          <w:shd w:val="clear" w:color="auto" w:fill="FFFFFF"/>
        </w:rPr>
        <w:t>as</w:t>
      </w:r>
      <w:r w:rsidRPr="00B52428">
        <w:rPr>
          <w:rFonts w:ascii="Times New Roman" w:hAnsi="Times New Roman" w:cs="Times New Roman"/>
          <w:color w:val="0D0D0D"/>
          <w:shd w:val="clear" w:color="auto" w:fill="FFFFFF"/>
        </w:rPr>
        <w:t xml:space="preserve"> addressed by maintaining an audit trail of decisions made throughout the research process and acknowledging any potential biases or preconceptions that may have influenced the findings.</w:t>
      </w:r>
    </w:p>
    <w:p w14:paraId="709791CB" w14:textId="77777777" w:rsidR="00B52428" w:rsidRDefault="00B52428" w:rsidP="00B52428">
      <w:pPr>
        <w:spacing w:line="480" w:lineRule="auto"/>
        <w:ind w:left="720" w:hanging="720"/>
        <w:jc w:val="both"/>
        <w:rPr>
          <w:rFonts w:ascii="Times New Roman" w:hAnsi="Times New Roman" w:cs="Times New Roman"/>
        </w:rPr>
      </w:pPr>
    </w:p>
    <w:p w14:paraId="779A227D" w14:textId="7F254A1E"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b/>
          <w:bCs/>
        </w:rPr>
        <w:t>Ethical Considerations (Appendix 4)</w:t>
      </w:r>
    </w:p>
    <w:p w14:paraId="04DDFD73" w14:textId="1B18E13A"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Participants' anonymity and confidentiality are strictly maintained to protect their privacy and ensure their willingness to provide honest responses. All data collected, including observations and questionnaire responses, are kept confidential and stored securely on password-protected devices accessible only to the researcher. Identifying information such as names, addresses, and contact details are not collected to preserve participants' anonymity</w:t>
      </w:r>
      <w:r>
        <w:rPr>
          <w:rFonts w:ascii="Times New Roman" w:hAnsi="Times New Roman" w:cs="Times New Roman"/>
          <w:color w:val="0D0D0D"/>
          <w:shd w:val="clear" w:color="auto" w:fill="FFFFFF"/>
        </w:rPr>
        <w:t xml:space="preserve"> (BERA, 2018)</w:t>
      </w:r>
      <w:r w:rsidRPr="00B52428">
        <w:rPr>
          <w:rFonts w:ascii="Times New Roman" w:hAnsi="Times New Roman" w:cs="Times New Roman"/>
          <w:color w:val="0D0D0D"/>
          <w:shd w:val="clear" w:color="auto" w:fill="FFFFFF"/>
        </w:rPr>
        <w:t>.</w:t>
      </w:r>
    </w:p>
    <w:p w14:paraId="43FF43B8" w14:textId="742DC62F"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Before data collection, informed consent and assent were obtained from all participants, including Year 6 pupils, teachers, and the school well-being officer. For pupil assent, an information sheet (Appendix 4) explaining the purpose and procedures of the study was distributed to each participant’s parent or legal guardian. </w:t>
      </w:r>
      <w:r w:rsidRPr="00B52428">
        <w:rPr>
          <w:rFonts w:ascii="Times New Roman" w:hAnsi="Times New Roman" w:cs="Times New Roman"/>
          <w:color w:val="0D0D0D"/>
          <w:shd w:val="clear" w:color="auto" w:fill="FFFFFF"/>
        </w:rPr>
        <w:t>Only pupils who provided assent and whose parents or guardians provided consent were included in the study</w:t>
      </w:r>
      <w:r>
        <w:rPr>
          <w:rFonts w:ascii="Times New Roman" w:hAnsi="Times New Roman" w:cs="Times New Roman"/>
          <w:color w:val="0D0D0D"/>
          <w:shd w:val="clear" w:color="auto" w:fill="FFFFFF"/>
        </w:rPr>
        <w:t xml:space="preserve"> (BERA, 2018)</w:t>
      </w:r>
      <w:r w:rsidRPr="00B52428">
        <w:rPr>
          <w:rFonts w:ascii="Times New Roman" w:hAnsi="Times New Roman" w:cs="Times New Roman"/>
          <w:color w:val="0D0D0D"/>
          <w:shd w:val="clear" w:color="auto" w:fill="FFFFFF"/>
        </w:rPr>
        <w:t>.</w:t>
      </w:r>
      <w:r>
        <w:rPr>
          <w:rFonts w:ascii="Times New Roman" w:hAnsi="Times New Roman" w:cs="Times New Roman"/>
          <w:color w:val="0D0D0D"/>
          <w:shd w:val="clear" w:color="auto" w:fill="FFFFFF"/>
        </w:rPr>
        <w:t xml:space="preserve"> </w:t>
      </w:r>
    </w:p>
    <w:p w14:paraId="6B42C8E8" w14:textId="486946A1"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By adhering to ethical guidelines and obtaining informed consent and assent from all participants, this study ensures the ethical conduct of research while respecting the rights and well-being of those involved</w:t>
      </w:r>
      <w:r>
        <w:rPr>
          <w:rFonts w:ascii="Times New Roman" w:hAnsi="Times New Roman" w:cs="Times New Roman"/>
          <w:color w:val="0D0D0D"/>
          <w:shd w:val="clear" w:color="auto" w:fill="FFFFFF"/>
        </w:rPr>
        <w:t xml:space="preserve"> (BERA, 2018). </w:t>
      </w:r>
    </w:p>
    <w:p w14:paraId="4E60F189"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493671BF" w14:textId="663EF209"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b/>
          <w:bCs/>
        </w:rPr>
        <w:t xml:space="preserve">Analysis of Results </w:t>
      </w:r>
    </w:p>
    <w:p w14:paraId="1D34EC48" w14:textId="799441FB" w:rsid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 xml:space="preserve">Observation Results </w:t>
      </w:r>
    </w:p>
    <w:p w14:paraId="7134E124"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rPr>
        <w:t>As the researcher, before</w:t>
      </w:r>
      <w:r w:rsidRPr="00B52428">
        <w:rPr>
          <w:rFonts w:ascii="Times New Roman" w:hAnsi="Times New Roman" w:cs="Times New Roman"/>
        </w:rPr>
        <w:t xml:space="preserve"> administering the questionnaires, </w:t>
      </w:r>
      <w:r w:rsidRPr="00B52428">
        <w:rPr>
          <w:rFonts w:ascii="Times New Roman" w:hAnsi="Times New Roman" w:cs="Times New Roman"/>
          <w:color w:val="0D0D0D"/>
          <w:shd w:val="clear" w:color="auto" w:fill="FFFFFF"/>
        </w:rPr>
        <w:t xml:space="preserve">observations in the classroom revealed a dynamic landscape of well-being practices interwoven into the daily routines. This aligns with findings by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Conner et al. 2018)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Huppert and Johnson 2010), who emphasi</w:t>
      </w:r>
      <w:r>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 xml:space="preserve">e the importance of </w:t>
      </w:r>
      <w:r>
        <w:rPr>
          <w:rFonts w:ascii="Times New Roman" w:hAnsi="Times New Roman" w:cs="Times New Roman"/>
          <w:color w:val="0D0D0D"/>
          <w:shd w:val="clear" w:color="auto" w:fill="FFFFFF"/>
        </w:rPr>
        <w:t xml:space="preserve">seamlessly </w:t>
      </w:r>
      <w:r w:rsidRPr="00B52428">
        <w:rPr>
          <w:rFonts w:ascii="Times New Roman" w:hAnsi="Times New Roman" w:cs="Times New Roman"/>
          <w:color w:val="0D0D0D"/>
          <w:shd w:val="clear" w:color="auto" w:fill="FFFFFF"/>
        </w:rPr>
        <w:t xml:space="preserve">embedding mindfulness and well-being activities into the school day. I noted instances of students engaging in calming techniques like finger breathing and participating in group activities focused on emotional regulation, echoing the suggestions by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Dariotis et al. 2017)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Roeser et al. 2013) regarding </w:t>
      </w:r>
      <w:r>
        <w:rPr>
          <w:rFonts w:ascii="Times New Roman" w:hAnsi="Times New Roman" w:cs="Times New Roman"/>
          <w:color w:val="0D0D0D"/>
          <w:shd w:val="clear" w:color="auto" w:fill="FFFFFF"/>
        </w:rPr>
        <w:t>integrating</w:t>
      </w:r>
      <w:r w:rsidRPr="00B52428">
        <w:rPr>
          <w:rFonts w:ascii="Times New Roman" w:hAnsi="Times New Roman" w:cs="Times New Roman"/>
          <w:color w:val="0D0D0D"/>
          <w:shd w:val="clear" w:color="auto" w:fill="FFFFFF"/>
        </w:rPr>
        <w:t xml:space="preserve"> mindfulness into classroom routines. </w:t>
      </w:r>
    </w:p>
    <w:p w14:paraId="045829C7" w14:textId="10AA52BD" w:rsidR="00B52428" w:rsidRPr="00B52428" w:rsidRDefault="00B52428" w:rsidP="00B52428">
      <w:pPr>
        <w:spacing w:line="480" w:lineRule="auto"/>
        <w:ind w:left="720" w:hanging="720"/>
        <w:jc w:val="both"/>
        <w:rPr>
          <w:rFonts w:ascii="Times New Roman" w:hAnsi="Times New Roman" w:cs="Times New Roman"/>
        </w:rPr>
      </w:pPr>
      <w:r w:rsidRPr="00B52428">
        <w:rPr>
          <w:rFonts w:ascii="Times New Roman" w:hAnsi="Times New Roman" w:cs="Times New Roman"/>
          <w:color w:val="0D0D0D"/>
          <w:shd w:val="clear" w:color="auto" w:fill="FFFFFF"/>
        </w:rPr>
        <w:t xml:space="preserve">Furthermore, interactions with teachers showcased a collaborative approach to fostering student well-being, echoing the sentiments of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Flook et al. 2010)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Zoogman et al. 2014), who emphasi</w:t>
      </w:r>
      <w:r>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e the significance of staff cooperation in the success of mindfulness programs. These preliminary observations underscored the holistic approach to well-being evident within the school community, setting the stage for a deeper exploration through the questionnaire responses.</w:t>
      </w:r>
    </w:p>
    <w:p w14:paraId="4F6448C7" w14:textId="77777777" w:rsidR="00B52428" w:rsidRDefault="00B52428" w:rsidP="00B52428">
      <w:pPr>
        <w:spacing w:line="480" w:lineRule="auto"/>
        <w:ind w:left="720" w:hanging="720"/>
        <w:jc w:val="both"/>
        <w:rPr>
          <w:rFonts w:ascii="Times New Roman" w:hAnsi="Times New Roman" w:cs="Times New Roman"/>
          <w:b/>
          <w:bCs/>
          <w:i/>
          <w:iCs/>
        </w:rPr>
      </w:pPr>
    </w:p>
    <w:p w14:paraId="05F6E638" w14:textId="14AE2308"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b/>
          <w:bCs/>
          <w:i/>
          <w:iCs/>
        </w:rPr>
        <w:t>Year 6 Pupils’ Questionnaire Results (Appendix 1)</w:t>
      </w:r>
    </w:p>
    <w:p w14:paraId="1E566497" w14:textId="31B37A2F"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Firstly, regarding well-being and mindfulness, the responses indicate a general awareness among the pupils. Many described well-being as ‘thinking positively about oneself’, ‘caring for others’, and ‘looking after mental health’. Similarly, mindfulness was often associated with ‘being nice to others’ and ‘maintaining a positive mindset’. These responses suggest that the pupils have a basic understanding of these concepts, aligning with previous research highlighting the importance of introducing mindfulness </w:t>
      </w:r>
      <w:r>
        <w:rPr>
          <w:rFonts w:ascii="Times New Roman" w:hAnsi="Times New Roman" w:cs="Times New Roman"/>
        </w:rPr>
        <w:lastRenderedPageBreak/>
        <w:t xml:space="preserve">practices in educational settings to promote well-being as outlined in the New Welsh Curriculum (Greenberg &amp; Harris, 2012). </w:t>
      </w:r>
    </w:p>
    <w:p w14:paraId="2688DCB3" w14:textId="77777777" w:rsidR="00B52428" w:rsidRDefault="00B52428" w:rsidP="00B52428">
      <w:pPr>
        <w:spacing w:line="480" w:lineRule="auto"/>
        <w:ind w:left="720" w:hanging="720"/>
        <w:jc w:val="both"/>
        <w:rPr>
          <w:rFonts w:ascii="Times New Roman" w:hAnsi="Times New Roman" w:cs="Times New Roman"/>
        </w:rPr>
      </w:pPr>
    </w:p>
    <w:p w14:paraId="717549BB" w14:textId="2D55A870"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Secondly, the data reveals the extent of pupils’ engagement in mindfulness and well-being activities at school. ‘Breathing exercises’ emerged as the most common activity, followed by ‘mindful colouring and drawing’, ‘meditation’ and ‘yoga or stretching’. However, the frequency of these activities varied, with most pupils reporting participation sometimes. Despite the variation in participation frequency, the majority acknowledged that these activities helped them ‘stay calm and focused’, supporting existing literature highlighting the effectiveness of mindfulness practices in promoting emotional regulation and attention (Schonert-Reichl &amp; Lawlor, 2010). </w:t>
      </w:r>
    </w:p>
    <w:p w14:paraId="4B25D826" w14:textId="77777777" w:rsidR="00B52428" w:rsidRDefault="00B52428" w:rsidP="00B52428">
      <w:pPr>
        <w:spacing w:line="480" w:lineRule="auto"/>
        <w:ind w:left="720" w:hanging="720"/>
        <w:jc w:val="both"/>
        <w:rPr>
          <w:rFonts w:ascii="Times New Roman" w:hAnsi="Times New Roman" w:cs="Times New Roman"/>
        </w:rPr>
      </w:pPr>
    </w:p>
    <w:p w14:paraId="0473FA2C" w14:textId="1475CCA6"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Furthermore, when asked about the impact of mindfulness and well-being activities on their schoolwork, pupils emphasised the calming effect of these practices, suggesting that they facilitate concentration and task engagement. This finding aligns with the research that mindfulness practices can enhance academic engagement by improving attention and focus (Greenberg &amp; Harris, 2012). However, some pupils expressed neutral or mixed views, indicating the need further to explore individual differences in response to these activities. </w:t>
      </w:r>
    </w:p>
    <w:p w14:paraId="4B92D887" w14:textId="77777777" w:rsidR="00B52428" w:rsidRDefault="00B52428" w:rsidP="00B52428">
      <w:pPr>
        <w:spacing w:line="480" w:lineRule="auto"/>
        <w:ind w:left="720" w:hanging="720"/>
        <w:jc w:val="both"/>
        <w:rPr>
          <w:rFonts w:ascii="Times New Roman" w:hAnsi="Times New Roman" w:cs="Times New Roman"/>
        </w:rPr>
      </w:pPr>
    </w:p>
    <w:p w14:paraId="2441632C" w14:textId="40AD9DAF" w:rsidR="00B52428" w:rsidRDefault="00B52428" w:rsidP="00B52428">
      <w:pPr>
        <w:spacing w:line="480" w:lineRule="auto"/>
        <w:ind w:left="720" w:hanging="720"/>
        <w:jc w:val="both"/>
        <w:rPr>
          <w:rFonts w:ascii="Times New Roman" w:hAnsi="Times New Roman" w:cs="Times New Roman"/>
        </w:rPr>
      </w:pPr>
      <w:r>
        <w:rPr>
          <w:rFonts w:ascii="Times New Roman" w:hAnsi="Times New Roman" w:cs="Times New Roman"/>
        </w:rPr>
        <w:t xml:space="preserve">Moreover, the pupils’ opinions on the frequency of mindfulness and well-being activities in school varied, with the majority prefer not to have them daily. This finding underscores the importance of considering pupil preferences and balancing integrating these activities with other aspects of the curriculum. Additionally, their suggestions for making mindfulness and well-being activities more enjoyable highlight the importance </w:t>
      </w:r>
      <w:r>
        <w:rPr>
          <w:rFonts w:ascii="Times New Roman" w:hAnsi="Times New Roman" w:cs="Times New Roman"/>
        </w:rPr>
        <w:lastRenderedPageBreak/>
        <w:t xml:space="preserve">of incorporating fun and engaging elements, such as sports and breathing exercises, to enhance participation and effectiveness. </w:t>
      </w:r>
    </w:p>
    <w:p w14:paraId="5B09BAD2" w14:textId="77777777" w:rsidR="00B52428" w:rsidRDefault="00B52428" w:rsidP="00B52428">
      <w:pPr>
        <w:spacing w:line="480" w:lineRule="auto"/>
        <w:ind w:left="720" w:hanging="720"/>
        <w:jc w:val="both"/>
        <w:rPr>
          <w:rFonts w:ascii="Times New Roman" w:hAnsi="Times New Roman" w:cs="Times New Roman"/>
        </w:rPr>
      </w:pPr>
    </w:p>
    <w:p w14:paraId="0F6ADE02" w14:textId="7782B49B" w:rsidR="00B52428" w:rsidRPr="00B52428" w:rsidRDefault="00B52428" w:rsidP="00B52428">
      <w:pPr>
        <w:spacing w:line="480" w:lineRule="auto"/>
        <w:ind w:left="720" w:hanging="720"/>
        <w:jc w:val="both"/>
        <w:rPr>
          <w:rFonts w:ascii="Times New Roman" w:hAnsi="Times New Roman" w:cs="Times New Roman"/>
          <w:b/>
          <w:bCs/>
          <w:i/>
          <w:iCs/>
        </w:rPr>
      </w:pPr>
      <w:r>
        <w:rPr>
          <w:rFonts w:ascii="Times New Roman" w:hAnsi="Times New Roman" w:cs="Times New Roman"/>
          <w:b/>
          <w:bCs/>
          <w:i/>
          <w:iCs/>
        </w:rPr>
        <w:t>Teachers’ Questionnaire Results (Appendix 2)</w:t>
      </w:r>
    </w:p>
    <w:p w14:paraId="28A8A960" w14:textId="2DFE7BD7"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Teachers, on average, reported integrating mindfulness and well-being practices into their classrooms for approximately five years. This prolonged engagement underscores a sustained commitment to fostering student well-being (Felver et al., 2016). Moreover, the diverse array of implemented practices, ranging from finger breathing exercises to outdoor learning sessions, reflects a holistic approach educators adopt to address the multifaceted dimensions of student wellness (Greenberg &amp; Harris, 2012). </w:t>
      </w:r>
    </w:p>
    <w:p w14:paraId="00D53C78" w14:textId="4DBACA38"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While some students initially exhibit resistance or amusement towards mindfulness activities, teachers note considerable improvements in student behaviour and emotional regulation over time (Jennings et al., 2013). Educators observe enhanced self-awareness, empathy, and coping skills among students, contributing to a more conducive learning environment (Felver et al., 2016).  </w:t>
      </w:r>
    </w:p>
    <w:p w14:paraId="0588DB57" w14:textId="6504EBE3"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Teachers primarily assess the effectiveness of mindfulness practices through qualitative observations and discussions with students. Despite positive outcomes, challenges like time constraints and varying student responses persist (Greenberg &amp; Harris, 2012). Strategies to mitigate these challenges include setting clear expectations, tailoring interventions to individual needs, and fostering collaboration with colleagues and well-being officers (Felver et al., 2016). </w:t>
      </w:r>
    </w:p>
    <w:p w14:paraId="18B933B8" w14:textId="37922DD5"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Mindfulness and well-being practices significantly create a positive classroom environment characterised by safety, trust, and student engagement (Greenberg &amp; Harris, 2012). Notably, students demonstrate heightened academic performance and engagement in </w:t>
      </w:r>
      <w:r>
        <w:rPr>
          <w:rFonts w:ascii="Times New Roman" w:hAnsi="Times New Roman" w:cs="Times New Roman"/>
          <w:color w:val="0D0D0D"/>
          <w:shd w:val="clear" w:color="auto" w:fill="FFFFFF"/>
        </w:rPr>
        <w:lastRenderedPageBreak/>
        <w:t xml:space="preserve">environments prioritising their emotional and psychological well-being (Jennings et al., 2013). </w:t>
      </w:r>
    </w:p>
    <w:p w14:paraId="6C2705A8"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146C72C6" w14:textId="263BE8B1" w:rsidR="00B52428" w:rsidRDefault="00B52428" w:rsidP="00B52428">
      <w:pPr>
        <w:spacing w:line="480" w:lineRule="auto"/>
        <w:ind w:left="720" w:hanging="720"/>
        <w:jc w:val="both"/>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 xml:space="preserve">Educators should prioritise the ongoing integration of mindfulness and well-being practices into their teaching, as the New Welsh Curriculum encourages, and support it with continuous professional development opportunities (Greenberg &amp; Harris, 2012). A personalised approach to mindfulness activities ensures that diverse students’ needs and preferences are met, maximising the potential benefits of these interventions (Felver et al., 2016). Collaborative efforts among educators and school well-being officers are essential for sustaining the implementation of mindfulness practices and fostering a supportive learning environment (Jennings et al., 2013). As well as regular evaluations of mindfulness practices are imperative for identifying areas of improvement and adapting strategies to meet evolving student needs (Felver et al., 2016). </w:t>
      </w:r>
    </w:p>
    <w:p w14:paraId="231496C0"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2C3531C6" w14:textId="77777777" w:rsidR="00B52428" w:rsidRDefault="00B52428" w:rsidP="00B52428">
      <w:pPr>
        <w:spacing w:line="480" w:lineRule="auto"/>
        <w:ind w:left="720" w:hanging="720"/>
        <w:jc w:val="both"/>
        <w:rPr>
          <w:rFonts w:ascii="Times New Roman" w:hAnsi="Times New Roman" w:cs="Times New Roman"/>
          <w:b/>
          <w:bCs/>
          <w:i/>
          <w:iCs/>
          <w:color w:val="0D0D0D"/>
          <w:shd w:val="clear" w:color="auto" w:fill="FFFFFF"/>
        </w:rPr>
      </w:pPr>
      <w:r>
        <w:rPr>
          <w:rFonts w:ascii="Times New Roman" w:hAnsi="Times New Roman" w:cs="Times New Roman"/>
          <w:b/>
          <w:bCs/>
          <w:i/>
          <w:iCs/>
          <w:color w:val="0D0D0D"/>
          <w:shd w:val="clear" w:color="auto" w:fill="FFFFFF"/>
        </w:rPr>
        <w:t>Health and Well-being Officer Questionnaire Results (Appendix 3)</w:t>
      </w:r>
    </w:p>
    <w:p w14:paraId="57C09CB5" w14:textId="3BB62CF9" w:rsidR="00B52428" w:rsidRDefault="00B52428" w:rsidP="00B52428">
      <w:pPr>
        <w:spacing w:line="480" w:lineRule="auto"/>
        <w:ind w:left="720" w:hanging="720"/>
        <w:jc w:val="both"/>
        <w:rPr>
          <w:rFonts w:ascii="Times New Roman" w:hAnsi="Times New Roman" w:cs="Times New Roman"/>
          <w:lang w:eastAsia="en-GB"/>
        </w:rPr>
      </w:pPr>
      <w:r w:rsidRPr="00B52428">
        <w:rPr>
          <w:rFonts w:ascii="Times New Roman" w:hAnsi="Times New Roman" w:cs="Times New Roman"/>
          <w:lang w:eastAsia="en-GB"/>
        </w:rPr>
        <w:t xml:space="preserve">The findings from the well-being officer's responses resonate with established literature on the implementation and impact of mindfulness and well-being practices in educational settings. Research conducted by </w:t>
      </w:r>
      <w:r>
        <w:rPr>
          <w:rFonts w:ascii="Times New Roman" w:hAnsi="Times New Roman" w:cs="Times New Roman"/>
          <w:lang w:eastAsia="en-GB"/>
        </w:rPr>
        <w:t>(</w:t>
      </w:r>
      <w:r w:rsidRPr="00B52428">
        <w:rPr>
          <w:rFonts w:ascii="Times New Roman" w:hAnsi="Times New Roman" w:cs="Times New Roman"/>
          <w:lang w:eastAsia="en-GB"/>
        </w:rPr>
        <w:t xml:space="preserve">Jennings et al. 2013) and </w:t>
      </w:r>
      <w:r>
        <w:rPr>
          <w:rFonts w:ascii="Times New Roman" w:hAnsi="Times New Roman" w:cs="Times New Roman"/>
          <w:lang w:eastAsia="en-GB"/>
        </w:rPr>
        <w:t>(</w:t>
      </w:r>
      <w:r w:rsidRPr="00B52428">
        <w:rPr>
          <w:rFonts w:ascii="Times New Roman" w:hAnsi="Times New Roman" w:cs="Times New Roman"/>
          <w:lang w:eastAsia="en-GB"/>
        </w:rPr>
        <w:t xml:space="preserve">Greenberg and Harris 2012) </w:t>
      </w:r>
      <w:r w:rsidRPr="00B52428">
        <w:rPr>
          <w:rFonts w:ascii="Times New Roman" w:hAnsi="Times New Roman" w:cs="Times New Roman"/>
          <w:lang w:eastAsia="en-GB"/>
        </w:rPr>
        <w:t>support</w:t>
      </w:r>
      <w:r>
        <w:rPr>
          <w:rFonts w:ascii="Times New Roman" w:hAnsi="Times New Roman" w:cs="Times New Roman"/>
          <w:lang w:eastAsia="en-GB"/>
        </w:rPr>
        <w:t>s</w:t>
      </w:r>
      <w:r w:rsidRPr="00B52428">
        <w:rPr>
          <w:rFonts w:ascii="Times New Roman" w:hAnsi="Times New Roman" w:cs="Times New Roman"/>
          <w:lang w:eastAsia="en-GB"/>
        </w:rPr>
        <w:t xml:space="preserve"> long-term commitment to these practices, emphasi</w:t>
      </w:r>
      <w:r>
        <w:rPr>
          <w:rFonts w:ascii="Times New Roman" w:hAnsi="Times New Roman" w:cs="Times New Roman"/>
          <w:lang w:eastAsia="en-GB"/>
        </w:rPr>
        <w:t>s</w:t>
      </w:r>
      <w:r w:rsidRPr="00B52428">
        <w:rPr>
          <w:rFonts w:ascii="Times New Roman" w:hAnsi="Times New Roman" w:cs="Times New Roman"/>
          <w:lang w:eastAsia="en-GB"/>
        </w:rPr>
        <w:t xml:space="preserve">ing their sustained impact on student well-being and academic performance over time. Moreover, insights from </w:t>
      </w:r>
      <w:r>
        <w:rPr>
          <w:rFonts w:ascii="Times New Roman" w:hAnsi="Times New Roman" w:cs="Times New Roman"/>
          <w:lang w:eastAsia="en-GB"/>
        </w:rPr>
        <w:t>(</w:t>
      </w:r>
      <w:r w:rsidRPr="00B52428">
        <w:rPr>
          <w:rFonts w:ascii="Times New Roman" w:hAnsi="Times New Roman" w:cs="Times New Roman"/>
          <w:lang w:eastAsia="en-GB"/>
        </w:rPr>
        <w:t xml:space="preserve">Felver et al. 2016) and </w:t>
      </w:r>
      <w:r>
        <w:rPr>
          <w:rFonts w:ascii="Times New Roman" w:hAnsi="Times New Roman" w:cs="Times New Roman"/>
          <w:lang w:eastAsia="en-GB"/>
        </w:rPr>
        <w:t>(</w:t>
      </w:r>
      <w:r w:rsidRPr="00B52428">
        <w:rPr>
          <w:rFonts w:ascii="Times New Roman" w:hAnsi="Times New Roman" w:cs="Times New Roman"/>
          <w:lang w:eastAsia="en-GB"/>
        </w:rPr>
        <w:t xml:space="preserve">Mendelson et al. 2010) </w:t>
      </w:r>
      <w:r>
        <w:rPr>
          <w:rFonts w:ascii="Times New Roman" w:hAnsi="Times New Roman" w:cs="Times New Roman"/>
          <w:lang w:eastAsia="en-GB"/>
        </w:rPr>
        <w:t>validate</w:t>
      </w:r>
      <w:r w:rsidRPr="00B52428">
        <w:rPr>
          <w:rFonts w:ascii="Times New Roman" w:hAnsi="Times New Roman" w:cs="Times New Roman"/>
          <w:lang w:eastAsia="en-GB"/>
        </w:rPr>
        <w:t xml:space="preserve"> the specific practices mentioned by the well-being officer, such as Thrive and ELSA, highlighting their role in promoting emotional regulation and fostering a positive school climate.</w:t>
      </w:r>
      <w:r>
        <w:rPr>
          <w:rFonts w:ascii="Times New Roman" w:hAnsi="Times New Roman" w:cs="Times New Roman"/>
          <w:lang w:eastAsia="en-GB"/>
        </w:rPr>
        <w:t xml:space="preserve"> </w:t>
      </w:r>
    </w:p>
    <w:p w14:paraId="66FE2D22" w14:textId="77777777" w:rsidR="00B52428" w:rsidRDefault="00B52428" w:rsidP="00B52428">
      <w:pPr>
        <w:spacing w:line="480" w:lineRule="auto"/>
        <w:ind w:left="720" w:hanging="720"/>
        <w:jc w:val="both"/>
        <w:rPr>
          <w:rFonts w:ascii="Times New Roman" w:hAnsi="Times New Roman" w:cs="Times New Roman"/>
          <w:lang w:eastAsia="en-GB"/>
        </w:rPr>
      </w:pPr>
    </w:p>
    <w:p w14:paraId="2B57B7C9" w14:textId="3E8B3DF6"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lastRenderedPageBreak/>
        <w:t xml:space="preserve">The challenges highlighted by the well-being officer in assessing the effectiveness of mindfulness practices align with existing literature, as evidenced by studies conducted by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Black et al. 2015)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Schonert-Reichl et al. 2015). These studies emphasi</w:t>
      </w:r>
      <w:r w:rsidRPr="00B52428">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e the importance of qualitative observations and ongoing evaluation in gauging the impact of mindfulness interventions on student well-being and behavio</w:t>
      </w:r>
      <w:r w:rsidRPr="00B52428">
        <w:rPr>
          <w:rFonts w:ascii="Times New Roman" w:hAnsi="Times New Roman" w:cs="Times New Roman"/>
          <w:color w:val="0D0D0D"/>
          <w:shd w:val="clear" w:color="auto" w:fill="FFFFFF"/>
        </w:rPr>
        <w:t>u</w:t>
      </w:r>
      <w:r w:rsidRPr="00B52428">
        <w:rPr>
          <w:rFonts w:ascii="Times New Roman" w:hAnsi="Times New Roman" w:cs="Times New Roman"/>
          <w:color w:val="0D0D0D"/>
          <w:shd w:val="clear" w:color="auto" w:fill="FFFFFF"/>
        </w:rPr>
        <w:t xml:space="preserve">r. Furthermore, the collaborative approach advocated by the well-being officer finds support in recommendations from </w:t>
      </w:r>
      <w:r w:rsidRPr="00B52428">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Dariotis et al. 2017) and </w:t>
      </w:r>
      <w:r w:rsidRPr="00B52428">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Roeser et al. 2013), who underscore the importance of collective efforts among educators and school staff in implementing and sustaining mindfulness initiatives.</w:t>
      </w:r>
      <w:r>
        <w:rPr>
          <w:rFonts w:ascii="Times New Roman" w:hAnsi="Times New Roman" w:cs="Times New Roman"/>
          <w:color w:val="0D0D0D"/>
          <w:shd w:val="clear" w:color="auto" w:fill="FFFFFF"/>
        </w:rPr>
        <w:t xml:space="preserve"> </w:t>
      </w:r>
    </w:p>
    <w:p w14:paraId="1685B856"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1661227A" w14:textId="5F54F46A"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 xml:space="preserve">The emphasis on staff cooperation and consistent implementation, as highlighted by the well-being officer, is echoed in literature by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Flook et al. 2010)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Zoogman et al. 2014). These studies stress the critical role of unified practices across the school in the success of mindfulness programs. Additionally, insights from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Renshaw et al. 2019)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Zenner et al. 2014) emphasi</w:t>
      </w:r>
      <w:r>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e the importance of continuous improvement and access to resources in enhancing mindfulness and well-being initiatives, aligning with the well-being officer's call for additional time and support to further refine and expand the school's well-being practices.</w:t>
      </w:r>
    </w:p>
    <w:p w14:paraId="357F3F9C"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0CAD9B23" w14:textId="77777777" w:rsidR="00B52428" w:rsidRPr="00B52428" w:rsidRDefault="00B52428" w:rsidP="00B52428">
      <w:pPr>
        <w:spacing w:line="480" w:lineRule="auto"/>
        <w:ind w:left="720" w:hanging="720"/>
        <w:jc w:val="both"/>
        <w:rPr>
          <w:rFonts w:ascii="Times New Roman" w:hAnsi="Times New Roman" w:cs="Times New Roman"/>
          <w:b/>
          <w:bCs/>
        </w:rPr>
      </w:pPr>
      <w:r w:rsidRPr="00B52428">
        <w:rPr>
          <w:rFonts w:ascii="Times New Roman" w:hAnsi="Times New Roman" w:cs="Times New Roman"/>
          <w:b/>
          <w:bCs/>
        </w:rPr>
        <w:t xml:space="preserve">Conclusions </w:t>
      </w:r>
    </w:p>
    <w:p w14:paraId="20A66121" w14:textId="1530E2E8"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Reflecting on the entirety of the research journey undertaken, several critical insights emerge regarding the preparation, execution, and implications of the study. Firstly, the chosen data collection</w:t>
      </w:r>
      <w:r w:rsidRPr="00B52428">
        <w:rPr>
          <w:rFonts w:ascii="Times New Roman" w:hAnsi="Times New Roman" w:cs="Times New Roman"/>
          <w:color w:val="0D0D0D"/>
          <w:shd w:val="clear" w:color="auto" w:fill="FFFFFF"/>
        </w:rPr>
        <w:t xml:space="preserve"> methods</w:t>
      </w:r>
      <w:r w:rsidRPr="00B52428">
        <w:rPr>
          <w:rFonts w:ascii="Times New Roman" w:hAnsi="Times New Roman" w:cs="Times New Roman"/>
          <w:color w:val="0D0D0D"/>
          <w:shd w:val="clear" w:color="auto" w:fill="FFFFFF"/>
        </w:rPr>
        <w:t xml:space="preserve">, including questionnaires for both students and teachers, provided a comprehensive understanding of the implementation and impact of mindfulness and well-being practices within the educational context. These methods </w:t>
      </w:r>
      <w:r w:rsidRPr="00B52428">
        <w:rPr>
          <w:rFonts w:ascii="Times New Roman" w:hAnsi="Times New Roman" w:cs="Times New Roman"/>
          <w:color w:val="0D0D0D"/>
          <w:shd w:val="clear" w:color="auto" w:fill="FFFFFF"/>
        </w:rPr>
        <w:lastRenderedPageBreak/>
        <w:t xml:space="preserve">align with previous studies by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Jennings et al. 2013) and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Greenberg and Harris 2012), which emphasi</w:t>
      </w:r>
      <w:r w:rsidRPr="00B52428">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e the importance of gathering data directly from stakeholders to assess the effectiveness of mindfulness interventions. However, it is important to acknowledge potential limitations, such as social desirability bias and the subjective nature of self-report measures, which may affect the reliability and validity of the findings (Renshaw et al., 2019).</w:t>
      </w:r>
    </w:p>
    <w:p w14:paraId="2B7682E1"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63FBEFA3" w14:textId="63866085"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 xml:space="preserve">Moreover, the findings obtained from the study offer rich insights into the efficacy of mindfulness practices in promoting student well-being and academic engagement, aligning with existing literature on the subject. Research by </w:t>
      </w:r>
      <w:r>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Felver et al. 2016) supports the positive impact of mindfulness interventions on student </w:t>
      </w:r>
      <w:r w:rsidRPr="00B52428">
        <w:rPr>
          <w:rFonts w:ascii="Times New Roman" w:hAnsi="Times New Roman" w:cs="Times New Roman"/>
          <w:color w:val="0D0D0D"/>
          <w:shd w:val="clear" w:color="auto" w:fill="FFFFFF"/>
        </w:rPr>
        <w:t>behaviour</w:t>
      </w:r>
      <w:r w:rsidRPr="00B52428">
        <w:rPr>
          <w:rFonts w:ascii="Times New Roman" w:hAnsi="Times New Roman" w:cs="Times New Roman"/>
          <w:color w:val="0D0D0D"/>
          <w:shd w:val="clear" w:color="auto" w:fill="FFFFFF"/>
        </w:rPr>
        <w:t xml:space="preserve"> and emotional regulation, highlighting the relevance of the current study's findings. However, caution must be exercised in generali</w:t>
      </w:r>
      <w:r w:rsidRPr="00B52428">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 xml:space="preserve">ing these findings beyond the </w:t>
      </w:r>
      <w:r w:rsidRPr="00B52428">
        <w:rPr>
          <w:rFonts w:ascii="Times New Roman" w:hAnsi="Times New Roman" w:cs="Times New Roman"/>
          <w:color w:val="0D0D0D"/>
          <w:shd w:val="clear" w:color="auto" w:fill="FFFFFF"/>
        </w:rPr>
        <w:t xml:space="preserve">study’s </w:t>
      </w:r>
      <w:r w:rsidRPr="00B52428">
        <w:rPr>
          <w:rFonts w:ascii="Times New Roman" w:hAnsi="Times New Roman" w:cs="Times New Roman"/>
          <w:color w:val="0D0D0D"/>
          <w:shd w:val="clear" w:color="auto" w:fill="FFFFFF"/>
        </w:rPr>
        <w:t>specific context</w:t>
      </w:r>
      <w:r w:rsidRPr="00B52428">
        <w:rPr>
          <w:rFonts w:ascii="Times New Roman" w:hAnsi="Times New Roman" w:cs="Times New Roman"/>
          <w:color w:val="0D0D0D"/>
          <w:shd w:val="clear" w:color="auto" w:fill="FFFFFF"/>
        </w:rPr>
        <w:t>,</w:t>
      </w:r>
      <w:r w:rsidRPr="00B52428">
        <w:rPr>
          <w:rFonts w:ascii="Times New Roman" w:hAnsi="Times New Roman" w:cs="Times New Roman"/>
          <w:color w:val="0D0D0D"/>
          <w:shd w:val="clear" w:color="auto" w:fill="FFFFFF"/>
        </w:rPr>
        <w:t xml:space="preserve"> </w:t>
      </w:r>
      <w:r w:rsidRPr="00B52428">
        <w:rPr>
          <w:rFonts w:ascii="Times New Roman" w:hAnsi="Times New Roman" w:cs="Times New Roman"/>
          <w:color w:val="0D0D0D"/>
          <w:shd w:val="clear" w:color="auto" w:fill="FFFFFF"/>
        </w:rPr>
        <w:t>considering</w:t>
      </w:r>
      <w:r w:rsidRPr="00B52428">
        <w:rPr>
          <w:rFonts w:ascii="Times New Roman" w:hAnsi="Times New Roman" w:cs="Times New Roman"/>
          <w:color w:val="0D0D0D"/>
          <w:shd w:val="clear" w:color="auto" w:fill="FFFFFF"/>
        </w:rPr>
        <w:t xml:space="preserve"> </w:t>
      </w:r>
      <w:r w:rsidRPr="00B52428">
        <w:rPr>
          <w:rFonts w:ascii="Times New Roman" w:hAnsi="Times New Roman" w:cs="Times New Roman"/>
          <w:color w:val="0D0D0D"/>
          <w:shd w:val="clear" w:color="auto" w:fill="FFFFFF"/>
        </w:rPr>
        <w:t>each</w:t>
      </w:r>
      <w:r w:rsidRPr="00B52428">
        <w:rPr>
          <w:rFonts w:ascii="Times New Roman" w:hAnsi="Times New Roman" w:cs="Times New Roman"/>
          <w:color w:val="0D0D0D"/>
          <w:shd w:val="clear" w:color="auto" w:fill="FFFFFF"/>
        </w:rPr>
        <w:t xml:space="preserve"> </w:t>
      </w:r>
      <w:r w:rsidRPr="00B52428">
        <w:rPr>
          <w:rFonts w:ascii="Times New Roman" w:hAnsi="Times New Roman" w:cs="Times New Roman"/>
          <w:color w:val="0D0D0D"/>
          <w:shd w:val="clear" w:color="auto" w:fill="FFFFFF"/>
        </w:rPr>
        <w:t>educational</w:t>
      </w:r>
      <w:r w:rsidRPr="00B52428">
        <w:rPr>
          <w:rFonts w:ascii="Times New Roman" w:hAnsi="Times New Roman" w:cs="Times New Roman"/>
          <w:color w:val="0D0D0D"/>
          <w:shd w:val="clear" w:color="auto" w:fill="FFFFFF"/>
        </w:rPr>
        <w:t xml:space="preserve"> </w:t>
      </w:r>
      <w:r w:rsidRPr="00B52428">
        <w:rPr>
          <w:rFonts w:ascii="Times New Roman" w:hAnsi="Times New Roman" w:cs="Times New Roman"/>
          <w:color w:val="0D0D0D"/>
          <w:shd w:val="clear" w:color="auto" w:fill="FFFFFF"/>
        </w:rPr>
        <w:t>setting's</w:t>
      </w:r>
      <w:r w:rsidRPr="00B52428">
        <w:rPr>
          <w:rFonts w:ascii="Times New Roman" w:hAnsi="Times New Roman" w:cs="Times New Roman"/>
          <w:color w:val="0D0D0D"/>
          <w:shd w:val="clear" w:color="auto" w:fill="FFFFFF"/>
        </w:rPr>
        <w:t xml:space="preserve"> unique characteristics and dynamics (Meiklejohn et al., 2012).</w:t>
      </w:r>
    </w:p>
    <w:p w14:paraId="00D33BDB"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4339C218"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F</w:t>
      </w:r>
      <w:r w:rsidRPr="00B52428">
        <w:rPr>
          <w:rFonts w:ascii="Times New Roman" w:hAnsi="Times New Roman" w:cs="Times New Roman"/>
          <w:color w:val="0D0D0D"/>
          <w:shd w:val="clear" w:color="auto" w:fill="FFFFFF"/>
        </w:rPr>
        <w:t>uture research endeavo</w:t>
      </w:r>
      <w:r w:rsidRPr="00B52428">
        <w:rPr>
          <w:rFonts w:ascii="Times New Roman" w:hAnsi="Times New Roman" w:cs="Times New Roman"/>
          <w:color w:val="0D0D0D"/>
          <w:shd w:val="clear" w:color="auto" w:fill="FFFFFF"/>
        </w:rPr>
        <w:t>u</w:t>
      </w:r>
      <w:r w:rsidRPr="00B52428">
        <w:rPr>
          <w:rFonts w:ascii="Times New Roman" w:hAnsi="Times New Roman" w:cs="Times New Roman"/>
          <w:color w:val="0D0D0D"/>
          <w:shd w:val="clear" w:color="auto" w:fill="FFFFFF"/>
        </w:rPr>
        <w:t xml:space="preserve">rs could focus on implementing </w:t>
      </w:r>
      <w:r w:rsidRPr="00B52428">
        <w:rPr>
          <w:rFonts w:ascii="Times New Roman" w:hAnsi="Times New Roman" w:cs="Times New Roman"/>
          <w:color w:val="0D0D0D"/>
          <w:shd w:val="clear" w:color="auto" w:fill="FFFFFF"/>
        </w:rPr>
        <w:t>mixed methods</w:t>
      </w:r>
      <w:r w:rsidRPr="00B52428">
        <w:rPr>
          <w:rFonts w:ascii="Times New Roman" w:hAnsi="Times New Roman" w:cs="Times New Roman"/>
          <w:color w:val="0D0D0D"/>
          <w:shd w:val="clear" w:color="auto" w:fill="FFFFFF"/>
        </w:rPr>
        <w:t xml:space="preserve"> approaches, combining quantitative data from standardi</w:t>
      </w:r>
      <w:r w:rsidRPr="00B52428">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ed assessments with qualitative insights from interviews or focus groups. This would enhance the depth and breadth of understanding regarding the impact of mindfulness practices on student outcomes (Dariotis et al., 2017). Furthermore, in terms of professional development, the findings from this study underscore the importance of ongoing training and support for educators in implementing mindfulness practices effectively. Aligning with Professional Standards, future research endeavo</w:t>
      </w:r>
      <w:r w:rsidRPr="00B52428">
        <w:rPr>
          <w:rFonts w:ascii="Times New Roman" w:hAnsi="Times New Roman" w:cs="Times New Roman"/>
          <w:color w:val="0D0D0D"/>
          <w:shd w:val="clear" w:color="auto" w:fill="FFFFFF"/>
        </w:rPr>
        <w:t>u</w:t>
      </w:r>
      <w:r w:rsidRPr="00B52428">
        <w:rPr>
          <w:rFonts w:ascii="Times New Roman" w:hAnsi="Times New Roman" w:cs="Times New Roman"/>
          <w:color w:val="0D0D0D"/>
          <w:shd w:val="clear" w:color="auto" w:fill="FFFFFF"/>
        </w:rPr>
        <w:t xml:space="preserve">rs could explore </w:t>
      </w:r>
      <w:r w:rsidRPr="00B52428">
        <w:rPr>
          <w:rFonts w:ascii="Times New Roman" w:hAnsi="Times New Roman" w:cs="Times New Roman"/>
          <w:color w:val="0D0D0D"/>
          <w:shd w:val="clear" w:color="auto" w:fill="FFFFFF"/>
        </w:rPr>
        <w:t>integrating</w:t>
      </w:r>
      <w:r w:rsidRPr="00B52428">
        <w:rPr>
          <w:rFonts w:ascii="Times New Roman" w:hAnsi="Times New Roman" w:cs="Times New Roman"/>
          <w:color w:val="0D0D0D"/>
          <w:shd w:val="clear" w:color="auto" w:fill="FFFFFF"/>
        </w:rPr>
        <w:t xml:space="preserve"> mindfulness education </w:t>
      </w:r>
      <w:r w:rsidRPr="00B52428">
        <w:rPr>
          <w:rFonts w:ascii="Times New Roman" w:hAnsi="Times New Roman" w:cs="Times New Roman"/>
          <w:color w:val="0D0D0D"/>
          <w:shd w:val="clear" w:color="auto" w:fill="FFFFFF"/>
        </w:rPr>
        <w:lastRenderedPageBreak/>
        <w:t>within teacher training programs, fostering a culture of well-being and resilience within educational communities (Schonert-Reichl et al., 2015).</w:t>
      </w:r>
    </w:p>
    <w:p w14:paraId="092E178F"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58D2198C" w14:textId="19D7DC60" w:rsidR="00B52428" w:rsidRDefault="00B52428" w:rsidP="00B52428">
      <w:pPr>
        <w:spacing w:line="480" w:lineRule="auto"/>
        <w:ind w:left="720" w:hanging="720"/>
        <w:jc w:val="both"/>
        <w:rPr>
          <w:rFonts w:ascii="Times New Roman" w:hAnsi="Times New Roman" w:cs="Times New Roman"/>
          <w:b/>
          <w:bCs/>
        </w:rPr>
      </w:pPr>
      <w:r>
        <w:rPr>
          <w:rFonts w:ascii="Times New Roman" w:hAnsi="Times New Roman" w:cs="Times New Roman"/>
          <w:b/>
          <w:bCs/>
        </w:rPr>
        <w:t>Recommendations</w:t>
      </w:r>
    </w:p>
    <w:p w14:paraId="69D1C75D" w14:textId="77777777"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In light of the research findings, several recommendations emerge for enhancing the integration of mindfulness and well-being practices within educational settings. Firstly, it is imperative to prioriti</w:t>
      </w:r>
      <w:r>
        <w:rPr>
          <w:rFonts w:ascii="Times New Roman" w:hAnsi="Times New Roman" w:cs="Times New Roman"/>
          <w:color w:val="0D0D0D"/>
          <w:shd w:val="clear" w:color="auto" w:fill="FFFFFF"/>
        </w:rPr>
        <w:t>s</w:t>
      </w:r>
      <w:r w:rsidRPr="00B52428">
        <w:rPr>
          <w:rFonts w:ascii="Times New Roman" w:hAnsi="Times New Roman" w:cs="Times New Roman"/>
          <w:color w:val="0D0D0D"/>
          <w:shd w:val="clear" w:color="auto" w:fill="FFFFFF"/>
        </w:rPr>
        <w:t xml:space="preserve">e ongoing professional development opportunities for educators to ensure they </w:t>
      </w:r>
      <w:r>
        <w:rPr>
          <w:rFonts w:ascii="Times New Roman" w:hAnsi="Times New Roman" w:cs="Times New Roman"/>
          <w:color w:val="0D0D0D"/>
          <w:shd w:val="clear" w:color="auto" w:fill="FFFFFF"/>
        </w:rPr>
        <w:t>have</w:t>
      </w:r>
      <w:r w:rsidRPr="00B52428">
        <w:rPr>
          <w:rFonts w:ascii="Times New Roman" w:hAnsi="Times New Roman" w:cs="Times New Roman"/>
          <w:color w:val="0D0D0D"/>
          <w:shd w:val="clear" w:color="auto" w:fill="FFFFFF"/>
        </w:rPr>
        <w:t xml:space="preserve"> the necessary skills and knowledge to effectively implement mindfulness interventions (Jennings et al., 2013). Tailored support mechanisms should be established to address the diverse needs of students, with dedicated well-being support teams comprising counsel</w:t>
      </w:r>
      <w:r>
        <w:rPr>
          <w:rFonts w:ascii="Times New Roman" w:hAnsi="Times New Roman" w:cs="Times New Roman"/>
          <w:color w:val="0D0D0D"/>
          <w:shd w:val="clear" w:color="auto" w:fill="FFFFFF"/>
        </w:rPr>
        <w:t>l</w:t>
      </w:r>
      <w:r w:rsidRPr="00B52428">
        <w:rPr>
          <w:rFonts w:ascii="Times New Roman" w:hAnsi="Times New Roman" w:cs="Times New Roman"/>
          <w:color w:val="0D0D0D"/>
          <w:shd w:val="clear" w:color="auto" w:fill="FFFFFF"/>
        </w:rPr>
        <w:t xml:space="preserve">ors, psychologists, and well-being officers (Greenberg &amp; Harris, 2012). </w:t>
      </w:r>
    </w:p>
    <w:p w14:paraId="5CEE671D" w14:textId="6142031B" w:rsidR="00B52428" w:rsidRDefault="00B52428" w:rsidP="00B52428">
      <w:pPr>
        <w:spacing w:line="480" w:lineRule="auto"/>
        <w:ind w:left="720" w:hanging="720"/>
        <w:jc w:val="both"/>
        <w:rPr>
          <w:rFonts w:ascii="Times New Roman" w:hAnsi="Times New Roman" w:cs="Times New Roman"/>
          <w:color w:val="0D0D0D"/>
          <w:shd w:val="clear" w:color="auto" w:fill="FFFFFF"/>
        </w:rPr>
      </w:pPr>
      <w:r w:rsidRPr="00B52428">
        <w:rPr>
          <w:rFonts w:ascii="Times New Roman" w:hAnsi="Times New Roman" w:cs="Times New Roman"/>
          <w:color w:val="0D0D0D"/>
          <w:shd w:val="clear" w:color="auto" w:fill="FFFFFF"/>
        </w:rPr>
        <w:t>Moreover, mindfulness practices should be integrated into the school curriculum across various subjects and grade levels to promote consistent exposure and reinforcement of well-being principles (Felver et al., 2016). Collaborative efforts with parents and the wider community are essential to promote holistic student well-being (Cowie et al., 2019). Future research endeavo</w:t>
      </w:r>
      <w:r>
        <w:rPr>
          <w:rFonts w:ascii="Times New Roman" w:hAnsi="Times New Roman" w:cs="Times New Roman"/>
          <w:color w:val="0D0D0D"/>
          <w:shd w:val="clear" w:color="auto" w:fill="FFFFFF"/>
        </w:rPr>
        <w:t>u</w:t>
      </w:r>
      <w:r w:rsidRPr="00B52428">
        <w:rPr>
          <w:rFonts w:ascii="Times New Roman" w:hAnsi="Times New Roman" w:cs="Times New Roman"/>
          <w:color w:val="0D0D0D"/>
          <w:shd w:val="clear" w:color="auto" w:fill="FFFFFF"/>
        </w:rPr>
        <w:t xml:space="preserve">rs should focus on longitudinal studies to assess the long-term impact of mindfulness interventions on student outcomes and explore alternative intervention strategies (O’Reilly et al., 2020). Adopting a cyclical process of evaluation and adaptation is crucial to ensuring the continuous improvement and responsiveness of mindfulness interventions to the evolving needs of students (Durlak et al., 2011). </w:t>
      </w:r>
    </w:p>
    <w:p w14:paraId="35A1A7C7" w14:textId="77777777" w:rsidR="00B52428" w:rsidRPr="00B52428" w:rsidRDefault="00B52428" w:rsidP="00B52428">
      <w:pPr>
        <w:spacing w:line="480" w:lineRule="auto"/>
        <w:ind w:left="720" w:hanging="720"/>
        <w:jc w:val="both"/>
        <w:rPr>
          <w:rFonts w:ascii="Times New Roman" w:hAnsi="Times New Roman" w:cs="Times New Roman"/>
          <w:color w:val="0D0D0D"/>
          <w:shd w:val="clear" w:color="auto" w:fill="FFFFFF"/>
        </w:rPr>
      </w:pPr>
    </w:p>
    <w:p w14:paraId="0EC97F78" w14:textId="77777777" w:rsidR="00B52428" w:rsidRDefault="00B52428" w:rsidP="00B52428">
      <w:pPr>
        <w:spacing w:line="480" w:lineRule="auto"/>
        <w:jc w:val="both"/>
        <w:rPr>
          <w:rFonts w:ascii="Times New Roman" w:hAnsi="Times New Roman" w:cs="Times New Roman"/>
          <w:b/>
          <w:bCs/>
        </w:rPr>
      </w:pPr>
    </w:p>
    <w:p w14:paraId="7EF8D1E3" w14:textId="77777777" w:rsidR="00B52428" w:rsidRDefault="00B52428" w:rsidP="00B52428">
      <w:pPr>
        <w:spacing w:line="480" w:lineRule="auto"/>
        <w:jc w:val="both"/>
        <w:rPr>
          <w:rFonts w:ascii="Times New Roman" w:hAnsi="Times New Roman" w:cs="Times New Roman"/>
          <w:b/>
          <w:bCs/>
        </w:rPr>
      </w:pPr>
    </w:p>
    <w:p w14:paraId="490038EB" w14:textId="77777777" w:rsidR="00B52428" w:rsidRDefault="00B52428" w:rsidP="00B52428">
      <w:pPr>
        <w:spacing w:line="480" w:lineRule="auto"/>
        <w:jc w:val="both"/>
        <w:rPr>
          <w:rFonts w:ascii="Times New Roman" w:hAnsi="Times New Roman" w:cs="Times New Roman"/>
          <w:b/>
          <w:bCs/>
        </w:rPr>
      </w:pPr>
    </w:p>
    <w:p w14:paraId="4F53C54E" w14:textId="2A98F51E"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lastRenderedPageBreak/>
        <w:t xml:space="preserve">Reference List </w:t>
      </w:r>
    </w:p>
    <w:p w14:paraId="771A4F02"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Belacchi</w:t>
      </w:r>
      <w:proofErr w:type="spellEnd"/>
      <w:r w:rsidRPr="00B52428">
        <w:rPr>
          <w:rFonts w:ascii="Times New Roman" w:eastAsia="Times New Roman" w:hAnsi="Times New Roman" w:cs="Times New Roman"/>
          <w:color w:val="000000"/>
          <w:lang w:eastAsia="en-GB"/>
        </w:rPr>
        <w:t xml:space="preserve">, C., Farina, E., Molina, </w:t>
      </w:r>
      <w:proofErr w:type="gramStart"/>
      <w:r w:rsidRPr="00B52428">
        <w:rPr>
          <w:rFonts w:ascii="Times New Roman" w:eastAsia="Times New Roman" w:hAnsi="Times New Roman" w:cs="Times New Roman"/>
          <w:color w:val="000000"/>
          <w:lang w:eastAsia="en-GB"/>
        </w:rPr>
        <w:t>P.</w:t>
      </w:r>
      <w:proofErr w:type="gramEnd"/>
      <w:r w:rsidRPr="00B52428">
        <w:rPr>
          <w:rFonts w:ascii="Times New Roman" w:eastAsia="Times New Roman" w:hAnsi="Times New Roman" w:cs="Times New Roman"/>
          <w:color w:val="000000"/>
          <w:lang w:eastAsia="en-GB"/>
        </w:rPr>
        <w:t xml:space="preserve"> and Nicoletta </w:t>
      </w:r>
      <w:proofErr w:type="spellStart"/>
      <w:r w:rsidRPr="00B52428">
        <w:rPr>
          <w:rFonts w:ascii="Times New Roman" w:eastAsia="Times New Roman" w:hAnsi="Times New Roman" w:cs="Times New Roman"/>
          <w:color w:val="000000"/>
          <w:lang w:eastAsia="en-GB"/>
        </w:rPr>
        <w:t>Businaro</w:t>
      </w:r>
      <w:proofErr w:type="spellEnd"/>
      <w:r w:rsidRPr="00B52428">
        <w:rPr>
          <w:rFonts w:ascii="Times New Roman" w:eastAsia="Times New Roman" w:hAnsi="Times New Roman" w:cs="Times New Roman"/>
          <w:color w:val="000000"/>
          <w:lang w:eastAsia="en-GB"/>
        </w:rPr>
        <w:t xml:space="preserve"> (2022). </w:t>
      </w:r>
      <w:r w:rsidRPr="00B52428">
        <w:rPr>
          <w:rFonts w:ascii="Times New Roman" w:eastAsia="Times New Roman" w:hAnsi="Times New Roman" w:cs="Times New Roman"/>
          <w:i/>
          <w:iCs/>
          <w:color w:val="000000"/>
          <w:lang w:eastAsia="en-GB"/>
        </w:rPr>
        <w:t xml:space="preserve">Socio-emotional Skills in Relation to Aggressive and Prosocial </w:t>
      </w:r>
      <w:proofErr w:type="spellStart"/>
      <w:r w:rsidRPr="00B52428">
        <w:rPr>
          <w:rFonts w:ascii="Times New Roman" w:eastAsia="Times New Roman" w:hAnsi="Times New Roman" w:cs="Times New Roman"/>
          <w:i/>
          <w:iCs/>
          <w:color w:val="000000"/>
          <w:lang w:eastAsia="en-GB"/>
        </w:rPr>
        <w:t>Behaviors</w:t>
      </w:r>
      <w:proofErr w:type="spellEnd"/>
      <w:r w:rsidRPr="00B52428">
        <w:rPr>
          <w:rFonts w:ascii="Times New Roman" w:eastAsia="Times New Roman" w:hAnsi="Times New Roman" w:cs="Times New Roman"/>
          <w:i/>
          <w:iCs/>
          <w:color w:val="000000"/>
          <w:lang w:eastAsia="en-GB"/>
        </w:rPr>
        <w:t>: From Early Childhood to Adolescence</w:t>
      </w:r>
      <w:r w:rsidRPr="00B52428">
        <w:rPr>
          <w:rFonts w:ascii="Times New Roman" w:eastAsia="Times New Roman" w:hAnsi="Times New Roman" w:cs="Times New Roman"/>
          <w:color w:val="000000"/>
          <w:lang w:eastAsia="en-GB"/>
        </w:rPr>
        <w:t>. Frontiers Media SA.</w:t>
      </w:r>
    </w:p>
    <w:p w14:paraId="4755F537" w14:textId="083C9B30"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Bierman, K.L., </w:t>
      </w:r>
      <w:proofErr w:type="spellStart"/>
      <w:r w:rsidRPr="00B52428">
        <w:rPr>
          <w:rFonts w:ascii="Times New Roman" w:eastAsia="Times New Roman" w:hAnsi="Times New Roman" w:cs="Times New Roman"/>
          <w:color w:val="000000"/>
          <w:lang w:eastAsia="en-GB"/>
        </w:rPr>
        <w:t>Coie</w:t>
      </w:r>
      <w:proofErr w:type="spellEnd"/>
      <w:r w:rsidRPr="00B52428">
        <w:rPr>
          <w:rFonts w:ascii="Times New Roman" w:eastAsia="Times New Roman" w:hAnsi="Times New Roman" w:cs="Times New Roman"/>
          <w:color w:val="000000"/>
          <w:lang w:eastAsia="en-GB"/>
        </w:rPr>
        <w:t xml:space="preserve">, J.D., Dodge, K.A., Greenberg, M.T., </w:t>
      </w:r>
      <w:proofErr w:type="spellStart"/>
      <w:r w:rsidRPr="00B52428">
        <w:rPr>
          <w:rFonts w:ascii="Times New Roman" w:eastAsia="Times New Roman" w:hAnsi="Times New Roman" w:cs="Times New Roman"/>
          <w:color w:val="000000"/>
          <w:lang w:eastAsia="en-GB"/>
        </w:rPr>
        <w:t>Lochman</w:t>
      </w:r>
      <w:proofErr w:type="spellEnd"/>
      <w:r w:rsidRPr="00B52428">
        <w:rPr>
          <w:rFonts w:ascii="Times New Roman" w:eastAsia="Times New Roman" w:hAnsi="Times New Roman" w:cs="Times New Roman"/>
          <w:color w:val="000000"/>
          <w:lang w:eastAsia="en-GB"/>
        </w:rPr>
        <w:t xml:space="preserve">, J.E., </w:t>
      </w:r>
      <w:proofErr w:type="spellStart"/>
      <w:r w:rsidRPr="00B52428">
        <w:rPr>
          <w:rFonts w:ascii="Times New Roman" w:eastAsia="Times New Roman" w:hAnsi="Times New Roman" w:cs="Times New Roman"/>
          <w:color w:val="000000"/>
          <w:lang w:eastAsia="en-GB"/>
        </w:rPr>
        <w:t>Mcmahon</w:t>
      </w:r>
      <w:proofErr w:type="spellEnd"/>
      <w:r w:rsidRPr="00B52428">
        <w:rPr>
          <w:rFonts w:ascii="Times New Roman" w:eastAsia="Times New Roman" w:hAnsi="Times New Roman" w:cs="Times New Roman"/>
          <w:color w:val="000000"/>
          <w:lang w:eastAsia="en-GB"/>
        </w:rPr>
        <w:t xml:space="preserve">, R.J., </w:t>
      </w:r>
      <w:proofErr w:type="spellStart"/>
      <w:r w:rsidRPr="00B52428">
        <w:rPr>
          <w:rFonts w:ascii="Times New Roman" w:eastAsia="Times New Roman" w:hAnsi="Times New Roman" w:cs="Times New Roman"/>
          <w:color w:val="000000"/>
          <w:lang w:eastAsia="en-GB"/>
        </w:rPr>
        <w:t>Pinderhughes</w:t>
      </w:r>
      <w:proofErr w:type="spellEnd"/>
      <w:r w:rsidRPr="00B52428">
        <w:rPr>
          <w:rFonts w:ascii="Times New Roman" w:eastAsia="Times New Roman" w:hAnsi="Times New Roman" w:cs="Times New Roman"/>
          <w:color w:val="000000"/>
          <w:lang w:eastAsia="en-GB"/>
        </w:rPr>
        <w:t>, E.E., Tolan, P.H. and Group, R. (2020). </w:t>
      </w:r>
      <w:r w:rsidRPr="00B52428">
        <w:rPr>
          <w:rFonts w:ascii="Times New Roman" w:eastAsia="Times New Roman" w:hAnsi="Times New Roman" w:cs="Times New Roman"/>
          <w:i/>
          <w:iCs/>
          <w:color w:val="000000"/>
          <w:lang w:eastAsia="en-GB"/>
        </w:rPr>
        <w:t xml:space="preserve">The Fast Track program for children at risk: preventing antisocial </w:t>
      </w:r>
      <w:proofErr w:type="spellStart"/>
      <w:r w:rsidRPr="00B52428">
        <w:rPr>
          <w:rFonts w:ascii="Times New Roman" w:eastAsia="Times New Roman" w:hAnsi="Times New Roman" w:cs="Times New Roman"/>
          <w:i/>
          <w:iCs/>
          <w:color w:val="000000"/>
          <w:lang w:eastAsia="en-GB"/>
        </w:rPr>
        <w:t>behavior</w:t>
      </w:r>
      <w:proofErr w:type="spellEnd"/>
      <w:r w:rsidRPr="00B52428">
        <w:rPr>
          <w:rFonts w:ascii="Times New Roman" w:eastAsia="Times New Roman" w:hAnsi="Times New Roman" w:cs="Times New Roman"/>
          <w:color w:val="000000"/>
          <w:lang w:eastAsia="en-GB"/>
        </w:rPr>
        <w:t>. New York, New York; London: The Guilford Press.</w:t>
      </w:r>
    </w:p>
    <w:p w14:paraId="47AD11A0"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Bogdan, </w:t>
      </w:r>
      <w:proofErr w:type="gramStart"/>
      <w:r w:rsidRPr="00B52428">
        <w:rPr>
          <w:rFonts w:ascii="Times New Roman" w:eastAsia="Times New Roman" w:hAnsi="Times New Roman" w:cs="Times New Roman"/>
          <w:color w:val="000000"/>
          <w:lang w:eastAsia="en-GB"/>
        </w:rPr>
        <w:t>R.</w:t>
      </w:r>
      <w:proofErr w:type="gramEnd"/>
      <w:r w:rsidRPr="00B52428">
        <w:rPr>
          <w:rFonts w:ascii="Times New Roman" w:eastAsia="Times New Roman" w:hAnsi="Times New Roman" w:cs="Times New Roman"/>
          <w:color w:val="000000"/>
          <w:lang w:eastAsia="en-GB"/>
        </w:rPr>
        <w:t xml:space="preserve"> and Sari </w:t>
      </w:r>
      <w:proofErr w:type="spellStart"/>
      <w:r w:rsidRPr="00B52428">
        <w:rPr>
          <w:rFonts w:ascii="Times New Roman" w:eastAsia="Times New Roman" w:hAnsi="Times New Roman" w:cs="Times New Roman"/>
          <w:color w:val="000000"/>
          <w:lang w:eastAsia="en-GB"/>
        </w:rPr>
        <w:t>Knopp</w:t>
      </w:r>
      <w:proofErr w:type="spellEnd"/>
      <w:r w:rsidRPr="00B52428">
        <w:rPr>
          <w:rFonts w:ascii="Times New Roman" w:eastAsia="Times New Roman" w:hAnsi="Times New Roman" w:cs="Times New Roman"/>
          <w:color w:val="000000"/>
          <w:lang w:eastAsia="en-GB"/>
        </w:rPr>
        <w:t xml:space="preserve"> Biklen (1998). </w:t>
      </w:r>
      <w:r w:rsidRPr="00B52428">
        <w:rPr>
          <w:rFonts w:ascii="Times New Roman" w:eastAsia="Times New Roman" w:hAnsi="Times New Roman" w:cs="Times New Roman"/>
          <w:i/>
          <w:iCs/>
          <w:color w:val="000000"/>
          <w:lang w:eastAsia="en-GB"/>
        </w:rPr>
        <w:t>Qualitative Research for Education</w:t>
      </w:r>
      <w:r w:rsidRPr="00B52428">
        <w:rPr>
          <w:rFonts w:ascii="Times New Roman" w:eastAsia="Times New Roman" w:hAnsi="Times New Roman" w:cs="Times New Roman"/>
          <w:color w:val="000000"/>
          <w:lang w:eastAsia="en-GB"/>
        </w:rPr>
        <w:t xml:space="preserve">. </w:t>
      </w:r>
      <w:proofErr w:type="spellStart"/>
      <w:r w:rsidRPr="00B52428">
        <w:rPr>
          <w:rFonts w:ascii="Times New Roman" w:eastAsia="Times New Roman" w:hAnsi="Times New Roman" w:cs="Times New Roman"/>
          <w:color w:val="000000"/>
          <w:lang w:eastAsia="en-GB"/>
        </w:rPr>
        <w:t>Allyn</w:t>
      </w:r>
      <w:proofErr w:type="spellEnd"/>
      <w:r w:rsidRPr="00B52428">
        <w:rPr>
          <w:rFonts w:ascii="Times New Roman" w:eastAsia="Times New Roman" w:hAnsi="Times New Roman" w:cs="Times New Roman"/>
          <w:color w:val="000000"/>
          <w:lang w:eastAsia="en-GB"/>
        </w:rPr>
        <w:t xml:space="preserve"> &amp; Bacon.</w:t>
      </w:r>
    </w:p>
    <w:p w14:paraId="558A0E60"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Bronfenbrenner, U. (1979). </w:t>
      </w:r>
      <w:r w:rsidRPr="00B52428">
        <w:rPr>
          <w:rFonts w:ascii="Times New Roman" w:eastAsia="Times New Roman" w:hAnsi="Times New Roman" w:cs="Times New Roman"/>
          <w:i/>
          <w:iCs/>
          <w:color w:val="000000"/>
          <w:lang w:eastAsia="en-GB"/>
        </w:rPr>
        <w:t>The ecology of human development: Experiments by nature and design.</w:t>
      </w:r>
      <w:r w:rsidRPr="00B52428">
        <w:rPr>
          <w:rFonts w:ascii="Times New Roman" w:eastAsia="Times New Roman" w:hAnsi="Times New Roman" w:cs="Times New Roman"/>
          <w:color w:val="000000"/>
          <w:lang w:eastAsia="en-GB"/>
        </w:rPr>
        <w:t> 1st ed. Cambridge: Harvard University Press.</w:t>
      </w:r>
    </w:p>
    <w:p w14:paraId="2C565E41"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Bryman, A. (2016). </w:t>
      </w:r>
      <w:r w:rsidRPr="00B52428">
        <w:rPr>
          <w:rFonts w:ascii="Times New Roman" w:eastAsia="Times New Roman" w:hAnsi="Times New Roman" w:cs="Times New Roman"/>
          <w:i/>
          <w:iCs/>
          <w:color w:val="000000"/>
          <w:lang w:eastAsia="en-GB"/>
        </w:rPr>
        <w:t>Social Research Methods</w:t>
      </w:r>
      <w:r w:rsidRPr="00B52428">
        <w:rPr>
          <w:rFonts w:ascii="Times New Roman" w:eastAsia="Times New Roman" w:hAnsi="Times New Roman" w:cs="Times New Roman"/>
          <w:color w:val="000000"/>
          <w:lang w:eastAsia="en-GB"/>
        </w:rPr>
        <w:t>. 5th ed. Oxford: Oxford University Press.</w:t>
      </w:r>
    </w:p>
    <w:p w14:paraId="086AB43D"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Burrows, P. and Cowie, J. (2022). </w:t>
      </w:r>
      <w:r w:rsidRPr="00B52428">
        <w:rPr>
          <w:rFonts w:ascii="Times New Roman" w:eastAsia="Times New Roman" w:hAnsi="Times New Roman" w:cs="Times New Roman"/>
          <w:i/>
          <w:iCs/>
          <w:color w:val="000000"/>
          <w:lang w:eastAsia="en-GB"/>
        </w:rPr>
        <w:t>Health Visiting Specialist Community Public Health Nursing</w:t>
      </w:r>
      <w:r w:rsidRPr="00B52428">
        <w:rPr>
          <w:rFonts w:ascii="Times New Roman" w:eastAsia="Times New Roman" w:hAnsi="Times New Roman" w:cs="Times New Roman"/>
          <w:color w:val="000000"/>
          <w:lang w:eastAsia="en-GB"/>
        </w:rPr>
        <w:t>. Amsterdam: Elsevier.</w:t>
      </w:r>
    </w:p>
    <w:p w14:paraId="00914CB9" w14:textId="2448D987"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Ceglie</w:t>
      </w:r>
      <w:proofErr w:type="spellEnd"/>
      <w:r w:rsidRPr="00B52428">
        <w:rPr>
          <w:rFonts w:ascii="Times New Roman" w:eastAsia="Times New Roman" w:hAnsi="Times New Roman" w:cs="Times New Roman"/>
          <w:color w:val="000000"/>
          <w:lang w:eastAsia="en-GB"/>
        </w:rPr>
        <w:t xml:space="preserve">, R.J., Abernathy, </w:t>
      </w:r>
      <w:proofErr w:type="gramStart"/>
      <w:r w:rsidRPr="00B52428">
        <w:rPr>
          <w:rFonts w:ascii="Times New Roman" w:eastAsia="Times New Roman" w:hAnsi="Times New Roman" w:cs="Times New Roman"/>
          <w:color w:val="000000"/>
          <w:lang w:eastAsia="en-GB"/>
        </w:rPr>
        <w:t>D.F.</w:t>
      </w:r>
      <w:proofErr w:type="gramEnd"/>
      <w:r w:rsidRPr="00B52428">
        <w:rPr>
          <w:rFonts w:ascii="Times New Roman" w:eastAsia="Times New Roman" w:hAnsi="Times New Roman" w:cs="Times New Roman"/>
          <w:color w:val="000000"/>
          <w:lang w:eastAsia="en-GB"/>
        </w:rPr>
        <w:t xml:space="preserve"> and Thornburg, A.W. (2022). </w:t>
      </w:r>
      <w:r w:rsidRPr="00B52428">
        <w:rPr>
          <w:rFonts w:ascii="Times New Roman" w:eastAsia="Times New Roman" w:hAnsi="Times New Roman" w:cs="Times New Roman"/>
          <w:i/>
          <w:iCs/>
          <w:color w:val="000000"/>
          <w:lang w:eastAsia="en-GB"/>
        </w:rPr>
        <w:t>Schoolchildren of the COVID-19 Pandemic: Impact and Opportunities</w:t>
      </w:r>
      <w:r w:rsidRPr="00B52428">
        <w:rPr>
          <w:rFonts w:ascii="Times New Roman" w:eastAsia="Times New Roman" w:hAnsi="Times New Roman" w:cs="Times New Roman"/>
          <w:color w:val="000000"/>
          <w:lang w:eastAsia="en-GB"/>
        </w:rPr>
        <w:t>. Bingley: Emerald Publishing Limited.</w:t>
      </w:r>
    </w:p>
    <w:p w14:paraId="61391066"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Cheminais</w:t>
      </w:r>
      <w:proofErr w:type="spellEnd"/>
      <w:r w:rsidRPr="00B52428">
        <w:rPr>
          <w:rFonts w:ascii="Times New Roman" w:eastAsia="Times New Roman" w:hAnsi="Times New Roman" w:cs="Times New Roman"/>
          <w:color w:val="000000"/>
          <w:lang w:eastAsia="en-GB"/>
        </w:rPr>
        <w:t>, R. (2014). </w:t>
      </w:r>
      <w:r w:rsidRPr="00B52428">
        <w:rPr>
          <w:rFonts w:ascii="Times New Roman" w:eastAsia="Times New Roman" w:hAnsi="Times New Roman" w:cs="Times New Roman"/>
          <w:i/>
          <w:iCs/>
          <w:color w:val="000000"/>
          <w:lang w:eastAsia="en-GB"/>
        </w:rPr>
        <w:t>Every Child Matters</w:t>
      </w:r>
      <w:r w:rsidRPr="00B52428">
        <w:rPr>
          <w:rFonts w:ascii="Times New Roman" w:eastAsia="Times New Roman" w:hAnsi="Times New Roman" w:cs="Times New Roman"/>
          <w:color w:val="000000"/>
          <w:lang w:eastAsia="en-GB"/>
        </w:rPr>
        <w:t>. Routledge.</w:t>
      </w:r>
    </w:p>
    <w:p w14:paraId="653705ED" w14:textId="1909B3F1"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Creswell, J.W. (1998). </w:t>
      </w:r>
      <w:r w:rsidRPr="00B52428">
        <w:rPr>
          <w:rFonts w:ascii="Times New Roman" w:eastAsia="Times New Roman" w:hAnsi="Times New Roman" w:cs="Times New Roman"/>
          <w:i/>
          <w:iCs/>
          <w:color w:val="000000"/>
          <w:lang w:eastAsia="en-GB"/>
        </w:rPr>
        <w:t>Qualitative inquiry and research design: choosing among five traditions</w:t>
      </w:r>
      <w:r w:rsidRPr="00B52428">
        <w:rPr>
          <w:rFonts w:ascii="Times New Roman" w:eastAsia="Times New Roman" w:hAnsi="Times New Roman" w:cs="Times New Roman"/>
          <w:color w:val="000000"/>
          <w:lang w:eastAsia="en-GB"/>
        </w:rPr>
        <w:t>. Thousand Oaks, Calif. Sage.</w:t>
      </w:r>
    </w:p>
    <w:p w14:paraId="0AEB377B"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Cristina and Ramos, S. (2021). </w:t>
      </w:r>
      <w:r w:rsidRPr="00B52428">
        <w:rPr>
          <w:rFonts w:ascii="Times New Roman" w:eastAsia="Times New Roman" w:hAnsi="Times New Roman" w:cs="Times New Roman"/>
          <w:i/>
          <w:iCs/>
          <w:color w:val="000000"/>
          <w:lang w:eastAsia="en-GB"/>
        </w:rPr>
        <w:t>Handbook of Research on Assertiveness, Clarity, and Positivity in Health Literacy</w:t>
      </w:r>
      <w:r w:rsidRPr="00B52428">
        <w:rPr>
          <w:rFonts w:ascii="Times New Roman" w:eastAsia="Times New Roman" w:hAnsi="Times New Roman" w:cs="Times New Roman"/>
          <w:color w:val="000000"/>
          <w:lang w:eastAsia="en-GB"/>
        </w:rPr>
        <w:t>. IGI Global.</w:t>
      </w:r>
    </w:p>
    <w:p w14:paraId="7CBC301D" w14:textId="5E5FB759"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Demauro</w:t>
      </w:r>
      <w:proofErr w:type="spellEnd"/>
      <w:r w:rsidRPr="00B52428">
        <w:rPr>
          <w:rFonts w:ascii="Times New Roman" w:eastAsia="Times New Roman" w:hAnsi="Times New Roman" w:cs="Times New Roman"/>
          <w:color w:val="000000"/>
          <w:lang w:eastAsia="en-GB"/>
        </w:rPr>
        <w:t xml:space="preserve">, A.A., Jennings, P.A. and </w:t>
      </w:r>
      <w:proofErr w:type="spellStart"/>
      <w:r w:rsidRPr="00B52428">
        <w:rPr>
          <w:rFonts w:ascii="Times New Roman" w:eastAsia="Times New Roman" w:hAnsi="Times New Roman" w:cs="Times New Roman"/>
          <w:color w:val="000000"/>
          <w:lang w:eastAsia="en-GB"/>
        </w:rPr>
        <w:t>Mischenko</w:t>
      </w:r>
      <w:proofErr w:type="spellEnd"/>
      <w:r w:rsidRPr="00B52428">
        <w:rPr>
          <w:rFonts w:ascii="Times New Roman" w:eastAsia="Times New Roman" w:hAnsi="Times New Roman" w:cs="Times New Roman"/>
          <w:color w:val="000000"/>
          <w:lang w:eastAsia="en-GB"/>
        </w:rPr>
        <w:t>, P.P. (2019). </w:t>
      </w:r>
      <w:r w:rsidRPr="00B52428">
        <w:rPr>
          <w:rFonts w:ascii="Times New Roman" w:eastAsia="Times New Roman" w:hAnsi="Times New Roman" w:cs="Times New Roman"/>
          <w:i/>
          <w:iCs/>
          <w:color w:val="000000"/>
          <w:lang w:eastAsia="en-GB"/>
        </w:rPr>
        <w:t>The mindful school: transforming school culture through mindfulness and compassion</w:t>
      </w:r>
      <w:r w:rsidRPr="00B52428">
        <w:rPr>
          <w:rFonts w:ascii="Times New Roman" w:eastAsia="Times New Roman" w:hAnsi="Times New Roman" w:cs="Times New Roman"/>
          <w:color w:val="000000"/>
          <w:lang w:eastAsia="en-GB"/>
        </w:rPr>
        <w:t>. New York, Ny: The Guilford Press.</w:t>
      </w:r>
    </w:p>
    <w:p w14:paraId="5A8EBED8" w14:textId="57CFEA63"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Denscombe, M. (2014a). </w:t>
      </w:r>
      <w:r w:rsidRPr="00B52428">
        <w:rPr>
          <w:rFonts w:ascii="Times New Roman" w:eastAsia="Times New Roman" w:hAnsi="Times New Roman" w:cs="Times New Roman"/>
          <w:i/>
          <w:iCs/>
          <w:color w:val="000000"/>
          <w:lang w:eastAsia="en-GB"/>
        </w:rPr>
        <w:t>The Good Research Guide: for small-scale Social Research Projects</w:t>
      </w:r>
      <w:r w:rsidRPr="00B52428">
        <w:rPr>
          <w:rFonts w:ascii="Times New Roman" w:eastAsia="Times New Roman" w:hAnsi="Times New Roman" w:cs="Times New Roman"/>
          <w:color w:val="000000"/>
          <w:lang w:eastAsia="en-GB"/>
        </w:rPr>
        <w:t>. 5th ed. Maidenhead, England: Open University Press.</w:t>
      </w:r>
    </w:p>
    <w:p w14:paraId="313C5D7B"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Elliot Hall, J. and Marinka </w:t>
      </w:r>
      <w:proofErr w:type="spellStart"/>
      <w:r w:rsidRPr="00B52428">
        <w:rPr>
          <w:rFonts w:ascii="Times New Roman" w:eastAsia="Times New Roman" w:hAnsi="Times New Roman" w:cs="Times New Roman"/>
          <w:color w:val="000000"/>
          <w:lang w:eastAsia="en-GB"/>
        </w:rPr>
        <w:t>Kreppner</w:t>
      </w:r>
      <w:proofErr w:type="spellEnd"/>
      <w:r w:rsidRPr="00B52428">
        <w:rPr>
          <w:rFonts w:ascii="Times New Roman" w:eastAsia="Times New Roman" w:hAnsi="Times New Roman" w:cs="Times New Roman"/>
          <w:color w:val="000000"/>
          <w:lang w:eastAsia="en-GB"/>
        </w:rPr>
        <w:t>, J. (2019). </w:t>
      </w:r>
      <w:r w:rsidRPr="00B52428">
        <w:rPr>
          <w:rFonts w:ascii="Times New Roman" w:eastAsia="Times New Roman" w:hAnsi="Times New Roman" w:cs="Times New Roman"/>
          <w:i/>
          <w:iCs/>
          <w:color w:val="000000"/>
          <w:lang w:eastAsia="en-GB"/>
        </w:rPr>
        <w:t>How Can Education Better Support the Mental Health &amp; Wellbeing of Young People? Contributions From Developmental Psychopathology &amp; Educational Effectiveness Research</w:t>
      </w:r>
      <w:r w:rsidRPr="00B52428">
        <w:rPr>
          <w:rFonts w:ascii="Times New Roman" w:eastAsia="Times New Roman" w:hAnsi="Times New Roman" w:cs="Times New Roman"/>
          <w:color w:val="000000"/>
          <w:lang w:eastAsia="en-GB"/>
        </w:rPr>
        <w:t>. [</w:t>
      </w:r>
      <w:proofErr w:type="spellStart"/>
      <w:r w:rsidRPr="00B52428">
        <w:rPr>
          <w:rFonts w:ascii="Times New Roman" w:eastAsia="Times New Roman" w:hAnsi="Times New Roman" w:cs="Times New Roman"/>
          <w:color w:val="000000"/>
          <w:lang w:eastAsia="en-GB"/>
        </w:rPr>
        <w:t>Erscheinungsort</w:t>
      </w:r>
      <w:proofErr w:type="spellEnd"/>
      <w:r w:rsidRPr="00B52428">
        <w:rPr>
          <w:rFonts w:ascii="Times New Roman" w:eastAsia="Times New Roman" w:hAnsi="Times New Roman" w:cs="Times New Roman"/>
          <w:color w:val="000000"/>
          <w:lang w:eastAsia="en-GB"/>
        </w:rPr>
        <w:t xml:space="preserve"> </w:t>
      </w:r>
      <w:proofErr w:type="spellStart"/>
      <w:r w:rsidRPr="00B52428">
        <w:rPr>
          <w:rFonts w:ascii="Times New Roman" w:eastAsia="Times New Roman" w:hAnsi="Times New Roman" w:cs="Times New Roman"/>
          <w:color w:val="000000"/>
          <w:lang w:eastAsia="en-GB"/>
        </w:rPr>
        <w:t>nicht</w:t>
      </w:r>
      <w:proofErr w:type="spellEnd"/>
      <w:r w:rsidRPr="00B52428">
        <w:rPr>
          <w:rFonts w:ascii="Times New Roman" w:eastAsia="Times New Roman" w:hAnsi="Times New Roman" w:cs="Times New Roman"/>
          <w:color w:val="000000"/>
          <w:lang w:eastAsia="en-GB"/>
        </w:rPr>
        <w:t xml:space="preserve"> </w:t>
      </w:r>
      <w:proofErr w:type="spellStart"/>
      <w:r w:rsidRPr="00B52428">
        <w:rPr>
          <w:rFonts w:ascii="Times New Roman" w:eastAsia="Times New Roman" w:hAnsi="Times New Roman" w:cs="Times New Roman"/>
          <w:color w:val="000000"/>
          <w:lang w:eastAsia="en-GB"/>
        </w:rPr>
        <w:t>ermittelbar</w:t>
      </w:r>
      <w:proofErr w:type="spellEnd"/>
      <w:r w:rsidRPr="00B52428">
        <w:rPr>
          <w:rFonts w:ascii="Times New Roman" w:eastAsia="Times New Roman" w:hAnsi="Times New Roman" w:cs="Times New Roman"/>
          <w:color w:val="000000"/>
          <w:lang w:eastAsia="en-GB"/>
        </w:rPr>
        <w:t>]: Frontiers Media SA.</w:t>
      </w:r>
    </w:p>
    <w:p w14:paraId="73DAF892"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lastRenderedPageBreak/>
        <w:t>ESTYN (2024). </w:t>
      </w:r>
      <w:r w:rsidRPr="00B52428">
        <w:rPr>
          <w:rFonts w:ascii="Times New Roman" w:eastAsia="Times New Roman" w:hAnsi="Times New Roman" w:cs="Times New Roman"/>
          <w:i/>
          <w:iCs/>
          <w:color w:val="000000"/>
          <w:lang w:eastAsia="en-GB"/>
        </w:rPr>
        <w:t>A report on Birchgrove Primary School Birchgrove Road Birchgrove Cardiff CF14 1RR Date of inspection: February 2024 by Estyn, His Majesty’s Inspectorate for Education and Training in Wales</w:t>
      </w:r>
      <w:r w:rsidRPr="00B52428">
        <w:rPr>
          <w:rFonts w:ascii="Times New Roman" w:eastAsia="Times New Roman" w:hAnsi="Times New Roman" w:cs="Times New Roman"/>
          <w:color w:val="000000"/>
          <w:lang w:eastAsia="en-GB"/>
        </w:rPr>
        <w:t>. [online] Available at: https://www.estyn.gov.wales/system/files/2024-03/Inspection%20report%20Birchgrove%20Primary%20School%202024_0.pdf [Accessed 6 May 2024].</w:t>
      </w:r>
    </w:p>
    <w:p w14:paraId="327EDE6B"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Fisher, W.W., Piazza, </w:t>
      </w:r>
      <w:proofErr w:type="gramStart"/>
      <w:r w:rsidRPr="00B52428">
        <w:rPr>
          <w:rFonts w:ascii="Times New Roman" w:eastAsia="Times New Roman" w:hAnsi="Times New Roman" w:cs="Times New Roman"/>
          <w:color w:val="000000"/>
          <w:lang w:eastAsia="en-GB"/>
        </w:rPr>
        <w:t>C.C.</w:t>
      </w:r>
      <w:proofErr w:type="gramEnd"/>
      <w:r w:rsidRPr="00B52428">
        <w:rPr>
          <w:rFonts w:ascii="Times New Roman" w:eastAsia="Times New Roman" w:hAnsi="Times New Roman" w:cs="Times New Roman"/>
          <w:color w:val="000000"/>
          <w:lang w:eastAsia="en-GB"/>
        </w:rPr>
        <w:t xml:space="preserve"> and </w:t>
      </w:r>
      <w:proofErr w:type="spellStart"/>
      <w:r w:rsidRPr="00B52428">
        <w:rPr>
          <w:rFonts w:ascii="Times New Roman" w:eastAsia="Times New Roman" w:hAnsi="Times New Roman" w:cs="Times New Roman"/>
          <w:color w:val="000000"/>
          <w:lang w:eastAsia="en-GB"/>
        </w:rPr>
        <w:t>Roane</w:t>
      </w:r>
      <w:proofErr w:type="spellEnd"/>
      <w:r w:rsidRPr="00B52428">
        <w:rPr>
          <w:rFonts w:ascii="Times New Roman" w:eastAsia="Times New Roman" w:hAnsi="Times New Roman" w:cs="Times New Roman"/>
          <w:color w:val="000000"/>
          <w:lang w:eastAsia="en-GB"/>
        </w:rPr>
        <w:t>, H.S. (2021). </w:t>
      </w:r>
      <w:r w:rsidRPr="00B52428">
        <w:rPr>
          <w:rFonts w:ascii="Times New Roman" w:eastAsia="Times New Roman" w:hAnsi="Times New Roman" w:cs="Times New Roman"/>
          <w:i/>
          <w:iCs/>
          <w:color w:val="000000"/>
          <w:lang w:eastAsia="en-GB"/>
        </w:rPr>
        <w:t xml:space="preserve">Handbook of applied </w:t>
      </w:r>
      <w:proofErr w:type="spellStart"/>
      <w:r w:rsidRPr="00B52428">
        <w:rPr>
          <w:rFonts w:ascii="Times New Roman" w:eastAsia="Times New Roman" w:hAnsi="Times New Roman" w:cs="Times New Roman"/>
          <w:i/>
          <w:iCs/>
          <w:color w:val="000000"/>
          <w:lang w:eastAsia="en-GB"/>
        </w:rPr>
        <w:t>behavior</w:t>
      </w:r>
      <w:proofErr w:type="spellEnd"/>
      <w:r w:rsidRPr="00B52428">
        <w:rPr>
          <w:rFonts w:ascii="Times New Roman" w:eastAsia="Times New Roman" w:hAnsi="Times New Roman" w:cs="Times New Roman"/>
          <w:i/>
          <w:iCs/>
          <w:color w:val="000000"/>
          <w:lang w:eastAsia="en-GB"/>
        </w:rPr>
        <w:t xml:space="preserve"> analysis</w:t>
      </w:r>
      <w:r w:rsidRPr="00B52428">
        <w:rPr>
          <w:rFonts w:ascii="Times New Roman" w:eastAsia="Times New Roman" w:hAnsi="Times New Roman" w:cs="Times New Roman"/>
          <w:color w:val="000000"/>
          <w:lang w:eastAsia="en-GB"/>
        </w:rPr>
        <w:t>. New York, Ny: The Guilford Press.</w:t>
      </w:r>
    </w:p>
    <w:p w14:paraId="48277F92"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Green, J.L., </w:t>
      </w:r>
      <w:proofErr w:type="spellStart"/>
      <w:r w:rsidRPr="00B52428">
        <w:rPr>
          <w:rFonts w:ascii="Times New Roman" w:eastAsia="Times New Roman" w:hAnsi="Times New Roman" w:cs="Times New Roman"/>
          <w:color w:val="000000"/>
          <w:lang w:eastAsia="en-GB"/>
        </w:rPr>
        <w:t>Camilli</w:t>
      </w:r>
      <w:proofErr w:type="spellEnd"/>
      <w:r w:rsidRPr="00B52428">
        <w:rPr>
          <w:rFonts w:ascii="Times New Roman" w:eastAsia="Times New Roman" w:hAnsi="Times New Roman" w:cs="Times New Roman"/>
          <w:color w:val="000000"/>
          <w:lang w:eastAsia="en-GB"/>
        </w:rPr>
        <w:t>, G. and Elmore, P.B. (2006). </w:t>
      </w:r>
      <w:r w:rsidRPr="00B52428">
        <w:rPr>
          <w:rFonts w:ascii="Times New Roman" w:eastAsia="Times New Roman" w:hAnsi="Times New Roman" w:cs="Times New Roman"/>
          <w:i/>
          <w:iCs/>
          <w:color w:val="000000"/>
          <w:lang w:eastAsia="en-GB"/>
        </w:rPr>
        <w:t>Complementary methods for research in education</w:t>
      </w:r>
      <w:r w:rsidRPr="00B52428">
        <w:rPr>
          <w:rFonts w:ascii="Times New Roman" w:eastAsia="Times New Roman" w:hAnsi="Times New Roman" w:cs="Times New Roman"/>
          <w:color w:val="000000"/>
          <w:lang w:eastAsia="en-GB"/>
        </w:rPr>
        <w:t>. Mahwah, Nj: Lawrence Erlbaum Associates, Publishers.</w:t>
      </w:r>
    </w:p>
    <w:p w14:paraId="2E55CF91" w14:textId="7AD4FBE1"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Gregory, G. and Chapman, C. (2013). </w:t>
      </w:r>
      <w:r w:rsidRPr="00B52428">
        <w:rPr>
          <w:rFonts w:ascii="Times New Roman" w:eastAsia="Times New Roman" w:hAnsi="Times New Roman" w:cs="Times New Roman"/>
          <w:i/>
          <w:iCs/>
          <w:color w:val="000000"/>
          <w:lang w:eastAsia="en-GB"/>
        </w:rPr>
        <w:t>Differentiated instructional strategies: one size doesn’t fit all</w:t>
      </w:r>
      <w:r w:rsidRPr="00B52428">
        <w:rPr>
          <w:rFonts w:ascii="Times New Roman" w:eastAsia="Times New Roman" w:hAnsi="Times New Roman" w:cs="Times New Roman"/>
          <w:color w:val="000000"/>
          <w:lang w:eastAsia="en-GB"/>
        </w:rPr>
        <w:t>. Thousand Oaks, California: Corwin Press.</w:t>
      </w:r>
    </w:p>
    <w:p w14:paraId="2D08CB1D"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Holmes, E. (2018). </w:t>
      </w:r>
      <w:r w:rsidRPr="00B52428">
        <w:rPr>
          <w:rFonts w:ascii="Times New Roman" w:eastAsia="Times New Roman" w:hAnsi="Times New Roman" w:cs="Times New Roman"/>
          <w:i/>
          <w:iCs/>
          <w:color w:val="000000"/>
          <w:lang w:eastAsia="en-GB"/>
        </w:rPr>
        <w:t>A Practical Guide to Teacher Wellbeing</w:t>
      </w:r>
      <w:r w:rsidRPr="00B52428">
        <w:rPr>
          <w:rFonts w:ascii="Times New Roman" w:eastAsia="Times New Roman" w:hAnsi="Times New Roman" w:cs="Times New Roman"/>
          <w:color w:val="000000"/>
          <w:lang w:eastAsia="en-GB"/>
        </w:rPr>
        <w:t>. Learning Matters.</w:t>
      </w:r>
    </w:p>
    <w:p w14:paraId="4564DE6B"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Hulme, M., Smith, R. and O’Sullivan, R. (2021). </w:t>
      </w:r>
      <w:proofErr w:type="spellStart"/>
      <w:r w:rsidRPr="00B52428">
        <w:rPr>
          <w:rFonts w:ascii="Times New Roman" w:eastAsia="Times New Roman" w:hAnsi="Times New Roman" w:cs="Times New Roman"/>
          <w:i/>
          <w:iCs/>
          <w:color w:val="000000"/>
          <w:lang w:eastAsia="en-GB"/>
        </w:rPr>
        <w:t>Ebook</w:t>
      </w:r>
      <w:proofErr w:type="spellEnd"/>
      <w:r w:rsidRPr="00B52428">
        <w:rPr>
          <w:rFonts w:ascii="Times New Roman" w:eastAsia="Times New Roman" w:hAnsi="Times New Roman" w:cs="Times New Roman"/>
          <w:i/>
          <w:iCs/>
          <w:color w:val="000000"/>
          <w:lang w:eastAsia="en-GB"/>
        </w:rPr>
        <w:t>: Mastering Teaching: Thriving as an Early Career Teacher</w:t>
      </w:r>
      <w:r w:rsidRPr="00B52428">
        <w:rPr>
          <w:rFonts w:ascii="Times New Roman" w:eastAsia="Times New Roman" w:hAnsi="Times New Roman" w:cs="Times New Roman"/>
          <w:color w:val="000000"/>
          <w:lang w:eastAsia="en-GB"/>
        </w:rPr>
        <w:t>. McGraw-Hill Education (UK).</w:t>
      </w:r>
    </w:p>
    <w:p w14:paraId="49B58244"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Ka, K., </w:t>
      </w:r>
      <w:proofErr w:type="spellStart"/>
      <w:r w:rsidRPr="00B52428">
        <w:rPr>
          <w:rFonts w:ascii="Times New Roman" w:eastAsia="Times New Roman" w:hAnsi="Times New Roman" w:cs="Times New Roman"/>
          <w:color w:val="000000"/>
          <w:lang w:eastAsia="en-GB"/>
        </w:rPr>
        <w:t>Ngar</w:t>
      </w:r>
      <w:proofErr w:type="spellEnd"/>
      <w:r w:rsidRPr="00B52428">
        <w:rPr>
          <w:rFonts w:ascii="Times New Roman" w:eastAsia="Times New Roman" w:hAnsi="Times New Roman" w:cs="Times New Roman"/>
          <w:color w:val="000000"/>
          <w:lang w:eastAsia="en-GB"/>
        </w:rPr>
        <w:t>, E. and John Chi-Kin Lee (2024). </w:t>
      </w:r>
      <w:r w:rsidRPr="00B52428">
        <w:rPr>
          <w:rFonts w:ascii="Times New Roman" w:eastAsia="Times New Roman" w:hAnsi="Times New Roman" w:cs="Times New Roman"/>
          <w:i/>
          <w:iCs/>
          <w:color w:val="000000"/>
          <w:lang w:eastAsia="en-GB"/>
        </w:rPr>
        <w:t>Mindfulness for Child and Adolescent Well-Being</w:t>
      </w:r>
      <w:r w:rsidRPr="00B52428">
        <w:rPr>
          <w:rFonts w:ascii="Times New Roman" w:eastAsia="Times New Roman" w:hAnsi="Times New Roman" w:cs="Times New Roman"/>
          <w:color w:val="000000"/>
          <w:lang w:eastAsia="en-GB"/>
        </w:rPr>
        <w:t>. Taylor &amp; Francis.</w:t>
      </w:r>
    </w:p>
    <w:p w14:paraId="53534AE9" w14:textId="36FBF439"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Lane, K.L. and Al, E. (2012). </w:t>
      </w:r>
      <w:r w:rsidRPr="00B52428">
        <w:rPr>
          <w:rFonts w:ascii="Times New Roman" w:eastAsia="Times New Roman" w:hAnsi="Times New Roman" w:cs="Times New Roman"/>
          <w:i/>
          <w:iCs/>
          <w:color w:val="000000"/>
          <w:lang w:eastAsia="en-GB"/>
        </w:rPr>
        <w:t xml:space="preserve">Systematic screenings of </w:t>
      </w:r>
      <w:proofErr w:type="spellStart"/>
      <w:r w:rsidRPr="00B52428">
        <w:rPr>
          <w:rFonts w:ascii="Times New Roman" w:eastAsia="Times New Roman" w:hAnsi="Times New Roman" w:cs="Times New Roman"/>
          <w:i/>
          <w:iCs/>
          <w:color w:val="000000"/>
          <w:lang w:eastAsia="en-GB"/>
        </w:rPr>
        <w:t>behavior</w:t>
      </w:r>
      <w:proofErr w:type="spellEnd"/>
      <w:r w:rsidRPr="00B52428">
        <w:rPr>
          <w:rFonts w:ascii="Times New Roman" w:eastAsia="Times New Roman" w:hAnsi="Times New Roman" w:cs="Times New Roman"/>
          <w:i/>
          <w:iCs/>
          <w:color w:val="000000"/>
          <w:lang w:eastAsia="en-GB"/>
        </w:rPr>
        <w:t xml:space="preserve"> to support instruction: from preschool to high school</w:t>
      </w:r>
      <w:r w:rsidRPr="00B52428">
        <w:rPr>
          <w:rFonts w:ascii="Times New Roman" w:eastAsia="Times New Roman" w:hAnsi="Times New Roman" w:cs="Times New Roman"/>
          <w:color w:val="000000"/>
          <w:lang w:eastAsia="en-GB"/>
        </w:rPr>
        <w:t>. New York; London: The Guilford Press, Cop.</w:t>
      </w:r>
    </w:p>
    <w:p w14:paraId="3D6DAF2D" w14:textId="29570098"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Leschied</w:t>
      </w:r>
      <w:proofErr w:type="spellEnd"/>
      <w:r w:rsidRPr="00B52428">
        <w:rPr>
          <w:rFonts w:ascii="Times New Roman" w:eastAsia="Times New Roman" w:hAnsi="Times New Roman" w:cs="Times New Roman"/>
          <w:color w:val="000000"/>
          <w:lang w:eastAsia="en-GB"/>
        </w:rPr>
        <w:t xml:space="preserve">, A.W., </w:t>
      </w:r>
      <w:proofErr w:type="spellStart"/>
      <w:r w:rsidRPr="00B52428">
        <w:rPr>
          <w:rFonts w:ascii="Times New Roman" w:eastAsia="Times New Roman" w:hAnsi="Times New Roman" w:cs="Times New Roman"/>
          <w:color w:val="000000"/>
          <w:lang w:eastAsia="en-GB"/>
        </w:rPr>
        <w:t>Saklofske</w:t>
      </w:r>
      <w:proofErr w:type="spellEnd"/>
      <w:r w:rsidRPr="00B52428">
        <w:rPr>
          <w:rFonts w:ascii="Times New Roman" w:eastAsia="Times New Roman" w:hAnsi="Times New Roman" w:cs="Times New Roman"/>
          <w:color w:val="000000"/>
          <w:lang w:eastAsia="en-GB"/>
        </w:rPr>
        <w:t xml:space="preserve">, D.H., </w:t>
      </w:r>
      <w:proofErr w:type="spellStart"/>
      <w:r w:rsidRPr="00B52428">
        <w:rPr>
          <w:rFonts w:ascii="Times New Roman" w:eastAsia="Times New Roman" w:hAnsi="Times New Roman" w:cs="Times New Roman"/>
          <w:color w:val="000000"/>
          <w:lang w:eastAsia="en-GB"/>
        </w:rPr>
        <w:t>Flett</w:t>
      </w:r>
      <w:proofErr w:type="spellEnd"/>
      <w:r w:rsidRPr="00B52428">
        <w:rPr>
          <w:rFonts w:ascii="Times New Roman" w:eastAsia="Times New Roman" w:hAnsi="Times New Roman" w:cs="Times New Roman"/>
          <w:color w:val="000000"/>
          <w:lang w:eastAsia="en-GB"/>
        </w:rPr>
        <w:t xml:space="preserve">, G.L. and </w:t>
      </w:r>
      <w:proofErr w:type="spellStart"/>
      <w:r w:rsidRPr="00B52428">
        <w:rPr>
          <w:rFonts w:ascii="Times New Roman" w:eastAsia="Times New Roman" w:hAnsi="Times New Roman" w:cs="Times New Roman"/>
          <w:color w:val="000000"/>
          <w:lang w:eastAsia="en-GB"/>
        </w:rPr>
        <w:t>Springerlink</w:t>
      </w:r>
      <w:proofErr w:type="spellEnd"/>
      <w:r w:rsidRPr="00B52428">
        <w:rPr>
          <w:rFonts w:ascii="Times New Roman" w:eastAsia="Times New Roman" w:hAnsi="Times New Roman" w:cs="Times New Roman"/>
          <w:color w:val="000000"/>
          <w:lang w:eastAsia="en-GB"/>
        </w:rPr>
        <w:t xml:space="preserve"> (Online Service (2018). </w:t>
      </w:r>
      <w:r w:rsidRPr="00B52428">
        <w:rPr>
          <w:rFonts w:ascii="Times New Roman" w:eastAsia="Times New Roman" w:hAnsi="Times New Roman" w:cs="Times New Roman"/>
          <w:i/>
          <w:iCs/>
          <w:color w:val="000000"/>
          <w:lang w:eastAsia="en-GB"/>
        </w:rPr>
        <w:t>Handbook of School-Based Mental Health Promotion: An Evidence-Informed Framework for Implementation</w:t>
      </w:r>
      <w:r w:rsidRPr="00B52428">
        <w:rPr>
          <w:rFonts w:ascii="Times New Roman" w:eastAsia="Times New Roman" w:hAnsi="Times New Roman" w:cs="Times New Roman"/>
          <w:color w:val="000000"/>
          <w:lang w:eastAsia="en-GB"/>
        </w:rPr>
        <w:t>. Cham: Springer International Publishing.</w:t>
      </w:r>
    </w:p>
    <w:p w14:paraId="33E625B8"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Lincoln, Y.S. and Guba, E.G. (1985). </w:t>
      </w:r>
      <w:r w:rsidRPr="00B52428">
        <w:rPr>
          <w:rFonts w:ascii="Times New Roman" w:eastAsia="Times New Roman" w:hAnsi="Times New Roman" w:cs="Times New Roman"/>
          <w:i/>
          <w:iCs/>
          <w:color w:val="000000"/>
          <w:lang w:eastAsia="en-GB"/>
        </w:rPr>
        <w:t>Naturalistic Inquiry</w:t>
      </w:r>
      <w:r w:rsidRPr="00B52428">
        <w:rPr>
          <w:rFonts w:ascii="Times New Roman" w:eastAsia="Times New Roman" w:hAnsi="Times New Roman" w:cs="Times New Roman"/>
          <w:color w:val="000000"/>
          <w:lang w:eastAsia="en-GB"/>
        </w:rPr>
        <w:t>. London: Sage Publications.</w:t>
      </w:r>
    </w:p>
    <w:p w14:paraId="1F41CB8D" w14:textId="745437AA"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Mansfield, C.F. (2020). </w:t>
      </w:r>
      <w:r w:rsidRPr="00B52428">
        <w:rPr>
          <w:rFonts w:ascii="Times New Roman" w:eastAsia="Times New Roman" w:hAnsi="Times New Roman" w:cs="Times New Roman"/>
          <w:i/>
          <w:iCs/>
          <w:color w:val="000000"/>
          <w:lang w:eastAsia="en-GB"/>
        </w:rPr>
        <w:t xml:space="preserve">Cultivating teacher resilience: International approaches, </w:t>
      </w:r>
      <w:r w:rsidRPr="00B52428">
        <w:rPr>
          <w:rFonts w:ascii="Times New Roman" w:eastAsia="Times New Roman" w:hAnsi="Times New Roman" w:cs="Times New Roman"/>
          <w:i/>
          <w:iCs/>
          <w:color w:val="000000"/>
          <w:lang w:eastAsia="en-GB"/>
        </w:rPr>
        <w:t>applications,</w:t>
      </w:r>
      <w:r w:rsidRPr="00B52428">
        <w:rPr>
          <w:rFonts w:ascii="Times New Roman" w:eastAsia="Times New Roman" w:hAnsi="Times New Roman" w:cs="Times New Roman"/>
          <w:i/>
          <w:iCs/>
          <w:color w:val="000000"/>
          <w:lang w:eastAsia="en-GB"/>
        </w:rPr>
        <w:t xml:space="preserve"> and impact.</w:t>
      </w:r>
      <w:r w:rsidRPr="00B52428">
        <w:rPr>
          <w:rFonts w:ascii="Times New Roman" w:eastAsia="Times New Roman" w:hAnsi="Times New Roman" w:cs="Times New Roman"/>
          <w:color w:val="000000"/>
          <w:lang w:eastAsia="en-GB"/>
        </w:rPr>
        <w:t> Singapore: Springer.</w:t>
      </w:r>
    </w:p>
    <w:p w14:paraId="3A2AB38B"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Martyn Denscombe (2014b). </w:t>
      </w:r>
      <w:r w:rsidRPr="00B52428">
        <w:rPr>
          <w:rFonts w:ascii="Times New Roman" w:eastAsia="Times New Roman" w:hAnsi="Times New Roman" w:cs="Times New Roman"/>
          <w:i/>
          <w:iCs/>
          <w:color w:val="000000"/>
          <w:lang w:eastAsia="en-GB"/>
        </w:rPr>
        <w:t>Classroom control.</w:t>
      </w:r>
      <w:r w:rsidRPr="00B52428">
        <w:rPr>
          <w:rFonts w:ascii="Times New Roman" w:eastAsia="Times New Roman" w:hAnsi="Times New Roman" w:cs="Times New Roman"/>
          <w:color w:val="000000"/>
          <w:lang w:eastAsia="en-GB"/>
        </w:rPr>
        <w:t> Routledge.</w:t>
      </w:r>
    </w:p>
    <w:p w14:paraId="1336B4BD"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Nel Noddings (2013). </w:t>
      </w:r>
      <w:r w:rsidRPr="00B52428">
        <w:rPr>
          <w:rFonts w:ascii="Times New Roman" w:eastAsia="Times New Roman" w:hAnsi="Times New Roman" w:cs="Times New Roman"/>
          <w:i/>
          <w:iCs/>
          <w:color w:val="000000"/>
          <w:lang w:eastAsia="en-GB"/>
        </w:rPr>
        <w:t>Caring: a relational approach to ethics &amp; moral education</w:t>
      </w:r>
      <w:r w:rsidRPr="00B52428">
        <w:rPr>
          <w:rFonts w:ascii="Times New Roman" w:eastAsia="Times New Roman" w:hAnsi="Times New Roman" w:cs="Times New Roman"/>
          <w:color w:val="000000"/>
          <w:lang w:eastAsia="en-GB"/>
        </w:rPr>
        <w:t>. Berkeley: University Of California Press.</w:t>
      </w:r>
    </w:p>
    <w:p w14:paraId="34C076F3"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Ng, B. (2024). </w:t>
      </w:r>
      <w:r w:rsidRPr="00B52428">
        <w:rPr>
          <w:rFonts w:ascii="Times New Roman" w:eastAsia="Times New Roman" w:hAnsi="Times New Roman" w:cs="Times New Roman"/>
          <w:i/>
          <w:iCs/>
          <w:color w:val="000000"/>
          <w:lang w:eastAsia="en-GB"/>
        </w:rPr>
        <w:t>Self-Determination Theory and Socioemotional Learning</w:t>
      </w:r>
      <w:r w:rsidRPr="00B52428">
        <w:rPr>
          <w:rFonts w:ascii="Times New Roman" w:eastAsia="Times New Roman" w:hAnsi="Times New Roman" w:cs="Times New Roman"/>
          <w:color w:val="000000"/>
          <w:lang w:eastAsia="en-GB"/>
        </w:rPr>
        <w:t>. Springer Nature.</w:t>
      </w:r>
    </w:p>
    <w:p w14:paraId="56A01C45"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lastRenderedPageBreak/>
        <w:t xml:space="preserve">Norris, F.H., </w:t>
      </w:r>
      <w:proofErr w:type="spellStart"/>
      <w:r w:rsidRPr="00B52428">
        <w:rPr>
          <w:rFonts w:ascii="Times New Roman" w:eastAsia="Times New Roman" w:hAnsi="Times New Roman" w:cs="Times New Roman"/>
          <w:color w:val="000000"/>
          <w:lang w:eastAsia="en-GB"/>
        </w:rPr>
        <w:t>Proquest</w:t>
      </w:r>
      <w:proofErr w:type="spellEnd"/>
      <w:r w:rsidRPr="00B52428">
        <w:rPr>
          <w:rFonts w:ascii="Times New Roman" w:eastAsia="Times New Roman" w:hAnsi="Times New Roman" w:cs="Times New Roman"/>
          <w:color w:val="000000"/>
          <w:lang w:eastAsia="en-GB"/>
        </w:rPr>
        <w:t xml:space="preserve"> (Firm and Al, E. (2006). </w:t>
      </w:r>
      <w:r w:rsidRPr="00B52428">
        <w:rPr>
          <w:rFonts w:ascii="Times New Roman" w:eastAsia="Times New Roman" w:hAnsi="Times New Roman" w:cs="Times New Roman"/>
          <w:i/>
          <w:iCs/>
          <w:color w:val="000000"/>
          <w:lang w:eastAsia="en-GB"/>
        </w:rPr>
        <w:t>Methods for disaster mental health research</w:t>
      </w:r>
      <w:r w:rsidRPr="00B52428">
        <w:rPr>
          <w:rFonts w:ascii="Times New Roman" w:eastAsia="Times New Roman" w:hAnsi="Times New Roman" w:cs="Times New Roman"/>
          <w:color w:val="000000"/>
          <w:lang w:eastAsia="en-GB"/>
        </w:rPr>
        <w:t>. New York: Guilford Press.</w:t>
      </w:r>
    </w:p>
    <w:p w14:paraId="576974A8"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OECD (2020). </w:t>
      </w:r>
      <w:r w:rsidRPr="00B52428">
        <w:rPr>
          <w:rFonts w:ascii="Times New Roman" w:eastAsia="Times New Roman" w:hAnsi="Times New Roman" w:cs="Times New Roman"/>
          <w:i/>
          <w:iCs/>
          <w:color w:val="000000"/>
          <w:lang w:eastAsia="en-GB"/>
        </w:rPr>
        <w:t>Achieving the new curriculum for Wales</w:t>
      </w:r>
      <w:r w:rsidRPr="00B52428">
        <w:rPr>
          <w:rFonts w:ascii="Times New Roman" w:eastAsia="Times New Roman" w:hAnsi="Times New Roman" w:cs="Times New Roman"/>
          <w:color w:val="000000"/>
          <w:lang w:eastAsia="en-GB"/>
        </w:rPr>
        <w:t>. Paris: OECD Publishing.</w:t>
      </w:r>
    </w:p>
    <w:p w14:paraId="03AD38F6"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Piaget, J. (1963). </w:t>
      </w:r>
      <w:r w:rsidRPr="00B52428">
        <w:rPr>
          <w:rFonts w:ascii="Times New Roman" w:eastAsia="Times New Roman" w:hAnsi="Times New Roman" w:cs="Times New Roman"/>
          <w:i/>
          <w:iCs/>
          <w:color w:val="000000"/>
          <w:lang w:eastAsia="en-GB"/>
        </w:rPr>
        <w:t>The Origins of Intelligence in Children</w:t>
      </w:r>
      <w:r w:rsidRPr="00B52428">
        <w:rPr>
          <w:rFonts w:ascii="Times New Roman" w:eastAsia="Times New Roman" w:hAnsi="Times New Roman" w:cs="Times New Roman"/>
          <w:color w:val="000000"/>
          <w:lang w:eastAsia="en-GB"/>
        </w:rPr>
        <w:t>.</w:t>
      </w:r>
    </w:p>
    <w:p w14:paraId="276EE65F"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Sabornie</w:t>
      </w:r>
      <w:proofErr w:type="spellEnd"/>
      <w:r w:rsidRPr="00B52428">
        <w:rPr>
          <w:rFonts w:ascii="Times New Roman" w:eastAsia="Times New Roman" w:hAnsi="Times New Roman" w:cs="Times New Roman"/>
          <w:color w:val="000000"/>
          <w:lang w:eastAsia="en-GB"/>
        </w:rPr>
        <w:t xml:space="preserve">, E.J. and </w:t>
      </w:r>
      <w:proofErr w:type="spellStart"/>
      <w:r w:rsidRPr="00B52428">
        <w:rPr>
          <w:rFonts w:ascii="Times New Roman" w:eastAsia="Times New Roman" w:hAnsi="Times New Roman" w:cs="Times New Roman"/>
          <w:color w:val="000000"/>
          <w:lang w:eastAsia="en-GB"/>
        </w:rPr>
        <w:t>Espelage</w:t>
      </w:r>
      <w:proofErr w:type="spellEnd"/>
      <w:r w:rsidRPr="00B52428">
        <w:rPr>
          <w:rFonts w:ascii="Times New Roman" w:eastAsia="Times New Roman" w:hAnsi="Times New Roman" w:cs="Times New Roman"/>
          <w:color w:val="000000"/>
          <w:lang w:eastAsia="en-GB"/>
        </w:rPr>
        <w:t>, D.L. (2022). </w:t>
      </w:r>
      <w:r w:rsidRPr="00B52428">
        <w:rPr>
          <w:rFonts w:ascii="Times New Roman" w:eastAsia="Times New Roman" w:hAnsi="Times New Roman" w:cs="Times New Roman"/>
          <w:i/>
          <w:iCs/>
          <w:color w:val="000000"/>
          <w:lang w:eastAsia="en-GB"/>
        </w:rPr>
        <w:t>Handbook of Classroom Management</w:t>
      </w:r>
      <w:r w:rsidRPr="00B52428">
        <w:rPr>
          <w:rFonts w:ascii="Times New Roman" w:eastAsia="Times New Roman" w:hAnsi="Times New Roman" w:cs="Times New Roman"/>
          <w:color w:val="000000"/>
          <w:lang w:eastAsia="en-GB"/>
        </w:rPr>
        <w:t>. Taylor &amp; Francis.</w:t>
      </w:r>
    </w:p>
    <w:p w14:paraId="64889C68"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Schonert-Reichl, K.A. and Roeser, R.W. (2016). </w:t>
      </w:r>
      <w:r w:rsidRPr="00B52428">
        <w:rPr>
          <w:rFonts w:ascii="Times New Roman" w:eastAsia="Times New Roman" w:hAnsi="Times New Roman" w:cs="Times New Roman"/>
          <w:i/>
          <w:iCs/>
          <w:color w:val="000000"/>
          <w:lang w:eastAsia="en-GB"/>
        </w:rPr>
        <w:t>Handbook of Mindfulness in Education Integrating Theory and Research into Practice</w:t>
      </w:r>
      <w:r w:rsidRPr="00B52428">
        <w:rPr>
          <w:rFonts w:ascii="Times New Roman" w:eastAsia="Times New Roman" w:hAnsi="Times New Roman" w:cs="Times New Roman"/>
          <w:color w:val="000000"/>
          <w:lang w:eastAsia="en-GB"/>
        </w:rPr>
        <w:t>. New York, Ny Springer.</w:t>
      </w:r>
    </w:p>
    <w:p w14:paraId="67E53013"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Spain, D., </w:t>
      </w:r>
      <w:proofErr w:type="spellStart"/>
      <w:r w:rsidRPr="00B52428">
        <w:rPr>
          <w:rFonts w:ascii="Times New Roman" w:eastAsia="Times New Roman" w:hAnsi="Times New Roman" w:cs="Times New Roman"/>
          <w:color w:val="000000"/>
          <w:lang w:eastAsia="en-GB"/>
        </w:rPr>
        <w:t>Musich</w:t>
      </w:r>
      <w:proofErr w:type="spellEnd"/>
      <w:r w:rsidRPr="00B52428">
        <w:rPr>
          <w:rFonts w:ascii="Times New Roman" w:eastAsia="Times New Roman" w:hAnsi="Times New Roman" w:cs="Times New Roman"/>
          <w:color w:val="000000"/>
          <w:lang w:eastAsia="en-GB"/>
        </w:rPr>
        <w:t>, F.M. and White, S.W. (2022). </w:t>
      </w:r>
      <w:r w:rsidRPr="00B52428">
        <w:rPr>
          <w:rFonts w:ascii="Times New Roman" w:eastAsia="Times New Roman" w:hAnsi="Times New Roman" w:cs="Times New Roman"/>
          <w:i/>
          <w:iCs/>
          <w:color w:val="000000"/>
          <w:lang w:eastAsia="en-GB"/>
        </w:rPr>
        <w:t>Psychological therapies for adults with autism</w:t>
      </w:r>
      <w:r w:rsidRPr="00B52428">
        <w:rPr>
          <w:rFonts w:ascii="Times New Roman" w:eastAsia="Times New Roman" w:hAnsi="Times New Roman" w:cs="Times New Roman"/>
          <w:color w:val="000000"/>
          <w:lang w:eastAsia="en-GB"/>
        </w:rPr>
        <w:t>. New York: Oxford University Press.</w:t>
      </w:r>
    </w:p>
    <w:p w14:paraId="5E723120"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Stearns, C. (2019). </w:t>
      </w:r>
      <w:r w:rsidRPr="00B52428">
        <w:rPr>
          <w:rFonts w:ascii="Times New Roman" w:eastAsia="Times New Roman" w:hAnsi="Times New Roman" w:cs="Times New Roman"/>
          <w:i/>
          <w:iCs/>
          <w:color w:val="000000"/>
          <w:lang w:eastAsia="en-GB"/>
        </w:rPr>
        <w:t>Critiquing Social and Emotional Learning</w:t>
      </w:r>
      <w:r w:rsidRPr="00B52428">
        <w:rPr>
          <w:rFonts w:ascii="Times New Roman" w:eastAsia="Times New Roman" w:hAnsi="Times New Roman" w:cs="Times New Roman"/>
          <w:color w:val="000000"/>
          <w:lang w:eastAsia="en-GB"/>
        </w:rPr>
        <w:t>. Rowman &amp; Littlefield.</w:t>
      </w:r>
    </w:p>
    <w:p w14:paraId="5DD38BDD" w14:textId="51155BF5" w:rsidR="00B52428" w:rsidRPr="00B52428" w:rsidRDefault="00B52428" w:rsidP="00B52428">
      <w:pPr>
        <w:spacing w:after="240" w:line="360" w:lineRule="atLeast"/>
        <w:rPr>
          <w:rFonts w:ascii="Times New Roman" w:eastAsia="Times New Roman" w:hAnsi="Times New Roman" w:cs="Times New Roman"/>
          <w:color w:val="000000"/>
          <w:lang w:eastAsia="en-GB"/>
        </w:rPr>
      </w:pPr>
      <w:proofErr w:type="spellStart"/>
      <w:r w:rsidRPr="00B52428">
        <w:rPr>
          <w:rFonts w:ascii="Times New Roman" w:eastAsia="Times New Roman" w:hAnsi="Times New Roman" w:cs="Times New Roman"/>
          <w:color w:val="000000"/>
          <w:lang w:eastAsia="en-GB"/>
        </w:rPr>
        <w:t>Steinebach</w:t>
      </w:r>
      <w:proofErr w:type="spellEnd"/>
      <w:r w:rsidRPr="00B52428">
        <w:rPr>
          <w:rFonts w:ascii="Times New Roman" w:eastAsia="Times New Roman" w:hAnsi="Times New Roman" w:cs="Times New Roman"/>
          <w:color w:val="000000"/>
          <w:lang w:eastAsia="en-GB"/>
        </w:rPr>
        <w:t xml:space="preserve">, C. and </w:t>
      </w:r>
      <w:proofErr w:type="spellStart"/>
      <w:r w:rsidRPr="00B52428">
        <w:rPr>
          <w:rFonts w:ascii="Times New Roman" w:eastAsia="Times New Roman" w:hAnsi="Times New Roman" w:cs="Times New Roman"/>
          <w:color w:val="000000"/>
          <w:lang w:eastAsia="en-GB"/>
        </w:rPr>
        <w:t>LangerA.I</w:t>
      </w:r>
      <w:proofErr w:type="spellEnd"/>
      <w:r w:rsidRPr="00B52428">
        <w:rPr>
          <w:rFonts w:ascii="Times New Roman" w:eastAsia="Times New Roman" w:hAnsi="Times New Roman" w:cs="Times New Roman"/>
          <w:color w:val="000000"/>
          <w:lang w:eastAsia="en-GB"/>
        </w:rPr>
        <w:t>. (2019). </w:t>
      </w:r>
      <w:r w:rsidRPr="00B52428">
        <w:rPr>
          <w:rFonts w:ascii="Times New Roman" w:eastAsia="Times New Roman" w:hAnsi="Times New Roman" w:cs="Times New Roman"/>
          <w:i/>
          <w:iCs/>
          <w:color w:val="000000"/>
          <w:lang w:eastAsia="en-GB"/>
        </w:rPr>
        <w:t>Enhancing resilience in youth: mindfulness-based interventions in positive environments</w:t>
      </w:r>
      <w:r w:rsidRPr="00B52428">
        <w:rPr>
          <w:rFonts w:ascii="Times New Roman" w:eastAsia="Times New Roman" w:hAnsi="Times New Roman" w:cs="Times New Roman"/>
          <w:color w:val="000000"/>
          <w:lang w:eastAsia="en-GB"/>
        </w:rPr>
        <w:t>. Cham: Springer.</w:t>
      </w:r>
    </w:p>
    <w:p w14:paraId="17A98510"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Wales, C. (2015). </w:t>
      </w:r>
      <w:r w:rsidRPr="00B52428">
        <w:rPr>
          <w:rFonts w:ascii="Times New Roman" w:eastAsia="Times New Roman" w:hAnsi="Times New Roman" w:cs="Times New Roman"/>
          <w:i/>
          <w:iCs/>
          <w:color w:val="000000"/>
          <w:lang w:eastAsia="en-GB"/>
        </w:rPr>
        <w:t>Curriculum for Wales</w:t>
      </w:r>
      <w:r w:rsidRPr="00B52428">
        <w:rPr>
          <w:rFonts w:ascii="Times New Roman" w:eastAsia="Times New Roman" w:hAnsi="Times New Roman" w:cs="Times New Roman"/>
          <w:color w:val="000000"/>
          <w:lang w:eastAsia="en-GB"/>
        </w:rPr>
        <w:t>. [online] GOV.WALES. Available at: https://gov.wales/curriculum-wales.</w:t>
      </w:r>
    </w:p>
    <w:p w14:paraId="5D62803E"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 xml:space="preserve">Wang, F., Pan, </w:t>
      </w:r>
      <w:proofErr w:type="gramStart"/>
      <w:r w:rsidRPr="00B52428">
        <w:rPr>
          <w:rFonts w:ascii="Times New Roman" w:eastAsia="Times New Roman" w:hAnsi="Times New Roman" w:cs="Times New Roman"/>
          <w:color w:val="000000"/>
          <w:lang w:eastAsia="en-GB"/>
        </w:rPr>
        <w:t>F.</w:t>
      </w:r>
      <w:proofErr w:type="gramEnd"/>
      <w:r w:rsidRPr="00B52428">
        <w:rPr>
          <w:rFonts w:ascii="Times New Roman" w:eastAsia="Times New Roman" w:hAnsi="Times New Roman" w:cs="Times New Roman"/>
          <w:color w:val="000000"/>
          <w:lang w:eastAsia="en-GB"/>
        </w:rPr>
        <w:t xml:space="preserve"> and Huang, J.H. (2021). </w:t>
      </w:r>
      <w:r w:rsidRPr="00B52428">
        <w:rPr>
          <w:rFonts w:ascii="Times New Roman" w:eastAsia="Times New Roman" w:hAnsi="Times New Roman" w:cs="Times New Roman"/>
          <w:i/>
          <w:iCs/>
          <w:color w:val="000000"/>
          <w:lang w:eastAsia="en-GB"/>
        </w:rPr>
        <w:t>Sex Hormone and the Neurobiology of Affective Disorders</w:t>
      </w:r>
      <w:r w:rsidRPr="00B52428">
        <w:rPr>
          <w:rFonts w:ascii="Times New Roman" w:eastAsia="Times New Roman" w:hAnsi="Times New Roman" w:cs="Times New Roman"/>
          <w:color w:val="000000"/>
          <w:lang w:eastAsia="en-GB"/>
        </w:rPr>
        <w:t>. Frontiers Media SA.</w:t>
      </w:r>
    </w:p>
    <w:p w14:paraId="26DEA4AA" w14:textId="54A82161"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Whaley, B.B. (2014). </w:t>
      </w:r>
      <w:r w:rsidRPr="00B52428">
        <w:rPr>
          <w:rFonts w:ascii="Times New Roman" w:eastAsia="Times New Roman" w:hAnsi="Times New Roman" w:cs="Times New Roman"/>
          <w:i/>
          <w:iCs/>
          <w:color w:val="000000"/>
          <w:lang w:eastAsia="en-GB"/>
        </w:rPr>
        <w:t>Research Methods in Health Communication: Principles and Application</w:t>
      </w:r>
      <w:r w:rsidRPr="00B52428">
        <w:rPr>
          <w:rFonts w:ascii="Times New Roman" w:eastAsia="Times New Roman" w:hAnsi="Times New Roman" w:cs="Times New Roman"/>
          <w:color w:val="000000"/>
          <w:lang w:eastAsia="en-GB"/>
        </w:rPr>
        <w:t>. Hoboken: Taylor and Francis.</w:t>
      </w:r>
    </w:p>
    <w:p w14:paraId="465FD4F1" w14:textId="37806B7B"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Zimmerman, B.B., S Scott Zimmerman and Shaffer, A. (2001). </w:t>
      </w:r>
      <w:r w:rsidRPr="00B52428">
        <w:rPr>
          <w:rFonts w:ascii="Times New Roman" w:eastAsia="Times New Roman" w:hAnsi="Times New Roman" w:cs="Times New Roman"/>
          <w:i/>
          <w:iCs/>
          <w:color w:val="000000"/>
          <w:lang w:eastAsia="en-GB"/>
        </w:rPr>
        <w:t>New perspectives on Microsoft Word 2000: comprehensively enhanced</w:t>
      </w:r>
      <w:r w:rsidRPr="00B52428">
        <w:rPr>
          <w:rFonts w:ascii="Times New Roman" w:eastAsia="Times New Roman" w:hAnsi="Times New Roman" w:cs="Times New Roman"/>
          <w:color w:val="000000"/>
          <w:lang w:eastAsia="en-GB"/>
        </w:rPr>
        <w:t xml:space="preserve">. Cambridge, Mass.: Course </w:t>
      </w:r>
      <w:r w:rsidRPr="00B52428">
        <w:rPr>
          <w:rFonts w:ascii="Times New Roman" w:eastAsia="Times New Roman" w:hAnsi="Times New Roman" w:cs="Times New Roman"/>
          <w:color w:val="000000"/>
          <w:lang w:eastAsia="en-GB"/>
        </w:rPr>
        <w:t>Technology;</w:t>
      </w:r>
      <w:r w:rsidRPr="00B52428">
        <w:rPr>
          <w:rFonts w:ascii="Times New Roman" w:eastAsia="Times New Roman" w:hAnsi="Times New Roman" w:cs="Times New Roman"/>
          <w:color w:val="000000"/>
          <w:lang w:eastAsia="en-GB"/>
        </w:rPr>
        <w:t xml:space="preserve"> [London.</w:t>
      </w:r>
    </w:p>
    <w:p w14:paraId="6578EA74" w14:textId="77777777" w:rsidR="00B52428" w:rsidRPr="00B52428" w:rsidRDefault="00B52428" w:rsidP="00B52428">
      <w:pPr>
        <w:spacing w:after="240" w:line="360" w:lineRule="atLeast"/>
        <w:rPr>
          <w:rFonts w:ascii="Times New Roman" w:eastAsia="Times New Roman" w:hAnsi="Times New Roman" w:cs="Times New Roman"/>
          <w:color w:val="000000"/>
          <w:lang w:eastAsia="en-GB"/>
        </w:rPr>
      </w:pPr>
      <w:r w:rsidRPr="00B52428">
        <w:rPr>
          <w:rFonts w:ascii="Times New Roman" w:eastAsia="Times New Roman" w:hAnsi="Times New Roman" w:cs="Times New Roman"/>
          <w:color w:val="000000"/>
          <w:lang w:eastAsia="en-GB"/>
        </w:rPr>
        <w:t>Zins, J.E., Weissberg, R.P., Wang, M.C. and Walberg, H.J. (2004). </w:t>
      </w:r>
      <w:r w:rsidRPr="00B52428">
        <w:rPr>
          <w:rFonts w:ascii="Times New Roman" w:eastAsia="Times New Roman" w:hAnsi="Times New Roman" w:cs="Times New Roman"/>
          <w:i/>
          <w:iCs/>
          <w:color w:val="000000"/>
          <w:lang w:eastAsia="en-GB"/>
        </w:rPr>
        <w:t>Building Academic Success on Social and Emotional Learning</w:t>
      </w:r>
      <w:r w:rsidRPr="00B52428">
        <w:rPr>
          <w:rFonts w:ascii="Times New Roman" w:eastAsia="Times New Roman" w:hAnsi="Times New Roman" w:cs="Times New Roman"/>
          <w:color w:val="000000"/>
          <w:lang w:eastAsia="en-GB"/>
        </w:rPr>
        <w:t>. Teachers College Press.</w:t>
      </w:r>
    </w:p>
    <w:p w14:paraId="6F3357A3" w14:textId="77777777" w:rsidR="00B52428" w:rsidRDefault="00B52428" w:rsidP="00B52428">
      <w:pPr>
        <w:spacing w:line="480" w:lineRule="auto"/>
        <w:jc w:val="both"/>
        <w:rPr>
          <w:rFonts w:ascii="Times New Roman" w:hAnsi="Times New Roman" w:cs="Times New Roman"/>
          <w:b/>
          <w:bCs/>
        </w:rPr>
      </w:pPr>
    </w:p>
    <w:p w14:paraId="507C70A1" w14:textId="77777777" w:rsidR="00B52428" w:rsidRDefault="00B52428" w:rsidP="00B52428">
      <w:pPr>
        <w:spacing w:line="480" w:lineRule="auto"/>
        <w:jc w:val="both"/>
        <w:rPr>
          <w:rFonts w:ascii="Times New Roman" w:hAnsi="Times New Roman" w:cs="Times New Roman"/>
          <w:b/>
          <w:bCs/>
        </w:rPr>
      </w:pPr>
    </w:p>
    <w:p w14:paraId="3EA40328" w14:textId="77777777" w:rsidR="00B52428" w:rsidRDefault="00B52428" w:rsidP="00B52428">
      <w:pPr>
        <w:spacing w:line="480" w:lineRule="auto"/>
        <w:jc w:val="both"/>
        <w:rPr>
          <w:rFonts w:ascii="Times New Roman" w:hAnsi="Times New Roman" w:cs="Times New Roman"/>
          <w:b/>
          <w:bCs/>
        </w:rPr>
      </w:pPr>
    </w:p>
    <w:p w14:paraId="3FA850CB" w14:textId="77777777" w:rsidR="00B52428" w:rsidRDefault="00B52428" w:rsidP="00B52428">
      <w:pPr>
        <w:spacing w:line="480" w:lineRule="auto"/>
        <w:jc w:val="both"/>
        <w:rPr>
          <w:rFonts w:ascii="Times New Roman" w:hAnsi="Times New Roman" w:cs="Times New Roman"/>
          <w:b/>
          <w:bCs/>
        </w:rPr>
      </w:pPr>
    </w:p>
    <w:p w14:paraId="245CAED5" w14:textId="380CE545"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lastRenderedPageBreak/>
        <w:t xml:space="preserve">Appendices </w:t>
      </w:r>
    </w:p>
    <w:p w14:paraId="0BF7AE5B" w14:textId="77777777" w:rsidR="00B52428" w:rsidRDefault="00B52428" w:rsidP="00B52428">
      <w:pPr>
        <w:spacing w:line="480" w:lineRule="auto"/>
        <w:jc w:val="both"/>
        <w:rPr>
          <w:rFonts w:ascii="Times New Roman" w:hAnsi="Times New Roman" w:cs="Times New Roman"/>
          <w:b/>
          <w:bCs/>
        </w:rPr>
      </w:pPr>
    </w:p>
    <w:p w14:paraId="2527E9B8" w14:textId="5A072BF6"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t>Appendix 1 – Year 6 Questionnaire</w:t>
      </w:r>
    </w:p>
    <w:p w14:paraId="07734781" w14:textId="427BD8A7"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24334B06" wp14:editId="6B1A30D5">
            <wp:extent cx="5731510" cy="1934210"/>
            <wp:effectExtent l="0" t="0" r="0" b="0"/>
            <wp:docPr id="1868903144" name="Picture 30" descr="A screenshot of a white and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03144" name="Picture 30" descr="A screenshot of a white and blue circle with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934210"/>
                    </a:xfrm>
                    <a:prstGeom prst="rect">
                      <a:avLst/>
                    </a:prstGeom>
                  </pic:spPr>
                </pic:pic>
              </a:graphicData>
            </a:graphic>
          </wp:inline>
        </w:drawing>
      </w:r>
    </w:p>
    <w:p w14:paraId="58595232" w14:textId="4DD060EC"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4E2319BF" wp14:editId="25208A15">
            <wp:extent cx="5731510" cy="2317115"/>
            <wp:effectExtent l="0" t="0" r="0" b="0"/>
            <wp:docPr id="917684425" name="Picture 3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84425" name="Picture 31" descr="A screenshot of a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317115"/>
                    </a:xfrm>
                    <a:prstGeom prst="rect">
                      <a:avLst/>
                    </a:prstGeom>
                  </pic:spPr>
                </pic:pic>
              </a:graphicData>
            </a:graphic>
          </wp:inline>
        </w:drawing>
      </w:r>
    </w:p>
    <w:p w14:paraId="05A85063" w14:textId="2F264AAB"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B0B5E81" wp14:editId="01B6F715">
            <wp:extent cx="5731510" cy="2264410"/>
            <wp:effectExtent l="0" t="0" r="0" b="0"/>
            <wp:docPr id="912969775" name="Picture 3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69775" name="Picture 32" descr="A white background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264410"/>
                    </a:xfrm>
                    <a:prstGeom prst="rect">
                      <a:avLst/>
                    </a:prstGeom>
                  </pic:spPr>
                </pic:pic>
              </a:graphicData>
            </a:graphic>
          </wp:inline>
        </w:drawing>
      </w:r>
    </w:p>
    <w:p w14:paraId="02366887" w14:textId="27B92585"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04E1211B" wp14:editId="638502E8">
            <wp:extent cx="5731510" cy="2126615"/>
            <wp:effectExtent l="0" t="0" r="0" b="0"/>
            <wp:docPr id="254777272" name="Picture 33"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77272" name="Picture 33" descr="A screenshot of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126615"/>
                    </a:xfrm>
                    <a:prstGeom prst="rect">
                      <a:avLst/>
                    </a:prstGeom>
                  </pic:spPr>
                </pic:pic>
              </a:graphicData>
            </a:graphic>
          </wp:inline>
        </w:drawing>
      </w:r>
    </w:p>
    <w:p w14:paraId="7AB890E6" w14:textId="6CE04968"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5324067" wp14:editId="7B89B48C">
            <wp:extent cx="5731510" cy="2118360"/>
            <wp:effectExtent l="0" t="0" r="0" b="2540"/>
            <wp:docPr id="1525571215" name="Picture 3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571215" name="Picture 34" descr="A white background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118360"/>
                    </a:xfrm>
                    <a:prstGeom prst="rect">
                      <a:avLst/>
                    </a:prstGeom>
                  </pic:spPr>
                </pic:pic>
              </a:graphicData>
            </a:graphic>
          </wp:inline>
        </w:drawing>
      </w:r>
    </w:p>
    <w:p w14:paraId="7381E94F" w14:textId="585567BE"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t xml:space="preserve">Appendix 2 – Teachers Questionnaire </w:t>
      </w:r>
    </w:p>
    <w:p w14:paraId="26DD7B0F" w14:textId="4FA41A1C"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58A7385" wp14:editId="3A690CBB">
            <wp:extent cx="5731510" cy="3456940"/>
            <wp:effectExtent l="0" t="0" r="0" b="0"/>
            <wp:docPr id="943538382" name="Picture 24" descr="A screenshot of a white and blac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38382" name="Picture 24" descr="A screenshot of a white and black pag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56940"/>
                    </a:xfrm>
                    <a:prstGeom prst="rect">
                      <a:avLst/>
                    </a:prstGeom>
                  </pic:spPr>
                </pic:pic>
              </a:graphicData>
            </a:graphic>
          </wp:inline>
        </w:drawing>
      </w:r>
    </w:p>
    <w:p w14:paraId="5A5AF256" w14:textId="43E01C82"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07B28E1B" wp14:editId="2C7FB5AA">
            <wp:extent cx="5731510" cy="3897630"/>
            <wp:effectExtent l="0" t="0" r="0" b="1270"/>
            <wp:docPr id="1328033177" name="Picture 2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033177" name="Picture 25" descr="A screenshot of a questionnair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97630"/>
                    </a:xfrm>
                    <a:prstGeom prst="rect">
                      <a:avLst/>
                    </a:prstGeom>
                  </pic:spPr>
                </pic:pic>
              </a:graphicData>
            </a:graphic>
          </wp:inline>
        </w:drawing>
      </w:r>
    </w:p>
    <w:p w14:paraId="35ACEB52" w14:textId="635BDCE0"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56357316" wp14:editId="04CC4BAC">
            <wp:extent cx="5731510" cy="2679700"/>
            <wp:effectExtent l="0" t="0" r="0" b="0"/>
            <wp:docPr id="2127279768" name="Picture 26"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79768" name="Picture 26" descr="A screenshot of a white box&#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79700"/>
                    </a:xfrm>
                    <a:prstGeom prst="rect">
                      <a:avLst/>
                    </a:prstGeom>
                  </pic:spPr>
                </pic:pic>
              </a:graphicData>
            </a:graphic>
          </wp:inline>
        </w:drawing>
      </w:r>
    </w:p>
    <w:p w14:paraId="4BC55031" w14:textId="13CC4DC2"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1FCFD25C" wp14:editId="2E762092">
            <wp:extent cx="5731510" cy="2576830"/>
            <wp:effectExtent l="0" t="0" r="0" b="1270"/>
            <wp:docPr id="2058891669" name="Picture 27"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91669" name="Picture 27" descr="A screenshot of a questionnai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76830"/>
                    </a:xfrm>
                    <a:prstGeom prst="rect">
                      <a:avLst/>
                    </a:prstGeom>
                  </pic:spPr>
                </pic:pic>
              </a:graphicData>
            </a:graphic>
          </wp:inline>
        </w:drawing>
      </w:r>
    </w:p>
    <w:p w14:paraId="738EAEA4" w14:textId="3C697E2E"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361A6EAC" wp14:editId="57C4A837">
            <wp:extent cx="5731510" cy="2819400"/>
            <wp:effectExtent l="0" t="0" r="0" b="0"/>
            <wp:docPr id="328259704" name="Picture 28"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259704" name="Picture 28" descr="A screenshot of a white box&#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19400"/>
                    </a:xfrm>
                    <a:prstGeom prst="rect">
                      <a:avLst/>
                    </a:prstGeom>
                  </pic:spPr>
                </pic:pic>
              </a:graphicData>
            </a:graphic>
          </wp:inline>
        </w:drawing>
      </w:r>
    </w:p>
    <w:p w14:paraId="757824AC" w14:textId="14D52905"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574A2C4A" wp14:editId="23F060F7">
            <wp:extent cx="5731510" cy="1221105"/>
            <wp:effectExtent l="0" t="0" r="0" b="0"/>
            <wp:docPr id="2069418228" name="Picture 2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18228" name="Picture 29" descr="A screenshot of a pho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221105"/>
                    </a:xfrm>
                    <a:prstGeom prst="rect">
                      <a:avLst/>
                    </a:prstGeom>
                  </pic:spPr>
                </pic:pic>
              </a:graphicData>
            </a:graphic>
          </wp:inline>
        </w:drawing>
      </w:r>
    </w:p>
    <w:p w14:paraId="3FC32603" w14:textId="77777777" w:rsidR="00B52428" w:rsidRDefault="00B52428" w:rsidP="00B52428">
      <w:pPr>
        <w:spacing w:line="480" w:lineRule="auto"/>
        <w:jc w:val="both"/>
        <w:rPr>
          <w:rFonts w:ascii="Times New Roman" w:hAnsi="Times New Roman" w:cs="Times New Roman"/>
          <w:b/>
          <w:bCs/>
        </w:rPr>
      </w:pPr>
    </w:p>
    <w:p w14:paraId="37A0761C" w14:textId="77777777" w:rsidR="00B52428" w:rsidRDefault="00B52428" w:rsidP="00B52428">
      <w:pPr>
        <w:spacing w:line="480" w:lineRule="auto"/>
        <w:jc w:val="both"/>
        <w:rPr>
          <w:rFonts w:ascii="Times New Roman" w:hAnsi="Times New Roman" w:cs="Times New Roman"/>
          <w:b/>
          <w:bCs/>
        </w:rPr>
      </w:pPr>
    </w:p>
    <w:p w14:paraId="267782E2" w14:textId="77777777" w:rsidR="00B52428" w:rsidRDefault="00B52428" w:rsidP="00B52428">
      <w:pPr>
        <w:spacing w:line="480" w:lineRule="auto"/>
        <w:jc w:val="both"/>
        <w:rPr>
          <w:rFonts w:ascii="Times New Roman" w:hAnsi="Times New Roman" w:cs="Times New Roman"/>
          <w:b/>
          <w:bCs/>
        </w:rPr>
      </w:pPr>
    </w:p>
    <w:p w14:paraId="55C98BBE" w14:textId="77777777" w:rsidR="00B52428" w:rsidRDefault="00B52428" w:rsidP="00B52428">
      <w:pPr>
        <w:spacing w:line="480" w:lineRule="auto"/>
        <w:jc w:val="both"/>
        <w:rPr>
          <w:rFonts w:ascii="Times New Roman" w:hAnsi="Times New Roman" w:cs="Times New Roman"/>
          <w:b/>
          <w:bCs/>
        </w:rPr>
      </w:pPr>
    </w:p>
    <w:p w14:paraId="7687A4F9" w14:textId="77777777" w:rsidR="00B52428" w:rsidRDefault="00B52428" w:rsidP="00B52428">
      <w:pPr>
        <w:spacing w:line="480" w:lineRule="auto"/>
        <w:jc w:val="both"/>
        <w:rPr>
          <w:rFonts w:ascii="Times New Roman" w:hAnsi="Times New Roman" w:cs="Times New Roman"/>
          <w:b/>
          <w:bCs/>
        </w:rPr>
      </w:pPr>
    </w:p>
    <w:p w14:paraId="7F64B354" w14:textId="23C10C35"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lastRenderedPageBreak/>
        <w:t xml:space="preserve">Appendix 3 – Health and Wellbeing Officer Questionnaire </w:t>
      </w:r>
    </w:p>
    <w:p w14:paraId="2574E330" w14:textId="77777777" w:rsidR="00B52428" w:rsidRDefault="00B52428" w:rsidP="00B52428">
      <w:pPr>
        <w:spacing w:line="480" w:lineRule="auto"/>
        <w:jc w:val="both"/>
        <w:rPr>
          <w:rFonts w:ascii="Times New Roman" w:hAnsi="Times New Roman" w:cs="Times New Roman"/>
          <w:b/>
          <w:bCs/>
        </w:rPr>
      </w:pPr>
    </w:p>
    <w:p w14:paraId="3259165C" w14:textId="7D80E1B6"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546009FD" wp14:editId="63B14D53">
            <wp:extent cx="5731510" cy="3764280"/>
            <wp:effectExtent l="0" t="0" r="0" b="0"/>
            <wp:docPr id="851270319" name="Picture 18" descr="A screenshot of a white and blac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70319" name="Picture 18" descr="A screenshot of a white and black pag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64280"/>
                    </a:xfrm>
                    <a:prstGeom prst="rect">
                      <a:avLst/>
                    </a:prstGeom>
                  </pic:spPr>
                </pic:pic>
              </a:graphicData>
            </a:graphic>
          </wp:inline>
        </w:drawing>
      </w:r>
    </w:p>
    <w:p w14:paraId="3BF88298" w14:textId="1570C971"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22ECB77D" wp14:editId="784AABE4">
            <wp:extent cx="5731510" cy="3811905"/>
            <wp:effectExtent l="0" t="0" r="0" b="0"/>
            <wp:docPr id="638085717"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85717" name="Picture 19"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11905"/>
                    </a:xfrm>
                    <a:prstGeom prst="rect">
                      <a:avLst/>
                    </a:prstGeom>
                  </pic:spPr>
                </pic:pic>
              </a:graphicData>
            </a:graphic>
          </wp:inline>
        </w:drawing>
      </w:r>
    </w:p>
    <w:p w14:paraId="6273F554" w14:textId="5BE06763"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4AEB1555" wp14:editId="46DF1C3A">
            <wp:extent cx="5731510" cy="2771140"/>
            <wp:effectExtent l="0" t="0" r="0" b="0"/>
            <wp:docPr id="156131352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313528" name="Picture 20"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71140"/>
                    </a:xfrm>
                    <a:prstGeom prst="rect">
                      <a:avLst/>
                    </a:prstGeom>
                  </pic:spPr>
                </pic:pic>
              </a:graphicData>
            </a:graphic>
          </wp:inline>
        </w:drawing>
      </w:r>
    </w:p>
    <w:p w14:paraId="418DF98C" w14:textId="541FFD2A"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A4023F9" wp14:editId="2D523C46">
            <wp:extent cx="5731510" cy="2733675"/>
            <wp:effectExtent l="0" t="0" r="0" b="0"/>
            <wp:docPr id="1378843338" name="Picture 2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43338" name="Picture 21" descr="A screenshot of a questionnair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33675"/>
                    </a:xfrm>
                    <a:prstGeom prst="rect">
                      <a:avLst/>
                    </a:prstGeom>
                  </pic:spPr>
                </pic:pic>
              </a:graphicData>
            </a:graphic>
          </wp:inline>
        </w:drawing>
      </w:r>
    </w:p>
    <w:p w14:paraId="3A30FCCB" w14:textId="1DA524E3"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384D3F5" wp14:editId="7265253B">
            <wp:extent cx="5731510" cy="2717165"/>
            <wp:effectExtent l="0" t="0" r="0" b="635"/>
            <wp:docPr id="95872732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27320" name="Picture 22"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17165"/>
                    </a:xfrm>
                    <a:prstGeom prst="rect">
                      <a:avLst/>
                    </a:prstGeom>
                  </pic:spPr>
                </pic:pic>
              </a:graphicData>
            </a:graphic>
          </wp:inline>
        </w:drawing>
      </w:r>
    </w:p>
    <w:p w14:paraId="3A974668" w14:textId="103C5C5E"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353C64AB" wp14:editId="222EA463">
            <wp:extent cx="5731510" cy="1226185"/>
            <wp:effectExtent l="0" t="0" r="0" b="5715"/>
            <wp:docPr id="1448630505" name="Picture 2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30505" name="Picture 23" descr="A screenshot of a pho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226185"/>
                    </a:xfrm>
                    <a:prstGeom prst="rect">
                      <a:avLst/>
                    </a:prstGeom>
                  </pic:spPr>
                </pic:pic>
              </a:graphicData>
            </a:graphic>
          </wp:inline>
        </w:drawing>
      </w:r>
    </w:p>
    <w:p w14:paraId="6050F4F1" w14:textId="77777777" w:rsidR="00B52428" w:rsidRDefault="00B52428" w:rsidP="00B52428">
      <w:pPr>
        <w:spacing w:line="480" w:lineRule="auto"/>
        <w:jc w:val="both"/>
        <w:rPr>
          <w:rFonts w:ascii="Times New Roman" w:hAnsi="Times New Roman" w:cs="Times New Roman"/>
          <w:b/>
          <w:bCs/>
        </w:rPr>
      </w:pPr>
    </w:p>
    <w:p w14:paraId="349E6AD3" w14:textId="77777777" w:rsidR="00B52428" w:rsidRDefault="00B52428" w:rsidP="00B52428">
      <w:pPr>
        <w:spacing w:line="480" w:lineRule="auto"/>
        <w:jc w:val="both"/>
        <w:rPr>
          <w:rFonts w:ascii="Times New Roman" w:hAnsi="Times New Roman" w:cs="Times New Roman"/>
          <w:b/>
          <w:bCs/>
        </w:rPr>
      </w:pPr>
    </w:p>
    <w:p w14:paraId="6AC0F339" w14:textId="77777777" w:rsidR="00B52428" w:rsidRDefault="00B52428" w:rsidP="00B52428">
      <w:pPr>
        <w:spacing w:line="480" w:lineRule="auto"/>
        <w:jc w:val="both"/>
        <w:rPr>
          <w:rFonts w:ascii="Times New Roman" w:hAnsi="Times New Roman" w:cs="Times New Roman"/>
          <w:b/>
          <w:bCs/>
        </w:rPr>
      </w:pPr>
    </w:p>
    <w:p w14:paraId="367BA848" w14:textId="77777777" w:rsidR="00B52428" w:rsidRDefault="00B52428" w:rsidP="00B52428">
      <w:pPr>
        <w:spacing w:line="480" w:lineRule="auto"/>
        <w:jc w:val="both"/>
        <w:rPr>
          <w:rFonts w:ascii="Times New Roman" w:hAnsi="Times New Roman" w:cs="Times New Roman"/>
          <w:b/>
          <w:bCs/>
        </w:rPr>
      </w:pPr>
    </w:p>
    <w:p w14:paraId="3A3557BE" w14:textId="77777777" w:rsidR="00B52428" w:rsidRDefault="00B52428" w:rsidP="00B52428">
      <w:pPr>
        <w:spacing w:line="480" w:lineRule="auto"/>
        <w:jc w:val="both"/>
        <w:rPr>
          <w:rFonts w:ascii="Times New Roman" w:hAnsi="Times New Roman" w:cs="Times New Roman"/>
          <w:b/>
          <w:bCs/>
        </w:rPr>
      </w:pPr>
    </w:p>
    <w:p w14:paraId="02DB906D" w14:textId="77777777" w:rsidR="00B52428" w:rsidRDefault="00B52428" w:rsidP="00B52428">
      <w:pPr>
        <w:spacing w:line="480" w:lineRule="auto"/>
        <w:jc w:val="both"/>
        <w:rPr>
          <w:rFonts w:ascii="Times New Roman" w:hAnsi="Times New Roman" w:cs="Times New Roman"/>
          <w:b/>
          <w:bCs/>
        </w:rPr>
      </w:pPr>
    </w:p>
    <w:p w14:paraId="08CEC04D" w14:textId="77777777" w:rsidR="00B52428" w:rsidRDefault="00B52428" w:rsidP="00B52428">
      <w:pPr>
        <w:spacing w:line="480" w:lineRule="auto"/>
        <w:jc w:val="both"/>
        <w:rPr>
          <w:rFonts w:ascii="Times New Roman" w:hAnsi="Times New Roman" w:cs="Times New Roman"/>
          <w:b/>
          <w:bCs/>
        </w:rPr>
      </w:pPr>
    </w:p>
    <w:p w14:paraId="58B605F8" w14:textId="77777777" w:rsidR="00B52428" w:rsidRDefault="00B52428" w:rsidP="00B52428">
      <w:pPr>
        <w:spacing w:line="480" w:lineRule="auto"/>
        <w:jc w:val="both"/>
        <w:rPr>
          <w:rFonts w:ascii="Times New Roman" w:hAnsi="Times New Roman" w:cs="Times New Roman"/>
          <w:b/>
          <w:bCs/>
        </w:rPr>
      </w:pPr>
    </w:p>
    <w:p w14:paraId="2BB66E84" w14:textId="77777777" w:rsidR="00B52428" w:rsidRDefault="00B52428" w:rsidP="00B52428">
      <w:pPr>
        <w:spacing w:line="480" w:lineRule="auto"/>
        <w:jc w:val="both"/>
        <w:rPr>
          <w:rFonts w:ascii="Times New Roman" w:hAnsi="Times New Roman" w:cs="Times New Roman"/>
          <w:b/>
          <w:bCs/>
        </w:rPr>
      </w:pPr>
    </w:p>
    <w:p w14:paraId="5F58AFB2" w14:textId="77777777" w:rsidR="00B52428" w:rsidRDefault="00B52428" w:rsidP="00B52428">
      <w:pPr>
        <w:spacing w:line="480" w:lineRule="auto"/>
        <w:jc w:val="both"/>
        <w:rPr>
          <w:rFonts w:ascii="Times New Roman" w:hAnsi="Times New Roman" w:cs="Times New Roman"/>
          <w:b/>
          <w:bCs/>
        </w:rPr>
      </w:pPr>
    </w:p>
    <w:p w14:paraId="3F116611" w14:textId="77777777" w:rsidR="00B52428" w:rsidRDefault="00B52428" w:rsidP="00B52428">
      <w:pPr>
        <w:spacing w:line="480" w:lineRule="auto"/>
        <w:jc w:val="both"/>
        <w:rPr>
          <w:rFonts w:ascii="Times New Roman" w:hAnsi="Times New Roman" w:cs="Times New Roman"/>
          <w:b/>
          <w:bCs/>
        </w:rPr>
      </w:pPr>
    </w:p>
    <w:p w14:paraId="30A684C8" w14:textId="77777777" w:rsidR="00B52428" w:rsidRDefault="00B52428" w:rsidP="00B52428">
      <w:pPr>
        <w:spacing w:line="480" w:lineRule="auto"/>
        <w:jc w:val="both"/>
        <w:rPr>
          <w:rFonts w:ascii="Times New Roman" w:hAnsi="Times New Roman" w:cs="Times New Roman"/>
          <w:b/>
          <w:bCs/>
        </w:rPr>
      </w:pPr>
    </w:p>
    <w:p w14:paraId="6F90AFE6" w14:textId="77777777" w:rsidR="00B52428" w:rsidRDefault="00B52428" w:rsidP="00B52428">
      <w:pPr>
        <w:spacing w:line="480" w:lineRule="auto"/>
        <w:jc w:val="both"/>
        <w:rPr>
          <w:rFonts w:ascii="Times New Roman" w:hAnsi="Times New Roman" w:cs="Times New Roman"/>
          <w:b/>
          <w:bCs/>
        </w:rPr>
      </w:pPr>
    </w:p>
    <w:p w14:paraId="7DC8354B" w14:textId="77777777" w:rsidR="00B52428" w:rsidRDefault="00B52428" w:rsidP="00B52428">
      <w:pPr>
        <w:spacing w:line="480" w:lineRule="auto"/>
        <w:jc w:val="both"/>
        <w:rPr>
          <w:rFonts w:ascii="Times New Roman" w:hAnsi="Times New Roman" w:cs="Times New Roman"/>
          <w:b/>
          <w:bCs/>
        </w:rPr>
      </w:pPr>
    </w:p>
    <w:p w14:paraId="29DC6179" w14:textId="77777777" w:rsidR="00B52428" w:rsidRDefault="00B52428" w:rsidP="00B52428">
      <w:pPr>
        <w:spacing w:line="480" w:lineRule="auto"/>
        <w:jc w:val="both"/>
        <w:rPr>
          <w:rFonts w:ascii="Times New Roman" w:hAnsi="Times New Roman" w:cs="Times New Roman"/>
          <w:b/>
          <w:bCs/>
        </w:rPr>
      </w:pPr>
    </w:p>
    <w:p w14:paraId="7FA71807" w14:textId="77777777" w:rsidR="00B52428" w:rsidRDefault="00B52428" w:rsidP="00B52428">
      <w:pPr>
        <w:spacing w:line="480" w:lineRule="auto"/>
        <w:jc w:val="both"/>
        <w:rPr>
          <w:rFonts w:ascii="Times New Roman" w:hAnsi="Times New Roman" w:cs="Times New Roman"/>
          <w:b/>
          <w:bCs/>
        </w:rPr>
      </w:pPr>
    </w:p>
    <w:p w14:paraId="033ACD78" w14:textId="77777777" w:rsidR="00B52428" w:rsidRDefault="00B52428" w:rsidP="00B52428">
      <w:pPr>
        <w:spacing w:line="480" w:lineRule="auto"/>
        <w:jc w:val="both"/>
        <w:rPr>
          <w:rFonts w:ascii="Times New Roman" w:hAnsi="Times New Roman" w:cs="Times New Roman"/>
          <w:b/>
          <w:bCs/>
        </w:rPr>
      </w:pPr>
    </w:p>
    <w:p w14:paraId="6887EE27" w14:textId="77777777" w:rsidR="00B52428" w:rsidRDefault="00B52428" w:rsidP="00B52428">
      <w:pPr>
        <w:spacing w:line="480" w:lineRule="auto"/>
        <w:jc w:val="both"/>
        <w:rPr>
          <w:rFonts w:ascii="Times New Roman" w:hAnsi="Times New Roman" w:cs="Times New Roman"/>
          <w:b/>
          <w:bCs/>
        </w:rPr>
      </w:pPr>
    </w:p>
    <w:p w14:paraId="37D8AB34" w14:textId="77777777" w:rsidR="00B52428" w:rsidRDefault="00B52428" w:rsidP="00B52428">
      <w:pPr>
        <w:spacing w:line="480" w:lineRule="auto"/>
        <w:jc w:val="both"/>
        <w:rPr>
          <w:rFonts w:ascii="Times New Roman" w:hAnsi="Times New Roman" w:cs="Times New Roman"/>
          <w:b/>
          <w:bCs/>
        </w:rPr>
      </w:pPr>
    </w:p>
    <w:p w14:paraId="0B2E1AE5" w14:textId="77777777" w:rsidR="00B52428" w:rsidRDefault="00B52428" w:rsidP="00B52428">
      <w:pPr>
        <w:spacing w:line="480" w:lineRule="auto"/>
        <w:jc w:val="both"/>
        <w:rPr>
          <w:rFonts w:ascii="Times New Roman" w:hAnsi="Times New Roman" w:cs="Times New Roman"/>
          <w:b/>
          <w:bCs/>
        </w:rPr>
      </w:pPr>
    </w:p>
    <w:p w14:paraId="2AF55E47" w14:textId="77777777" w:rsidR="00B52428" w:rsidRDefault="00B52428" w:rsidP="00B52428">
      <w:pPr>
        <w:spacing w:line="480" w:lineRule="auto"/>
        <w:jc w:val="both"/>
        <w:rPr>
          <w:rFonts w:ascii="Times New Roman" w:hAnsi="Times New Roman" w:cs="Times New Roman"/>
          <w:b/>
          <w:bCs/>
        </w:rPr>
      </w:pPr>
    </w:p>
    <w:p w14:paraId="03BA6190" w14:textId="4274A948"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lastRenderedPageBreak/>
        <w:t xml:space="preserve">Appendix 4 – Ethics Form </w:t>
      </w:r>
    </w:p>
    <w:p w14:paraId="16C2EA4C" w14:textId="77777777" w:rsidR="00B52428" w:rsidRDefault="00B52428" w:rsidP="00B52428">
      <w:pPr>
        <w:spacing w:line="480" w:lineRule="auto"/>
        <w:jc w:val="both"/>
        <w:rPr>
          <w:rFonts w:ascii="Times New Roman" w:hAnsi="Times New Roman" w:cs="Times New Roman"/>
          <w:b/>
          <w:bCs/>
        </w:rPr>
      </w:pPr>
    </w:p>
    <w:p w14:paraId="5989F99E" w14:textId="2651834A"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20267CDC" wp14:editId="3C37FCD0">
            <wp:extent cx="5270500" cy="7607300"/>
            <wp:effectExtent l="0" t="0" r="0" b="0"/>
            <wp:docPr id="2014625613"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25613" name="Picture 3" descr="A paper with text on i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270500" cy="7607300"/>
                    </a:xfrm>
                    <a:prstGeom prst="rect">
                      <a:avLst/>
                    </a:prstGeom>
                  </pic:spPr>
                </pic:pic>
              </a:graphicData>
            </a:graphic>
          </wp:inline>
        </w:drawing>
      </w:r>
    </w:p>
    <w:p w14:paraId="238871B7" w14:textId="6B409063"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26F00B7F" wp14:editId="08477426">
            <wp:extent cx="5168900" cy="7607300"/>
            <wp:effectExtent l="0" t="0" r="0" b="0"/>
            <wp:docPr id="1510559967" name="Picture 4"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59967" name="Picture 4" descr="A paper with text and images&#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168900" cy="7607300"/>
                    </a:xfrm>
                    <a:prstGeom prst="rect">
                      <a:avLst/>
                    </a:prstGeom>
                  </pic:spPr>
                </pic:pic>
              </a:graphicData>
            </a:graphic>
          </wp:inline>
        </w:drawing>
      </w:r>
    </w:p>
    <w:p w14:paraId="7A5CAB7C" w14:textId="65430CDD"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5851764A" wp14:editId="4FCBBCB0">
            <wp:extent cx="5130800" cy="7569200"/>
            <wp:effectExtent l="0" t="0" r="0" b="0"/>
            <wp:docPr id="1186545810" name="Picture 5"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45810" name="Picture 5" descr="A paper with text and images&#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130800" cy="7569200"/>
                    </a:xfrm>
                    <a:prstGeom prst="rect">
                      <a:avLst/>
                    </a:prstGeom>
                  </pic:spPr>
                </pic:pic>
              </a:graphicData>
            </a:graphic>
          </wp:inline>
        </w:drawing>
      </w:r>
    </w:p>
    <w:p w14:paraId="1E5583F8" w14:textId="43A999FB"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5C8511F1" wp14:editId="4BA9E7BC">
            <wp:extent cx="5270500" cy="7620000"/>
            <wp:effectExtent l="0" t="0" r="0" b="0"/>
            <wp:docPr id="184050318" name="Picture 6"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0318" name="Picture 6" descr="A close-up of a pap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270500" cy="7620000"/>
                    </a:xfrm>
                    <a:prstGeom prst="rect">
                      <a:avLst/>
                    </a:prstGeom>
                  </pic:spPr>
                </pic:pic>
              </a:graphicData>
            </a:graphic>
          </wp:inline>
        </w:drawing>
      </w:r>
    </w:p>
    <w:p w14:paraId="42FF242B" w14:textId="02A942F4"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327A4F5A" wp14:editId="67D4691E">
            <wp:extent cx="5130800" cy="7607300"/>
            <wp:effectExtent l="0" t="0" r="0" b="0"/>
            <wp:docPr id="776947655" name="Picture 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947655" name="Picture 7" descr="A paper with text on i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130800" cy="7607300"/>
                    </a:xfrm>
                    <a:prstGeom prst="rect">
                      <a:avLst/>
                    </a:prstGeom>
                  </pic:spPr>
                </pic:pic>
              </a:graphicData>
            </a:graphic>
          </wp:inline>
        </w:drawing>
      </w:r>
    </w:p>
    <w:p w14:paraId="34EDC982" w14:textId="72D75AD0"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4AC3CD0E" wp14:editId="6A53D336">
            <wp:extent cx="5143500" cy="7594600"/>
            <wp:effectExtent l="0" t="0" r="0" b="0"/>
            <wp:docPr id="2064291907" name="Picture 8" descr="A questionnaire with a list of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91907" name="Picture 8" descr="A questionnaire with a list of questions&#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143500" cy="7594600"/>
                    </a:xfrm>
                    <a:prstGeom prst="rect">
                      <a:avLst/>
                    </a:prstGeom>
                  </pic:spPr>
                </pic:pic>
              </a:graphicData>
            </a:graphic>
          </wp:inline>
        </w:drawing>
      </w:r>
    </w:p>
    <w:p w14:paraId="59AFEB52" w14:textId="5459E9F0"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187087DD" wp14:editId="594C91FE">
            <wp:extent cx="5143500" cy="7569200"/>
            <wp:effectExtent l="0" t="0" r="0" b="0"/>
            <wp:docPr id="504260531" name="Picture 9"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60531" name="Picture 9" descr="A questionnaire with a question mark&#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143500" cy="7569200"/>
                    </a:xfrm>
                    <a:prstGeom prst="rect">
                      <a:avLst/>
                    </a:prstGeom>
                  </pic:spPr>
                </pic:pic>
              </a:graphicData>
            </a:graphic>
          </wp:inline>
        </w:drawing>
      </w:r>
    </w:p>
    <w:p w14:paraId="62FA9137" w14:textId="3F8CD7C4"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7F3D4AED" wp14:editId="6459031D">
            <wp:extent cx="5181600" cy="7556500"/>
            <wp:effectExtent l="0" t="0" r="0" b="0"/>
            <wp:docPr id="348880430" name="Picture 10" descr="A questionnaire with text and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80430" name="Picture 10" descr="A questionnaire with text and a checklis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181600" cy="7556500"/>
                    </a:xfrm>
                    <a:prstGeom prst="rect">
                      <a:avLst/>
                    </a:prstGeom>
                  </pic:spPr>
                </pic:pic>
              </a:graphicData>
            </a:graphic>
          </wp:inline>
        </w:drawing>
      </w:r>
    </w:p>
    <w:p w14:paraId="06B8386B" w14:textId="6E0DB974"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1F9089C9" wp14:editId="0702940D">
            <wp:extent cx="5207000" cy="7620000"/>
            <wp:effectExtent l="0" t="0" r="0" b="0"/>
            <wp:docPr id="272151267" name="Picture 1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51267" name="Picture 11" descr="A questionnaire with a question mark&#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207000" cy="7620000"/>
                    </a:xfrm>
                    <a:prstGeom prst="rect">
                      <a:avLst/>
                    </a:prstGeom>
                  </pic:spPr>
                </pic:pic>
              </a:graphicData>
            </a:graphic>
          </wp:inline>
        </w:drawing>
      </w:r>
    </w:p>
    <w:p w14:paraId="72D03B9E" w14:textId="56279D88"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48D35986" wp14:editId="2C34C27E">
            <wp:extent cx="5207000" cy="7518400"/>
            <wp:effectExtent l="0" t="0" r="0" b="0"/>
            <wp:docPr id="2101829237" name="Picture 1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829237" name="Picture 12" descr="A document with text on i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207000" cy="7518400"/>
                    </a:xfrm>
                    <a:prstGeom prst="rect">
                      <a:avLst/>
                    </a:prstGeom>
                  </pic:spPr>
                </pic:pic>
              </a:graphicData>
            </a:graphic>
          </wp:inline>
        </w:drawing>
      </w:r>
    </w:p>
    <w:p w14:paraId="109DEA86" w14:textId="3EE0D909"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52F2FA8C" wp14:editId="7D618F71">
            <wp:extent cx="5257800" cy="7632700"/>
            <wp:effectExtent l="0" t="0" r="0" b="0"/>
            <wp:docPr id="1317913158" name="Picture 1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13158" name="Picture 13" descr="A document with text on i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257800" cy="7632700"/>
                    </a:xfrm>
                    <a:prstGeom prst="rect">
                      <a:avLst/>
                    </a:prstGeom>
                  </pic:spPr>
                </pic:pic>
              </a:graphicData>
            </a:graphic>
          </wp:inline>
        </w:drawing>
      </w:r>
    </w:p>
    <w:p w14:paraId="0B9BE058" w14:textId="7DED745C"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48492379" wp14:editId="69947034">
            <wp:extent cx="5283200" cy="7607300"/>
            <wp:effectExtent l="0" t="0" r="0" b="0"/>
            <wp:docPr id="988267820" name="Picture 1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67820" name="Picture 14" descr="A close-up of a pap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283200" cy="7607300"/>
                    </a:xfrm>
                    <a:prstGeom prst="rect">
                      <a:avLst/>
                    </a:prstGeom>
                  </pic:spPr>
                </pic:pic>
              </a:graphicData>
            </a:graphic>
          </wp:inline>
        </w:drawing>
      </w:r>
    </w:p>
    <w:p w14:paraId="5CB36772" w14:textId="3BB951B1"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4F7FB8FC" wp14:editId="71E87289">
            <wp:extent cx="5194300" cy="7569200"/>
            <wp:effectExtent l="0" t="0" r="0" b="0"/>
            <wp:docPr id="1237302719" name="Picture 15"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02719" name="Picture 15" descr="A questionnaire with text and images&#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5194300" cy="7569200"/>
                    </a:xfrm>
                    <a:prstGeom prst="rect">
                      <a:avLst/>
                    </a:prstGeom>
                  </pic:spPr>
                </pic:pic>
              </a:graphicData>
            </a:graphic>
          </wp:inline>
        </w:drawing>
      </w:r>
    </w:p>
    <w:p w14:paraId="3BF1BBD1" w14:textId="133414CB"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500E5BCE" wp14:editId="5171AFA4">
            <wp:extent cx="5245100" cy="7581900"/>
            <wp:effectExtent l="0" t="0" r="0" b="0"/>
            <wp:docPr id="559649998" name="Picture 16" descr="A questionnaire with many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49998" name="Picture 16" descr="A questionnaire with many question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245100" cy="7581900"/>
                    </a:xfrm>
                    <a:prstGeom prst="rect">
                      <a:avLst/>
                    </a:prstGeom>
                  </pic:spPr>
                </pic:pic>
              </a:graphicData>
            </a:graphic>
          </wp:inline>
        </w:drawing>
      </w:r>
    </w:p>
    <w:p w14:paraId="75BDCD09" w14:textId="6FE72E28"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12E2A9A6" wp14:editId="1EE9AF28">
            <wp:extent cx="5156200" cy="7594600"/>
            <wp:effectExtent l="0" t="0" r="0" b="0"/>
            <wp:docPr id="1262437108" name="Picture 17" descr="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37108" name="Picture 17" descr="A form with text and images&#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5156200" cy="7594600"/>
                    </a:xfrm>
                    <a:prstGeom prst="rect">
                      <a:avLst/>
                    </a:prstGeom>
                  </pic:spPr>
                </pic:pic>
              </a:graphicData>
            </a:graphic>
          </wp:inline>
        </w:drawing>
      </w:r>
    </w:p>
    <w:p w14:paraId="1430998B" w14:textId="77777777" w:rsidR="00B52428" w:rsidRDefault="00B52428" w:rsidP="00B52428">
      <w:pPr>
        <w:spacing w:line="480" w:lineRule="auto"/>
        <w:jc w:val="both"/>
        <w:rPr>
          <w:rFonts w:ascii="Times New Roman" w:hAnsi="Times New Roman" w:cs="Times New Roman"/>
          <w:b/>
          <w:bCs/>
        </w:rPr>
      </w:pPr>
    </w:p>
    <w:p w14:paraId="51175EAF" w14:textId="77777777" w:rsidR="00B52428" w:rsidRDefault="00B52428" w:rsidP="00B52428">
      <w:pPr>
        <w:spacing w:line="480" w:lineRule="auto"/>
        <w:jc w:val="both"/>
        <w:rPr>
          <w:rFonts w:ascii="Times New Roman" w:hAnsi="Times New Roman" w:cs="Times New Roman"/>
          <w:b/>
          <w:bCs/>
        </w:rPr>
      </w:pPr>
    </w:p>
    <w:p w14:paraId="5C769C96" w14:textId="77777777" w:rsidR="00B52428" w:rsidRDefault="00B52428" w:rsidP="00B52428">
      <w:pPr>
        <w:spacing w:line="480" w:lineRule="auto"/>
        <w:jc w:val="both"/>
        <w:rPr>
          <w:rFonts w:ascii="Times New Roman" w:hAnsi="Times New Roman" w:cs="Times New Roman"/>
          <w:b/>
          <w:bCs/>
        </w:rPr>
      </w:pPr>
    </w:p>
    <w:p w14:paraId="5A5DAE3F" w14:textId="56F29FD2"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rPr>
        <w:lastRenderedPageBreak/>
        <w:t xml:space="preserve">Appendix 5 – Consent Form </w:t>
      </w:r>
    </w:p>
    <w:p w14:paraId="0FC876C4" w14:textId="2184435A"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A189029" wp14:editId="785A5F6C">
            <wp:extent cx="5795682" cy="7584850"/>
            <wp:effectExtent l="0" t="0" r="0" b="0"/>
            <wp:docPr id="165895209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952092" name="Picture 1" descr="A paper with text on i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812190" cy="7606454"/>
                    </a:xfrm>
                    <a:prstGeom prst="rect">
                      <a:avLst/>
                    </a:prstGeom>
                  </pic:spPr>
                </pic:pic>
              </a:graphicData>
            </a:graphic>
          </wp:inline>
        </w:drawing>
      </w:r>
    </w:p>
    <w:p w14:paraId="25C932F2" w14:textId="1B2E32E5" w:rsidR="00B52428" w:rsidRDefault="00B52428" w:rsidP="00B52428">
      <w:pPr>
        <w:spacing w:line="48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56633E7A" wp14:editId="76B9623A">
            <wp:extent cx="5795682" cy="6764512"/>
            <wp:effectExtent l="0" t="0" r="0" b="5080"/>
            <wp:docPr id="564008839" name="Picture 2" descr="A letter to a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08839" name="Picture 2" descr="A letter to a teach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827284" cy="6801397"/>
                    </a:xfrm>
                    <a:prstGeom prst="rect">
                      <a:avLst/>
                    </a:prstGeom>
                  </pic:spPr>
                </pic:pic>
              </a:graphicData>
            </a:graphic>
          </wp:inline>
        </w:drawing>
      </w:r>
    </w:p>
    <w:p w14:paraId="459C920A" w14:textId="77777777" w:rsidR="00B52428" w:rsidRPr="00B52428" w:rsidRDefault="00B52428" w:rsidP="00B52428">
      <w:pPr>
        <w:spacing w:line="480" w:lineRule="auto"/>
        <w:jc w:val="both"/>
        <w:rPr>
          <w:rFonts w:ascii="Times New Roman" w:hAnsi="Times New Roman" w:cs="Times New Roman"/>
          <w:b/>
          <w:bCs/>
        </w:rPr>
      </w:pPr>
    </w:p>
    <w:p w14:paraId="6EE3B940" w14:textId="77777777" w:rsidR="00B52428" w:rsidRDefault="00B52428" w:rsidP="00B52428">
      <w:pPr>
        <w:jc w:val="center"/>
        <w:rPr>
          <w:rFonts w:ascii="Times New Roman" w:hAnsi="Times New Roman" w:cs="Times New Roman"/>
        </w:rPr>
      </w:pPr>
    </w:p>
    <w:p w14:paraId="2CADE556" w14:textId="77777777" w:rsidR="00B52428" w:rsidRDefault="00B52428" w:rsidP="00B52428">
      <w:pPr>
        <w:jc w:val="center"/>
        <w:rPr>
          <w:rFonts w:ascii="Times New Roman" w:hAnsi="Times New Roman" w:cs="Times New Roman"/>
        </w:rPr>
      </w:pPr>
    </w:p>
    <w:p w14:paraId="14D2872B" w14:textId="77777777" w:rsidR="00B52428" w:rsidRPr="00B52428" w:rsidRDefault="00B52428" w:rsidP="00B52428">
      <w:pPr>
        <w:jc w:val="center"/>
        <w:rPr>
          <w:rFonts w:ascii="Times New Roman" w:hAnsi="Times New Roman" w:cs="Times New Roman"/>
        </w:rPr>
      </w:pPr>
    </w:p>
    <w:sectPr w:rsidR="00B52428" w:rsidRPr="00B52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E60A90"/>
    <w:multiLevelType w:val="hybridMultilevel"/>
    <w:tmpl w:val="1B4A544A"/>
    <w:lvl w:ilvl="0" w:tplc="1990F53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288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428"/>
    <w:rsid w:val="00157515"/>
    <w:rsid w:val="002B79A0"/>
    <w:rsid w:val="00A7214E"/>
    <w:rsid w:val="00B52428"/>
    <w:rsid w:val="00E539DF"/>
    <w:rsid w:val="00F43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C612A"/>
  <w15:chartTrackingRefBased/>
  <w15:docId w15:val="{896F8292-E60B-D04E-83FF-1FA302480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4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4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4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4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4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4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4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4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4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4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4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4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4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4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428"/>
    <w:rPr>
      <w:rFonts w:eastAsiaTheme="majorEastAsia" w:cstheme="majorBidi"/>
      <w:color w:val="272727" w:themeColor="text1" w:themeTint="D8"/>
    </w:rPr>
  </w:style>
  <w:style w:type="paragraph" w:styleId="Title">
    <w:name w:val="Title"/>
    <w:basedOn w:val="Normal"/>
    <w:next w:val="Normal"/>
    <w:link w:val="TitleChar"/>
    <w:uiPriority w:val="10"/>
    <w:qFormat/>
    <w:rsid w:val="00B524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42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4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2428"/>
    <w:rPr>
      <w:i/>
      <w:iCs/>
      <w:color w:val="404040" w:themeColor="text1" w:themeTint="BF"/>
    </w:rPr>
  </w:style>
  <w:style w:type="paragraph" w:styleId="ListParagraph">
    <w:name w:val="List Paragraph"/>
    <w:basedOn w:val="Normal"/>
    <w:uiPriority w:val="34"/>
    <w:qFormat/>
    <w:rsid w:val="00B52428"/>
    <w:pPr>
      <w:ind w:left="720"/>
      <w:contextualSpacing/>
    </w:pPr>
  </w:style>
  <w:style w:type="character" w:styleId="IntenseEmphasis">
    <w:name w:val="Intense Emphasis"/>
    <w:basedOn w:val="DefaultParagraphFont"/>
    <w:uiPriority w:val="21"/>
    <w:qFormat/>
    <w:rsid w:val="00B52428"/>
    <w:rPr>
      <w:i/>
      <w:iCs/>
      <w:color w:val="0F4761" w:themeColor="accent1" w:themeShade="BF"/>
    </w:rPr>
  </w:style>
  <w:style w:type="paragraph" w:styleId="IntenseQuote">
    <w:name w:val="Intense Quote"/>
    <w:basedOn w:val="Normal"/>
    <w:next w:val="Normal"/>
    <w:link w:val="IntenseQuoteChar"/>
    <w:uiPriority w:val="30"/>
    <w:qFormat/>
    <w:rsid w:val="00B524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428"/>
    <w:rPr>
      <w:i/>
      <w:iCs/>
      <w:color w:val="0F4761" w:themeColor="accent1" w:themeShade="BF"/>
    </w:rPr>
  </w:style>
  <w:style w:type="character" w:styleId="IntenseReference">
    <w:name w:val="Intense Reference"/>
    <w:basedOn w:val="DefaultParagraphFont"/>
    <w:uiPriority w:val="32"/>
    <w:qFormat/>
    <w:rsid w:val="00B52428"/>
    <w:rPr>
      <w:b/>
      <w:bCs/>
      <w:smallCaps/>
      <w:color w:val="0F4761" w:themeColor="accent1" w:themeShade="BF"/>
      <w:spacing w:val="5"/>
    </w:rPr>
  </w:style>
  <w:style w:type="paragraph" w:styleId="Revision">
    <w:name w:val="Revision"/>
    <w:hidden/>
    <w:uiPriority w:val="99"/>
    <w:semiHidden/>
    <w:rsid w:val="00B52428"/>
  </w:style>
  <w:style w:type="paragraph" w:styleId="NormalWeb">
    <w:name w:val="Normal (Web)"/>
    <w:basedOn w:val="Normal"/>
    <w:uiPriority w:val="99"/>
    <w:semiHidden/>
    <w:unhideWhenUsed/>
    <w:rsid w:val="00B5242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52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110054">
      <w:bodyDiv w:val="1"/>
      <w:marLeft w:val="0"/>
      <w:marRight w:val="0"/>
      <w:marTop w:val="0"/>
      <w:marBottom w:val="0"/>
      <w:divBdr>
        <w:top w:val="none" w:sz="0" w:space="0" w:color="auto"/>
        <w:left w:val="none" w:sz="0" w:space="0" w:color="auto"/>
        <w:bottom w:val="none" w:sz="0" w:space="0" w:color="auto"/>
        <w:right w:val="none" w:sz="0" w:space="0" w:color="auto"/>
      </w:divBdr>
    </w:div>
    <w:div w:id="1206063861">
      <w:bodyDiv w:val="1"/>
      <w:marLeft w:val="0"/>
      <w:marRight w:val="0"/>
      <w:marTop w:val="0"/>
      <w:marBottom w:val="0"/>
      <w:divBdr>
        <w:top w:val="none" w:sz="0" w:space="0" w:color="auto"/>
        <w:left w:val="none" w:sz="0" w:space="0" w:color="auto"/>
        <w:bottom w:val="none" w:sz="0" w:space="0" w:color="auto"/>
        <w:right w:val="none" w:sz="0" w:space="0" w:color="auto"/>
      </w:divBdr>
    </w:div>
    <w:div w:id="1839155941">
      <w:bodyDiv w:val="1"/>
      <w:marLeft w:val="0"/>
      <w:marRight w:val="0"/>
      <w:marTop w:val="0"/>
      <w:marBottom w:val="0"/>
      <w:divBdr>
        <w:top w:val="none" w:sz="0" w:space="0" w:color="auto"/>
        <w:left w:val="none" w:sz="0" w:space="0" w:color="auto"/>
        <w:bottom w:val="none" w:sz="0" w:space="0" w:color="auto"/>
        <w:right w:val="none" w:sz="0" w:space="0" w:color="auto"/>
      </w:divBdr>
      <w:divsChild>
        <w:div w:id="4655107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fontTable" Target="fontTable.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3928</TotalTime>
  <Pages>49</Pages>
  <Words>6439</Words>
  <Characters>36703</Characters>
  <Application>Microsoft Office Word</Application>
  <DocSecurity>0</DocSecurity>
  <Lines>305</Lines>
  <Paragraphs>86</Paragraphs>
  <ScaleCrop>false</ScaleCrop>
  <Company/>
  <LinksUpToDate>false</LinksUpToDate>
  <CharactersWithSpaces>43056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lauratownsend2001@gmail.com</dc:creator>
  <cp:keywords/>
  <dc:description/>
  <cp:lastModifiedBy>lauratownsend2001@gmail.com</cp:lastModifiedBy>
  <cp:revision>1</cp:revision>
  <dcterms:created xsi:type="dcterms:W3CDTF">2024-04-30T17:43:00Z</dcterms:created>
  <dcterms:modified xsi:type="dcterms:W3CDTF">2024-05-06T18:59:00Z</dcterms:modified>
</cp:coreProperties>
</file>