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83E42" w14:textId="1590282B" w:rsidR="006804B4" w:rsidRDefault="00D656CE">
      <w:pPr>
        <w:rPr>
          <w:noProof/>
        </w:rPr>
      </w:pPr>
      <w:r>
        <w:rPr>
          <w:noProof/>
        </w:rPr>
        <w:drawing>
          <wp:inline distT="0" distB="0" distL="0" distR="0" wp14:anchorId="5661AF32" wp14:editId="7C8AE621">
            <wp:extent cx="3345180" cy="1343660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18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228E0" w14:textId="77777777" w:rsidR="00D656CE" w:rsidRPr="00D656CE" w:rsidRDefault="00D656CE" w:rsidP="00D656CE"/>
    <w:p w14:paraId="5DEF1241" w14:textId="77777777" w:rsidR="00D656CE" w:rsidRPr="00D656CE" w:rsidRDefault="00D656CE" w:rsidP="00D656CE"/>
    <w:p w14:paraId="7DAA9A91" w14:textId="77777777" w:rsidR="00D656CE" w:rsidRPr="00D656CE" w:rsidRDefault="00D656CE" w:rsidP="00D656CE"/>
    <w:p w14:paraId="203E65D2" w14:textId="7F84FD2B" w:rsidR="00D656CE" w:rsidRDefault="00C17C8F" w:rsidP="00C17C8F">
      <w:pPr>
        <w:jc w:val="center"/>
        <w:rPr>
          <w:b/>
          <w:bCs/>
          <w:sz w:val="36"/>
          <w:szCs w:val="36"/>
        </w:rPr>
      </w:pPr>
      <w:r w:rsidRPr="00C17C8F">
        <w:rPr>
          <w:b/>
          <w:bCs/>
          <w:sz w:val="36"/>
          <w:szCs w:val="36"/>
        </w:rPr>
        <w:t>Protecting and Supporting Families in Health and Care</w:t>
      </w:r>
      <w:r>
        <w:rPr>
          <w:b/>
          <w:bCs/>
          <w:sz w:val="36"/>
          <w:szCs w:val="36"/>
        </w:rPr>
        <w:t xml:space="preserve"> </w:t>
      </w:r>
      <w:r w:rsidRPr="00C17C8F">
        <w:rPr>
          <w:b/>
          <w:bCs/>
          <w:sz w:val="36"/>
          <w:szCs w:val="36"/>
        </w:rPr>
        <w:t>BMHP5021</w:t>
      </w:r>
    </w:p>
    <w:p w14:paraId="65FF5958" w14:textId="77777777" w:rsidR="00C17C8F" w:rsidRDefault="00C17C8F" w:rsidP="00C17C8F">
      <w:pPr>
        <w:jc w:val="center"/>
        <w:rPr>
          <w:b/>
          <w:bCs/>
          <w:sz w:val="36"/>
          <w:szCs w:val="36"/>
        </w:rPr>
      </w:pPr>
    </w:p>
    <w:p w14:paraId="64F2673A" w14:textId="77777777" w:rsidR="00C17C8F" w:rsidRDefault="00C17C8F" w:rsidP="00C17C8F">
      <w:pPr>
        <w:jc w:val="center"/>
        <w:rPr>
          <w:b/>
          <w:bCs/>
          <w:sz w:val="36"/>
          <w:szCs w:val="36"/>
        </w:rPr>
      </w:pPr>
    </w:p>
    <w:p w14:paraId="1E03C031" w14:textId="77777777" w:rsidR="00C17C8F" w:rsidRDefault="00C17C8F" w:rsidP="00C17C8F">
      <w:pPr>
        <w:jc w:val="center"/>
        <w:rPr>
          <w:b/>
          <w:bCs/>
          <w:sz w:val="36"/>
          <w:szCs w:val="36"/>
        </w:rPr>
      </w:pPr>
    </w:p>
    <w:p w14:paraId="6146A0C6" w14:textId="3556D385" w:rsidR="00C17C8F" w:rsidRPr="00C17C8F" w:rsidRDefault="00C17C8F" w:rsidP="00C17C8F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Component 1:</w:t>
      </w:r>
      <w:r w:rsidRPr="00871C29">
        <w:t xml:space="preserve"> </w:t>
      </w:r>
      <w:r w:rsidRPr="00B4146A">
        <w:rPr>
          <w:sz w:val="32"/>
          <w:szCs w:val="32"/>
        </w:rPr>
        <w:t>Presentation (Round-the-table group discussion)</w:t>
      </w:r>
    </w:p>
    <w:p w14:paraId="6D92B1C1" w14:textId="77777777" w:rsidR="00C17C8F" w:rsidRDefault="00C17C8F" w:rsidP="00C17C8F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17582AE0" w14:textId="77777777" w:rsidR="00C17C8F" w:rsidRDefault="00C17C8F" w:rsidP="00C17C8F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2FBA338C" w14:textId="77777777" w:rsidR="00C17C8F" w:rsidRPr="00B4146A" w:rsidRDefault="00C17C8F" w:rsidP="00C17C8F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Student name: </w:t>
      </w:r>
      <w:r w:rsidRPr="00B4146A"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  <w:t>Patricia Lopes Faria Falcao</w:t>
      </w:r>
    </w:p>
    <w:p w14:paraId="15585435" w14:textId="77777777" w:rsidR="00C17C8F" w:rsidRPr="00B4146A" w:rsidRDefault="00C17C8F" w:rsidP="00C17C8F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Student number: </w:t>
      </w:r>
      <w:r w:rsidRPr="00B4146A"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  <w:t>2426390</w:t>
      </w:r>
    </w:p>
    <w:p w14:paraId="6DFD1550" w14:textId="47AA3CA8" w:rsidR="00B4146A" w:rsidRDefault="00B4146A" w:rsidP="00C17C8F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Professional Role: </w:t>
      </w:r>
      <w:r w:rsidRPr="00B4146A"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  <w:t>Children’s Guardian</w:t>
      </w:r>
    </w:p>
    <w:p w14:paraId="3E05D3E4" w14:textId="5C057A4B" w:rsidR="00103121" w:rsidRPr="00BE72D3" w:rsidRDefault="00103121" w:rsidP="00C17C8F">
      <w:pPr>
        <w:spacing w:line="360" w:lineRule="auto"/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</w:pPr>
      <w:r w:rsidRPr="008E73C9">
        <w:rPr>
          <w:rStyle w:val="Strong"/>
          <w:rFonts w:ascii="Arial" w:hAnsi="Arial" w:cs="Arial"/>
          <w:color w:val="1D2125"/>
          <w:sz w:val="32"/>
          <w:szCs w:val="32"/>
        </w:rPr>
        <w:t>Case:</w:t>
      </w:r>
      <w:r w:rsidR="008E73C9">
        <w:rPr>
          <w:rStyle w:val="Strong"/>
          <w:rFonts w:ascii="Arial" w:hAnsi="Arial" w:cs="Arial"/>
          <w:color w:val="1D2125"/>
          <w:sz w:val="32"/>
          <w:szCs w:val="32"/>
        </w:rPr>
        <w:t xml:space="preserve"> </w:t>
      </w:r>
      <w:r w:rsidR="00BE72D3" w:rsidRPr="00BE72D3">
        <w:rPr>
          <w:rStyle w:val="Strong"/>
          <w:rFonts w:ascii="Arial" w:hAnsi="Arial" w:cs="Arial"/>
          <w:b w:val="0"/>
          <w:bCs w:val="0"/>
          <w:color w:val="1D2125"/>
          <w:sz w:val="32"/>
          <w:szCs w:val="32"/>
        </w:rPr>
        <w:t>Theo</w:t>
      </w:r>
    </w:p>
    <w:p w14:paraId="06B4F9F2" w14:textId="77777777" w:rsidR="00C17C8F" w:rsidRDefault="00C17C8F" w:rsidP="00C17C8F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</w:p>
    <w:p w14:paraId="78A340A1" w14:textId="565971CF" w:rsidR="00C17C8F" w:rsidRDefault="00C17C8F" w:rsidP="00C17C8F">
      <w:pPr>
        <w:spacing w:line="360" w:lineRule="auto"/>
        <w:rPr>
          <w:rStyle w:val="Strong"/>
          <w:rFonts w:ascii="Arial" w:hAnsi="Arial" w:cs="Arial"/>
          <w:color w:val="1D2125"/>
          <w:sz w:val="32"/>
          <w:szCs w:val="32"/>
        </w:rPr>
      </w:pPr>
      <w:r>
        <w:rPr>
          <w:rStyle w:val="Strong"/>
          <w:rFonts w:ascii="Arial" w:hAnsi="Arial" w:cs="Arial"/>
          <w:color w:val="1D2125"/>
          <w:sz w:val="32"/>
          <w:szCs w:val="32"/>
        </w:rPr>
        <w:t xml:space="preserve">Lecturer’s name: </w:t>
      </w:r>
      <w:r w:rsidRPr="00C17C8F">
        <w:rPr>
          <w:b/>
          <w:bCs/>
          <w:sz w:val="32"/>
          <w:szCs w:val="32"/>
        </w:rPr>
        <w:t>Shaila Hussain</w:t>
      </w:r>
    </w:p>
    <w:p w14:paraId="55E631CE" w14:textId="77777777" w:rsidR="00C17C8F" w:rsidRPr="00C17C8F" w:rsidRDefault="00C17C8F" w:rsidP="00C17C8F">
      <w:pPr>
        <w:rPr>
          <w:b/>
          <w:bCs/>
          <w:sz w:val="36"/>
          <w:szCs w:val="36"/>
        </w:rPr>
      </w:pPr>
    </w:p>
    <w:p w14:paraId="76F88C1C" w14:textId="1FE4CB03" w:rsidR="00D656CE" w:rsidRDefault="00DB0443" w:rsidP="00D656CE">
      <w:pPr>
        <w:tabs>
          <w:tab w:val="left" w:pos="150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14:paraId="60C319C2" w14:textId="77777777" w:rsidR="00C17C8F" w:rsidRDefault="00C17C8F" w:rsidP="00D656CE">
      <w:pPr>
        <w:tabs>
          <w:tab w:val="left" w:pos="1500"/>
        </w:tabs>
        <w:rPr>
          <w:rFonts w:ascii="Arial" w:hAnsi="Arial" w:cs="Arial"/>
        </w:rPr>
      </w:pPr>
    </w:p>
    <w:p w14:paraId="43ACBC44" w14:textId="77777777" w:rsidR="00387C07" w:rsidRPr="00BE72D3" w:rsidRDefault="001C39E3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b/>
          <w:bCs/>
          <w:sz w:val="22"/>
          <w:szCs w:val="22"/>
        </w:rPr>
        <w:t>Reference List</w:t>
      </w:r>
    </w:p>
    <w:p w14:paraId="5D0D85F1" w14:textId="54BF429C" w:rsidR="00C17C8F" w:rsidRPr="00BE72D3" w:rsidRDefault="00C17C8F" w:rsidP="00BE72D3">
      <w:pPr>
        <w:tabs>
          <w:tab w:val="left" w:pos="1500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40F6846" w14:textId="4F16C84A" w:rsidR="001C39E3" w:rsidRPr="00BE72D3" w:rsidRDefault="001C39E3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sz w:val="22"/>
          <w:szCs w:val="22"/>
        </w:rPr>
        <w:t xml:space="preserve">Cafcass (2025) Practice Guidance for Children’s Guardians. Available at: </w:t>
      </w:r>
      <w:hyperlink r:id="rId6" w:history="1">
        <w:r w:rsidRPr="00BE72D3">
          <w:rPr>
            <w:rStyle w:val="Hyperlink"/>
            <w:rFonts w:ascii="Arial" w:hAnsi="Arial" w:cs="Arial"/>
            <w:sz w:val="22"/>
            <w:szCs w:val="22"/>
          </w:rPr>
          <w:t>https://cafcass.gov.uk</w:t>
        </w:r>
      </w:hyperlink>
      <w:r w:rsidRPr="00BE72D3">
        <w:rPr>
          <w:rFonts w:ascii="Arial" w:hAnsi="Arial" w:cs="Arial"/>
          <w:sz w:val="22"/>
          <w:szCs w:val="22"/>
        </w:rPr>
        <w:t xml:space="preserve"> (Accessed: 15 July 2026).</w:t>
      </w:r>
    </w:p>
    <w:p w14:paraId="006112D4" w14:textId="1FFFA3F8" w:rsidR="00606D05" w:rsidRPr="00BE72D3" w:rsidRDefault="00606D05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sz w:val="22"/>
          <w:szCs w:val="22"/>
        </w:rPr>
        <w:t xml:space="preserve">Children Act 1989 (c.41) (1989) Children Act 1989. London: The Stationery Office. Available at: </w:t>
      </w:r>
      <w:hyperlink r:id="rId7" w:history="1">
        <w:r w:rsidR="00443AEB" w:rsidRPr="00BE72D3">
          <w:rPr>
            <w:rStyle w:val="Hyperlink"/>
            <w:rFonts w:ascii="Arial" w:hAnsi="Arial" w:cs="Arial"/>
            <w:sz w:val="22"/>
            <w:szCs w:val="22"/>
          </w:rPr>
          <w:t>https://www.legislation.gov.uk/ukpga/1989/41/contents</w:t>
        </w:r>
      </w:hyperlink>
      <w:r w:rsidR="00443AEB" w:rsidRPr="00BE72D3">
        <w:rPr>
          <w:rFonts w:ascii="Arial" w:hAnsi="Arial" w:cs="Arial"/>
          <w:sz w:val="22"/>
          <w:szCs w:val="22"/>
        </w:rPr>
        <w:t xml:space="preserve"> </w:t>
      </w:r>
      <w:proofErr w:type="gramStart"/>
      <w:r w:rsidR="00443AEB" w:rsidRPr="00BE72D3">
        <w:rPr>
          <w:rFonts w:ascii="Arial" w:hAnsi="Arial" w:cs="Arial"/>
          <w:sz w:val="22"/>
          <w:szCs w:val="22"/>
        </w:rPr>
        <w:t xml:space="preserve">( </w:t>
      </w:r>
      <w:r w:rsidR="00D60CE6" w:rsidRPr="00BE72D3">
        <w:rPr>
          <w:rFonts w:ascii="Arial" w:hAnsi="Arial" w:cs="Arial"/>
          <w:sz w:val="22"/>
          <w:szCs w:val="22"/>
        </w:rPr>
        <w:t>Accessed</w:t>
      </w:r>
      <w:proofErr w:type="gramEnd"/>
      <w:r w:rsidR="00D60CE6" w:rsidRPr="00BE72D3">
        <w:rPr>
          <w:rFonts w:ascii="Arial" w:hAnsi="Arial" w:cs="Arial"/>
          <w:sz w:val="22"/>
          <w:szCs w:val="22"/>
        </w:rPr>
        <w:t>:</w:t>
      </w:r>
      <w:r w:rsidR="00443AEB" w:rsidRPr="00BE72D3">
        <w:rPr>
          <w:rFonts w:ascii="Arial" w:hAnsi="Arial" w:cs="Arial"/>
          <w:sz w:val="22"/>
          <w:szCs w:val="22"/>
        </w:rPr>
        <w:t>15 July 2026).</w:t>
      </w:r>
    </w:p>
    <w:p w14:paraId="6C917171" w14:textId="21A8B7AD" w:rsidR="00DB0443" w:rsidRPr="00BE72D3" w:rsidRDefault="00DB0443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sz w:val="22"/>
          <w:szCs w:val="22"/>
        </w:rPr>
        <w:t xml:space="preserve">Derby and </w:t>
      </w:r>
      <w:r w:rsidR="00493FB6" w:rsidRPr="00BE72D3">
        <w:rPr>
          <w:rFonts w:ascii="Arial" w:hAnsi="Arial" w:cs="Arial"/>
          <w:sz w:val="22"/>
          <w:szCs w:val="22"/>
        </w:rPr>
        <w:t xml:space="preserve">Derbyshire Safeguarding Children Partnership </w:t>
      </w:r>
      <w:r w:rsidR="00387C07" w:rsidRPr="00BE72D3">
        <w:rPr>
          <w:rFonts w:ascii="Arial" w:hAnsi="Arial" w:cs="Arial"/>
          <w:sz w:val="22"/>
          <w:szCs w:val="22"/>
        </w:rPr>
        <w:t>(</w:t>
      </w:r>
      <w:r w:rsidR="00493FB6" w:rsidRPr="00BE72D3">
        <w:rPr>
          <w:rFonts w:ascii="Arial" w:hAnsi="Arial" w:cs="Arial"/>
          <w:sz w:val="22"/>
          <w:szCs w:val="22"/>
        </w:rPr>
        <w:t>2024) Theo: Child Safeguarding Practice Review. Derby: Derby and Derbyshire Safeguarding Children Partnership.</w:t>
      </w:r>
    </w:p>
    <w:p w14:paraId="1750E277" w14:textId="2F719A5F" w:rsidR="00387C07" w:rsidRPr="00BE72D3" w:rsidRDefault="00387C07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sz w:val="22"/>
          <w:szCs w:val="22"/>
        </w:rPr>
        <w:t xml:space="preserve">HM Government (2004) Children Act 2004. London: The Stationery Office. Available at: </w:t>
      </w:r>
      <w:hyperlink r:id="rId8" w:history="1">
        <w:r w:rsidR="004D7B3D" w:rsidRPr="00BE72D3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="004D7B3D" w:rsidRPr="00BE72D3">
        <w:rPr>
          <w:rFonts w:ascii="Arial" w:hAnsi="Arial" w:cs="Arial"/>
          <w:sz w:val="22"/>
          <w:szCs w:val="22"/>
        </w:rPr>
        <w:t xml:space="preserve"> (Accessed: 19 July 2026).</w:t>
      </w:r>
    </w:p>
    <w:p w14:paraId="782EBA7C" w14:textId="567F1818" w:rsidR="00493FB6" w:rsidRPr="00BE72D3" w:rsidRDefault="00493FB6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sz w:val="22"/>
          <w:szCs w:val="22"/>
        </w:rPr>
        <w:t>HM Government (20</w:t>
      </w:r>
      <w:r w:rsidR="00211BCA" w:rsidRPr="00BE72D3">
        <w:rPr>
          <w:rFonts w:ascii="Arial" w:hAnsi="Arial" w:cs="Arial"/>
          <w:sz w:val="22"/>
          <w:szCs w:val="22"/>
        </w:rPr>
        <w:t>23</w:t>
      </w:r>
      <w:r w:rsidRPr="00BE72D3">
        <w:rPr>
          <w:rFonts w:ascii="Arial" w:hAnsi="Arial" w:cs="Arial"/>
          <w:sz w:val="22"/>
          <w:szCs w:val="22"/>
        </w:rPr>
        <w:t>)</w:t>
      </w:r>
      <w:r w:rsidR="00211BCA" w:rsidRPr="00BE72D3">
        <w:rPr>
          <w:rFonts w:ascii="Arial" w:hAnsi="Arial" w:cs="Arial"/>
          <w:sz w:val="22"/>
          <w:szCs w:val="22"/>
        </w:rPr>
        <w:t xml:space="preserve"> Working Together to Safeguard Children: A guide to multi-agency working to help, protect and promote the welfare of children</w:t>
      </w:r>
      <w:r w:rsidRPr="00BE72D3">
        <w:rPr>
          <w:rFonts w:ascii="Arial" w:hAnsi="Arial" w:cs="Arial"/>
          <w:sz w:val="22"/>
          <w:szCs w:val="22"/>
        </w:rPr>
        <w:t>.</w:t>
      </w:r>
      <w:r w:rsidR="00211BCA" w:rsidRPr="00BE72D3">
        <w:rPr>
          <w:rFonts w:ascii="Arial" w:hAnsi="Arial" w:cs="Arial"/>
          <w:sz w:val="22"/>
          <w:szCs w:val="22"/>
        </w:rPr>
        <w:t xml:space="preserve"> London: HM</w:t>
      </w:r>
      <w:r w:rsidR="00387C07" w:rsidRPr="00BE72D3">
        <w:rPr>
          <w:rFonts w:ascii="Arial" w:hAnsi="Arial" w:cs="Arial"/>
          <w:sz w:val="22"/>
          <w:szCs w:val="22"/>
        </w:rPr>
        <w:t xml:space="preserve"> Government. </w:t>
      </w:r>
      <w:r w:rsidRPr="00BE72D3">
        <w:rPr>
          <w:rFonts w:ascii="Arial" w:hAnsi="Arial" w:cs="Arial"/>
          <w:sz w:val="22"/>
          <w:szCs w:val="22"/>
        </w:rPr>
        <w:t xml:space="preserve"> Available at:</w:t>
      </w:r>
      <w:r w:rsidR="001915EE" w:rsidRPr="00BE72D3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="00211BCA" w:rsidRPr="00BE72D3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https://www.gov.uk/government/publications/working-together-to-safeguard-children-2</w:t>
        </w:r>
      </w:hyperlink>
      <w:r w:rsidR="00211BCA" w:rsidRPr="00BE72D3">
        <w:rPr>
          <w:rFonts w:ascii="Arial" w:hAnsi="Arial" w:cs="Arial"/>
          <w:sz w:val="22"/>
          <w:szCs w:val="22"/>
        </w:rPr>
        <w:t xml:space="preserve"> </w:t>
      </w:r>
      <w:r w:rsidR="001915EE" w:rsidRPr="00BE72D3">
        <w:rPr>
          <w:rFonts w:ascii="Arial" w:hAnsi="Arial" w:cs="Arial"/>
          <w:sz w:val="22"/>
          <w:szCs w:val="22"/>
        </w:rPr>
        <w:t xml:space="preserve">(Accessed: </w:t>
      </w:r>
      <w:r w:rsidR="00443AEB" w:rsidRPr="00BE72D3">
        <w:rPr>
          <w:rFonts w:ascii="Arial" w:hAnsi="Arial" w:cs="Arial"/>
          <w:sz w:val="22"/>
          <w:szCs w:val="22"/>
        </w:rPr>
        <w:t>19 July 2026)</w:t>
      </w:r>
    </w:p>
    <w:p w14:paraId="52EE9E4E" w14:textId="334573F9" w:rsidR="001915EE" w:rsidRPr="00BE72D3" w:rsidRDefault="006405FE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sz w:val="22"/>
          <w:szCs w:val="22"/>
        </w:rPr>
        <w:t>National Institute for Heath and Care Excellence (</w:t>
      </w:r>
      <w:r w:rsidR="001915EE" w:rsidRPr="00BE72D3">
        <w:rPr>
          <w:rFonts w:ascii="Arial" w:hAnsi="Arial" w:cs="Arial"/>
          <w:sz w:val="22"/>
          <w:szCs w:val="22"/>
        </w:rPr>
        <w:t>Nice</w:t>
      </w:r>
      <w:r w:rsidRPr="00BE72D3">
        <w:rPr>
          <w:rFonts w:ascii="Arial" w:hAnsi="Arial" w:cs="Arial"/>
          <w:sz w:val="22"/>
          <w:szCs w:val="22"/>
        </w:rPr>
        <w:t>)</w:t>
      </w:r>
      <w:r w:rsidR="001915EE" w:rsidRPr="00BE72D3">
        <w:rPr>
          <w:rFonts w:ascii="Arial" w:hAnsi="Arial" w:cs="Arial"/>
          <w:sz w:val="22"/>
          <w:szCs w:val="22"/>
        </w:rPr>
        <w:t xml:space="preserve"> (2017) Child Abuse and Neglect (NG76). London: National Institute for Health and Care Excellence. Available at: </w:t>
      </w:r>
      <w:hyperlink r:id="rId10" w:history="1">
        <w:r w:rsidR="00466C01" w:rsidRPr="00BE72D3">
          <w:rPr>
            <w:rStyle w:val="Hyperlink"/>
            <w:rFonts w:ascii="Arial" w:hAnsi="Arial" w:cs="Arial"/>
            <w:sz w:val="22"/>
            <w:szCs w:val="22"/>
          </w:rPr>
          <w:t>https://www.nice.org.uk/guidance/ng76</w:t>
        </w:r>
      </w:hyperlink>
      <w:r w:rsidRPr="00BE72D3">
        <w:rPr>
          <w:rFonts w:ascii="Arial" w:hAnsi="Arial" w:cs="Arial"/>
          <w:sz w:val="22"/>
          <w:szCs w:val="22"/>
        </w:rPr>
        <w:t xml:space="preserve"> (Accessed 15 July 2026)</w:t>
      </w:r>
    </w:p>
    <w:p w14:paraId="463FC0B7" w14:textId="274F943C" w:rsidR="00466C01" w:rsidRPr="00BE72D3" w:rsidRDefault="00466C01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sz w:val="22"/>
          <w:szCs w:val="22"/>
        </w:rPr>
        <w:t xml:space="preserve">NSPCC (2024) Recognising and Responding to Child Abuse and Neglect. Available at: </w:t>
      </w:r>
      <w:hyperlink r:id="rId11" w:history="1">
        <w:r w:rsidRPr="00BE72D3">
          <w:rPr>
            <w:rStyle w:val="Hyperlink"/>
            <w:rFonts w:ascii="Arial" w:hAnsi="Arial" w:cs="Arial"/>
            <w:sz w:val="22"/>
            <w:szCs w:val="22"/>
          </w:rPr>
          <w:t>https://learning.nspcc.org.uk</w:t>
        </w:r>
      </w:hyperlink>
      <w:r w:rsidRPr="00BE72D3">
        <w:rPr>
          <w:rFonts w:ascii="Arial" w:hAnsi="Arial" w:cs="Arial"/>
          <w:sz w:val="22"/>
          <w:szCs w:val="22"/>
        </w:rPr>
        <w:t xml:space="preserve"> (</w:t>
      </w:r>
      <w:r w:rsidR="006405FE" w:rsidRPr="00BE72D3">
        <w:rPr>
          <w:rFonts w:ascii="Arial" w:hAnsi="Arial" w:cs="Arial"/>
          <w:sz w:val="22"/>
          <w:szCs w:val="22"/>
        </w:rPr>
        <w:t xml:space="preserve">Accessed </w:t>
      </w:r>
      <w:r w:rsidR="00BE72D3" w:rsidRPr="00BE72D3">
        <w:rPr>
          <w:rFonts w:ascii="Arial" w:hAnsi="Arial" w:cs="Arial"/>
          <w:sz w:val="22"/>
          <w:szCs w:val="22"/>
        </w:rPr>
        <w:t>19 July 2026)</w:t>
      </w:r>
    </w:p>
    <w:p w14:paraId="5CE4D2DE" w14:textId="39DC438B" w:rsidR="00BE79E5" w:rsidRPr="00BE72D3" w:rsidRDefault="00466C01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sz w:val="22"/>
          <w:szCs w:val="22"/>
        </w:rPr>
        <w:t>Royal College of Paediatrics and Child Health (2022) Child Protection C</w:t>
      </w:r>
      <w:r w:rsidR="00BE79E5" w:rsidRPr="00BE72D3">
        <w:rPr>
          <w:rFonts w:ascii="Arial" w:hAnsi="Arial" w:cs="Arial"/>
          <w:sz w:val="22"/>
          <w:szCs w:val="22"/>
        </w:rPr>
        <w:t xml:space="preserve">ompanion. London: RCPCH. Available at: </w:t>
      </w:r>
      <w:hyperlink r:id="rId12" w:history="1">
        <w:r w:rsidR="00BE79E5" w:rsidRPr="00BE72D3">
          <w:rPr>
            <w:rStyle w:val="Hyperlink"/>
            <w:rFonts w:ascii="Arial" w:hAnsi="Arial" w:cs="Arial"/>
            <w:sz w:val="22"/>
            <w:szCs w:val="22"/>
          </w:rPr>
          <w:t>https://childprotection.rcpch.ac.uk</w:t>
        </w:r>
      </w:hyperlink>
      <w:r w:rsidR="00BE72D3" w:rsidRPr="00BE72D3">
        <w:rPr>
          <w:rFonts w:ascii="Arial" w:hAnsi="Arial" w:cs="Arial"/>
          <w:sz w:val="22"/>
          <w:szCs w:val="22"/>
        </w:rPr>
        <w:t xml:space="preserve"> (Accessed: 21 July 2026)</w:t>
      </w:r>
    </w:p>
    <w:p w14:paraId="7816F329" w14:textId="0E6CD133" w:rsidR="00BE79E5" w:rsidRPr="00BE72D3" w:rsidRDefault="00BE79E5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  <w:r w:rsidRPr="00BE72D3">
        <w:rPr>
          <w:rFonts w:ascii="Arial" w:hAnsi="Arial" w:cs="Arial"/>
          <w:sz w:val="22"/>
          <w:szCs w:val="22"/>
        </w:rPr>
        <w:t xml:space="preserve">Social Work England (2025) Professional Standards. Available at: </w:t>
      </w:r>
      <w:hyperlink r:id="rId13" w:history="1">
        <w:r w:rsidRPr="00BE72D3">
          <w:rPr>
            <w:rStyle w:val="Hyperlink"/>
            <w:rFonts w:ascii="Arial" w:hAnsi="Arial" w:cs="Arial"/>
            <w:sz w:val="22"/>
            <w:szCs w:val="22"/>
          </w:rPr>
          <w:t>https://www.socialworkengland.org.uk/standards/professional-standards</w:t>
        </w:r>
      </w:hyperlink>
      <w:r w:rsidRPr="00BE72D3">
        <w:rPr>
          <w:rFonts w:ascii="Arial" w:hAnsi="Arial" w:cs="Arial"/>
          <w:sz w:val="22"/>
          <w:szCs w:val="22"/>
        </w:rPr>
        <w:t xml:space="preserve"> (</w:t>
      </w:r>
      <w:r w:rsidR="00BE72D3" w:rsidRPr="00BE72D3">
        <w:rPr>
          <w:rFonts w:ascii="Arial" w:hAnsi="Arial" w:cs="Arial"/>
          <w:sz w:val="22"/>
          <w:szCs w:val="22"/>
        </w:rPr>
        <w:t>Accessed:15 July 2026)</w:t>
      </w:r>
    </w:p>
    <w:p w14:paraId="378903B3" w14:textId="77777777" w:rsidR="00BE79E5" w:rsidRPr="00BE72D3" w:rsidRDefault="00BE79E5" w:rsidP="00BE72D3">
      <w:pPr>
        <w:tabs>
          <w:tab w:val="left" w:pos="15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F51B06A" w14:textId="77777777" w:rsidR="00466C01" w:rsidRDefault="00466C01" w:rsidP="00D656CE">
      <w:pPr>
        <w:tabs>
          <w:tab w:val="left" w:pos="1500"/>
        </w:tabs>
        <w:rPr>
          <w:rFonts w:ascii="Arial" w:hAnsi="Arial" w:cs="Arial"/>
        </w:rPr>
      </w:pPr>
    </w:p>
    <w:p w14:paraId="3F130E29" w14:textId="77777777" w:rsidR="001915EE" w:rsidRDefault="001915EE" w:rsidP="00D656CE">
      <w:pPr>
        <w:tabs>
          <w:tab w:val="left" w:pos="1500"/>
        </w:tabs>
        <w:rPr>
          <w:rFonts w:ascii="Arial" w:hAnsi="Arial" w:cs="Arial"/>
        </w:rPr>
      </w:pPr>
    </w:p>
    <w:p w14:paraId="42833C0C" w14:textId="77777777" w:rsidR="001C39E3" w:rsidRDefault="001C39E3" w:rsidP="00D656CE">
      <w:pPr>
        <w:tabs>
          <w:tab w:val="left" w:pos="1500"/>
        </w:tabs>
        <w:rPr>
          <w:rFonts w:ascii="Arial" w:hAnsi="Arial" w:cs="Arial"/>
        </w:rPr>
      </w:pPr>
    </w:p>
    <w:p w14:paraId="7B022FF9" w14:textId="77777777" w:rsidR="001C39E3" w:rsidRDefault="001C39E3" w:rsidP="00D656CE">
      <w:pPr>
        <w:tabs>
          <w:tab w:val="left" w:pos="1500"/>
        </w:tabs>
        <w:rPr>
          <w:rFonts w:ascii="Arial" w:hAnsi="Arial" w:cs="Arial"/>
        </w:rPr>
      </w:pPr>
    </w:p>
    <w:p w14:paraId="374115EF" w14:textId="77777777" w:rsidR="001C39E3" w:rsidRDefault="001C39E3" w:rsidP="00D656CE">
      <w:pPr>
        <w:tabs>
          <w:tab w:val="left" w:pos="1500"/>
        </w:tabs>
        <w:rPr>
          <w:rFonts w:ascii="Arial" w:hAnsi="Arial" w:cs="Arial"/>
        </w:rPr>
      </w:pPr>
    </w:p>
    <w:p w14:paraId="4EBEA986" w14:textId="77777777" w:rsidR="001C39E3" w:rsidRDefault="001C39E3" w:rsidP="00D656CE">
      <w:pPr>
        <w:tabs>
          <w:tab w:val="left" w:pos="1500"/>
        </w:tabs>
        <w:rPr>
          <w:rFonts w:ascii="Arial" w:hAnsi="Arial" w:cs="Arial"/>
        </w:rPr>
      </w:pPr>
    </w:p>
    <w:p w14:paraId="083EB758" w14:textId="690C5E11" w:rsidR="001C39E3" w:rsidRDefault="001C39E3" w:rsidP="00D656CE">
      <w:pPr>
        <w:tabs>
          <w:tab w:val="left" w:pos="1500"/>
        </w:tabs>
        <w:rPr>
          <w:rFonts w:ascii="Arial" w:hAnsi="Arial" w:cs="Arial"/>
        </w:rPr>
      </w:pPr>
      <w:r>
        <w:rPr>
          <w:rFonts w:ascii="Arial" w:hAnsi="Arial" w:cs="Arial"/>
        </w:rPr>
        <w:t>;</w:t>
      </w:r>
    </w:p>
    <w:p w14:paraId="05BCFD3F" w14:textId="77777777" w:rsidR="00C17C8F" w:rsidRPr="00D656CE" w:rsidRDefault="00C17C8F" w:rsidP="00D656CE">
      <w:pPr>
        <w:tabs>
          <w:tab w:val="left" w:pos="1500"/>
        </w:tabs>
        <w:rPr>
          <w:rFonts w:ascii="Arial" w:hAnsi="Arial" w:cs="Arial"/>
        </w:rPr>
      </w:pPr>
    </w:p>
    <w:sectPr w:rsidR="00C17C8F" w:rsidRPr="00D656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6CE"/>
    <w:rsid w:val="00103121"/>
    <w:rsid w:val="001915EE"/>
    <w:rsid w:val="001C39E3"/>
    <w:rsid w:val="00211BCA"/>
    <w:rsid w:val="003213AD"/>
    <w:rsid w:val="00387C07"/>
    <w:rsid w:val="00443AEB"/>
    <w:rsid w:val="00466C01"/>
    <w:rsid w:val="00493FB6"/>
    <w:rsid w:val="004D7B3D"/>
    <w:rsid w:val="004F4915"/>
    <w:rsid w:val="00596617"/>
    <w:rsid w:val="00606D05"/>
    <w:rsid w:val="006405FE"/>
    <w:rsid w:val="00651A5A"/>
    <w:rsid w:val="006804B4"/>
    <w:rsid w:val="008E73C9"/>
    <w:rsid w:val="009C40E5"/>
    <w:rsid w:val="00A765F2"/>
    <w:rsid w:val="00B02973"/>
    <w:rsid w:val="00B4146A"/>
    <w:rsid w:val="00B41863"/>
    <w:rsid w:val="00BE72D3"/>
    <w:rsid w:val="00BE79E5"/>
    <w:rsid w:val="00C17C8F"/>
    <w:rsid w:val="00D60CE6"/>
    <w:rsid w:val="00D656CE"/>
    <w:rsid w:val="00D71242"/>
    <w:rsid w:val="00DB0443"/>
    <w:rsid w:val="00F9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2B6FF"/>
  <w15:chartTrackingRefBased/>
  <w15:docId w15:val="{29147D6C-8C79-4E64-A728-8FBF4BD84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5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6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6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6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6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6C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6C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6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6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6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6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5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5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56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6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56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6C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6CE"/>
    <w:rPr>
      <w:b/>
      <w:bCs/>
      <w:smallCaps/>
      <w:color w:val="2F5496" w:themeColor="accent1" w:themeShade="BF"/>
      <w:spacing w:val="5"/>
    </w:rPr>
  </w:style>
  <w:style w:type="character" w:styleId="Strong">
    <w:name w:val="Strong"/>
    <w:uiPriority w:val="22"/>
    <w:qFormat/>
    <w:rsid w:val="00C17C8F"/>
    <w:rPr>
      <w:b/>
      <w:bCs/>
    </w:rPr>
  </w:style>
  <w:style w:type="character" w:styleId="Hyperlink">
    <w:name w:val="Hyperlink"/>
    <w:basedOn w:val="DefaultParagraphFont"/>
    <w:uiPriority w:val="99"/>
    <w:unhideWhenUsed/>
    <w:rsid w:val="001C39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39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contents" TargetMode="External"/><Relationship Id="rId13" Type="http://schemas.openxmlformats.org/officeDocument/2006/relationships/hyperlink" Target="https://www.socialworkengland.org.uk/standards/professional-standard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1989/41/contents" TargetMode="External"/><Relationship Id="rId12" Type="http://schemas.openxmlformats.org/officeDocument/2006/relationships/hyperlink" Target="https://childprotection.rcpch.ac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afcass.gov.uk" TargetMode="External"/><Relationship Id="rId11" Type="http://schemas.openxmlformats.org/officeDocument/2006/relationships/hyperlink" Target="https://learning.nspcc.org.uk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nice.org.uk/guidance/ng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working-together-to-safeguard-children-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617CD-34C0-4B2D-B3CE-25FB7D42C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Faria</dc:creator>
  <cp:keywords/>
  <dc:description/>
  <cp:lastModifiedBy>Patricia Faria</cp:lastModifiedBy>
  <cp:revision>3</cp:revision>
  <dcterms:created xsi:type="dcterms:W3CDTF">2026-07-18T11:33:00Z</dcterms:created>
  <dcterms:modified xsi:type="dcterms:W3CDTF">2026-07-24T00:24:00Z</dcterms:modified>
</cp:coreProperties>
</file>