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A04E1F0" w:rsidR="7908378C" w:rsidRDefault="7908378C" w:rsidP="33572C6E">
            <w:pPr>
              <w:ind w:right="237"/>
              <w:rPr>
                <w:b/>
                <w:bCs/>
                <w:color w:val="auto"/>
                <w:sz w:val="32"/>
                <w:szCs w:val="32"/>
              </w:rPr>
            </w:pPr>
            <w:r w:rsidRPr="33572C6E">
              <w:rPr>
                <w:b/>
                <w:bCs/>
                <w:color w:val="auto"/>
                <w:sz w:val="32"/>
                <w:szCs w:val="32"/>
              </w:rPr>
              <w:t xml:space="preserve">Learner name: </w:t>
            </w:r>
            <w:r w:rsidR="00B10079">
              <w:rPr>
                <w:b/>
                <w:bCs/>
                <w:color w:val="auto"/>
                <w:sz w:val="32"/>
                <w:szCs w:val="32"/>
              </w:rPr>
              <w:t>Jessica Humphreys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A54E5A1" w:rsidR="7908378C" w:rsidRDefault="00B10079" w:rsidP="33572C6E">
            <w:pPr>
              <w:ind w:right="237"/>
              <w:rPr>
                <w:b/>
                <w:bCs/>
                <w:color w:val="auto"/>
                <w:sz w:val="32"/>
                <w:szCs w:val="32"/>
              </w:rPr>
            </w:pPr>
            <w:r>
              <w:rPr>
                <w:b/>
                <w:bCs/>
                <w:color w:val="auto"/>
                <w:sz w:val="32"/>
                <w:szCs w:val="32"/>
              </w:rPr>
              <w:t>2</w:t>
            </w:r>
            <w:r w:rsidR="000843E6">
              <w:rPr>
                <w:b/>
                <w:bCs/>
                <w:color w:val="auto"/>
                <w:sz w:val="32"/>
                <w:szCs w:val="32"/>
              </w:rPr>
              <w:t>124</w:t>
            </w:r>
            <w:r w:rsidR="00925937">
              <w:rPr>
                <w:b/>
                <w:bCs/>
                <w:color w:val="auto"/>
                <w:sz w:val="32"/>
                <w:szCs w:val="32"/>
              </w:rPr>
              <w:t>756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A67BC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54C3DEDF" w:rsidR="5B843AF0" w:rsidRDefault="5B843AF0" w:rsidP="5B843AF0">
      <w:pPr>
        <w:ind w:right="237"/>
        <w:jc w:val="both"/>
        <w:rPr>
          <w:rFonts w:eastAsia="Arial"/>
          <w:color w:val="000000" w:themeColor="text1"/>
          <w:sz w:val="24"/>
          <w:szCs w:val="24"/>
        </w:rPr>
      </w:pPr>
    </w:p>
    <w:p w14:paraId="0B57C596" w14:textId="61C5273F" w:rsidR="002A0207" w:rsidRPr="00403E0C" w:rsidRDefault="002A0207" w:rsidP="002A0207">
      <w:pPr>
        <w:spacing w:line="480" w:lineRule="auto"/>
        <w:rPr>
          <w:color w:val="000000" w:themeColor="text1"/>
          <w:sz w:val="22"/>
          <w:szCs w:val="22"/>
        </w:rPr>
      </w:pPr>
      <w:proofErr w:type="gramStart"/>
      <w:r w:rsidRPr="00403E0C">
        <w:rPr>
          <w:color w:val="000000" w:themeColor="text1"/>
          <w:sz w:val="22"/>
          <w:szCs w:val="22"/>
        </w:rPr>
        <w:t>As a student police officer, part of my role</w:t>
      </w:r>
      <w:proofErr w:type="gramEnd"/>
      <w:r w:rsidRPr="00403E0C">
        <w:rPr>
          <w:color w:val="000000" w:themeColor="text1"/>
          <w:sz w:val="22"/>
          <w:szCs w:val="22"/>
        </w:rPr>
        <w:t xml:space="preserve"> is to deal with and help victims of crime or antisocial behaviour. During this essay I will discuss an incident I have attended whereby a group of youths were causing a disturbance outside the local McDonalds and as a result one male </w:t>
      </w:r>
      <w:proofErr w:type="gramStart"/>
      <w:r w:rsidRPr="00403E0C">
        <w:rPr>
          <w:color w:val="000000" w:themeColor="text1"/>
          <w:sz w:val="22"/>
          <w:szCs w:val="22"/>
        </w:rPr>
        <w:t>in particular had</w:t>
      </w:r>
      <w:proofErr w:type="gramEnd"/>
      <w:r w:rsidRPr="00403E0C">
        <w:rPr>
          <w:color w:val="000000" w:themeColor="text1"/>
          <w:sz w:val="22"/>
          <w:szCs w:val="22"/>
        </w:rPr>
        <w:t xml:space="preserve"> assaulted a member of staff and made homophobic comments to another member of staff. This essay will aim to reflect on my own actions and discuss why I responded in the way I did, and to evaluate the effectiveness of approaches I used. This essay will also discuss the role of other agencies in this incident in dealing with this offender, such as youth services and the </w:t>
      </w:r>
      <w:proofErr w:type="spellStart"/>
      <w:r w:rsidRPr="00403E0C">
        <w:rPr>
          <w:color w:val="000000" w:themeColor="text1"/>
          <w:sz w:val="22"/>
          <w:szCs w:val="22"/>
        </w:rPr>
        <w:t>Anti Social</w:t>
      </w:r>
      <w:proofErr w:type="spellEnd"/>
      <w:r w:rsidRPr="00403E0C">
        <w:rPr>
          <w:color w:val="000000" w:themeColor="text1"/>
          <w:sz w:val="22"/>
          <w:szCs w:val="22"/>
        </w:rPr>
        <w:t xml:space="preserve"> Behaviour team, as well as going on to </w:t>
      </w:r>
      <w:r w:rsidR="002D5857" w:rsidRPr="00403E0C">
        <w:rPr>
          <w:color w:val="000000" w:themeColor="text1"/>
          <w:sz w:val="22"/>
          <w:szCs w:val="22"/>
        </w:rPr>
        <w:t>critically</w:t>
      </w:r>
      <w:r w:rsidRPr="00403E0C">
        <w:rPr>
          <w:color w:val="000000" w:themeColor="text1"/>
          <w:sz w:val="22"/>
          <w:szCs w:val="22"/>
        </w:rPr>
        <w:t xml:space="preserve"> evaluate other approaches that could have been used in this incident, and analysing whether they would have been appropriate in this incident. This essay will then go on to explore strategies to tackle repeat victimisation and repeat offending, such as Special Measures to protect and empower victims and a multi-agency approach to working with offenders.</w:t>
      </w:r>
    </w:p>
    <w:p w14:paraId="4143BE12" w14:textId="77777777" w:rsidR="002A0207" w:rsidRPr="00403E0C" w:rsidRDefault="002A0207" w:rsidP="002A0207">
      <w:pPr>
        <w:spacing w:line="480" w:lineRule="auto"/>
        <w:rPr>
          <w:color w:val="000000" w:themeColor="text1"/>
          <w:sz w:val="22"/>
          <w:szCs w:val="22"/>
        </w:rPr>
      </w:pPr>
    </w:p>
    <w:p w14:paraId="5EDF8351" w14:textId="5F61A69A"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While on duty, I attended a report of a group of youths causing a disturbance outside the local McDonalds. This was not the first time the restaurant had issues with youths and had been an ongoing issue for some time. </w:t>
      </w:r>
      <w:proofErr w:type="spellStart"/>
      <w:r w:rsidRPr="00403E0C">
        <w:rPr>
          <w:color w:val="000000" w:themeColor="text1"/>
          <w:sz w:val="22"/>
          <w:szCs w:val="22"/>
        </w:rPr>
        <w:t>Anti social</w:t>
      </w:r>
      <w:proofErr w:type="spellEnd"/>
      <w:r w:rsidRPr="00403E0C">
        <w:rPr>
          <w:color w:val="000000" w:themeColor="text1"/>
          <w:sz w:val="22"/>
          <w:szCs w:val="22"/>
        </w:rPr>
        <w:t xml:space="preserve"> behaviour</w:t>
      </w:r>
      <w:r w:rsidR="00BD6C86">
        <w:rPr>
          <w:color w:val="000000" w:themeColor="text1"/>
          <w:sz w:val="22"/>
          <w:szCs w:val="22"/>
        </w:rPr>
        <w:t xml:space="preserve">, which is behaviour that causes or is likely to cause harassment, </w:t>
      </w:r>
      <w:proofErr w:type="gramStart"/>
      <w:r w:rsidR="00BD6C86">
        <w:rPr>
          <w:color w:val="000000" w:themeColor="text1"/>
          <w:sz w:val="22"/>
          <w:szCs w:val="22"/>
        </w:rPr>
        <w:t>alarm</w:t>
      </w:r>
      <w:proofErr w:type="gramEnd"/>
      <w:r w:rsidR="00BD6C86">
        <w:rPr>
          <w:color w:val="000000" w:themeColor="text1"/>
          <w:sz w:val="22"/>
          <w:szCs w:val="22"/>
        </w:rPr>
        <w:t xml:space="preserve"> or distress (Macdonald, 2006), </w:t>
      </w:r>
      <w:r w:rsidRPr="00403E0C">
        <w:rPr>
          <w:color w:val="000000" w:themeColor="text1"/>
          <w:sz w:val="22"/>
          <w:szCs w:val="22"/>
        </w:rPr>
        <w:t xml:space="preserve">is a huge community issue, with almost 3 million reports made across England and Wales in 2010/11 (Donoghue, 2013). Many incidents of antisocial behaviour go unreported due to them not always being met within criminal law, so the true figure is likely to be much higher (Donoghue, 2013). When </w:t>
      </w:r>
      <w:proofErr w:type="gramStart"/>
      <w:r w:rsidRPr="00403E0C">
        <w:rPr>
          <w:color w:val="000000" w:themeColor="text1"/>
          <w:sz w:val="22"/>
          <w:szCs w:val="22"/>
        </w:rPr>
        <w:t>myself and my colleague</w:t>
      </w:r>
      <w:proofErr w:type="gramEnd"/>
      <w:r w:rsidRPr="00403E0C">
        <w:rPr>
          <w:color w:val="000000" w:themeColor="text1"/>
          <w:sz w:val="22"/>
          <w:szCs w:val="22"/>
        </w:rPr>
        <w:t xml:space="preserve"> have arrived, the youths in question had already left the area and we were met with some very upset staff members. Immediately I was able to reflect on our initial approach, and considered that had we approached the area silently, and not with blue lights and sirens, the youths may not have seen us coming and we may have apprehended them immediately, which would have provided much reassurance to the victims and an overall more effective police response. </w:t>
      </w:r>
    </w:p>
    <w:p w14:paraId="3FBD9EE8" w14:textId="77777777" w:rsidR="002A0207" w:rsidRPr="00403E0C" w:rsidRDefault="002A0207" w:rsidP="002A0207">
      <w:pPr>
        <w:spacing w:line="480" w:lineRule="auto"/>
        <w:rPr>
          <w:color w:val="000000" w:themeColor="text1"/>
          <w:sz w:val="22"/>
          <w:szCs w:val="22"/>
        </w:rPr>
      </w:pPr>
    </w:p>
    <w:p w14:paraId="6885F402" w14:textId="7CED5609"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One staff member, who I will refer to as victim 1, stated he had been assaulted by one of the youths, but fortunately did not sustain any injuries. A second staff member, who I will refer to as victim 2, said he had been called homophobic names by the same young male, and as this victim is a homosexual </w:t>
      </w:r>
      <w:proofErr w:type="gramStart"/>
      <w:r w:rsidRPr="00403E0C">
        <w:rPr>
          <w:color w:val="000000" w:themeColor="text1"/>
          <w:sz w:val="22"/>
          <w:szCs w:val="22"/>
        </w:rPr>
        <w:t>male</w:t>
      </w:r>
      <w:proofErr w:type="gramEnd"/>
      <w:r w:rsidRPr="00403E0C">
        <w:rPr>
          <w:color w:val="000000" w:themeColor="text1"/>
          <w:sz w:val="22"/>
          <w:szCs w:val="22"/>
        </w:rPr>
        <w:t xml:space="preserve"> he perceived this to be a hate crime (College of Policing, 2023). Immediately I knew I was faced with a young offender who had committed several offences. I was faced with 2 victims who had their own vulnerabilities. Victim 1 was only 16 years old himself</w:t>
      </w:r>
      <w:r w:rsidR="0041639C">
        <w:rPr>
          <w:color w:val="000000" w:themeColor="text1"/>
          <w:sz w:val="22"/>
          <w:szCs w:val="22"/>
        </w:rPr>
        <w:t xml:space="preserve"> and therefore was already </w:t>
      </w:r>
      <w:proofErr w:type="gramStart"/>
      <w:r w:rsidR="0041639C">
        <w:rPr>
          <w:color w:val="000000" w:themeColor="text1"/>
          <w:sz w:val="22"/>
          <w:szCs w:val="22"/>
        </w:rPr>
        <w:t>vulnerable,</w:t>
      </w:r>
      <w:r w:rsidRPr="00403E0C">
        <w:rPr>
          <w:color w:val="000000" w:themeColor="text1"/>
          <w:sz w:val="22"/>
          <w:szCs w:val="22"/>
        </w:rPr>
        <w:t xml:space="preserve"> and</w:t>
      </w:r>
      <w:proofErr w:type="gramEnd"/>
      <w:r w:rsidRPr="00403E0C">
        <w:rPr>
          <w:color w:val="000000" w:themeColor="text1"/>
          <w:sz w:val="22"/>
          <w:szCs w:val="22"/>
        </w:rPr>
        <w:t xml:space="preserve"> was very distressed following the assault that took place against him</w:t>
      </w:r>
      <w:r w:rsidR="0041639C">
        <w:rPr>
          <w:color w:val="000000" w:themeColor="text1"/>
          <w:sz w:val="22"/>
          <w:szCs w:val="22"/>
        </w:rPr>
        <w:t>. V</w:t>
      </w:r>
      <w:r w:rsidRPr="00403E0C">
        <w:rPr>
          <w:color w:val="000000" w:themeColor="text1"/>
          <w:sz w:val="22"/>
          <w:szCs w:val="22"/>
        </w:rPr>
        <w:t>ictim 2 was a repeat victim</w:t>
      </w:r>
      <w:r w:rsidR="0041639C">
        <w:rPr>
          <w:color w:val="000000" w:themeColor="text1"/>
          <w:sz w:val="22"/>
          <w:szCs w:val="22"/>
        </w:rPr>
        <w:t xml:space="preserve">, which is defined as a person who experiences two or more crimes of the same type within a set time </w:t>
      </w:r>
      <w:r w:rsidR="0041639C">
        <w:t>(</w:t>
      </w:r>
      <w:proofErr w:type="spellStart"/>
      <w:r w:rsidR="0041639C">
        <w:t>Geurts</w:t>
      </w:r>
      <w:proofErr w:type="spellEnd"/>
      <w:r w:rsidR="0041639C">
        <w:t xml:space="preserve"> et al., 2022)</w:t>
      </w:r>
      <w:r w:rsidR="0041639C">
        <w:rPr>
          <w:color w:val="000000" w:themeColor="text1"/>
          <w:sz w:val="22"/>
          <w:szCs w:val="22"/>
        </w:rPr>
        <w:t>. This victim was subject</w:t>
      </w:r>
      <w:r w:rsidRPr="00403E0C">
        <w:rPr>
          <w:color w:val="000000" w:themeColor="text1"/>
          <w:sz w:val="22"/>
          <w:szCs w:val="22"/>
        </w:rPr>
        <w:t xml:space="preserve"> of homophobic targeting by young males attending at McDonalds. I recognised from my initial attendance that this incident would require collaboration with other agencies and departments, including victim support, the youth offending </w:t>
      </w:r>
      <w:proofErr w:type="gramStart"/>
      <w:r w:rsidRPr="00403E0C">
        <w:rPr>
          <w:color w:val="000000" w:themeColor="text1"/>
          <w:sz w:val="22"/>
          <w:szCs w:val="22"/>
        </w:rPr>
        <w:t>team</w:t>
      </w:r>
      <w:proofErr w:type="gramEnd"/>
      <w:r w:rsidRPr="00403E0C">
        <w:rPr>
          <w:color w:val="000000" w:themeColor="text1"/>
          <w:sz w:val="22"/>
          <w:szCs w:val="22"/>
        </w:rPr>
        <w:t xml:space="preserve"> and the antisocial behaviour team. Recognising the vulnerabilities of victims </w:t>
      </w:r>
      <w:r w:rsidRPr="00403E0C">
        <w:rPr>
          <w:color w:val="000000" w:themeColor="text1"/>
          <w:sz w:val="22"/>
          <w:szCs w:val="22"/>
        </w:rPr>
        <w:lastRenderedPageBreak/>
        <w:t>of ASB is of paramount importance, which well known cases such as the Fiona Pilkington case have drawn attention to (</w:t>
      </w:r>
      <w:proofErr w:type="spellStart"/>
      <w:r w:rsidRPr="00403E0C">
        <w:rPr>
          <w:color w:val="000000" w:themeColor="text1"/>
          <w:sz w:val="22"/>
          <w:szCs w:val="22"/>
        </w:rPr>
        <w:t>Capewell</w:t>
      </w:r>
      <w:proofErr w:type="spellEnd"/>
      <w:r w:rsidRPr="00403E0C">
        <w:rPr>
          <w:color w:val="000000" w:themeColor="text1"/>
          <w:sz w:val="22"/>
          <w:szCs w:val="22"/>
        </w:rPr>
        <w:t xml:space="preserve"> et al., 2015). Failing to recognise these vulnerabilities and providing a suitable response can lead to a tragic outcome, as seen in the Pilkington case. This was something I had in mind and wanted to prevent occurring in this incident.</w:t>
      </w:r>
    </w:p>
    <w:p w14:paraId="75EEE6BC" w14:textId="77777777" w:rsidR="002A0207" w:rsidRPr="00403E0C" w:rsidRDefault="002A0207" w:rsidP="002A0207">
      <w:pPr>
        <w:spacing w:line="480" w:lineRule="auto"/>
        <w:rPr>
          <w:color w:val="000000" w:themeColor="text1"/>
          <w:sz w:val="22"/>
          <w:szCs w:val="22"/>
        </w:rPr>
      </w:pPr>
    </w:p>
    <w:p w14:paraId="6916BDB8" w14:textId="77777777" w:rsidR="002A0207" w:rsidRPr="00403E0C" w:rsidRDefault="002A0207" w:rsidP="002A0207">
      <w:pPr>
        <w:spacing w:line="480" w:lineRule="auto"/>
        <w:rPr>
          <w:color w:val="000000" w:themeColor="text1"/>
          <w:sz w:val="22"/>
          <w:szCs w:val="22"/>
        </w:rPr>
      </w:pPr>
      <w:r w:rsidRPr="00403E0C">
        <w:rPr>
          <w:color w:val="000000" w:themeColor="text1"/>
          <w:sz w:val="22"/>
          <w:szCs w:val="22"/>
        </w:rPr>
        <w:t>Myself and my colleague immediately began making some enquiries such as speaking with several witnesses and reviewing CCTV. Fortunately, we were able to see the full incident unfold on CCTV and witnesses were able to positively identify the main male who had committed several offences. As a result of this we were able to swiftly locate and arrest the male and interview him in relation to the incident. While this was a positive outcome, a challenge I came across was that some of the witnesses were in fact employees of the local council who specialised in working with youth offenders. These women had worked with this male in the past, and despite being able to identify him and witnessing the entire incident, they were not willing to cooperate and provide a statement to police. This demonstrated an unexpected challenge in working with partner agencies during this incident.</w:t>
      </w:r>
    </w:p>
    <w:p w14:paraId="28792CC3" w14:textId="77777777" w:rsidR="002A0207" w:rsidRPr="00403E0C" w:rsidRDefault="002A0207" w:rsidP="002A0207">
      <w:pPr>
        <w:spacing w:line="480" w:lineRule="auto"/>
        <w:rPr>
          <w:color w:val="000000" w:themeColor="text1"/>
          <w:sz w:val="22"/>
          <w:szCs w:val="22"/>
        </w:rPr>
      </w:pPr>
    </w:p>
    <w:p w14:paraId="4BB7046A" w14:textId="38A558EE"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The young male provided a full and frank admission to the offences and was remorseful for his actions in interview. As a result of this, the decision was made to handle the incident with an out of court disposal. The out of court disposal chosen was for the suspect to receive a Youth Caution and be referred to the Youth Offending Team (Bryant &amp; Bryant, 2020, p.228). The Youth Offending Team is a department that youth offenders can be referred to depending on the gravity and nature of their offences. This allows young offenders to, when appropriate, be given the opportunity to work with a youth offending officer to address their behaviour without the need to go to court. It aims to avoid criminalising </w:t>
      </w:r>
      <w:proofErr w:type="gramStart"/>
      <w:r w:rsidRPr="00403E0C">
        <w:rPr>
          <w:color w:val="000000" w:themeColor="text1"/>
          <w:sz w:val="22"/>
          <w:szCs w:val="22"/>
        </w:rPr>
        <w:t>children,</w:t>
      </w:r>
      <w:proofErr w:type="gramEnd"/>
      <w:r w:rsidRPr="00403E0C">
        <w:rPr>
          <w:color w:val="000000" w:themeColor="text1"/>
          <w:sz w:val="22"/>
          <w:szCs w:val="22"/>
        </w:rPr>
        <w:t xml:space="preserve"> however it is only possible to use when the offender makes a full and frank admission to the offence, and when the offender wholly engages with the youth worker to address their conduct (Bryant &amp; Bryant, 2020 p.229). This decision was in everyone’s best interest, as neither </w:t>
      </w:r>
      <w:r w:rsidRPr="00403E0C">
        <w:rPr>
          <w:color w:val="000000" w:themeColor="text1"/>
          <w:sz w:val="22"/>
          <w:szCs w:val="22"/>
        </w:rPr>
        <w:lastRenderedPageBreak/>
        <w:t xml:space="preserve">victim wanted to attend court but still wanted action taken against the male for what he had done. It also gave the young male an opportunity to learn from his behaviour without having to go to court. I had hoped that this option would reduce his chance of reoffending and would allow him to consider the impact he had on the victims, as he would be working with a dedicated youth support worker. I also collaborated with the antisocial behaviour (ASB) team while dealing with this incident who were able to provide advice and take steps to ban the male from the town centre as his conduct had been an ongoing issue. While the ASB team </w:t>
      </w:r>
      <w:proofErr w:type="gramStart"/>
      <w:r w:rsidRPr="00403E0C">
        <w:rPr>
          <w:color w:val="000000" w:themeColor="text1"/>
          <w:sz w:val="22"/>
          <w:szCs w:val="22"/>
        </w:rPr>
        <w:t>are able to</w:t>
      </w:r>
      <w:proofErr w:type="gramEnd"/>
      <w:r w:rsidRPr="00403E0C">
        <w:rPr>
          <w:color w:val="000000" w:themeColor="text1"/>
          <w:sz w:val="22"/>
          <w:szCs w:val="22"/>
        </w:rPr>
        <w:t xml:space="preserve"> offer useful support and advice, there are still limitations to preventing ASB. As Donoghue </w:t>
      </w:r>
      <w:r w:rsidR="005B318B">
        <w:rPr>
          <w:color w:val="000000" w:themeColor="text1"/>
          <w:sz w:val="22"/>
          <w:szCs w:val="22"/>
        </w:rPr>
        <w:t xml:space="preserve">(2013) </w:t>
      </w:r>
      <w:r w:rsidRPr="00403E0C">
        <w:rPr>
          <w:color w:val="000000" w:themeColor="text1"/>
          <w:sz w:val="22"/>
          <w:szCs w:val="22"/>
        </w:rPr>
        <w:t>notes, the legislation relating to ASB is very broad and subjective, and therefore often faces criticism of its interventions and marginalisation of certain groups</w:t>
      </w:r>
      <w:r w:rsidR="005B318B">
        <w:rPr>
          <w:color w:val="000000" w:themeColor="text1"/>
          <w:sz w:val="22"/>
          <w:szCs w:val="22"/>
        </w:rPr>
        <w:t>.</w:t>
      </w:r>
    </w:p>
    <w:p w14:paraId="47312C9A" w14:textId="77777777" w:rsidR="002A0207" w:rsidRPr="00403E0C" w:rsidRDefault="002A0207" w:rsidP="002A0207">
      <w:pPr>
        <w:spacing w:line="480" w:lineRule="auto"/>
        <w:rPr>
          <w:color w:val="000000" w:themeColor="text1"/>
          <w:sz w:val="22"/>
          <w:szCs w:val="22"/>
        </w:rPr>
      </w:pPr>
    </w:p>
    <w:p w14:paraId="4488DE78" w14:textId="33BA7F1A"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However, on reflection, this approach was not the right one. The young male, despite his admission and apparent regret in interview, refused to engage with the Youth offending team on several occasions. As per force policy, after 3 failed attempts to engage with the male, the case then had to be dropped with no further action. This was a huge learning experience for me and my colleagues as we had always been under the impression that should someone fail to engage with the chosen out of court disposal, then they will be sent to court. However due to a change in force policy, this is not the case, and we were informed that doing this would be an abuse of process. As a result of this I have been left with disappointed victims and an offender who has met no punishment for his crimes. A more appropriate response to this incident, upon reflection, would have been to send this male to court from the beginning. While the victims did not want to attend court, following a reassuring conversation with them </w:t>
      </w:r>
      <w:r w:rsidRPr="0041639C">
        <w:rPr>
          <w:color w:val="000000" w:themeColor="text1"/>
          <w:sz w:val="22"/>
          <w:szCs w:val="22"/>
        </w:rPr>
        <w:t>about special measures</w:t>
      </w:r>
      <w:r w:rsidR="00880624">
        <w:rPr>
          <w:color w:val="000000" w:themeColor="text1"/>
          <w:sz w:val="22"/>
          <w:szCs w:val="22"/>
        </w:rPr>
        <w:t xml:space="preserve"> </w:t>
      </w:r>
      <w:r w:rsidRPr="00403E0C">
        <w:rPr>
          <w:color w:val="000000" w:themeColor="text1"/>
          <w:sz w:val="22"/>
          <w:szCs w:val="22"/>
        </w:rPr>
        <w:t xml:space="preserve">that can be put in place to support them through the court process if they are vulnerable or intimidated, they stated they would have attended if necessary (Working with victims and witnesses, 2023). </w:t>
      </w:r>
      <w:r w:rsidR="0041639C">
        <w:rPr>
          <w:color w:val="000000" w:themeColor="text1"/>
          <w:sz w:val="22"/>
          <w:szCs w:val="22"/>
        </w:rPr>
        <w:t xml:space="preserve">Special measures can include things such as screens or providing evidence via video link to make the process less intimidating for victims </w:t>
      </w:r>
      <w:r w:rsidR="0041639C">
        <w:t>(</w:t>
      </w:r>
      <w:proofErr w:type="spellStart"/>
      <w:r w:rsidR="0041639C">
        <w:t>Gous</w:t>
      </w:r>
      <w:proofErr w:type="spellEnd"/>
      <w:r w:rsidR="0041639C">
        <w:t xml:space="preserve"> et al., 2022)</w:t>
      </w:r>
      <w:r w:rsidR="0041639C">
        <w:rPr>
          <w:color w:val="000000" w:themeColor="text1"/>
          <w:sz w:val="22"/>
          <w:szCs w:val="22"/>
        </w:rPr>
        <w:t xml:space="preserve">. </w:t>
      </w:r>
      <w:r w:rsidRPr="00403E0C">
        <w:rPr>
          <w:color w:val="000000" w:themeColor="text1"/>
          <w:sz w:val="22"/>
          <w:szCs w:val="22"/>
        </w:rPr>
        <w:t xml:space="preserve">If this approach had taken place, the victims would have been able to apply for a </w:t>
      </w:r>
      <w:r w:rsidRPr="00A36BF5">
        <w:rPr>
          <w:color w:val="000000" w:themeColor="text1"/>
          <w:sz w:val="22"/>
          <w:szCs w:val="22"/>
        </w:rPr>
        <w:t>restraining order</w:t>
      </w:r>
      <w:r w:rsidRPr="00403E0C">
        <w:rPr>
          <w:color w:val="000000" w:themeColor="text1"/>
          <w:sz w:val="22"/>
          <w:szCs w:val="22"/>
        </w:rPr>
        <w:t xml:space="preserve"> to prevent the male </w:t>
      </w:r>
      <w:r w:rsidRPr="00403E0C">
        <w:rPr>
          <w:color w:val="000000" w:themeColor="text1"/>
          <w:sz w:val="22"/>
          <w:szCs w:val="22"/>
        </w:rPr>
        <w:lastRenderedPageBreak/>
        <w:t xml:space="preserve">attending their place of work in the future. </w:t>
      </w:r>
      <w:r w:rsidR="00A36BF5">
        <w:rPr>
          <w:color w:val="000000" w:themeColor="text1"/>
          <w:sz w:val="22"/>
          <w:szCs w:val="22"/>
        </w:rPr>
        <w:t xml:space="preserve">A restraining order is a court order to prevent a person doing a particular action </w:t>
      </w:r>
      <w:r w:rsidR="00A36BF5">
        <w:t>(Cambridge Dictionary, 2023)</w:t>
      </w:r>
      <w:r w:rsidR="00A36BF5">
        <w:rPr>
          <w:color w:val="000000" w:themeColor="text1"/>
          <w:sz w:val="22"/>
          <w:szCs w:val="22"/>
        </w:rPr>
        <w:t xml:space="preserve">. </w:t>
      </w:r>
      <w:r w:rsidRPr="00403E0C">
        <w:rPr>
          <w:color w:val="000000" w:themeColor="text1"/>
          <w:sz w:val="22"/>
          <w:szCs w:val="22"/>
        </w:rPr>
        <w:t>Special Measures are an effective tool to help break the cycle of repeat victimisation. Special Measures can provide a vulnerable victim with the support they need to go through the court process, rather than continuing to suffer the same cycle of victimisation. This is particularly useful when a victim does not want to engage due to fear or vulnerability. (Support to give your evidence - 'special measures' 2023)</w:t>
      </w:r>
    </w:p>
    <w:p w14:paraId="51CB8938" w14:textId="77777777" w:rsidR="002A0207" w:rsidRPr="00403E0C" w:rsidRDefault="002A0207" w:rsidP="002A0207">
      <w:pPr>
        <w:spacing w:line="480" w:lineRule="auto"/>
        <w:rPr>
          <w:color w:val="000000" w:themeColor="text1"/>
          <w:sz w:val="22"/>
          <w:szCs w:val="22"/>
        </w:rPr>
      </w:pPr>
    </w:p>
    <w:p w14:paraId="085C0B34" w14:textId="30BCBAC6"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In this case, an out of court disposal was not the appropriate response </w:t>
      </w:r>
      <w:proofErr w:type="gramStart"/>
      <w:r w:rsidRPr="00403E0C">
        <w:rPr>
          <w:color w:val="000000" w:themeColor="text1"/>
          <w:sz w:val="22"/>
          <w:szCs w:val="22"/>
        </w:rPr>
        <w:t>in order to</w:t>
      </w:r>
      <w:proofErr w:type="gramEnd"/>
      <w:r w:rsidRPr="00403E0C">
        <w:rPr>
          <w:color w:val="000000" w:themeColor="text1"/>
          <w:sz w:val="22"/>
          <w:szCs w:val="22"/>
        </w:rPr>
        <w:t xml:space="preserve"> tackle repeat offending, and certainly not repeat victimisation. Following this </w:t>
      </w:r>
      <w:proofErr w:type="gramStart"/>
      <w:r w:rsidRPr="00403E0C">
        <w:rPr>
          <w:color w:val="000000" w:themeColor="text1"/>
          <w:sz w:val="22"/>
          <w:szCs w:val="22"/>
        </w:rPr>
        <w:t>incident</w:t>
      </w:r>
      <w:proofErr w:type="gramEnd"/>
      <w:r w:rsidRPr="00403E0C">
        <w:rPr>
          <w:color w:val="000000" w:themeColor="text1"/>
          <w:sz w:val="22"/>
          <w:szCs w:val="22"/>
        </w:rPr>
        <w:t xml:space="preserve"> it would be understandable for victim 2 to never report incidents of hate crime in the future, as he feels he has been let down by the police on this occasion. Having reflected on my decision making in this incident, I considered whether my response was tailored too much to the needs of the offender due to his age. This is highlighted by Weisburd et al</w:t>
      </w:r>
      <w:r w:rsidR="00880624">
        <w:rPr>
          <w:color w:val="000000" w:themeColor="text1"/>
          <w:sz w:val="22"/>
          <w:szCs w:val="22"/>
        </w:rPr>
        <w:t xml:space="preserve"> (2017)</w:t>
      </w:r>
      <w:r w:rsidRPr="00403E0C">
        <w:rPr>
          <w:color w:val="000000" w:themeColor="text1"/>
          <w:sz w:val="22"/>
          <w:szCs w:val="22"/>
        </w:rPr>
        <w:t>, who states that over the last decade, the UK has shifted from the traditional use of custodial sentencing to encompassing the needs of an individual offender</w:t>
      </w:r>
      <w:r w:rsidR="00880624">
        <w:rPr>
          <w:color w:val="000000" w:themeColor="text1"/>
          <w:sz w:val="22"/>
          <w:szCs w:val="22"/>
        </w:rPr>
        <w:t xml:space="preserve">. </w:t>
      </w:r>
      <w:r w:rsidRPr="00403E0C">
        <w:rPr>
          <w:color w:val="000000" w:themeColor="text1"/>
          <w:sz w:val="22"/>
          <w:szCs w:val="22"/>
        </w:rPr>
        <w:t xml:space="preserve">Weisburd </w:t>
      </w:r>
      <w:r w:rsidR="00880624">
        <w:rPr>
          <w:color w:val="000000" w:themeColor="text1"/>
          <w:sz w:val="22"/>
          <w:szCs w:val="22"/>
        </w:rPr>
        <w:t xml:space="preserve">(2017) </w:t>
      </w:r>
      <w:r w:rsidRPr="00403E0C">
        <w:rPr>
          <w:color w:val="000000" w:themeColor="text1"/>
          <w:sz w:val="22"/>
          <w:szCs w:val="22"/>
        </w:rPr>
        <w:t xml:space="preserve">goes on to explain that deterrence of offenders is usually more effective when the certainty of punishment is known, rather than the severity. Having considered this, it supports my view that sending this offender to court after interview would have been a better deterrent for future offences as his punishment is more certain, whereas dealing with a youth worker was not only a mild punishment in terms of </w:t>
      </w:r>
      <w:proofErr w:type="gramStart"/>
      <w:r w:rsidRPr="00403E0C">
        <w:rPr>
          <w:color w:val="000000" w:themeColor="text1"/>
          <w:sz w:val="22"/>
          <w:szCs w:val="22"/>
        </w:rPr>
        <w:t>severity, but</w:t>
      </w:r>
      <w:proofErr w:type="gramEnd"/>
      <w:r w:rsidRPr="00403E0C">
        <w:rPr>
          <w:color w:val="000000" w:themeColor="text1"/>
          <w:sz w:val="22"/>
          <w:szCs w:val="22"/>
        </w:rPr>
        <w:t xml:space="preserve"> was also not particularly certain as the youth worker could not force the male to engage.</w:t>
      </w:r>
    </w:p>
    <w:p w14:paraId="4E2685E8" w14:textId="77777777" w:rsidR="002A0207" w:rsidRPr="00403E0C" w:rsidRDefault="002A0207" w:rsidP="002A0207">
      <w:pPr>
        <w:spacing w:line="480" w:lineRule="auto"/>
        <w:rPr>
          <w:color w:val="000000" w:themeColor="text1"/>
          <w:sz w:val="22"/>
          <w:szCs w:val="22"/>
        </w:rPr>
      </w:pPr>
    </w:p>
    <w:p w14:paraId="36EC0214" w14:textId="77777777"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This incident is an example of Problem-Oriented Policing, with use of the SARA model. The model consists of 4 parts – Scanning or identifying a problem, Analysing the problem to identify areas to intervene, </w:t>
      </w:r>
      <w:proofErr w:type="gramStart"/>
      <w:r w:rsidRPr="00403E0C">
        <w:rPr>
          <w:color w:val="000000" w:themeColor="text1"/>
          <w:sz w:val="22"/>
          <w:szCs w:val="22"/>
        </w:rPr>
        <w:t>Responding</w:t>
      </w:r>
      <w:proofErr w:type="gramEnd"/>
      <w:r w:rsidRPr="00403E0C">
        <w:rPr>
          <w:color w:val="000000" w:themeColor="text1"/>
          <w:sz w:val="22"/>
          <w:szCs w:val="22"/>
        </w:rPr>
        <w:t xml:space="preserve"> to the problem and Assessing the impact those responses may have had (Bullock et al., 2021). In this incident I identified a problem, pinpointed areas to intervene, responded to the issue by arresting the male and sending him </w:t>
      </w:r>
      <w:r w:rsidRPr="00403E0C">
        <w:rPr>
          <w:color w:val="000000" w:themeColor="text1"/>
          <w:sz w:val="22"/>
          <w:szCs w:val="22"/>
        </w:rPr>
        <w:lastRenderedPageBreak/>
        <w:t xml:space="preserve">for an out of court disposal, and then assessed </w:t>
      </w:r>
      <w:proofErr w:type="gramStart"/>
      <w:r w:rsidRPr="00403E0C">
        <w:rPr>
          <w:color w:val="000000" w:themeColor="text1"/>
          <w:sz w:val="22"/>
          <w:szCs w:val="22"/>
        </w:rPr>
        <w:t>it’s</w:t>
      </w:r>
      <w:proofErr w:type="gramEnd"/>
      <w:r w:rsidRPr="00403E0C">
        <w:rPr>
          <w:color w:val="000000" w:themeColor="text1"/>
          <w:sz w:val="22"/>
          <w:szCs w:val="22"/>
        </w:rPr>
        <w:t xml:space="preserve"> impact by determining this was not the most effective response. While problem-oriented policing is generally considered a very positive form of evidenced policing strategies, this incident highlights that there are still areas to improve (Bullock et al., 2021).</w:t>
      </w:r>
    </w:p>
    <w:p w14:paraId="17188938" w14:textId="77777777" w:rsidR="002A0207" w:rsidRPr="00403E0C" w:rsidRDefault="002A0207" w:rsidP="002A0207">
      <w:pPr>
        <w:spacing w:line="480" w:lineRule="auto"/>
        <w:rPr>
          <w:color w:val="000000" w:themeColor="text1"/>
          <w:sz w:val="22"/>
          <w:szCs w:val="22"/>
        </w:rPr>
      </w:pPr>
    </w:p>
    <w:p w14:paraId="2354D58E" w14:textId="77777777"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It is evident that tackling repeat offending and victimisation requires a multi-agency approach and collaboration and is not a simple fix. The CAPRICORN framework highlights several of the factors that need to be considered and utilised </w:t>
      </w:r>
      <w:proofErr w:type="gramStart"/>
      <w:r w:rsidRPr="00403E0C">
        <w:rPr>
          <w:color w:val="000000" w:themeColor="text1"/>
          <w:sz w:val="22"/>
          <w:szCs w:val="22"/>
        </w:rPr>
        <w:t>in order to</w:t>
      </w:r>
      <w:proofErr w:type="gramEnd"/>
      <w:r w:rsidRPr="00403E0C">
        <w:rPr>
          <w:color w:val="000000" w:themeColor="text1"/>
          <w:sz w:val="22"/>
          <w:szCs w:val="22"/>
        </w:rPr>
        <w:t xml:space="preserve"> make efforts to combat youth offending and repeat offending. This includes taking actions in several ways, such as community actions, such as engaging with schools and working to reduce the impact of social issues such as poverty and substance </w:t>
      </w:r>
      <w:proofErr w:type="gramStart"/>
      <w:r w:rsidRPr="00403E0C">
        <w:rPr>
          <w:color w:val="000000" w:themeColor="text1"/>
          <w:sz w:val="22"/>
          <w:szCs w:val="22"/>
        </w:rPr>
        <w:t>misuse, and</w:t>
      </w:r>
      <w:proofErr w:type="gramEnd"/>
      <w:r w:rsidRPr="00403E0C">
        <w:rPr>
          <w:color w:val="000000" w:themeColor="text1"/>
          <w:sz w:val="22"/>
          <w:szCs w:val="22"/>
        </w:rPr>
        <w:t xml:space="preserve"> taking action directly with a subjects family such as peer mentoring, and promoting family based interventions (Collaborative approaches to preventing offending and re-offending by Children (Capricorn): Summary 2019). Some of the ideas targeted specifically at preventing reoffending include ensuring access to mental health services and identifying children who are particularly at risk of reoffending (Collaborative approaches to preventing offending and re-offending by Children (Capricorn): Summary 2019). From the examples highlighted here, it is clear how many agencies need to be involved to address these issues, from the police, education, housing, social services, health, and more. This highlights the complexity of this issue.</w:t>
      </w:r>
    </w:p>
    <w:p w14:paraId="08916282" w14:textId="77777777" w:rsidR="002A0207" w:rsidRPr="00403E0C" w:rsidRDefault="002A0207" w:rsidP="002A0207">
      <w:pPr>
        <w:spacing w:line="480" w:lineRule="auto"/>
        <w:rPr>
          <w:color w:val="000000" w:themeColor="text1"/>
          <w:sz w:val="22"/>
          <w:szCs w:val="22"/>
        </w:rPr>
      </w:pPr>
    </w:p>
    <w:p w14:paraId="4C7CD85D" w14:textId="77777777" w:rsidR="002A0207" w:rsidRPr="00403E0C" w:rsidRDefault="002A0207" w:rsidP="002A0207">
      <w:pPr>
        <w:spacing w:line="480" w:lineRule="auto"/>
        <w:rPr>
          <w:color w:val="000000" w:themeColor="text1"/>
          <w:sz w:val="22"/>
          <w:szCs w:val="22"/>
        </w:rPr>
      </w:pPr>
      <w:r w:rsidRPr="00403E0C">
        <w:rPr>
          <w:color w:val="000000" w:themeColor="text1"/>
          <w:sz w:val="22"/>
          <w:szCs w:val="22"/>
        </w:rPr>
        <w:t xml:space="preserve">In conclusion, this was a complex incident which was made challenging as we were faced with multiple victims with their own vulnerabilities. It was vital to ensure these victims were safeguarded and supported and measures were put in place to prevent this happening again. While, on reflection, the victim focus was effective and appropriate support was put in place, not enough was done to appropriately handle the perpetrator. While every effort was made by the police to ensure justice for the victims, a change in policy meant that ultimately, justice was not served for these victims. On reflection, given the character of the male, an out of court disposal was not an appropriate decision and would certainly not be used again </w:t>
      </w:r>
      <w:r w:rsidRPr="00403E0C">
        <w:rPr>
          <w:color w:val="000000" w:themeColor="text1"/>
          <w:sz w:val="22"/>
          <w:szCs w:val="22"/>
        </w:rPr>
        <w:lastRenderedPageBreak/>
        <w:t>if I had the opportunity to deal with this incident again. There is still work to be done in terms of working with offenders, particularly youth offenders, to attempt to reduce the likelihood of repeat offending.</w:t>
      </w:r>
    </w:p>
    <w:p w14:paraId="6C853808" w14:textId="08FD2AE9" w:rsidR="002A0207" w:rsidRPr="00403E0C" w:rsidRDefault="002A0207" w:rsidP="002A0207">
      <w:pPr>
        <w:spacing w:line="480" w:lineRule="auto"/>
        <w:rPr>
          <w:color w:val="000000" w:themeColor="text1"/>
          <w:sz w:val="22"/>
          <w:szCs w:val="22"/>
        </w:rPr>
      </w:pPr>
      <w:r>
        <w:rPr>
          <w:color w:val="000000" w:themeColor="text1"/>
          <w:sz w:val="22"/>
          <w:szCs w:val="22"/>
        </w:rPr>
        <w:t>Word Count: 2</w:t>
      </w:r>
      <w:r w:rsidR="00811CD0">
        <w:rPr>
          <w:color w:val="000000" w:themeColor="text1"/>
          <w:sz w:val="22"/>
          <w:szCs w:val="22"/>
        </w:rPr>
        <w:t>140</w:t>
      </w:r>
    </w:p>
    <w:p w14:paraId="794A03E0" w14:textId="77777777" w:rsidR="002A0207" w:rsidRPr="00E676F7" w:rsidRDefault="002A0207" w:rsidP="5B843AF0">
      <w:pPr>
        <w:ind w:right="237"/>
        <w:jc w:val="both"/>
        <w:rPr>
          <w:rFonts w:eastAsia="Arial"/>
          <w:color w:val="000000" w:themeColor="text1"/>
          <w:sz w:val="24"/>
          <w:szCs w:val="24"/>
        </w:rPr>
      </w:pPr>
    </w:p>
    <w:p w14:paraId="68317E39" w14:textId="6B2BB1EA"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CD71285"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During this essay I will discuss a domestic abuse incident I have attended during my time as a student police officer which had several factors which caused it to become complex and challenging in nature. These factors included a lack of cooperation with the police (from both the victim and the perpetrator) as well as the victim’s vulnerabilities including medical issues and mental health. These factors will be discussed in detail during this essay, I will also discuss strategies which have been developed to ensure effective policing in challenging incidents such as this one, and how they were implemented during the incident I attended. This will include the use of positive action and will be discussed during the essay.</w:t>
      </w:r>
    </w:p>
    <w:p w14:paraId="51EE4857" w14:textId="77777777" w:rsidR="00BD6804" w:rsidRPr="000000D2" w:rsidRDefault="00BD6804" w:rsidP="00925937">
      <w:pPr>
        <w:spacing w:line="480" w:lineRule="auto"/>
        <w:rPr>
          <w:color w:val="auto"/>
          <w:sz w:val="24"/>
          <w:szCs w:val="24"/>
        </w:rPr>
      </w:pPr>
    </w:p>
    <w:p w14:paraId="3D5A0B25" w14:textId="77777777" w:rsidR="00BD6804" w:rsidRPr="000000D2" w:rsidRDefault="00BD6804" w:rsidP="00925937">
      <w:pPr>
        <w:spacing w:line="480" w:lineRule="auto"/>
        <w:rPr>
          <w:color w:val="auto"/>
          <w:sz w:val="24"/>
          <w:szCs w:val="24"/>
        </w:rPr>
      </w:pPr>
    </w:p>
    <w:p w14:paraId="426A669A" w14:textId="1430ADE6" w:rsidR="00BD6804" w:rsidRPr="000000D2" w:rsidRDefault="00BD6804" w:rsidP="00925937">
      <w:pPr>
        <w:spacing w:line="480" w:lineRule="auto"/>
        <w:ind w:right="237"/>
        <w:jc w:val="both"/>
        <w:rPr>
          <w:color w:val="auto"/>
          <w:sz w:val="24"/>
          <w:szCs w:val="24"/>
        </w:rPr>
      </w:pPr>
      <w:r w:rsidRPr="000000D2">
        <w:rPr>
          <w:color w:val="auto"/>
          <w:sz w:val="24"/>
          <w:szCs w:val="24"/>
        </w:rPr>
        <w:t xml:space="preserve">As part of my role as a student police officer, I attended a call which was initially reported to police as a disturbance/concern for welfare call. The reporting person stated that she could hear a female crying and screaming, and the sound of banging and shouting coming from the property next door. The caller explained that a male and a female live at the address and was able to provide their names. Based on this, were we able to identify the people living at this address on Niche, which is our police system that allowed us as responding officers to access information about those involved including their warning markers (any previous information such as they have been violent in the past, or that they suffer with their mental health) and their contact details. This is always useful information to have while attending an incident of </w:t>
      </w:r>
      <w:r w:rsidRPr="00C002F7">
        <w:rPr>
          <w:color w:val="auto"/>
          <w:sz w:val="24"/>
          <w:szCs w:val="24"/>
        </w:rPr>
        <w:t>a domestic nature</w:t>
      </w:r>
      <w:r w:rsidRPr="000000D2">
        <w:rPr>
          <w:color w:val="auto"/>
          <w:sz w:val="24"/>
          <w:szCs w:val="24"/>
        </w:rPr>
        <w:t xml:space="preserve"> and this allowed me to start to build up a picture of </w:t>
      </w:r>
      <w:r w:rsidRPr="000000D2">
        <w:rPr>
          <w:color w:val="auto"/>
          <w:sz w:val="24"/>
          <w:szCs w:val="24"/>
        </w:rPr>
        <w:lastRenderedPageBreak/>
        <w:t xml:space="preserve">who the individuals are and what their background is. </w:t>
      </w:r>
      <w:r w:rsidR="005E2049">
        <w:rPr>
          <w:color w:val="auto"/>
          <w:sz w:val="24"/>
          <w:szCs w:val="24"/>
        </w:rPr>
        <w:t>A domestic incident is</w:t>
      </w:r>
      <w:r w:rsidR="001B3CCD">
        <w:rPr>
          <w:color w:val="auto"/>
          <w:sz w:val="24"/>
          <w:szCs w:val="24"/>
        </w:rPr>
        <w:t xml:space="preserve"> defined by law as</w:t>
      </w:r>
      <w:r w:rsidR="005E2049">
        <w:rPr>
          <w:color w:val="auto"/>
          <w:sz w:val="24"/>
          <w:szCs w:val="24"/>
        </w:rPr>
        <w:t xml:space="preserve"> one involving two individuals who are over 16 and personally connected to one another</w:t>
      </w:r>
      <w:r w:rsidR="001B3CCD">
        <w:rPr>
          <w:color w:val="auto"/>
          <w:sz w:val="24"/>
          <w:szCs w:val="24"/>
        </w:rPr>
        <w:t xml:space="preserve"> (2021)</w:t>
      </w:r>
      <w:r w:rsidR="005E2049">
        <w:rPr>
          <w:color w:val="auto"/>
          <w:sz w:val="24"/>
          <w:szCs w:val="24"/>
        </w:rPr>
        <w:t xml:space="preserve">. </w:t>
      </w:r>
      <w:r w:rsidRPr="000000D2">
        <w:rPr>
          <w:color w:val="auto"/>
          <w:sz w:val="24"/>
          <w:szCs w:val="24"/>
        </w:rPr>
        <w:t xml:space="preserve">This is just one simple strategy that has been developed to aid officers while responding to </w:t>
      </w:r>
      <w:proofErr w:type="gramStart"/>
      <w:r w:rsidRPr="000000D2">
        <w:rPr>
          <w:color w:val="auto"/>
          <w:sz w:val="24"/>
          <w:szCs w:val="24"/>
        </w:rPr>
        <w:t>incidents, and</w:t>
      </w:r>
      <w:proofErr w:type="gramEnd"/>
      <w:r w:rsidRPr="000000D2">
        <w:rPr>
          <w:color w:val="auto"/>
          <w:sz w:val="24"/>
          <w:szCs w:val="24"/>
        </w:rPr>
        <w:t xml:space="preserve"> is particularly useful for incidents of a domestic nature. While saying this, I had to ensure this information did not cloud my judgement and cause me to be biased prior to attending. As a result of </w:t>
      </w:r>
      <w:proofErr w:type="gramStart"/>
      <w:r w:rsidRPr="000000D2">
        <w:rPr>
          <w:color w:val="auto"/>
          <w:sz w:val="24"/>
          <w:szCs w:val="24"/>
        </w:rPr>
        <w:t>all of</w:t>
      </w:r>
      <w:proofErr w:type="gramEnd"/>
      <w:r w:rsidRPr="000000D2">
        <w:rPr>
          <w:color w:val="auto"/>
          <w:sz w:val="24"/>
          <w:szCs w:val="24"/>
        </w:rPr>
        <w:t xml:space="preserve"> the information available to me at the time, it was apparent there was a likelihood that this incident was domestic related and potentially involved an assault. Legislation states that a domestic incident involves two people over the age of 16 who are personally connected to each other. The abuse can take many forms including physical, emotional, sexual, psychological, and financial (Barrow-Grint et al., 2023 p.95). My colleague and I ascertained it was key for us to attend and speak with those involved as quickly as we could just in case anyone involved was injured.</w:t>
      </w:r>
    </w:p>
    <w:p w14:paraId="06EF0BD3" w14:textId="77777777" w:rsidR="00BD6804" w:rsidRPr="000000D2" w:rsidRDefault="00BD6804" w:rsidP="00925937">
      <w:pPr>
        <w:spacing w:line="480" w:lineRule="auto"/>
        <w:ind w:right="237"/>
        <w:jc w:val="both"/>
        <w:rPr>
          <w:color w:val="auto"/>
          <w:sz w:val="24"/>
          <w:szCs w:val="24"/>
        </w:rPr>
      </w:pPr>
    </w:p>
    <w:p w14:paraId="1BA54405"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When I arrived at the address, I could not hear any sound of a disturbance. I knocked the door several times however there was no reply. This was the beginning of the difficulties I faced during this incident. Due to the </w:t>
      </w:r>
      <w:proofErr w:type="gramStart"/>
      <w:r w:rsidRPr="000000D2">
        <w:rPr>
          <w:color w:val="auto"/>
          <w:sz w:val="24"/>
          <w:szCs w:val="24"/>
        </w:rPr>
        <w:t>report</w:t>
      </w:r>
      <w:proofErr w:type="gramEnd"/>
      <w:r w:rsidRPr="000000D2">
        <w:rPr>
          <w:color w:val="auto"/>
          <w:sz w:val="24"/>
          <w:szCs w:val="24"/>
        </w:rPr>
        <w:t xml:space="preserve"> we had received and the potential that an individual was in some way harmed within the address, I knew I had a power to enter the address under Section 17 of the Police and Criminal Evidence Act of 1984 (Bryant &amp; Bryant, 2020 p.209). Due to the type of door and lock, I made the decision to ask for assistance from armed response colleagues as I knew they had the ability to drill locks </w:t>
      </w:r>
      <w:proofErr w:type="gramStart"/>
      <w:r w:rsidRPr="000000D2">
        <w:rPr>
          <w:color w:val="auto"/>
          <w:sz w:val="24"/>
          <w:szCs w:val="24"/>
        </w:rPr>
        <w:t>in order to</w:t>
      </w:r>
      <w:proofErr w:type="gramEnd"/>
      <w:r w:rsidRPr="000000D2">
        <w:rPr>
          <w:color w:val="auto"/>
          <w:sz w:val="24"/>
          <w:szCs w:val="24"/>
        </w:rPr>
        <w:t xml:space="preserve"> enter the property. While I waited for my colleagues to arrive, I decided to make use of our police system and try to contact both parties registered as living at the address on the most recent contact details we had for them, however neither party was answering their mobile phones. </w:t>
      </w:r>
    </w:p>
    <w:p w14:paraId="2E2F274B" w14:textId="77777777" w:rsidR="00BD6804" w:rsidRPr="000000D2" w:rsidRDefault="00BD6804" w:rsidP="00925937">
      <w:pPr>
        <w:spacing w:line="480" w:lineRule="auto"/>
        <w:ind w:right="237"/>
        <w:jc w:val="both"/>
        <w:rPr>
          <w:color w:val="auto"/>
          <w:sz w:val="24"/>
          <w:szCs w:val="24"/>
        </w:rPr>
      </w:pPr>
    </w:p>
    <w:p w14:paraId="620339EB"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When firearms officers attended the address, they gave multiple opportunities for the occupants to open the door voluntarily by giving verbal commands through the letterbox. This again was met with no response so entry was forced to the property under Section 17 of PACE. When I have entered and searched the property, I have found one male and one female </w:t>
      </w:r>
      <w:proofErr w:type="spellStart"/>
      <w:r w:rsidRPr="000000D2">
        <w:rPr>
          <w:color w:val="auto"/>
          <w:sz w:val="24"/>
          <w:szCs w:val="24"/>
        </w:rPr>
        <w:t>laying</w:t>
      </w:r>
      <w:proofErr w:type="spellEnd"/>
      <w:r w:rsidRPr="000000D2">
        <w:rPr>
          <w:color w:val="auto"/>
          <w:sz w:val="24"/>
          <w:szCs w:val="24"/>
        </w:rPr>
        <w:t xml:space="preserve"> in bed in an upstairs bedroom in darkness. The female had a severe head wound and the male was wearing a </w:t>
      </w:r>
      <w:proofErr w:type="gramStart"/>
      <w:r w:rsidRPr="000000D2">
        <w:rPr>
          <w:color w:val="auto"/>
          <w:sz w:val="24"/>
          <w:szCs w:val="24"/>
        </w:rPr>
        <w:t>blood stained</w:t>
      </w:r>
      <w:proofErr w:type="gramEnd"/>
      <w:r w:rsidRPr="000000D2">
        <w:rPr>
          <w:color w:val="auto"/>
          <w:sz w:val="24"/>
          <w:szCs w:val="24"/>
        </w:rPr>
        <w:t xml:space="preserve"> t-shirt. There was also blood splatter on the radiator within that bedroom and a significant amount of blood on the carpet and skirting board. I immediately separated both parties to ensure the female’s safety due to her injuries, although the cause of them was still to be established, and to speak with </w:t>
      </w:r>
      <w:proofErr w:type="gramStart"/>
      <w:r w:rsidRPr="000000D2">
        <w:rPr>
          <w:color w:val="auto"/>
          <w:sz w:val="24"/>
          <w:szCs w:val="24"/>
        </w:rPr>
        <w:t>both of them</w:t>
      </w:r>
      <w:proofErr w:type="gramEnd"/>
      <w:r w:rsidRPr="000000D2">
        <w:rPr>
          <w:color w:val="auto"/>
          <w:sz w:val="24"/>
          <w:szCs w:val="24"/>
        </w:rPr>
        <w:t xml:space="preserve"> alone in order to establish what had taken place. This is another strategy which has been developed to effectively respond to domestic incidents. Speaking with parties separately gives them both the opportunity to give an account of what has taken place without the other being present (College of Policing, 2016). While this does not always work, due to victims often being in fear of disclosing what their partners may have done, it provides officers an opportunity to build a rapport and explain what the police can offer in terms of support without their partner being present. This initial attendance is vital as it will often determine the likelihood of the victim engaging and having trust in the police (Barrow-Grint et al., 2023, p.107). It also gives officers the opportunity to provide the victim with details of partner agencies who may be able to offer them help.</w:t>
      </w:r>
    </w:p>
    <w:p w14:paraId="30D1C5C3" w14:textId="77777777" w:rsidR="00BD6804" w:rsidRPr="000000D2" w:rsidRDefault="00BD6804" w:rsidP="00925937">
      <w:pPr>
        <w:spacing w:line="480" w:lineRule="auto"/>
        <w:ind w:right="237"/>
        <w:jc w:val="both"/>
        <w:rPr>
          <w:color w:val="auto"/>
          <w:sz w:val="24"/>
          <w:szCs w:val="24"/>
        </w:rPr>
      </w:pPr>
    </w:p>
    <w:p w14:paraId="7A9C9810"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Once I had separated both parties, I spoke with the female while my colleague spoke to the male in another room. The female had an injury to her forehead, but the </w:t>
      </w:r>
      <w:r w:rsidRPr="000000D2">
        <w:rPr>
          <w:color w:val="auto"/>
          <w:sz w:val="24"/>
          <w:szCs w:val="24"/>
        </w:rPr>
        <w:lastRenderedPageBreak/>
        <w:t xml:space="preserve">bleeding had stopped. The area appeared very swollen. My main priorities at that time were to ensure the female had the medical attention she needed, and to find out what had taken place to cause that injury so that we could safeguard her. </w:t>
      </w:r>
    </w:p>
    <w:p w14:paraId="64828FED" w14:textId="77777777" w:rsidR="00BD6804" w:rsidRPr="000000D2" w:rsidRDefault="00BD6804" w:rsidP="00925937">
      <w:pPr>
        <w:spacing w:line="480" w:lineRule="auto"/>
        <w:ind w:right="237"/>
        <w:jc w:val="both"/>
        <w:rPr>
          <w:color w:val="auto"/>
          <w:sz w:val="24"/>
          <w:szCs w:val="24"/>
        </w:rPr>
      </w:pPr>
    </w:p>
    <w:p w14:paraId="7FD86982"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The female was very defensive from the beginning of my time with her and provided an inconsistent account as to how she had accidentally caused the injury to herself and denied that she and her partner had argued or that he had assaulted her. This is a common challenge that I have faced several times in similar instances of domestic abuse whereby a victim does not wish to provide any information or assistance to the police and does not wish for any action to be taken against their partner. This is often due to fear of repercussions as well as a lack of trust in the police (</w:t>
      </w:r>
      <w:proofErr w:type="spellStart"/>
      <w:r w:rsidRPr="000000D2">
        <w:rPr>
          <w:color w:val="auto"/>
          <w:sz w:val="24"/>
          <w:szCs w:val="24"/>
        </w:rPr>
        <w:t>Schaap</w:t>
      </w:r>
      <w:proofErr w:type="spellEnd"/>
      <w:r w:rsidRPr="000000D2">
        <w:rPr>
          <w:color w:val="auto"/>
          <w:sz w:val="24"/>
          <w:szCs w:val="24"/>
        </w:rPr>
        <w:t>, 2020).</w:t>
      </w:r>
    </w:p>
    <w:p w14:paraId="2C54AE71" w14:textId="77777777" w:rsidR="00BD6804" w:rsidRPr="000000D2" w:rsidRDefault="00BD6804" w:rsidP="00925937">
      <w:pPr>
        <w:spacing w:line="480" w:lineRule="auto"/>
        <w:ind w:right="237"/>
        <w:jc w:val="both"/>
        <w:rPr>
          <w:color w:val="auto"/>
          <w:sz w:val="24"/>
          <w:szCs w:val="24"/>
        </w:rPr>
      </w:pPr>
    </w:p>
    <w:p w14:paraId="47B4F599"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 In extreme cases such as this, the victim actively obstructs the police. While this can come across as hostility it is important to consider why a victim may behave this way and to consider what measures can be taken to ensure we are still able to do our job. A strategy that has been developed which has allowed officers to be more effective while policing this type of incident is the police service’s implementation of policies such as “Positive Action” (College of Policing, 2016). Positive Action allows and ensures that officers always </w:t>
      </w:r>
      <w:proofErr w:type="gramStart"/>
      <w:r w:rsidRPr="000000D2">
        <w:rPr>
          <w:color w:val="auto"/>
          <w:sz w:val="24"/>
          <w:szCs w:val="24"/>
        </w:rPr>
        <w:t>take action</w:t>
      </w:r>
      <w:proofErr w:type="gramEnd"/>
      <w:r w:rsidRPr="000000D2">
        <w:rPr>
          <w:color w:val="auto"/>
          <w:sz w:val="24"/>
          <w:szCs w:val="24"/>
        </w:rPr>
        <w:t xml:space="preserve"> when attending an incident of a domestic nature. This means that officers must do something to safeguard those involved even when a criminal offence has not taken place or has not been disclosed to officers. This includes officers being able to remove people from an address for a period if they believe leaving them there could pose a risk to others. It also includes making an arrest without having the support of a victim, which is what my colleague </w:t>
      </w:r>
      <w:r w:rsidRPr="000000D2">
        <w:rPr>
          <w:color w:val="auto"/>
          <w:sz w:val="24"/>
          <w:szCs w:val="24"/>
        </w:rPr>
        <w:lastRenderedPageBreak/>
        <w:t xml:space="preserve">and I chose to do in this incident. This is crucial as it means police are now mandated to respond to domestic incidents with less use of discretion, which means there are more arrests of perpetrators of domestic abuse and better safeguarding of victims rather than just attending an incident and little happening as a result (Mills, 2009, pp.33-36). This can go all the way to a prosecution with the Crown Prosecution service now running victimless cases (CPS, 2022). </w:t>
      </w:r>
    </w:p>
    <w:p w14:paraId="043ED28A" w14:textId="77777777" w:rsidR="00BD6804" w:rsidRPr="000000D2" w:rsidRDefault="00BD6804" w:rsidP="00925937">
      <w:pPr>
        <w:spacing w:line="480" w:lineRule="auto"/>
        <w:ind w:right="237"/>
        <w:jc w:val="both"/>
        <w:rPr>
          <w:color w:val="auto"/>
          <w:sz w:val="24"/>
          <w:szCs w:val="24"/>
        </w:rPr>
      </w:pPr>
    </w:p>
    <w:p w14:paraId="791FB772"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Upon considering all the information available to me at the time, including the inconsistencies between the accounts of both involved, the injury to the female, the behaviour of both parties (such as not opening the door) and the information provided on the initial call by a neighbour, I decided it was necessary to arrest the male on suspicion of assault on his partner under section 47 of the Offences Against the Person Act 1861 (Bryant &amp; Bryant, 2020 p.358). I did this to prevent any further harm to the female, and </w:t>
      </w:r>
      <w:proofErr w:type="gramStart"/>
      <w:r w:rsidRPr="000000D2">
        <w:rPr>
          <w:color w:val="auto"/>
          <w:sz w:val="24"/>
          <w:szCs w:val="24"/>
        </w:rPr>
        <w:t>in order to</w:t>
      </w:r>
      <w:proofErr w:type="gramEnd"/>
      <w:r w:rsidRPr="000000D2">
        <w:rPr>
          <w:color w:val="auto"/>
          <w:sz w:val="24"/>
          <w:szCs w:val="24"/>
        </w:rPr>
        <w:t xml:space="preserve"> conduct a prompt and effective investigation into the injury she had sustained which I was concerned would happen if they were left together. </w:t>
      </w:r>
    </w:p>
    <w:p w14:paraId="50CD7CE9" w14:textId="77777777" w:rsidR="00BD6804" w:rsidRPr="000000D2" w:rsidRDefault="00BD6804" w:rsidP="00925937">
      <w:pPr>
        <w:spacing w:line="480" w:lineRule="auto"/>
        <w:ind w:right="237"/>
        <w:jc w:val="both"/>
        <w:rPr>
          <w:color w:val="auto"/>
          <w:sz w:val="24"/>
          <w:szCs w:val="24"/>
        </w:rPr>
      </w:pPr>
    </w:p>
    <w:p w14:paraId="763DD114" w14:textId="77777777" w:rsidR="00BD6804" w:rsidRPr="000000D2" w:rsidRDefault="00BD6804" w:rsidP="00925937">
      <w:pPr>
        <w:spacing w:line="480" w:lineRule="auto"/>
        <w:ind w:right="237"/>
        <w:jc w:val="both"/>
        <w:rPr>
          <w:color w:val="auto"/>
          <w:sz w:val="24"/>
          <w:szCs w:val="24"/>
        </w:rPr>
      </w:pPr>
    </w:p>
    <w:p w14:paraId="3C8AF5AF"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 xml:space="preserve">Another challenge we faced at this point was caring for the female. As I previously mentioned, she had sustained a rather severe injury to her head which needed medical attention, and in addition to this the female stated she was epileptic, and her husband was her only carer. The female stated she had no other family or friends who could come and care for her, and her hostility towards officers continued as she blamed us for taking away her only support and leaving her vulnerable. This </w:t>
      </w:r>
      <w:r w:rsidRPr="000000D2">
        <w:rPr>
          <w:color w:val="auto"/>
          <w:sz w:val="24"/>
          <w:szCs w:val="24"/>
        </w:rPr>
        <w:lastRenderedPageBreak/>
        <w:t xml:space="preserve">situation continued to escalate as the female realised despite her best efforts to stop police arresting the male, the outcome of this incident would not change. </w:t>
      </w:r>
    </w:p>
    <w:p w14:paraId="3A001982" w14:textId="77777777" w:rsidR="00BD6804" w:rsidRPr="000000D2" w:rsidRDefault="00BD6804" w:rsidP="00925937">
      <w:pPr>
        <w:spacing w:line="480" w:lineRule="auto"/>
        <w:ind w:right="237"/>
        <w:jc w:val="both"/>
        <w:rPr>
          <w:color w:val="auto"/>
          <w:sz w:val="24"/>
          <w:szCs w:val="24"/>
        </w:rPr>
      </w:pPr>
    </w:p>
    <w:p w14:paraId="30DF6F63"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Upon this realisation, the female became even more aggressive and hostile towards officers, and began threatening to take her own life. This provided further complications as not only did we need the female to receive medical attention for her physical injuries, but also for her mental health. Additional units attended the address to assist us with conveying the male to custody so that my colleague and I could focus on ensuring the vulnerable female received the treatment she needed. Due to the female being within her own home, we were unable to detain her under section 136 of the Mental Health Act and convey her to a place of safety for her mental and physical health (Morgan &amp; Paterson, 2017). We therefore needed to adapt and convince the female to attend hospital willingly.</w:t>
      </w:r>
    </w:p>
    <w:p w14:paraId="06C0F6AB" w14:textId="77777777" w:rsidR="00BD6804" w:rsidRPr="000000D2" w:rsidRDefault="00BD6804" w:rsidP="00925937">
      <w:pPr>
        <w:spacing w:line="480" w:lineRule="auto"/>
        <w:ind w:right="237"/>
        <w:jc w:val="both"/>
        <w:rPr>
          <w:color w:val="auto"/>
          <w:sz w:val="24"/>
          <w:szCs w:val="24"/>
        </w:rPr>
      </w:pPr>
    </w:p>
    <w:p w14:paraId="33C3BF76" w14:textId="77777777" w:rsidR="00BD6804" w:rsidRPr="000000D2" w:rsidRDefault="00BD6804" w:rsidP="00925937">
      <w:pPr>
        <w:spacing w:line="480" w:lineRule="auto"/>
        <w:ind w:right="237"/>
        <w:jc w:val="both"/>
        <w:rPr>
          <w:color w:val="auto"/>
          <w:sz w:val="24"/>
          <w:szCs w:val="24"/>
        </w:rPr>
      </w:pPr>
      <w:r w:rsidRPr="000000D2">
        <w:rPr>
          <w:color w:val="auto"/>
          <w:sz w:val="24"/>
          <w:szCs w:val="24"/>
        </w:rPr>
        <w:t>Good communication skills in this incident were crucial. As I previously mentioned, this female was not supporting police involvement at all and building a rapport with her was very difficult. Eventually, after much discussion with the female, she agreed for us to take her to hospital to receive the treatment she needed on a voluntary basis. Despite our best efforts, the female did not change her account to officers and maintained that she had not been assaulted, however she was still safeguarded due to the male’s arrest and provided with medical attention, which I believe is a positive outcome considering the complexities faced by officers while responding to this call. The female was provided with safeguarding advice and offered support following this incident, which she accepted.</w:t>
      </w:r>
    </w:p>
    <w:p w14:paraId="7794D453" w14:textId="77777777" w:rsidR="00BD6804" w:rsidRPr="000000D2" w:rsidRDefault="00BD6804" w:rsidP="00925937">
      <w:pPr>
        <w:spacing w:line="480" w:lineRule="auto"/>
        <w:ind w:right="237"/>
        <w:jc w:val="both"/>
        <w:rPr>
          <w:color w:val="auto"/>
          <w:sz w:val="24"/>
          <w:szCs w:val="24"/>
        </w:rPr>
      </w:pPr>
    </w:p>
    <w:p w14:paraId="23A278C7" w14:textId="77777777" w:rsidR="00BD6804" w:rsidRPr="000000D2" w:rsidRDefault="00BD6804" w:rsidP="00925937">
      <w:pPr>
        <w:spacing w:line="480" w:lineRule="auto"/>
        <w:ind w:right="237"/>
        <w:jc w:val="both"/>
        <w:rPr>
          <w:color w:val="auto"/>
          <w:sz w:val="24"/>
          <w:szCs w:val="24"/>
        </w:rPr>
      </w:pPr>
      <w:r w:rsidRPr="000000D2">
        <w:rPr>
          <w:color w:val="auto"/>
          <w:sz w:val="24"/>
          <w:szCs w:val="24"/>
        </w:rPr>
        <w:lastRenderedPageBreak/>
        <w:t xml:space="preserve">I have reflected on this incident frequently since my attendance and I feel I have learned a lot having experienced such a complex call. One of the main things I have learned </w:t>
      </w:r>
      <w:proofErr w:type="gramStart"/>
      <w:r w:rsidRPr="000000D2">
        <w:rPr>
          <w:color w:val="auto"/>
          <w:sz w:val="24"/>
          <w:szCs w:val="24"/>
        </w:rPr>
        <w:t>as a result of</w:t>
      </w:r>
      <w:proofErr w:type="gramEnd"/>
      <w:r w:rsidRPr="000000D2">
        <w:rPr>
          <w:color w:val="auto"/>
          <w:sz w:val="24"/>
          <w:szCs w:val="24"/>
        </w:rPr>
        <w:t xml:space="preserve"> this reflection is the importance of good communication skills. While I feel I communicated well and to the best of my ability during this incident, it is certainly something I feel I could develop further which has been a goal of mine since this incident. Another learning point for me after this incident is the importance of collaboration with other agencies, particularly in response to domestic incidents. As I previously mentioned, the victim had very little faith or trust in the police, so by putting her in touch with the relevant agencies that can support her, it ensures she receives a response not just from police but from a range of agencies who she may feel more comfortable working with.</w:t>
      </w:r>
    </w:p>
    <w:p w14:paraId="2B003140" w14:textId="77777777" w:rsidR="00BD6804" w:rsidRPr="000000D2" w:rsidRDefault="00BD6804" w:rsidP="00925937">
      <w:pPr>
        <w:spacing w:line="480" w:lineRule="auto"/>
        <w:ind w:right="237"/>
        <w:jc w:val="both"/>
        <w:rPr>
          <w:color w:val="auto"/>
          <w:sz w:val="24"/>
          <w:szCs w:val="24"/>
        </w:rPr>
      </w:pPr>
    </w:p>
    <w:p w14:paraId="416E3E9D" w14:textId="77777777" w:rsidR="00BD6804" w:rsidRPr="000000D2" w:rsidRDefault="00BD6804" w:rsidP="00925937">
      <w:pPr>
        <w:spacing w:line="480" w:lineRule="auto"/>
        <w:ind w:right="237"/>
        <w:jc w:val="both"/>
        <w:rPr>
          <w:b/>
          <w:bCs/>
          <w:color w:val="auto"/>
          <w:sz w:val="24"/>
          <w:szCs w:val="24"/>
        </w:rPr>
      </w:pPr>
      <w:r w:rsidRPr="000000D2">
        <w:rPr>
          <w:color w:val="auto"/>
          <w:sz w:val="24"/>
          <w:szCs w:val="24"/>
        </w:rPr>
        <w:t xml:space="preserve">In conclusion, this was a very difficult and complex incident to attend and certainly pushed me out of my comfort zone as a student police officer. However, having experienced this incident and reflect on many aspects of it, I feel I have taken on board valuable lessons which has enabled me to learn and provide an overall better service to the public going forward. I have learned the importance of good communication skills, to ensure I build a rapport with victims, and to consider vulnerabilities a person may have which may lead to them behaving a particular way. By taking these things on board I feel I am now more equipped to tailor and adapt my approach to suit the needs of individual victims and recognise and address their specific vulnerabilities. I feel that this incident allowed me to recognise and use the strategies that have been developed </w:t>
      </w:r>
      <w:proofErr w:type="gramStart"/>
      <w:r w:rsidRPr="000000D2">
        <w:rPr>
          <w:color w:val="auto"/>
          <w:sz w:val="24"/>
          <w:szCs w:val="24"/>
        </w:rPr>
        <w:t>in order to</w:t>
      </w:r>
      <w:proofErr w:type="gramEnd"/>
      <w:r w:rsidRPr="000000D2">
        <w:rPr>
          <w:color w:val="auto"/>
          <w:sz w:val="24"/>
          <w:szCs w:val="24"/>
        </w:rPr>
        <w:t xml:space="preserve"> deal with such incidents and has made me more aware and comfortable with using particular powers in order to deal with similar incidents in the future. </w:t>
      </w:r>
    </w:p>
    <w:p w14:paraId="042CB012" w14:textId="104B166B" w:rsidR="00BD6804" w:rsidRDefault="00BD6804" w:rsidP="00925937">
      <w:pPr>
        <w:overflowPunct/>
        <w:autoSpaceDE/>
        <w:autoSpaceDN/>
        <w:adjustRightInd/>
        <w:spacing w:line="480" w:lineRule="auto"/>
        <w:textAlignment w:val="auto"/>
        <w:rPr>
          <w:color w:val="000000" w:themeColor="text1"/>
          <w:sz w:val="24"/>
          <w:szCs w:val="24"/>
        </w:rPr>
      </w:pPr>
      <w:r>
        <w:rPr>
          <w:color w:val="000000" w:themeColor="text1"/>
          <w:sz w:val="24"/>
          <w:szCs w:val="24"/>
        </w:rPr>
        <w:lastRenderedPageBreak/>
        <w:t xml:space="preserve">Word Count: </w:t>
      </w:r>
      <w:r w:rsidR="00B64555">
        <w:rPr>
          <w:color w:val="000000" w:themeColor="text1"/>
          <w:sz w:val="24"/>
          <w:szCs w:val="24"/>
        </w:rPr>
        <w:t>21</w:t>
      </w:r>
      <w:r w:rsidR="001C6AC4">
        <w:rPr>
          <w:color w:val="000000" w:themeColor="text1"/>
          <w:sz w:val="24"/>
          <w:szCs w:val="24"/>
        </w:rPr>
        <w:t>71</w:t>
      </w:r>
      <w:r>
        <w:rPr>
          <w:color w:val="000000" w:themeColor="text1"/>
          <w:sz w:val="24"/>
          <w:szCs w:val="24"/>
        </w:rPr>
        <w:br w:type="page"/>
      </w:r>
    </w:p>
    <w:p w14:paraId="74BCF97D" w14:textId="77777777"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F7E38F7" w:rsidR="0FF883D4" w:rsidRDefault="5CE196A1" w:rsidP="5CE196A1">
      <w:r w:rsidRPr="5CE196A1">
        <w:rPr>
          <w:rFonts w:eastAsia="Arial"/>
          <w:b/>
          <w:bCs/>
          <w:color w:val="000000" w:themeColor="text1"/>
          <w:sz w:val="24"/>
          <w:szCs w:val="24"/>
        </w:rPr>
        <w:t xml:space="preserve">Signed: </w:t>
      </w:r>
      <w:r w:rsidR="00B10079">
        <w:rPr>
          <w:rFonts w:eastAsia="Arial"/>
          <w:b/>
          <w:bCs/>
          <w:color w:val="000000" w:themeColor="text1"/>
          <w:sz w:val="24"/>
          <w:szCs w:val="24"/>
        </w:rPr>
        <w:t>J Humphreys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60D552CF" w:rsidR="0FF883D4" w:rsidRDefault="5CE196A1" w:rsidP="5CE196A1">
      <w:r w:rsidRPr="5CE196A1">
        <w:rPr>
          <w:rFonts w:eastAsia="Arial"/>
          <w:b/>
          <w:bCs/>
          <w:color w:val="000000" w:themeColor="text1"/>
          <w:sz w:val="24"/>
          <w:szCs w:val="24"/>
        </w:rPr>
        <w:t>Date:</w:t>
      </w:r>
      <w:r w:rsidR="00B10079">
        <w:rPr>
          <w:rFonts w:eastAsia="Arial"/>
          <w:b/>
          <w:bCs/>
          <w:color w:val="000000" w:themeColor="text1"/>
          <w:sz w:val="24"/>
          <w:szCs w:val="24"/>
        </w:rPr>
        <w:t xml:space="preserve"> 0</w:t>
      </w:r>
      <w:r w:rsidR="004F15B2">
        <w:rPr>
          <w:rFonts w:eastAsia="Arial"/>
          <w:b/>
          <w:bCs/>
          <w:color w:val="000000" w:themeColor="text1"/>
          <w:sz w:val="24"/>
          <w:szCs w:val="24"/>
        </w:rPr>
        <w:t>6</w:t>
      </w:r>
      <w:r w:rsidR="00B10079">
        <w:rPr>
          <w:rFonts w:eastAsia="Arial"/>
          <w:b/>
          <w:bCs/>
          <w:color w:val="000000" w:themeColor="text1"/>
          <w:sz w:val="24"/>
          <w:szCs w:val="24"/>
        </w:rPr>
        <w:t>/0</w:t>
      </w:r>
      <w:r w:rsidR="004F15B2">
        <w:rPr>
          <w:rFonts w:eastAsia="Arial"/>
          <w:b/>
          <w:bCs/>
          <w:color w:val="000000" w:themeColor="text1"/>
          <w:sz w:val="24"/>
          <w:szCs w:val="24"/>
        </w:rPr>
        <w:t>8</w:t>
      </w:r>
      <w:r w:rsidR="00B10079">
        <w:rPr>
          <w:rFonts w:eastAsia="Arial"/>
          <w:b/>
          <w:bCs/>
          <w:color w:val="000000" w:themeColor="text1"/>
          <w:sz w:val="24"/>
          <w:szCs w:val="24"/>
        </w:rPr>
        <w:t>/23</w:t>
      </w:r>
    </w:p>
    <w:p w14:paraId="482B2B3A" w14:textId="1B5851F1" w:rsidR="0FF883D4" w:rsidRDefault="0FF883D4" w:rsidP="5CE196A1">
      <w:pPr>
        <w:ind w:left="2880" w:right="225" w:firstLine="720"/>
        <w:rPr>
          <w:b/>
          <w:bCs/>
          <w:sz w:val="24"/>
          <w:szCs w:val="24"/>
          <w:lang w:eastAsia="zh-TW"/>
        </w:rPr>
        <w:sectPr w:rsidR="0FF883D4" w:rsidSect="0022001B">
          <w:headerReference w:type="default" r:id="rId15"/>
          <w:footerReference w:type="default" r:id="rId16"/>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72D801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A7BC7A1" w14:textId="77777777" w:rsidR="00B738EA" w:rsidRDefault="00B738EA" w:rsidP="00EA28F1">
      <w:pPr>
        <w:keepNext/>
        <w:spacing w:before="240" w:after="60"/>
        <w:ind w:right="237"/>
        <w:jc w:val="both"/>
        <w:rPr>
          <w:sz w:val="24"/>
          <w:szCs w:val="24"/>
        </w:rPr>
      </w:pPr>
    </w:p>
    <w:p w14:paraId="6B8CCD94" w14:textId="27D54176" w:rsidR="00A1571D" w:rsidRPr="00A1571D" w:rsidRDefault="00A1571D" w:rsidP="004C3DCA">
      <w:pPr>
        <w:pStyle w:val="NormalWeb"/>
        <w:spacing w:line="360" w:lineRule="auto"/>
        <w:ind w:left="567" w:hanging="567"/>
        <w:rPr>
          <w:rFonts w:ascii="Arial" w:hAnsi="Arial" w:cs="Arial"/>
        </w:rPr>
      </w:pPr>
      <w:r w:rsidRPr="000000D2">
        <w:rPr>
          <w:rFonts w:ascii="Arial" w:hAnsi="Arial" w:cs="Arial"/>
        </w:rPr>
        <w:t xml:space="preserve">Barrow-Grint, K., </w:t>
      </w:r>
      <w:proofErr w:type="spellStart"/>
      <w:r w:rsidRPr="000000D2">
        <w:rPr>
          <w:rFonts w:ascii="Arial" w:hAnsi="Arial" w:cs="Arial"/>
        </w:rPr>
        <w:t>Sebire</w:t>
      </w:r>
      <w:proofErr w:type="spellEnd"/>
      <w:r w:rsidRPr="000000D2">
        <w:rPr>
          <w:rFonts w:ascii="Arial" w:hAnsi="Arial" w:cs="Arial"/>
        </w:rPr>
        <w:t xml:space="preserve">, J. and Turton, J. (2023) </w:t>
      </w:r>
      <w:r w:rsidRPr="000000D2">
        <w:rPr>
          <w:rFonts w:ascii="Arial" w:hAnsi="Arial" w:cs="Arial"/>
          <w:i/>
          <w:iCs/>
        </w:rPr>
        <w:t>Policing domestic abuse: Risk, policy, and Practice</w:t>
      </w:r>
      <w:r w:rsidRPr="000000D2">
        <w:rPr>
          <w:rFonts w:ascii="Arial" w:hAnsi="Arial" w:cs="Arial"/>
        </w:rPr>
        <w:t xml:space="preserve">. London: Routledge Taylor &amp; Francis Group. </w:t>
      </w:r>
    </w:p>
    <w:p w14:paraId="757DDCD9" w14:textId="77777777" w:rsidR="002A0207" w:rsidRPr="00403E0C" w:rsidRDefault="002A0207" w:rsidP="00EB3D69">
      <w:pPr>
        <w:pStyle w:val="NormalWeb"/>
        <w:spacing w:line="480" w:lineRule="auto"/>
        <w:ind w:left="567" w:hanging="567"/>
        <w:rPr>
          <w:rFonts w:ascii="Arial" w:hAnsi="Arial" w:cs="Arial"/>
          <w:color w:val="000000" w:themeColor="text1"/>
          <w:sz w:val="22"/>
          <w:szCs w:val="22"/>
        </w:rPr>
      </w:pPr>
      <w:r w:rsidRPr="00403E0C">
        <w:rPr>
          <w:rFonts w:ascii="Arial" w:hAnsi="Arial" w:cs="Arial"/>
          <w:color w:val="000000" w:themeColor="text1"/>
          <w:sz w:val="22"/>
          <w:szCs w:val="22"/>
        </w:rPr>
        <w:t xml:space="preserve">Bryant, R. and Bryant, S. (2020) </w:t>
      </w:r>
      <w:r w:rsidRPr="00403E0C">
        <w:rPr>
          <w:rFonts w:ascii="Arial" w:hAnsi="Arial" w:cs="Arial"/>
          <w:i/>
          <w:iCs/>
          <w:color w:val="000000" w:themeColor="text1"/>
          <w:sz w:val="22"/>
          <w:szCs w:val="22"/>
        </w:rPr>
        <w:t>Blackstone’s Handbook for Policing Students</w:t>
      </w:r>
      <w:r w:rsidRPr="00403E0C">
        <w:rPr>
          <w:rFonts w:ascii="Arial" w:hAnsi="Arial" w:cs="Arial"/>
          <w:color w:val="000000" w:themeColor="text1"/>
          <w:sz w:val="22"/>
          <w:szCs w:val="22"/>
        </w:rPr>
        <w:t xml:space="preserve">. Oxford: Oxford University Press. </w:t>
      </w:r>
    </w:p>
    <w:p w14:paraId="7233C683" w14:textId="4753890C" w:rsidR="00A36BF5" w:rsidRPr="00403E0C" w:rsidRDefault="002A0207" w:rsidP="00A36BF5">
      <w:pPr>
        <w:pStyle w:val="NormalWeb"/>
        <w:spacing w:line="480" w:lineRule="auto"/>
        <w:ind w:left="567" w:hanging="567"/>
        <w:rPr>
          <w:rFonts w:ascii="Arial" w:hAnsi="Arial" w:cs="Arial"/>
          <w:color w:val="000000" w:themeColor="text1"/>
          <w:sz w:val="22"/>
          <w:szCs w:val="22"/>
        </w:rPr>
      </w:pPr>
      <w:r w:rsidRPr="00403E0C">
        <w:rPr>
          <w:rFonts w:ascii="Arial" w:hAnsi="Arial" w:cs="Arial"/>
          <w:color w:val="000000" w:themeColor="text1"/>
          <w:sz w:val="22"/>
          <w:szCs w:val="22"/>
        </w:rPr>
        <w:t xml:space="preserve">Bullock, K. </w:t>
      </w:r>
      <w:r w:rsidRPr="00403E0C">
        <w:rPr>
          <w:rFonts w:ascii="Arial" w:hAnsi="Arial" w:cs="Arial"/>
          <w:i/>
          <w:iCs/>
          <w:color w:val="000000" w:themeColor="text1"/>
          <w:sz w:val="22"/>
          <w:szCs w:val="22"/>
        </w:rPr>
        <w:t>et al.</w:t>
      </w:r>
      <w:r w:rsidRPr="00403E0C">
        <w:rPr>
          <w:rFonts w:ascii="Arial" w:hAnsi="Arial" w:cs="Arial"/>
          <w:color w:val="000000" w:themeColor="text1"/>
          <w:sz w:val="22"/>
          <w:szCs w:val="22"/>
        </w:rPr>
        <w:t xml:space="preserve"> (2021) ‘Problem-oriented policing in England and Wales: Barriers and facilitators’, </w:t>
      </w:r>
      <w:r w:rsidRPr="00403E0C">
        <w:rPr>
          <w:rFonts w:ascii="Arial" w:hAnsi="Arial" w:cs="Arial"/>
          <w:i/>
          <w:iCs/>
          <w:color w:val="000000" w:themeColor="text1"/>
          <w:sz w:val="22"/>
          <w:szCs w:val="22"/>
        </w:rPr>
        <w:t>Policing and Society</w:t>
      </w:r>
      <w:r w:rsidRPr="00403E0C">
        <w:rPr>
          <w:rFonts w:ascii="Arial" w:hAnsi="Arial" w:cs="Arial"/>
          <w:color w:val="000000" w:themeColor="text1"/>
          <w:sz w:val="22"/>
          <w:szCs w:val="22"/>
        </w:rPr>
        <w:t xml:space="preserve">, 32(9), pp. 1087–1102. doi:10.1080/10439463.2021.2003361. </w:t>
      </w:r>
      <w:r w:rsidR="00505D7F">
        <w:rPr>
          <w:rFonts w:ascii="Arial" w:hAnsi="Arial" w:cs="Arial"/>
          <w:color w:val="000000" w:themeColor="text1"/>
          <w:sz w:val="22"/>
          <w:szCs w:val="22"/>
        </w:rPr>
        <w:t xml:space="preserve">(Accessed: </w:t>
      </w:r>
      <w:r w:rsidR="004D2C9E">
        <w:rPr>
          <w:rFonts w:ascii="Arial" w:hAnsi="Arial" w:cs="Arial"/>
          <w:color w:val="000000" w:themeColor="text1"/>
          <w:sz w:val="22"/>
          <w:szCs w:val="22"/>
        </w:rPr>
        <w:t>2 August 2023)</w:t>
      </w:r>
    </w:p>
    <w:p w14:paraId="07E7423C" w14:textId="77777777" w:rsidR="002A0207" w:rsidRPr="00403E0C" w:rsidRDefault="002A0207" w:rsidP="002A0207">
      <w:pPr>
        <w:pStyle w:val="NormalWeb"/>
        <w:spacing w:line="480" w:lineRule="auto"/>
        <w:ind w:left="567" w:hanging="567"/>
        <w:rPr>
          <w:rFonts w:ascii="Arial" w:hAnsi="Arial" w:cs="Arial"/>
          <w:color w:val="000000" w:themeColor="text1"/>
          <w:sz w:val="22"/>
          <w:szCs w:val="22"/>
        </w:rPr>
      </w:pPr>
      <w:proofErr w:type="spellStart"/>
      <w:r w:rsidRPr="00403E0C">
        <w:rPr>
          <w:rFonts w:ascii="Arial" w:hAnsi="Arial" w:cs="Arial"/>
          <w:color w:val="000000" w:themeColor="text1"/>
          <w:sz w:val="22"/>
          <w:szCs w:val="22"/>
        </w:rPr>
        <w:t>Capewell</w:t>
      </w:r>
      <w:proofErr w:type="spellEnd"/>
      <w:r w:rsidRPr="00403E0C">
        <w:rPr>
          <w:rFonts w:ascii="Arial" w:hAnsi="Arial" w:cs="Arial"/>
          <w:color w:val="000000" w:themeColor="text1"/>
          <w:sz w:val="22"/>
          <w:szCs w:val="22"/>
        </w:rPr>
        <w:t xml:space="preserve">, C., Ralph, S. and </w:t>
      </w:r>
      <w:proofErr w:type="spellStart"/>
      <w:r w:rsidRPr="00403E0C">
        <w:rPr>
          <w:rFonts w:ascii="Arial" w:hAnsi="Arial" w:cs="Arial"/>
          <w:color w:val="000000" w:themeColor="text1"/>
          <w:sz w:val="22"/>
          <w:szCs w:val="22"/>
        </w:rPr>
        <w:t>Bonnett</w:t>
      </w:r>
      <w:proofErr w:type="spellEnd"/>
      <w:r w:rsidRPr="00403E0C">
        <w:rPr>
          <w:rFonts w:ascii="Arial" w:hAnsi="Arial" w:cs="Arial"/>
          <w:color w:val="000000" w:themeColor="text1"/>
          <w:sz w:val="22"/>
          <w:szCs w:val="22"/>
        </w:rPr>
        <w:t xml:space="preserve">, L. (2015) ‘The continuing violence towards disabled people’, </w:t>
      </w:r>
      <w:r w:rsidRPr="00403E0C">
        <w:rPr>
          <w:rFonts w:ascii="Arial" w:hAnsi="Arial" w:cs="Arial"/>
          <w:i/>
          <w:iCs/>
          <w:color w:val="000000" w:themeColor="text1"/>
          <w:sz w:val="22"/>
          <w:szCs w:val="22"/>
        </w:rPr>
        <w:t>Journal of Research in Special Educational Needs</w:t>
      </w:r>
      <w:r w:rsidRPr="00403E0C">
        <w:rPr>
          <w:rFonts w:ascii="Arial" w:hAnsi="Arial" w:cs="Arial"/>
          <w:color w:val="000000" w:themeColor="text1"/>
          <w:sz w:val="22"/>
          <w:szCs w:val="22"/>
        </w:rPr>
        <w:t xml:space="preserve">, 15(3), pp. 211–221. doi:10.1111/1471-3802.12112. </w:t>
      </w:r>
    </w:p>
    <w:p w14:paraId="4DE4AFC5" w14:textId="77777777" w:rsidR="002A0207" w:rsidRDefault="002A0207" w:rsidP="002A0207">
      <w:pPr>
        <w:pStyle w:val="NormalWeb"/>
        <w:spacing w:line="480" w:lineRule="auto"/>
        <w:ind w:left="567" w:hanging="567"/>
        <w:rPr>
          <w:rFonts w:ascii="Arial" w:hAnsi="Arial" w:cs="Arial"/>
          <w:color w:val="000000" w:themeColor="text1"/>
          <w:sz w:val="22"/>
          <w:szCs w:val="22"/>
        </w:rPr>
      </w:pPr>
      <w:r w:rsidRPr="00403E0C">
        <w:rPr>
          <w:rFonts w:ascii="Arial" w:hAnsi="Arial" w:cs="Arial"/>
          <w:i/>
          <w:iCs/>
          <w:color w:val="000000" w:themeColor="text1"/>
          <w:sz w:val="22"/>
          <w:szCs w:val="22"/>
        </w:rPr>
        <w:t>Collaborative approaches to preventing offending and re-offending by Children (Capricorn): Summary</w:t>
      </w:r>
      <w:r w:rsidRPr="00403E0C">
        <w:rPr>
          <w:rFonts w:ascii="Arial" w:hAnsi="Arial" w:cs="Arial"/>
          <w:color w:val="000000" w:themeColor="text1"/>
          <w:sz w:val="22"/>
          <w:szCs w:val="22"/>
        </w:rPr>
        <w:t xml:space="preserve"> (2019) </w:t>
      </w:r>
      <w:r w:rsidRPr="00403E0C">
        <w:rPr>
          <w:rFonts w:ascii="Arial" w:hAnsi="Arial" w:cs="Arial"/>
          <w:i/>
          <w:iCs/>
          <w:color w:val="000000" w:themeColor="text1"/>
          <w:sz w:val="22"/>
          <w:szCs w:val="22"/>
        </w:rPr>
        <w:t>GOV.UK</w:t>
      </w:r>
      <w:r w:rsidRPr="00403E0C">
        <w:rPr>
          <w:rFonts w:ascii="Arial" w:hAnsi="Arial" w:cs="Arial"/>
          <w:color w:val="000000" w:themeColor="text1"/>
          <w:sz w:val="22"/>
          <w:szCs w:val="22"/>
        </w:rPr>
        <w:t xml:space="preserve">. Available at: https://www.gov.uk/government/publications/preventing-offending-and-re-offending-by-children/collaborative-approaches-to-preventing-offending-and-re-offending-by-children-capricorn-summary (Accessed: 20 May 2023). </w:t>
      </w:r>
    </w:p>
    <w:p w14:paraId="7AFD585B" w14:textId="77777777" w:rsidR="00B738EA" w:rsidRDefault="00B738EA" w:rsidP="00B738EA">
      <w:pPr>
        <w:pStyle w:val="NormalWeb"/>
        <w:spacing w:line="360" w:lineRule="auto"/>
        <w:ind w:left="567" w:hanging="567"/>
        <w:rPr>
          <w:rFonts w:ascii="Arial" w:hAnsi="Arial" w:cs="Arial"/>
        </w:rPr>
      </w:pPr>
      <w:r w:rsidRPr="000000D2">
        <w:rPr>
          <w:rFonts w:ascii="Arial" w:hAnsi="Arial" w:cs="Arial"/>
        </w:rPr>
        <w:t xml:space="preserve">College of Policing. (2016) </w:t>
      </w:r>
      <w:r w:rsidRPr="000000D2">
        <w:rPr>
          <w:rFonts w:ascii="Arial" w:hAnsi="Arial" w:cs="Arial"/>
          <w:i/>
          <w:iCs/>
        </w:rPr>
        <w:t>First Response Quick Reference Guide - Domestic abuse</w:t>
      </w:r>
      <w:r w:rsidRPr="000000D2">
        <w:rPr>
          <w:rFonts w:ascii="Arial" w:hAnsi="Arial" w:cs="Arial"/>
        </w:rPr>
        <w:t xml:space="preserve">, </w:t>
      </w:r>
      <w:r w:rsidRPr="000000D2">
        <w:rPr>
          <w:rFonts w:ascii="Arial" w:hAnsi="Arial" w:cs="Arial"/>
          <w:i/>
          <w:iCs/>
        </w:rPr>
        <w:t>College of Policing</w:t>
      </w:r>
      <w:r w:rsidRPr="000000D2">
        <w:rPr>
          <w:rFonts w:ascii="Arial" w:hAnsi="Arial" w:cs="Arial"/>
        </w:rPr>
        <w:t xml:space="preserve">. Available at: https://www.college.police.uk/app/major-investigation-and-public-protection/domestic-abuse/first-response-quick-reference-guide-domestic-abuse#take-positive-action (Accessed: 08 June 2023). </w:t>
      </w:r>
    </w:p>
    <w:p w14:paraId="294B7D73" w14:textId="77777777" w:rsidR="009D5650" w:rsidRDefault="009D5650" w:rsidP="00B738EA">
      <w:pPr>
        <w:pStyle w:val="NormalWeb"/>
        <w:spacing w:line="360" w:lineRule="auto"/>
        <w:ind w:left="567" w:hanging="567"/>
        <w:rPr>
          <w:rFonts w:ascii="Arial" w:hAnsi="Arial" w:cs="Arial"/>
        </w:rPr>
      </w:pPr>
    </w:p>
    <w:p w14:paraId="5B08C869" w14:textId="6BD3BC06" w:rsidR="00B738EA" w:rsidRDefault="009D5650" w:rsidP="004C3DCA">
      <w:pPr>
        <w:pStyle w:val="NormalWeb"/>
        <w:spacing w:line="360" w:lineRule="auto"/>
        <w:ind w:left="567" w:hanging="567"/>
        <w:rPr>
          <w:rFonts w:ascii="Arial" w:hAnsi="Arial" w:cs="Arial"/>
        </w:rPr>
      </w:pPr>
      <w:r w:rsidRPr="000000D2">
        <w:rPr>
          <w:rFonts w:ascii="Arial" w:hAnsi="Arial" w:cs="Arial"/>
        </w:rPr>
        <w:lastRenderedPageBreak/>
        <w:t xml:space="preserve">CPS. (2022) </w:t>
      </w:r>
      <w:r w:rsidRPr="000000D2">
        <w:rPr>
          <w:rFonts w:ascii="Arial" w:hAnsi="Arial" w:cs="Arial"/>
          <w:i/>
          <w:iCs/>
        </w:rPr>
        <w:t>Domestic abuse</w:t>
      </w:r>
      <w:r w:rsidRPr="000000D2">
        <w:rPr>
          <w:rFonts w:ascii="Arial" w:hAnsi="Arial" w:cs="Arial"/>
        </w:rPr>
        <w:t xml:space="preserve">, </w:t>
      </w:r>
      <w:r w:rsidRPr="000000D2">
        <w:rPr>
          <w:rFonts w:ascii="Arial" w:hAnsi="Arial" w:cs="Arial"/>
          <w:i/>
          <w:iCs/>
        </w:rPr>
        <w:t>Domestic Abuse | The Crown Prosecution Service</w:t>
      </w:r>
      <w:r w:rsidRPr="000000D2">
        <w:rPr>
          <w:rFonts w:ascii="Arial" w:hAnsi="Arial" w:cs="Arial"/>
        </w:rPr>
        <w:t xml:space="preserve">. Available at: https://www.cps.gov.uk/legal-guidance/domestic-abuse (Accessed: 08 June 2023). </w:t>
      </w:r>
    </w:p>
    <w:p w14:paraId="0444F45B" w14:textId="23B424C0" w:rsidR="00C002F7" w:rsidRPr="004C3DCA" w:rsidRDefault="00C002F7" w:rsidP="00C002F7">
      <w:pPr>
        <w:pStyle w:val="NormalWeb"/>
        <w:ind w:left="567" w:hanging="567"/>
        <w:rPr>
          <w:rFonts w:ascii="Arial" w:hAnsi="Arial" w:cs="Arial"/>
        </w:rPr>
      </w:pPr>
      <w:r w:rsidRPr="00C002F7">
        <w:rPr>
          <w:rFonts w:ascii="Arial" w:hAnsi="Arial" w:cs="Arial"/>
          <w:i/>
          <w:iCs/>
        </w:rPr>
        <w:t>Domestic abuse act 2021</w:t>
      </w:r>
      <w:r w:rsidRPr="00C002F7">
        <w:rPr>
          <w:rFonts w:ascii="Arial" w:hAnsi="Arial" w:cs="Arial"/>
        </w:rPr>
        <w:t xml:space="preserve"> (</w:t>
      </w:r>
      <w:r w:rsidRPr="00C002F7">
        <w:rPr>
          <w:rFonts w:ascii="Arial" w:hAnsi="Arial" w:cs="Arial"/>
        </w:rPr>
        <w:t>2021</w:t>
      </w:r>
      <w:r w:rsidRPr="00C002F7">
        <w:rPr>
          <w:rFonts w:ascii="Arial" w:hAnsi="Arial" w:cs="Arial"/>
        </w:rPr>
        <w:t xml:space="preserve">) </w:t>
      </w:r>
      <w:r w:rsidRPr="00C002F7">
        <w:rPr>
          <w:rFonts w:ascii="Arial" w:hAnsi="Arial" w:cs="Arial"/>
          <w:i/>
          <w:iCs/>
        </w:rPr>
        <w:t>Legislation.gov.uk</w:t>
      </w:r>
      <w:r w:rsidRPr="00C002F7">
        <w:rPr>
          <w:rFonts w:ascii="Arial" w:hAnsi="Arial" w:cs="Arial"/>
        </w:rPr>
        <w:t xml:space="preserve">. Available at: https://www.legislation.gov.uk/ukpga/2021/17/part/1/enacted (Accessed: 06 August 2023). </w:t>
      </w:r>
    </w:p>
    <w:p w14:paraId="5937E657" w14:textId="77777777" w:rsidR="002A0207" w:rsidRDefault="002A0207" w:rsidP="002A0207">
      <w:pPr>
        <w:pStyle w:val="NormalWeb"/>
        <w:spacing w:line="480" w:lineRule="auto"/>
        <w:ind w:left="567" w:hanging="567"/>
        <w:rPr>
          <w:rFonts w:ascii="Arial" w:hAnsi="Arial" w:cs="Arial"/>
          <w:color w:val="000000" w:themeColor="text1"/>
        </w:rPr>
      </w:pPr>
      <w:r w:rsidRPr="00BD6C86">
        <w:rPr>
          <w:rFonts w:ascii="Arial" w:hAnsi="Arial" w:cs="Arial"/>
          <w:color w:val="000000" w:themeColor="text1"/>
        </w:rPr>
        <w:t xml:space="preserve">Donoghue, J. (2013) ‘Reflections on risk, anti-social behaviour and vulnerable/repeat victims’, </w:t>
      </w:r>
      <w:r w:rsidRPr="00BD6C86">
        <w:rPr>
          <w:rFonts w:ascii="Arial" w:hAnsi="Arial" w:cs="Arial"/>
          <w:i/>
          <w:iCs/>
          <w:color w:val="000000" w:themeColor="text1"/>
        </w:rPr>
        <w:t>British Journal of Criminology</w:t>
      </w:r>
      <w:r w:rsidRPr="00BD6C86">
        <w:rPr>
          <w:rFonts w:ascii="Arial" w:hAnsi="Arial" w:cs="Arial"/>
          <w:color w:val="000000" w:themeColor="text1"/>
        </w:rPr>
        <w:t>, 53(5), pp. 805–823. doi:10.1093/</w:t>
      </w:r>
      <w:proofErr w:type="spellStart"/>
      <w:r w:rsidRPr="00BD6C86">
        <w:rPr>
          <w:rFonts w:ascii="Arial" w:hAnsi="Arial" w:cs="Arial"/>
          <w:color w:val="000000" w:themeColor="text1"/>
        </w:rPr>
        <w:t>bjc</w:t>
      </w:r>
      <w:proofErr w:type="spellEnd"/>
      <w:r w:rsidRPr="00BD6C86">
        <w:rPr>
          <w:rFonts w:ascii="Arial" w:hAnsi="Arial" w:cs="Arial"/>
          <w:color w:val="000000" w:themeColor="text1"/>
        </w:rPr>
        <w:t xml:space="preserve">/azt023. </w:t>
      </w:r>
    </w:p>
    <w:p w14:paraId="5B7D53D5" w14:textId="1807E04E" w:rsidR="0041639C" w:rsidRDefault="0041639C" w:rsidP="0041639C">
      <w:pPr>
        <w:pStyle w:val="NormalWeb"/>
        <w:ind w:left="567" w:hanging="567"/>
        <w:rPr>
          <w:rFonts w:ascii="Arial" w:hAnsi="Arial" w:cs="Arial"/>
        </w:rPr>
      </w:pPr>
      <w:proofErr w:type="spellStart"/>
      <w:r w:rsidRPr="0041639C">
        <w:rPr>
          <w:rFonts w:ascii="Arial" w:hAnsi="Arial" w:cs="Arial"/>
        </w:rPr>
        <w:t>Geurts</w:t>
      </w:r>
      <w:proofErr w:type="spellEnd"/>
      <w:r w:rsidRPr="0041639C">
        <w:rPr>
          <w:rFonts w:ascii="Arial" w:hAnsi="Arial" w:cs="Arial"/>
        </w:rPr>
        <w:t xml:space="preserve">, R. </w:t>
      </w:r>
      <w:r w:rsidRPr="0041639C">
        <w:rPr>
          <w:rFonts w:ascii="Arial" w:hAnsi="Arial" w:cs="Arial"/>
          <w:i/>
          <w:iCs/>
        </w:rPr>
        <w:t>et al.</w:t>
      </w:r>
      <w:r w:rsidRPr="0041639C">
        <w:rPr>
          <w:rFonts w:ascii="Arial" w:hAnsi="Arial" w:cs="Arial"/>
        </w:rPr>
        <w:t xml:space="preserve"> (2022) ‘The relation between the individual assessment of victims by Dutch police and repeat victimization’, </w:t>
      </w:r>
      <w:r w:rsidRPr="0041639C">
        <w:rPr>
          <w:rFonts w:ascii="Arial" w:hAnsi="Arial" w:cs="Arial"/>
          <w:i/>
          <w:iCs/>
        </w:rPr>
        <w:t>Police Practice and Research</w:t>
      </w:r>
      <w:r w:rsidRPr="0041639C">
        <w:rPr>
          <w:rFonts w:ascii="Arial" w:hAnsi="Arial" w:cs="Arial"/>
        </w:rPr>
        <w:t xml:space="preserve">, pp. 1–16. doi:10.1080/15614263.2022.2161546. </w:t>
      </w:r>
    </w:p>
    <w:p w14:paraId="0FAE6070" w14:textId="01A49536" w:rsidR="0041639C" w:rsidRPr="0041639C" w:rsidRDefault="0041639C" w:rsidP="0041639C">
      <w:pPr>
        <w:pStyle w:val="NormalWeb"/>
        <w:ind w:left="567" w:hanging="567"/>
        <w:rPr>
          <w:rFonts w:ascii="Arial" w:hAnsi="Arial" w:cs="Arial"/>
        </w:rPr>
      </w:pPr>
      <w:proofErr w:type="spellStart"/>
      <w:r w:rsidRPr="0041639C">
        <w:rPr>
          <w:rFonts w:ascii="Arial" w:hAnsi="Arial" w:cs="Arial"/>
        </w:rPr>
        <w:t>Gous</w:t>
      </w:r>
      <w:proofErr w:type="spellEnd"/>
      <w:r w:rsidRPr="0041639C">
        <w:rPr>
          <w:rFonts w:ascii="Arial" w:hAnsi="Arial" w:cs="Arial"/>
        </w:rPr>
        <w:t xml:space="preserve">, G. </w:t>
      </w:r>
      <w:r w:rsidRPr="0041639C">
        <w:rPr>
          <w:rFonts w:ascii="Arial" w:hAnsi="Arial" w:cs="Arial"/>
          <w:i/>
          <w:iCs/>
        </w:rPr>
        <w:t>et al.</w:t>
      </w:r>
      <w:r w:rsidRPr="0041639C">
        <w:rPr>
          <w:rFonts w:ascii="Arial" w:hAnsi="Arial" w:cs="Arial"/>
        </w:rPr>
        <w:t xml:space="preserve"> (2022) ‘The effects of witness mental illness and use of special measures in court on individual mock juror decision-making’, </w:t>
      </w:r>
      <w:r w:rsidRPr="0041639C">
        <w:rPr>
          <w:rFonts w:ascii="Arial" w:hAnsi="Arial" w:cs="Arial"/>
          <w:i/>
          <w:iCs/>
        </w:rPr>
        <w:t>Psychology, Crime &amp;amp; Law</w:t>
      </w:r>
      <w:r w:rsidRPr="0041639C">
        <w:rPr>
          <w:rFonts w:ascii="Arial" w:hAnsi="Arial" w:cs="Arial"/>
        </w:rPr>
        <w:t xml:space="preserve">, pp. 1–34. doi:10.1080/1068316x.2022.2137509. </w:t>
      </w:r>
    </w:p>
    <w:p w14:paraId="22FB300C" w14:textId="65BE8358" w:rsidR="00BD6C86" w:rsidRPr="00BD6C86" w:rsidRDefault="00BD6C86" w:rsidP="002A0207">
      <w:pPr>
        <w:pStyle w:val="NormalWeb"/>
        <w:spacing w:line="480" w:lineRule="auto"/>
        <w:ind w:left="567" w:hanging="567"/>
        <w:rPr>
          <w:rFonts w:ascii="Arial" w:hAnsi="Arial" w:cs="Arial"/>
          <w:color w:val="000000" w:themeColor="text1"/>
        </w:rPr>
      </w:pPr>
      <w:r w:rsidRPr="00BD6C86">
        <w:rPr>
          <w:rFonts w:ascii="Arial" w:hAnsi="Arial" w:cs="Arial"/>
          <w:color w:val="3A3A3A"/>
          <w:shd w:val="clear" w:color="auto" w:fill="FFFFFF"/>
        </w:rPr>
        <w:t>Macdonald, S. (2006) ‘A Suicidal Woman, Roaming Pigs and a Noisy Trampolinist: Refining the ASBO’s Definition of “Anti-Social Behaviour”’, </w:t>
      </w:r>
      <w:r w:rsidRPr="00BD6C86">
        <w:rPr>
          <w:rFonts w:ascii="Arial" w:hAnsi="Arial" w:cs="Arial"/>
          <w:i/>
          <w:iCs/>
          <w:color w:val="3A3A3A"/>
          <w:shd w:val="clear" w:color="auto" w:fill="FFFFFF"/>
        </w:rPr>
        <w:t>Modern law review</w:t>
      </w:r>
      <w:r w:rsidRPr="00BD6C86">
        <w:rPr>
          <w:rFonts w:ascii="Arial" w:hAnsi="Arial" w:cs="Arial"/>
          <w:color w:val="3A3A3A"/>
          <w:shd w:val="clear" w:color="auto" w:fill="FFFFFF"/>
        </w:rPr>
        <w:t>, 69(2), pp. 183–213. Available at: https://doi.org/10.1111/j.1468-2230.2006.00581.x.</w:t>
      </w:r>
    </w:p>
    <w:p w14:paraId="4FEB3A96" w14:textId="77777777" w:rsidR="00943FCB" w:rsidRPr="00BD6C86" w:rsidRDefault="00943FCB" w:rsidP="00943FCB">
      <w:pPr>
        <w:pStyle w:val="NormalWeb"/>
        <w:spacing w:line="360" w:lineRule="auto"/>
        <w:ind w:left="567" w:hanging="567"/>
        <w:rPr>
          <w:rFonts w:ascii="Arial" w:hAnsi="Arial" w:cs="Arial"/>
        </w:rPr>
      </w:pPr>
      <w:r w:rsidRPr="00BD6C86">
        <w:rPr>
          <w:rFonts w:ascii="Arial" w:hAnsi="Arial" w:cs="Arial"/>
        </w:rPr>
        <w:t xml:space="preserve">Mills, L.G. (2009) </w:t>
      </w:r>
      <w:r w:rsidRPr="00BD6C86">
        <w:rPr>
          <w:rFonts w:ascii="Arial" w:hAnsi="Arial" w:cs="Arial"/>
          <w:i/>
          <w:iCs/>
        </w:rPr>
        <w:t>Insult to injury rethinking our responses to intimate abuse</w:t>
      </w:r>
      <w:r w:rsidRPr="00BD6C86">
        <w:rPr>
          <w:rFonts w:ascii="Arial" w:hAnsi="Arial" w:cs="Arial"/>
        </w:rPr>
        <w:t xml:space="preserve">. Princeton: Princeton University Press. </w:t>
      </w:r>
    </w:p>
    <w:p w14:paraId="0E14D2E4" w14:textId="20E04D23" w:rsidR="00943FCB" w:rsidRPr="004C3DCA" w:rsidRDefault="005B432E" w:rsidP="004C3DCA">
      <w:pPr>
        <w:pStyle w:val="NormalWeb"/>
        <w:spacing w:line="360" w:lineRule="auto"/>
        <w:ind w:left="567" w:hanging="567"/>
        <w:rPr>
          <w:rFonts w:ascii="Arial" w:hAnsi="Arial" w:cs="Arial"/>
        </w:rPr>
      </w:pPr>
      <w:r w:rsidRPr="00BD6C86">
        <w:rPr>
          <w:rFonts w:ascii="Arial" w:hAnsi="Arial" w:cs="Arial"/>
        </w:rPr>
        <w:t>Morgan, M. and Paterson, C. (2017) ‘“it’s mental health,</w:t>
      </w:r>
      <w:r w:rsidRPr="000000D2">
        <w:rPr>
          <w:rFonts w:ascii="Arial" w:hAnsi="Arial" w:cs="Arial"/>
        </w:rPr>
        <w:t xml:space="preserve"> not mental police”: A human rights approach to Mental Health Triage and section 136 of the mental health act 1983’, </w:t>
      </w:r>
      <w:r w:rsidRPr="000000D2">
        <w:rPr>
          <w:rFonts w:ascii="Arial" w:hAnsi="Arial" w:cs="Arial"/>
          <w:i/>
          <w:iCs/>
        </w:rPr>
        <w:t>Policing: A Journal of Policy and Practice</w:t>
      </w:r>
      <w:r w:rsidRPr="000000D2">
        <w:rPr>
          <w:rFonts w:ascii="Arial" w:hAnsi="Arial" w:cs="Arial"/>
        </w:rPr>
        <w:t xml:space="preserve">, 13(2), pp. 123–133. doi:10.1093/police/pax047. </w:t>
      </w:r>
    </w:p>
    <w:p w14:paraId="508C8646" w14:textId="77777777" w:rsidR="002A0207" w:rsidRDefault="002A0207" w:rsidP="002A0207">
      <w:pPr>
        <w:pStyle w:val="NormalWeb"/>
        <w:spacing w:line="480" w:lineRule="auto"/>
        <w:ind w:left="567" w:hanging="567"/>
        <w:rPr>
          <w:rFonts w:ascii="Arial" w:hAnsi="Arial" w:cs="Arial"/>
          <w:color w:val="000000" w:themeColor="text1"/>
          <w:sz w:val="22"/>
          <w:szCs w:val="22"/>
        </w:rPr>
      </w:pPr>
      <w:r w:rsidRPr="00403E0C">
        <w:rPr>
          <w:rFonts w:ascii="Arial" w:hAnsi="Arial" w:cs="Arial"/>
          <w:i/>
          <w:iCs/>
          <w:color w:val="000000" w:themeColor="text1"/>
          <w:sz w:val="22"/>
          <w:szCs w:val="22"/>
        </w:rPr>
        <w:t>Responding to hate crimes</w:t>
      </w:r>
      <w:r w:rsidRPr="00403E0C">
        <w:rPr>
          <w:rFonts w:ascii="Arial" w:hAnsi="Arial" w:cs="Arial"/>
          <w:color w:val="000000" w:themeColor="text1"/>
          <w:sz w:val="22"/>
          <w:szCs w:val="22"/>
        </w:rPr>
        <w:t xml:space="preserve"> (2023) </w:t>
      </w:r>
      <w:r w:rsidRPr="00403E0C">
        <w:rPr>
          <w:rFonts w:ascii="Arial" w:hAnsi="Arial" w:cs="Arial"/>
          <w:i/>
          <w:iCs/>
          <w:color w:val="000000" w:themeColor="text1"/>
          <w:sz w:val="22"/>
          <w:szCs w:val="22"/>
        </w:rPr>
        <w:t>College of Policing</w:t>
      </w:r>
      <w:r w:rsidRPr="00403E0C">
        <w:rPr>
          <w:rFonts w:ascii="Arial" w:hAnsi="Arial" w:cs="Arial"/>
          <w:color w:val="000000" w:themeColor="text1"/>
          <w:sz w:val="22"/>
          <w:szCs w:val="22"/>
        </w:rPr>
        <w:t xml:space="preserve">. Available at: https://www.college.police.uk/app/major-investigation-and-public-protection/hate-crime/responding-hate#recording-hate-crimes (Accessed: 20 May 2023). </w:t>
      </w:r>
    </w:p>
    <w:p w14:paraId="024FF7FA" w14:textId="4B253373" w:rsidR="00A36BF5" w:rsidRPr="004F15B2" w:rsidRDefault="00A36BF5" w:rsidP="004F15B2">
      <w:pPr>
        <w:pStyle w:val="NormalWeb"/>
        <w:ind w:left="567" w:hanging="567"/>
        <w:rPr>
          <w:rFonts w:ascii="Arial" w:hAnsi="Arial" w:cs="Arial"/>
        </w:rPr>
      </w:pPr>
      <w:r w:rsidRPr="00A36BF5">
        <w:rPr>
          <w:rFonts w:ascii="Arial" w:hAnsi="Arial" w:cs="Arial"/>
          <w:i/>
          <w:iCs/>
        </w:rPr>
        <w:lastRenderedPageBreak/>
        <w:t>Restraining order</w:t>
      </w:r>
      <w:r w:rsidRPr="00A36BF5">
        <w:rPr>
          <w:rFonts w:ascii="Arial" w:hAnsi="Arial" w:cs="Arial"/>
        </w:rPr>
        <w:t xml:space="preserve"> (</w:t>
      </w:r>
      <w:r w:rsidRPr="00A36BF5">
        <w:rPr>
          <w:rFonts w:ascii="Arial" w:hAnsi="Arial" w:cs="Arial"/>
        </w:rPr>
        <w:t>2023</w:t>
      </w:r>
      <w:r w:rsidRPr="00A36BF5">
        <w:rPr>
          <w:rFonts w:ascii="Arial" w:hAnsi="Arial" w:cs="Arial"/>
        </w:rPr>
        <w:t xml:space="preserve">) </w:t>
      </w:r>
      <w:r w:rsidRPr="00A36BF5">
        <w:rPr>
          <w:rFonts w:ascii="Arial" w:hAnsi="Arial" w:cs="Arial"/>
          <w:i/>
          <w:iCs/>
        </w:rPr>
        <w:t>Cambridge Dictionary</w:t>
      </w:r>
      <w:r w:rsidRPr="00A36BF5">
        <w:rPr>
          <w:rFonts w:ascii="Arial" w:hAnsi="Arial" w:cs="Arial"/>
        </w:rPr>
        <w:t xml:space="preserve">. Available at: https://dictionary.cambridge.org/dictionary/english/restraining-order (Accessed: 06 August 2023). </w:t>
      </w:r>
    </w:p>
    <w:p w14:paraId="79DB4265" w14:textId="6CA9F0EB" w:rsidR="004C3DCA" w:rsidRPr="004C3DCA" w:rsidRDefault="004C3DCA" w:rsidP="004C3DCA">
      <w:pPr>
        <w:pStyle w:val="NormalWeb"/>
        <w:spacing w:line="360" w:lineRule="auto"/>
        <w:ind w:left="567" w:hanging="567"/>
        <w:rPr>
          <w:rFonts w:ascii="Arial" w:hAnsi="Arial" w:cs="Arial"/>
        </w:rPr>
      </w:pPr>
      <w:proofErr w:type="spellStart"/>
      <w:r w:rsidRPr="000000D2">
        <w:rPr>
          <w:rFonts w:ascii="Arial" w:hAnsi="Arial" w:cs="Arial"/>
        </w:rPr>
        <w:t>Schaap</w:t>
      </w:r>
      <w:proofErr w:type="spellEnd"/>
      <w:r w:rsidRPr="000000D2">
        <w:rPr>
          <w:rFonts w:ascii="Arial" w:hAnsi="Arial" w:cs="Arial"/>
        </w:rPr>
        <w:t xml:space="preserve">, D. (2020) ‘Police trust-building strategies. A socio-institutional, comparative approach’, </w:t>
      </w:r>
      <w:r w:rsidRPr="000000D2">
        <w:rPr>
          <w:rFonts w:ascii="Arial" w:hAnsi="Arial" w:cs="Arial"/>
          <w:i/>
          <w:iCs/>
        </w:rPr>
        <w:t>Policing and Society</w:t>
      </w:r>
      <w:r w:rsidRPr="000000D2">
        <w:rPr>
          <w:rFonts w:ascii="Arial" w:hAnsi="Arial" w:cs="Arial"/>
        </w:rPr>
        <w:t xml:space="preserve">, 31(3), pp. 304–320. doi:10.1080/10439463.2020.1726345. </w:t>
      </w:r>
    </w:p>
    <w:p w14:paraId="3A081022" w14:textId="77777777" w:rsidR="002A0207" w:rsidRPr="00403E0C" w:rsidRDefault="002A0207" w:rsidP="002A0207">
      <w:pPr>
        <w:pStyle w:val="NormalWeb"/>
        <w:spacing w:line="480" w:lineRule="auto"/>
        <w:ind w:left="567" w:hanging="567"/>
        <w:rPr>
          <w:rFonts w:ascii="Arial" w:hAnsi="Arial" w:cs="Arial"/>
          <w:color w:val="000000" w:themeColor="text1"/>
          <w:sz w:val="22"/>
          <w:szCs w:val="22"/>
        </w:rPr>
      </w:pPr>
      <w:r w:rsidRPr="00403E0C">
        <w:rPr>
          <w:rFonts w:ascii="Arial" w:hAnsi="Arial" w:cs="Arial"/>
          <w:i/>
          <w:iCs/>
          <w:color w:val="000000" w:themeColor="text1"/>
          <w:sz w:val="22"/>
          <w:szCs w:val="22"/>
        </w:rPr>
        <w:t>Support to give your evidence - ‘special measures’</w:t>
      </w:r>
      <w:r w:rsidRPr="00403E0C">
        <w:rPr>
          <w:rFonts w:ascii="Arial" w:hAnsi="Arial" w:cs="Arial"/>
          <w:color w:val="000000" w:themeColor="text1"/>
          <w:sz w:val="22"/>
          <w:szCs w:val="22"/>
        </w:rPr>
        <w:t xml:space="preserve"> (2023) </w:t>
      </w:r>
      <w:r w:rsidRPr="00403E0C">
        <w:rPr>
          <w:rFonts w:ascii="Arial" w:hAnsi="Arial" w:cs="Arial"/>
          <w:i/>
          <w:iCs/>
          <w:color w:val="000000" w:themeColor="text1"/>
          <w:sz w:val="22"/>
          <w:szCs w:val="22"/>
        </w:rPr>
        <w:t>The Crown Prosecution Service</w:t>
      </w:r>
      <w:r w:rsidRPr="00403E0C">
        <w:rPr>
          <w:rFonts w:ascii="Arial" w:hAnsi="Arial" w:cs="Arial"/>
          <w:color w:val="000000" w:themeColor="text1"/>
          <w:sz w:val="22"/>
          <w:szCs w:val="22"/>
        </w:rPr>
        <w:t xml:space="preserve">. Available at: https://www.cps.gov.uk/support-give-your-evidence-special-measures (Accessed: 20 May 2023). </w:t>
      </w:r>
    </w:p>
    <w:p w14:paraId="625FC6FC" w14:textId="7E52F907" w:rsidR="002A0207" w:rsidRPr="00403E0C" w:rsidRDefault="002A0207" w:rsidP="000E24C5">
      <w:pPr>
        <w:spacing w:line="480" w:lineRule="auto"/>
        <w:rPr>
          <w:color w:val="000000" w:themeColor="text1"/>
          <w:sz w:val="22"/>
          <w:szCs w:val="22"/>
          <w:shd w:val="clear" w:color="auto" w:fill="FFFFFF"/>
        </w:rPr>
      </w:pPr>
      <w:r w:rsidRPr="00403E0C">
        <w:rPr>
          <w:color w:val="000000" w:themeColor="text1"/>
          <w:sz w:val="22"/>
          <w:szCs w:val="22"/>
        </w:rPr>
        <w:t xml:space="preserve">Weisburd, D., Farrington, D.P. and Gill, C. (2017) </w:t>
      </w:r>
      <w:r w:rsidRPr="00403E0C">
        <w:rPr>
          <w:i/>
          <w:iCs/>
          <w:color w:val="000000" w:themeColor="text1"/>
          <w:sz w:val="22"/>
          <w:szCs w:val="22"/>
        </w:rPr>
        <w:t xml:space="preserve">What works in crime prevention and </w:t>
      </w:r>
      <w:r w:rsidR="000E24C5">
        <w:rPr>
          <w:i/>
          <w:iCs/>
          <w:color w:val="000000" w:themeColor="text1"/>
          <w:sz w:val="22"/>
          <w:szCs w:val="22"/>
        </w:rPr>
        <w:t xml:space="preserve">         </w:t>
      </w:r>
      <w:r w:rsidRPr="00403E0C">
        <w:rPr>
          <w:i/>
          <w:iCs/>
          <w:color w:val="000000" w:themeColor="text1"/>
          <w:sz w:val="22"/>
          <w:szCs w:val="22"/>
        </w:rPr>
        <w:t>rehabilitation: Lessons from systematic reviews</w:t>
      </w:r>
      <w:r w:rsidRPr="00403E0C">
        <w:rPr>
          <w:color w:val="000000" w:themeColor="text1"/>
          <w:sz w:val="22"/>
          <w:szCs w:val="22"/>
        </w:rPr>
        <w:t xml:space="preserve">. New York: Springer. </w:t>
      </w:r>
      <w:r w:rsidRPr="00403E0C">
        <w:rPr>
          <w:color w:val="000000" w:themeColor="text1"/>
          <w:sz w:val="22"/>
          <w:szCs w:val="22"/>
          <w:shd w:val="clear" w:color="auto" w:fill="FFFFFF"/>
        </w:rPr>
        <w:t xml:space="preserve">Available from: ProQuest </w:t>
      </w:r>
      <w:proofErr w:type="spellStart"/>
      <w:r w:rsidRPr="00403E0C">
        <w:rPr>
          <w:color w:val="000000" w:themeColor="text1"/>
          <w:sz w:val="22"/>
          <w:szCs w:val="22"/>
          <w:shd w:val="clear" w:color="auto" w:fill="FFFFFF"/>
        </w:rPr>
        <w:t>Ebook</w:t>
      </w:r>
      <w:proofErr w:type="spellEnd"/>
      <w:r w:rsidRPr="00403E0C">
        <w:rPr>
          <w:color w:val="000000" w:themeColor="text1"/>
          <w:sz w:val="22"/>
          <w:szCs w:val="22"/>
          <w:shd w:val="clear" w:color="auto" w:fill="FFFFFF"/>
        </w:rPr>
        <w:t xml:space="preserve"> Central. [16 May 2023].</w:t>
      </w:r>
    </w:p>
    <w:p w14:paraId="0F619B33" w14:textId="77777777" w:rsidR="002A0207" w:rsidRPr="00403E0C" w:rsidRDefault="002A0207" w:rsidP="002A0207">
      <w:pPr>
        <w:pStyle w:val="NormalWeb"/>
        <w:spacing w:line="480" w:lineRule="auto"/>
        <w:ind w:left="567" w:hanging="567"/>
        <w:rPr>
          <w:rFonts w:ascii="Arial" w:hAnsi="Arial" w:cs="Arial"/>
          <w:color w:val="000000" w:themeColor="text1"/>
          <w:sz w:val="22"/>
          <w:szCs w:val="22"/>
        </w:rPr>
      </w:pPr>
      <w:r w:rsidRPr="00403E0C">
        <w:rPr>
          <w:rFonts w:ascii="Arial" w:hAnsi="Arial" w:cs="Arial"/>
          <w:i/>
          <w:iCs/>
          <w:color w:val="000000" w:themeColor="text1"/>
          <w:sz w:val="22"/>
          <w:szCs w:val="22"/>
        </w:rPr>
        <w:t>Working with victims and witnesses</w:t>
      </w:r>
      <w:r w:rsidRPr="00403E0C">
        <w:rPr>
          <w:rFonts w:ascii="Arial" w:hAnsi="Arial" w:cs="Arial"/>
          <w:color w:val="000000" w:themeColor="text1"/>
          <w:sz w:val="22"/>
          <w:szCs w:val="22"/>
        </w:rPr>
        <w:t xml:space="preserve"> (2023) </w:t>
      </w:r>
      <w:r w:rsidRPr="00403E0C">
        <w:rPr>
          <w:rFonts w:ascii="Arial" w:hAnsi="Arial" w:cs="Arial"/>
          <w:i/>
          <w:iCs/>
          <w:color w:val="000000" w:themeColor="text1"/>
          <w:sz w:val="22"/>
          <w:szCs w:val="22"/>
        </w:rPr>
        <w:t>College of Policing</w:t>
      </w:r>
      <w:r w:rsidRPr="00403E0C">
        <w:rPr>
          <w:rFonts w:ascii="Arial" w:hAnsi="Arial" w:cs="Arial"/>
          <w:color w:val="000000" w:themeColor="text1"/>
          <w:sz w:val="22"/>
          <w:szCs w:val="22"/>
        </w:rPr>
        <w:t xml:space="preserve">. Available at: https://www.college.police.uk/app/investigation/working-victims-and-witnesses#special-measures (Accessed: 20 May 2023). </w:t>
      </w:r>
    </w:p>
    <w:p w14:paraId="2E8BAB5A" w14:textId="77777777" w:rsidR="002A0207" w:rsidRDefault="002A0207" w:rsidP="002A0207">
      <w:pPr>
        <w:pStyle w:val="NormalWeb"/>
        <w:ind w:left="567" w:hanging="567"/>
      </w:pPr>
    </w:p>
    <w:p w14:paraId="3F395B89" w14:textId="77777777" w:rsidR="002A0207" w:rsidRPr="004A4203" w:rsidRDefault="002A0207" w:rsidP="002A0207">
      <w:pPr>
        <w:spacing w:line="480" w:lineRule="auto"/>
        <w:rPr>
          <w:sz w:val="22"/>
          <w:szCs w:val="22"/>
        </w:rPr>
      </w:pPr>
    </w:p>
    <w:p w14:paraId="4AAD4D5E" w14:textId="77777777" w:rsidR="002A0207" w:rsidRDefault="002A0207" w:rsidP="00EA28F1">
      <w:pPr>
        <w:keepNext/>
        <w:spacing w:before="240" w:after="60"/>
        <w:ind w:right="237"/>
        <w:jc w:val="both"/>
      </w:pPr>
    </w:p>
    <w:sectPr w:rsidR="002A020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09F26" w14:textId="77777777" w:rsidR="004D5AEE" w:rsidRDefault="004D5AEE">
      <w:r>
        <w:separator/>
      </w:r>
    </w:p>
  </w:endnote>
  <w:endnote w:type="continuationSeparator" w:id="0">
    <w:p w14:paraId="78586EBA" w14:textId="77777777" w:rsidR="004D5AEE" w:rsidRDefault="004D5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FE03C" w14:textId="77777777" w:rsidR="004D5AEE" w:rsidRDefault="004D5AEE">
      <w:r>
        <w:separator/>
      </w:r>
    </w:p>
  </w:footnote>
  <w:footnote w:type="continuationSeparator" w:id="0">
    <w:p w14:paraId="3A7053B2" w14:textId="77777777" w:rsidR="004D5AEE" w:rsidRDefault="004D5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0DEA" w14:textId="066280EE" w:rsidR="00B21440" w:rsidRDefault="00B21440">
    <w:pPr>
      <w:pStyle w:val="Header"/>
    </w:pPr>
    <w:r>
      <w:t>2124756</w:t>
    </w:r>
  </w:p>
  <w:p w14:paraId="7797C6E6" w14:textId="77777777" w:rsidR="00C35C25" w:rsidRDefault="00C35C25">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4A8E7C84"/>
    <w:lvl w:ilvl="0" w:tplc="3190AE88">
      <w:start w:val="1"/>
      <w:numFmt w:val="decimal"/>
      <w:lvlText w:val="%1."/>
      <w:lvlJc w:val="left"/>
      <w:pPr>
        <w:ind w:left="720" w:hanging="360"/>
      </w:pPr>
    </w:lvl>
    <w:lvl w:ilvl="1" w:tplc="0F72CABE">
      <w:start w:val="1"/>
      <w:numFmt w:val="lowerLetter"/>
      <w:lvlText w:val="%2."/>
      <w:lvlJc w:val="left"/>
      <w:pPr>
        <w:ind w:left="1440" w:hanging="360"/>
      </w:pPr>
    </w:lvl>
    <w:lvl w:ilvl="2" w:tplc="4F7000AE">
      <w:start w:val="1"/>
      <w:numFmt w:val="lowerRoman"/>
      <w:lvlText w:val="%3."/>
      <w:lvlJc w:val="right"/>
      <w:pPr>
        <w:ind w:left="2160" w:hanging="180"/>
      </w:pPr>
    </w:lvl>
    <w:lvl w:ilvl="3" w:tplc="903CB70A">
      <w:start w:val="1"/>
      <w:numFmt w:val="decimal"/>
      <w:lvlText w:val="%4."/>
      <w:lvlJc w:val="left"/>
      <w:pPr>
        <w:ind w:left="2880" w:hanging="360"/>
      </w:pPr>
    </w:lvl>
    <w:lvl w:ilvl="4" w:tplc="90C66360">
      <w:start w:val="1"/>
      <w:numFmt w:val="lowerLetter"/>
      <w:lvlText w:val="%5."/>
      <w:lvlJc w:val="left"/>
      <w:pPr>
        <w:ind w:left="3600" w:hanging="360"/>
      </w:pPr>
    </w:lvl>
    <w:lvl w:ilvl="5" w:tplc="DA2ED772">
      <w:start w:val="1"/>
      <w:numFmt w:val="lowerRoman"/>
      <w:lvlText w:val="%6."/>
      <w:lvlJc w:val="right"/>
      <w:pPr>
        <w:ind w:left="4320" w:hanging="180"/>
      </w:pPr>
    </w:lvl>
    <w:lvl w:ilvl="6" w:tplc="A8EC020C">
      <w:start w:val="1"/>
      <w:numFmt w:val="decimal"/>
      <w:lvlText w:val="%7."/>
      <w:lvlJc w:val="left"/>
      <w:pPr>
        <w:ind w:left="5040" w:hanging="360"/>
      </w:pPr>
    </w:lvl>
    <w:lvl w:ilvl="7" w:tplc="FDF0AB5A">
      <w:start w:val="1"/>
      <w:numFmt w:val="lowerLetter"/>
      <w:lvlText w:val="%8."/>
      <w:lvlJc w:val="left"/>
      <w:pPr>
        <w:ind w:left="5760" w:hanging="360"/>
      </w:pPr>
    </w:lvl>
    <w:lvl w:ilvl="8" w:tplc="36E456A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E0D863AC"/>
    <w:lvl w:ilvl="0" w:tplc="22D6B88E">
      <w:start w:val="1"/>
      <w:numFmt w:val="decimal"/>
      <w:lvlText w:val="%1."/>
      <w:lvlJc w:val="left"/>
      <w:pPr>
        <w:ind w:left="720" w:hanging="360"/>
      </w:pPr>
    </w:lvl>
    <w:lvl w:ilvl="1" w:tplc="B80C51E4">
      <w:start w:val="1"/>
      <w:numFmt w:val="decimal"/>
      <w:lvlText w:val="%2."/>
      <w:lvlJc w:val="left"/>
      <w:pPr>
        <w:ind w:left="1440" w:hanging="360"/>
      </w:pPr>
    </w:lvl>
    <w:lvl w:ilvl="2" w:tplc="EC3E8A86">
      <w:start w:val="1"/>
      <w:numFmt w:val="lowerRoman"/>
      <w:lvlText w:val="%3."/>
      <w:lvlJc w:val="right"/>
      <w:pPr>
        <w:ind w:left="2160" w:hanging="180"/>
      </w:pPr>
    </w:lvl>
    <w:lvl w:ilvl="3" w:tplc="DFBE1240">
      <w:start w:val="1"/>
      <w:numFmt w:val="decimal"/>
      <w:lvlText w:val="%4."/>
      <w:lvlJc w:val="left"/>
      <w:pPr>
        <w:ind w:left="2880" w:hanging="360"/>
      </w:pPr>
    </w:lvl>
    <w:lvl w:ilvl="4" w:tplc="784A2646">
      <w:start w:val="1"/>
      <w:numFmt w:val="lowerLetter"/>
      <w:lvlText w:val="%5."/>
      <w:lvlJc w:val="left"/>
      <w:pPr>
        <w:ind w:left="3600" w:hanging="360"/>
      </w:pPr>
    </w:lvl>
    <w:lvl w:ilvl="5" w:tplc="C292E7F8">
      <w:start w:val="1"/>
      <w:numFmt w:val="lowerRoman"/>
      <w:lvlText w:val="%6."/>
      <w:lvlJc w:val="right"/>
      <w:pPr>
        <w:ind w:left="4320" w:hanging="180"/>
      </w:pPr>
    </w:lvl>
    <w:lvl w:ilvl="6" w:tplc="97CCF3F6">
      <w:start w:val="1"/>
      <w:numFmt w:val="decimal"/>
      <w:lvlText w:val="%7."/>
      <w:lvlJc w:val="left"/>
      <w:pPr>
        <w:ind w:left="5040" w:hanging="360"/>
      </w:pPr>
    </w:lvl>
    <w:lvl w:ilvl="7" w:tplc="C6D4258A">
      <w:start w:val="1"/>
      <w:numFmt w:val="lowerLetter"/>
      <w:lvlText w:val="%8."/>
      <w:lvlJc w:val="left"/>
      <w:pPr>
        <w:ind w:left="5760" w:hanging="360"/>
      </w:pPr>
    </w:lvl>
    <w:lvl w:ilvl="8" w:tplc="9474C34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1595688">
    <w:abstractNumId w:val="47"/>
  </w:num>
  <w:num w:numId="2" w16cid:durableId="397748641">
    <w:abstractNumId w:val="10"/>
  </w:num>
  <w:num w:numId="3" w16cid:durableId="321010299">
    <w:abstractNumId w:val="1"/>
    <w:lvlOverride w:ilvl="0">
      <w:lvl w:ilvl="0">
        <w:start w:val="1"/>
        <w:numFmt w:val="bullet"/>
        <w:lvlText w:val=""/>
        <w:lvlJc w:val="left"/>
        <w:pPr>
          <w:ind w:left="720" w:hanging="360"/>
        </w:pPr>
        <w:rPr>
          <w:rFonts w:ascii="Symbol" w:hAnsi="Symbol" w:hint="default"/>
        </w:rPr>
      </w:lvl>
    </w:lvlOverride>
  </w:num>
  <w:num w:numId="4" w16cid:durableId="468475995">
    <w:abstractNumId w:val="22"/>
  </w:num>
  <w:num w:numId="5" w16cid:durableId="1988826831">
    <w:abstractNumId w:val="44"/>
  </w:num>
  <w:num w:numId="6" w16cid:durableId="168837610">
    <w:abstractNumId w:val="46"/>
  </w:num>
  <w:num w:numId="7" w16cid:durableId="431047314">
    <w:abstractNumId w:val="34"/>
  </w:num>
  <w:num w:numId="8" w16cid:durableId="2082486636">
    <w:abstractNumId w:val="32"/>
  </w:num>
  <w:num w:numId="9" w16cid:durableId="867521106">
    <w:abstractNumId w:val="29"/>
  </w:num>
  <w:num w:numId="10" w16cid:durableId="773866818">
    <w:abstractNumId w:val="30"/>
  </w:num>
  <w:num w:numId="11" w16cid:durableId="69736360">
    <w:abstractNumId w:val="9"/>
  </w:num>
  <w:num w:numId="12" w16cid:durableId="750541760">
    <w:abstractNumId w:val="33"/>
  </w:num>
  <w:num w:numId="13" w16cid:durableId="1371373029">
    <w:abstractNumId w:val="17"/>
  </w:num>
  <w:num w:numId="14" w16cid:durableId="1726566024">
    <w:abstractNumId w:val="16"/>
  </w:num>
  <w:num w:numId="15" w16cid:durableId="310912728">
    <w:abstractNumId w:val="26"/>
  </w:num>
  <w:num w:numId="16" w16cid:durableId="1258715117">
    <w:abstractNumId w:val="7"/>
  </w:num>
  <w:num w:numId="17" w16cid:durableId="2135319630">
    <w:abstractNumId w:val="25"/>
  </w:num>
  <w:num w:numId="18" w16cid:durableId="2084601061">
    <w:abstractNumId w:val="15"/>
  </w:num>
  <w:num w:numId="19" w16cid:durableId="1390956294">
    <w:abstractNumId w:val="13"/>
  </w:num>
  <w:num w:numId="20" w16cid:durableId="15228632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1187525">
    <w:abstractNumId w:val="23"/>
  </w:num>
  <w:num w:numId="22" w16cid:durableId="2139882458">
    <w:abstractNumId w:val="18"/>
  </w:num>
  <w:num w:numId="23" w16cid:durableId="346296605">
    <w:abstractNumId w:val="14"/>
  </w:num>
  <w:num w:numId="24" w16cid:durableId="960914161">
    <w:abstractNumId w:val="11"/>
  </w:num>
  <w:num w:numId="25" w16cid:durableId="365834489">
    <w:abstractNumId w:val="27"/>
  </w:num>
  <w:num w:numId="26" w16cid:durableId="360278932">
    <w:abstractNumId w:val="19"/>
  </w:num>
  <w:num w:numId="27" w16cid:durableId="1796751422">
    <w:abstractNumId w:val="40"/>
  </w:num>
  <w:num w:numId="28" w16cid:durableId="1973173135">
    <w:abstractNumId w:val="35"/>
  </w:num>
  <w:num w:numId="29" w16cid:durableId="1297879389">
    <w:abstractNumId w:val="39"/>
  </w:num>
  <w:num w:numId="30" w16cid:durableId="501896485">
    <w:abstractNumId w:val="20"/>
  </w:num>
  <w:num w:numId="31" w16cid:durableId="771978570">
    <w:abstractNumId w:val="42"/>
  </w:num>
  <w:num w:numId="32" w16cid:durableId="1693647842">
    <w:abstractNumId w:val="31"/>
  </w:num>
  <w:num w:numId="33" w16cid:durableId="975987408">
    <w:abstractNumId w:val="12"/>
  </w:num>
  <w:num w:numId="34" w16cid:durableId="282662926">
    <w:abstractNumId w:val="43"/>
  </w:num>
  <w:num w:numId="35" w16cid:durableId="638923368">
    <w:abstractNumId w:val="38"/>
  </w:num>
  <w:num w:numId="36" w16cid:durableId="1765832479">
    <w:abstractNumId w:val="4"/>
  </w:num>
  <w:num w:numId="37" w16cid:durableId="441219796">
    <w:abstractNumId w:val="45"/>
  </w:num>
  <w:num w:numId="38" w16cid:durableId="314918383">
    <w:abstractNumId w:val="41"/>
  </w:num>
  <w:num w:numId="39" w16cid:durableId="4209637">
    <w:abstractNumId w:val="36"/>
  </w:num>
  <w:num w:numId="40" w16cid:durableId="2047639028">
    <w:abstractNumId w:val="37"/>
  </w:num>
  <w:num w:numId="41" w16cid:durableId="504169102">
    <w:abstractNumId w:val="3"/>
  </w:num>
  <w:num w:numId="42" w16cid:durableId="884098730">
    <w:abstractNumId w:val="5"/>
  </w:num>
  <w:num w:numId="43" w16cid:durableId="219904846">
    <w:abstractNumId w:val="24"/>
  </w:num>
  <w:num w:numId="44" w16cid:durableId="1302534512">
    <w:abstractNumId w:val="6"/>
  </w:num>
  <w:num w:numId="45" w16cid:durableId="942881172">
    <w:abstractNumId w:val="2"/>
  </w:num>
  <w:num w:numId="46" w16cid:durableId="1678843169">
    <w:abstractNumId w:val="0"/>
  </w:num>
  <w:num w:numId="47" w16cid:durableId="2009288763">
    <w:abstractNumId w:val="21"/>
  </w:num>
  <w:num w:numId="48" w16cid:durableId="1315796844">
    <w:abstractNumId w:val="28"/>
  </w:num>
  <w:num w:numId="49" w16cid:durableId="26688970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3E6"/>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4C5"/>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625"/>
    <w:rsid w:val="001A79C4"/>
    <w:rsid w:val="001B331A"/>
    <w:rsid w:val="001B3CCD"/>
    <w:rsid w:val="001C0E74"/>
    <w:rsid w:val="001C6AC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0207"/>
    <w:rsid w:val="002A291A"/>
    <w:rsid w:val="002A5604"/>
    <w:rsid w:val="002B1701"/>
    <w:rsid w:val="002B23C3"/>
    <w:rsid w:val="002B443A"/>
    <w:rsid w:val="002B5B35"/>
    <w:rsid w:val="002C256A"/>
    <w:rsid w:val="002C496D"/>
    <w:rsid w:val="002D05EB"/>
    <w:rsid w:val="002D2F29"/>
    <w:rsid w:val="002D2FD3"/>
    <w:rsid w:val="002D5857"/>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639C"/>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0E50"/>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3DCA"/>
    <w:rsid w:val="004D03C4"/>
    <w:rsid w:val="004D0BF1"/>
    <w:rsid w:val="004D24D2"/>
    <w:rsid w:val="004D2C9E"/>
    <w:rsid w:val="004D35A4"/>
    <w:rsid w:val="004D445F"/>
    <w:rsid w:val="004D5AEE"/>
    <w:rsid w:val="004E087B"/>
    <w:rsid w:val="004E44A4"/>
    <w:rsid w:val="004E7B8B"/>
    <w:rsid w:val="004E7BDD"/>
    <w:rsid w:val="004F15B2"/>
    <w:rsid w:val="004F1E21"/>
    <w:rsid w:val="004F740D"/>
    <w:rsid w:val="004F7B8F"/>
    <w:rsid w:val="00500748"/>
    <w:rsid w:val="005011D6"/>
    <w:rsid w:val="0050167A"/>
    <w:rsid w:val="005042F1"/>
    <w:rsid w:val="00505D7F"/>
    <w:rsid w:val="00510D6A"/>
    <w:rsid w:val="00513C7D"/>
    <w:rsid w:val="005169D1"/>
    <w:rsid w:val="00521123"/>
    <w:rsid w:val="00521221"/>
    <w:rsid w:val="00532599"/>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318B"/>
    <w:rsid w:val="005B432E"/>
    <w:rsid w:val="005C1567"/>
    <w:rsid w:val="005C6CE5"/>
    <w:rsid w:val="005C76DE"/>
    <w:rsid w:val="005D3F07"/>
    <w:rsid w:val="005D583E"/>
    <w:rsid w:val="005E13EA"/>
    <w:rsid w:val="005E2049"/>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1CD0"/>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0624"/>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5937"/>
    <w:rsid w:val="00926436"/>
    <w:rsid w:val="0093018C"/>
    <w:rsid w:val="00932CCA"/>
    <w:rsid w:val="00943FCB"/>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5650"/>
    <w:rsid w:val="009D7BC9"/>
    <w:rsid w:val="009E0C5A"/>
    <w:rsid w:val="009E1982"/>
    <w:rsid w:val="009E4D2C"/>
    <w:rsid w:val="009F0978"/>
    <w:rsid w:val="009F3AEC"/>
    <w:rsid w:val="00A00081"/>
    <w:rsid w:val="00A015F7"/>
    <w:rsid w:val="00A10D56"/>
    <w:rsid w:val="00A12AAE"/>
    <w:rsid w:val="00A1571D"/>
    <w:rsid w:val="00A16DD1"/>
    <w:rsid w:val="00A221AB"/>
    <w:rsid w:val="00A22441"/>
    <w:rsid w:val="00A23F3B"/>
    <w:rsid w:val="00A24406"/>
    <w:rsid w:val="00A25F64"/>
    <w:rsid w:val="00A27CC2"/>
    <w:rsid w:val="00A3273B"/>
    <w:rsid w:val="00A36BF5"/>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0079"/>
    <w:rsid w:val="00B12295"/>
    <w:rsid w:val="00B137BE"/>
    <w:rsid w:val="00B17FA0"/>
    <w:rsid w:val="00B21440"/>
    <w:rsid w:val="00B24344"/>
    <w:rsid w:val="00B26769"/>
    <w:rsid w:val="00B31C91"/>
    <w:rsid w:val="00B3747F"/>
    <w:rsid w:val="00B43194"/>
    <w:rsid w:val="00B47734"/>
    <w:rsid w:val="00B50FBA"/>
    <w:rsid w:val="00B558EB"/>
    <w:rsid w:val="00B577D3"/>
    <w:rsid w:val="00B60466"/>
    <w:rsid w:val="00B64555"/>
    <w:rsid w:val="00B6548F"/>
    <w:rsid w:val="00B738EA"/>
    <w:rsid w:val="00B7502A"/>
    <w:rsid w:val="00B77305"/>
    <w:rsid w:val="00B81729"/>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6804"/>
    <w:rsid w:val="00BD6C86"/>
    <w:rsid w:val="00BE0F7B"/>
    <w:rsid w:val="00BE10C2"/>
    <w:rsid w:val="00C002F7"/>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5C25"/>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4DE2"/>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55FC"/>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20E7"/>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3D69"/>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2A02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erChar">
    <w:name w:val="Header Char"/>
    <w:basedOn w:val="DefaultParagraphFont"/>
    <w:link w:val="Header"/>
    <w:uiPriority w:val="99"/>
    <w:rsid w:val="00B21440"/>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18441380">
      <w:bodyDiv w:val="1"/>
      <w:marLeft w:val="0"/>
      <w:marRight w:val="0"/>
      <w:marTop w:val="0"/>
      <w:marBottom w:val="0"/>
      <w:divBdr>
        <w:top w:val="none" w:sz="0" w:space="0" w:color="auto"/>
        <w:left w:val="none" w:sz="0" w:space="0" w:color="auto"/>
        <w:bottom w:val="none" w:sz="0" w:space="0" w:color="auto"/>
        <w:right w:val="none" w:sz="0" w:space="0" w:color="auto"/>
      </w:divBdr>
    </w:div>
    <w:div w:id="459496465">
      <w:bodyDiv w:val="1"/>
      <w:marLeft w:val="0"/>
      <w:marRight w:val="0"/>
      <w:marTop w:val="0"/>
      <w:marBottom w:val="0"/>
      <w:divBdr>
        <w:top w:val="none" w:sz="0" w:space="0" w:color="auto"/>
        <w:left w:val="none" w:sz="0" w:space="0" w:color="auto"/>
        <w:bottom w:val="none" w:sz="0" w:space="0" w:color="auto"/>
        <w:right w:val="none" w:sz="0" w:space="0" w:color="auto"/>
      </w:divBdr>
    </w:div>
    <w:div w:id="486016726">
      <w:bodyDiv w:val="1"/>
      <w:marLeft w:val="0"/>
      <w:marRight w:val="0"/>
      <w:marTop w:val="0"/>
      <w:marBottom w:val="0"/>
      <w:divBdr>
        <w:top w:val="none" w:sz="0" w:space="0" w:color="auto"/>
        <w:left w:val="none" w:sz="0" w:space="0" w:color="auto"/>
        <w:bottom w:val="none" w:sz="0" w:space="0" w:color="auto"/>
        <w:right w:val="none" w:sz="0" w:space="0" w:color="auto"/>
      </w:divBdr>
    </w:div>
    <w:div w:id="1071393887">
      <w:bodyDiv w:val="1"/>
      <w:marLeft w:val="0"/>
      <w:marRight w:val="0"/>
      <w:marTop w:val="0"/>
      <w:marBottom w:val="0"/>
      <w:divBdr>
        <w:top w:val="none" w:sz="0" w:space="0" w:color="auto"/>
        <w:left w:val="none" w:sz="0" w:space="0" w:color="auto"/>
        <w:bottom w:val="none" w:sz="0" w:space="0" w:color="auto"/>
        <w:right w:val="none" w:sz="0" w:space="0" w:color="auto"/>
      </w:divBdr>
    </w:div>
    <w:div w:id="108445246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9" ma:contentTypeDescription="Create a new document." ma:contentTypeScope="" ma:versionID="764be24950050fff294f611bb4fb407b">
  <xsd:schema xmlns:xsd="http://www.w3.org/2001/XMLSchema" xmlns:xs="http://www.w3.org/2001/XMLSchema" xmlns:p="http://schemas.microsoft.com/office/2006/metadata/properties" xmlns:ns3="28abf181-7363-47b1-81a7-ad2dd1301635" targetNamespace="http://schemas.microsoft.com/office/2006/metadata/properties" ma:root="true" ma:fieldsID="8187bf061517513b34f236e4fe51185e"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6652AE64-CB01-4E0C-960C-7087A6D51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6197</Words>
  <Characters>35324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Humphreys</cp:lastModifiedBy>
  <cp:revision>2</cp:revision>
  <cp:lastPrinted>2014-08-26T08:55:00Z</cp:lastPrinted>
  <dcterms:created xsi:type="dcterms:W3CDTF">2023-08-06T15:04:00Z</dcterms:created>
  <dcterms:modified xsi:type="dcterms:W3CDTF">2023-08-06T15:04:00Z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2023-02-21T12:37:06Z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c215eac7-bb26-4dcc-86cc-ae2f8649b0df</vt:lpwstr>
  </property>
  <property fmtid="{D5CDD505-2E9C-101B-9397-08002B2CF9AE}" pid="9" name="MSIP_Label_66cf8fe5-b7b7-4df7-b38d-1c61ac2f6639_ContentBits">
    <vt:lpwstr>0</vt:lpwstr>
  </property>
</Properties>
</file>