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6B6AD28" w14:textId="77777777" w:rsidR="009F56B7" w:rsidRPr="00CE2B0C" w:rsidRDefault="009F56B7" w:rsidP="009F56B7">
      <w:pPr>
        <w:spacing w:line="360" w:lineRule="auto"/>
        <w:jc w:val="center"/>
        <w:rPr>
          <w:lang w:val="en-GB"/>
        </w:rPr>
      </w:pPr>
      <w:r w:rsidRPr="00CE2B0C">
        <w:rPr>
          <w:noProof/>
          <w:lang w:val="en-GB" w:eastAsia="en-GB"/>
        </w:rPr>
        <w:drawing>
          <wp:inline distT="0" distB="0" distL="0" distR="0" wp14:anchorId="009538EF" wp14:editId="77B5D09C">
            <wp:extent cx="3521491" cy="1461331"/>
            <wp:effectExtent l="0" t="0" r="3175" b="5715"/>
            <wp:docPr id="16" name="Picture 16"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1931" cy="1461514"/>
                    </a:xfrm>
                    <a:prstGeom prst="rect">
                      <a:avLst/>
                    </a:prstGeom>
                    <a:noFill/>
                    <a:ln>
                      <a:noFill/>
                    </a:ln>
                  </pic:spPr>
                </pic:pic>
              </a:graphicData>
            </a:graphic>
          </wp:inline>
        </w:drawing>
      </w:r>
    </w:p>
    <w:p w14:paraId="791DA022" w14:textId="77777777" w:rsidR="009F56B7" w:rsidRPr="00CE2B0C" w:rsidRDefault="009F56B7" w:rsidP="009F56B7">
      <w:pPr>
        <w:spacing w:line="360" w:lineRule="auto"/>
        <w:jc w:val="center"/>
        <w:rPr>
          <w:rFonts w:ascii="Arial" w:hAnsi="Arial" w:cs="Arial"/>
          <w:b/>
          <w:sz w:val="28"/>
          <w:szCs w:val="36"/>
          <w:lang w:val="en-GB"/>
        </w:rPr>
      </w:pPr>
      <w:r w:rsidRPr="00CE2B0C">
        <w:rPr>
          <w:rFonts w:ascii="Arial" w:hAnsi="Arial" w:cs="Arial"/>
          <w:b/>
          <w:sz w:val="28"/>
          <w:szCs w:val="36"/>
          <w:lang w:val="en-GB"/>
        </w:rPr>
        <w:t>Master of Business Administration</w:t>
      </w:r>
    </w:p>
    <w:p w14:paraId="53524890" w14:textId="77777777" w:rsidR="009F56B7" w:rsidRPr="00CE2B0C" w:rsidRDefault="009F56B7" w:rsidP="002D1B85">
      <w:pPr>
        <w:spacing w:line="360" w:lineRule="auto"/>
        <w:ind w:left="360"/>
        <w:rPr>
          <w:rFonts w:ascii="Arial" w:hAnsi="Arial" w:cs="Arial"/>
          <w:b/>
          <w:bCs/>
          <w:lang w:val="en-GB"/>
        </w:rPr>
      </w:pPr>
    </w:p>
    <w:p w14:paraId="59F7D7F5" w14:textId="1510DBD3" w:rsidR="00137DBB" w:rsidRPr="00CE2B0C" w:rsidRDefault="00137DBB" w:rsidP="009F56B7">
      <w:pPr>
        <w:spacing w:line="360" w:lineRule="auto"/>
        <w:ind w:left="360"/>
        <w:jc w:val="center"/>
        <w:rPr>
          <w:rFonts w:ascii="Arial" w:hAnsi="Arial" w:cs="Arial"/>
          <w:sz w:val="28"/>
          <w:lang w:val="en-GB"/>
        </w:rPr>
      </w:pPr>
      <w:r w:rsidRPr="00CE2B0C">
        <w:rPr>
          <w:rFonts w:ascii="Arial" w:hAnsi="Arial" w:cs="Arial"/>
          <w:b/>
          <w:bCs/>
          <w:sz w:val="28"/>
          <w:lang w:val="en-GB"/>
        </w:rPr>
        <w:t>Module:</w:t>
      </w:r>
      <w:r w:rsidRPr="00CE2B0C">
        <w:rPr>
          <w:rFonts w:ascii="Arial" w:hAnsi="Arial" w:cs="Arial"/>
          <w:sz w:val="28"/>
          <w:lang w:val="en-GB"/>
        </w:rPr>
        <w:t xml:space="preserve"> Financial Management</w:t>
      </w:r>
    </w:p>
    <w:p w14:paraId="1424B690" w14:textId="42CDE2ED" w:rsidR="00137DBB" w:rsidRPr="00CE2B0C" w:rsidRDefault="00137DBB" w:rsidP="009F56B7">
      <w:pPr>
        <w:spacing w:line="360" w:lineRule="auto"/>
        <w:ind w:left="360"/>
        <w:jc w:val="center"/>
        <w:rPr>
          <w:rFonts w:ascii="Arial" w:hAnsi="Arial" w:cs="Arial"/>
          <w:sz w:val="28"/>
          <w:lang w:val="en-GB"/>
        </w:rPr>
      </w:pPr>
      <w:r w:rsidRPr="00CE2B0C">
        <w:rPr>
          <w:rFonts w:ascii="Arial" w:hAnsi="Arial" w:cs="Arial"/>
          <w:b/>
          <w:bCs/>
          <w:sz w:val="28"/>
          <w:lang w:val="en-GB"/>
        </w:rPr>
        <w:t>Module code:</w:t>
      </w:r>
      <w:r w:rsidRPr="00CE2B0C">
        <w:rPr>
          <w:rFonts w:ascii="Arial" w:hAnsi="Arial" w:cs="Arial"/>
          <w:sz w:val="28"/>
          <w:lang w:val="en-GB"/>
        </w:rPr>
        <w:t xml:space="preserve"> LCMB7002</w:t>
      </w:r>
    </w:p>
    <w:p w14:paraId="5F7C5CA5" w14:textId="6F877D8E" w:rsidR="00137DBB" w:rsidRPr="00CE2B0C" w:rsidRDefault="00137DBB" w:rsidP="009F56B7">
      <w:pPr>
        <w:spacing w:line="360" w:lineRule="auto"/>
        <w:ind w:left="360"/>
        <w:jc w:val="center"/>
        <w:rPr>
          <w:rFonts w:ascii="Arial" w:hAnsi="Arial" w:cs="Arial"/>
          <w:sz w:val="28"/>
          <w:lang w:val="en-GB"/>
        </w:rPr>
      </w:pPr>
      <w:r w:rsidRPr="00CE2B0C">
        <w:rPr>
          <w:rFonts w:ascii="Arial" w:hAnsi="Arial" w:cs="Arial"/>
          <w:b/>
          <w:bCs/>
          <w:sz w:val="28"/>
          <w:lang w:val="en-GB"/>
        </w:rPr>
        <w:t>Assessment title:</w:t>
      </w:r>
      <w:r w:rsidRPr="00CE2B0C">
        <w:rPr>
          <w:rFonts w:ascii="Arial" w:hAnsi="Arial" w:cs="Arial"/>
          <w:sz w:val="28"/>
          <w:lang w:val="en-GB"/>
        </w:rPr>
        <w:t xml:space="preserve"> Financial Performance and Management</w:t>
      </w:r>
    </w:p>
    <w:p w14:paraId="40FB17D5" w14:textId="3BE89A29" w:rsidR="00137DBB" w:rsidRPr="00CE2B0C" w:rsidRDefault="00137DBB" w:rsidP="009F56B7">
      <w:pPr>
        <w:spacing w:line="360" w:lineRule="auto"/>
        <w:ind w:left="360"/>
        <w:jc w:val="center"/>
        <w:rPr>
          <w:rFonts w:ascii="Arial" w:hAnsi="Arial" w:cs="Arial"/>
          <w:sz w:val="28"/>
          <w:lang w:val="en-GB"/>
        </w:rPr>
      </w:pPr>
      <w:r w:rsidRPr="00CE2B0C">
        <w:rPr>
          <w:rFonts w:ascii="Arial" w:hAnsi="Arial" w:cs="Arial"/>
          <w:b/>
          <w:bCs/>
          <w:sz w:val="28"/>
          <w:lang w:val="en-GB"/>
        </w:rPr>
        <w:t>Report title</w:t>
      </w:r>
      <w:r w:rsidRPr="00CE2B0C">
        <w:rPr>
          <w:rFonts w:ascii="Arial" w:hAnsi="Arial" w:cs="Arial"/>
          <w:sz w:val="28"/>
          <w:lang w:val="en-GB"/>
        </w:rPr>
        <w:t>: Strategic CFO Challenge: Financial Performance Analysis and Financial Strategy of Volkswagen Group</w:t>
      </w:r>
    </w:p>
    <w:p w14:paraId="04944C34" w14:textId="77777777" w:rsidR="009F56B7" w:rsidRPr="00CE2B0C" w:rsidRDefault="009F56B7" w:rsidP="009F56B7">
      <w:pPr>
        <w:spacing w:line="360" w:lineRule="auto"/>
        <w:ind w:left="360"/>
        <w:jc w:val="center"/>
        <w:rPr>
          <w:rFonts w:ascii="Arial" w:hAnsi="Arial" w:cs="Arial"/>
          <w:sz w:val="28"/>
          <w:lang w:val="en-GB"/>
        </w:rPr>
      </w:pPr>
    </w:p>
    <w:p w14:paraId="7BCE23D0" w14:textId="0CDA84C4" w:rsidR="00137DBB" w:rsidRPr="00CE2B0C" w:rsidRDefault="009F56B7" w:rsidP="000E5121">
      <w:pPr>
        <w:spacing w:line="360" w:lineRule="auto"/>
        <w:ind w:left="360"/>
        <w:jc w:val="center"/>
        <w:rPr>
          <w:rFonts w:ascii="Arial" w:hAnsi="Arial" w:cs="Arial"/>
          <w:bCs/>
          <w:sz w:val="28"/>
          <w:lang w:val="en-GB"/>
        </w:rPr>
      </w:pPr>
      <w:r w:rsidRPr="00CE2B0C">
        <w:rPr>
          <w:rFonts w:ascii="Arial" w:hAnsi="Arial" w:cs="Arial"/>
          <w:b/>
          <w:bCs/>
          <w:sz w:val="28"/>
          <w:lang w:val="en-GB"/>
        </w:rPr>
        <w:t>Lecturer N</w:t>
      </w:r>
      <w:r w:rsidR="00137DBB" w:rsidRPr="00CE2B0C">
        <w:rPr>
          <w:rFonts w:ascii="Arial" w:hAnsi="Arial" w:cs="Arial"/>
          <w:b/>
          <w:bCs/>
          <w:sz w:val="28"/>
          <w:lang w:val="en-GB"/>
        </w:rPr>
        <w:t>ame</w:t>
      </w:r>
      <w:r w:rsidR="00D00DE4" w:rsidRPr="00CE2B0C">
        <w:rPr>
          <w:rFonts w:ascii="Arial" w:hAnsi="Arial" w:cs="Arial"/>
          <w:b/>
          <w:bCs/>
          <w:sz w:val="28"/>
          <w:lang w:val="en-GB"/>
        </w:rPr>
        <w:t>:</w:t>
      </w:r>
      <w:r w:rsidR="000E5121" w:rsidRPr="00CE2B0C">
        <w:rPr>
          <w:rFonts w:ascii="Arial" w:hAnsi="Arial" w:cs="Arial"/>
          <w:lang w:val="en-GB"/>
        </w:rPr>
        <w:t xml:space="preserve"> </w:t>
      </w:r>
      <w:proofErr w:type="spellStart"/>
      <w:r w:rsidR="000E5121" w:rsidRPr="00CE2B0C">
        <w:rPr>
          <w:rFonts w:ascii="Arial" w:hAnsi="Arial" w:cs="Arial"/>
          <w:bCs/>
          <w:sz w:val="28"/>
          <w:lang w:val="en-GB"/>
        </w:rPr>
        <w:t>Shengfeng</w:t>
      </w:r>
      <w:proofErr w:type="spellEnd"/>
      <w:r w:rsidR="000E5121" w:rsidRPr="00CE2B0C">
        <w:rPr>
          <w:rFonts w:ascii="Arial" w:hAnsi="Arial" w:cs="Arial"/>
          <w:bCs/>
          <w:sz w:val="28"/>
          <w:lang w:val="en-GB"/>
        </w:rPr>
        <w:t xml:space="preserve"> Mei, Patrick </w:t>
      </w:r>
      <w:proofErr w:type="spellStart"/>
      <w:r w:rsidR="000E5121" w:rsidRPr="00CE2B0C">
        <w:rPr>
          <w:rFonts w:ascii="Arial" w:hAnsi="Arial" w:cs="Arial"/>
          <w:bCs/>
          <w:sz w:val="28"/>
          <w:lang w:val="en-GB"/>
        </w:rPr>
        <w:t>Yeboah</w:t>
      </w:r>
      <w:proofErr w:type="spellEnd"/>
    </w:p>
    <w:p w14:paraId="46E8C182" w14:textId="0D20A546" w:rsidR="009F56B7" w:rsidRPr="00CE2B0C" w:rsidRDefault="009F56B7" w:rsidP="009F56B7">
      <w:pPr>
        <w:spacing w:line="360" w:lineRule="auto"/>
        <w:ind w:left="360"/>
        <w:jc w:val="center"/>
        <w:rPr>
          <w:rFonts w:ascii="Arial" w:hAnsi="Arial" w:cs="Arial"/>
          <w:bCs/>
          <w:sz w:val="28"/>
          <w:lang w:val="en-GB"/>
        </w:rPr>
      </w:pPr>
      <w:r w:rsidRPr="00CE2B0C">
        <w:rPr>
          <w:rFonts w:ascii="Arial" w:hAnsi="Arial" w:cs="Arial"/>
          <w:b/>
          <w:bCs/>
          <w:sz w:val="28"/>
          <w:lang w:val="en-GB"/>
        </w:rPr>
        <w:t>Student N</w:t>
      </w:r>
      <w:r w:rsidR="00137DBB" w:rsidRPr="00CE2B0C">
        <w:rPr>
          <w:rFonts w:ascii="Arial" w:hAnsi="Arial" w:cs="Arial"/>
          <w:b/>
          <w:bCs/>
          <w:sz w:val="28"/>
          <w:lang w:val="en-GB"/>
        </w:rPr>
        <w:t>ame</w:t>
      </w:r>
      <w:r w:rsidRPr="00CE2B0C">
        <w:rPr>
          <w:rFonts w:ascii="Arial" w:hAnsi="Arial" w:cs="Arial"/>
          <w:b/>
          <w:bCs/>
          <w:sz w:val="28"/>
          <w:lang w:val="en-GB"/>
        </w:rPr>
        <w:t>:</w:t>
      </w:r>
      <w:r w:rsidR="000E5121" w:rsidRPr="00CE2B0C">
        <w:rPr>
          <w:rFonts w:ascii="Arial" w:hAnsi="Arial" w:cs="Arial"/>
          <w:lang w:val="en-GB"/>
        </w:rPr>
        <w:t xml:space="preserve"> </w:t>
      </w:r>
      <w:r w:rsidR="000E5121" w:rsidRPr="00CE2B0C">
        <w:rPr>
          <w:rFonts w:ascii="Arial" w:hAnsi="Arial" w:cs="Arial"/>
          <w:bCs/>
          <w:sz w:val="28"/>
          <w:lang w:val="en-GB"/>
        </w:rPr>
        <w:t>Ikhtear Mahbub</w:t>
      </w:r>
    </w:p>
    <w:p w14:paraId="2E40CFCF" w14:textId="689EF212" w:rsidR="00137DBB" w:rsidRPr="00CE2B0C" w:rsidRDefault="00137DBB" w:rsidP="009F56B7">
      <w:pPr>
        <w:spacing w:line="360" w:lineRule="auto"/>
        <w:ind w:left="360"/>
        <w:jc w:val="center"/>
        <w:rPr>
          <w:rFonts w:ascii="Arial" w:hAnsi="Arial" w:cs="Arial"/>
          <w:bCs/>
          <w:sz w:val="28"/>
          <w:lang w:val="en-GB"/>
        </w:rPr>
      </w:pPr>
      <w:r w:rsidRPr="00CE2B0C">
        <w:rPr>
          <w:rFonts w:ascii="Arial" w:hAnsi="Arial" w:cs="Arial"/>
          <w:b/>
          <w:bCs/>
          <w:sz w:val="28"/>
          <w:lang w:val="en-GB"/>
        </w:rPr>
        <w:t xml:space="preserve"> </w:t>
      </w:r>
      <w:r w:rsidR="009F56B7" w:rsidRPr="00CE2B0C">
        <w:rPr>
          <w:rFonts w:ascii="Arial" w:hAnsi="Arial" w:cs="Arial"/>
          <w:b/>
          <w:bCs/>
          <w:sz w:val="28"/>
          <w:lang w:val="en-GB"/>
        </w:rPr>
        <w:t>Student ID</w:t>
      </w:r>
      <w:r w:rsidR="00D00DE4" w:rsidRPr="00CE2B0C">
        <w:rPr>
          <w:rFonts w:ascii="Arial" w:hAnsi="Arial" w:cs="Arial"/>
          <w:b/>
          <w:bCs/>
          <w:sz w:val="28"/>
          <w:lang w:val="en-GB"/>
        </w:rPr>
        <w:t>:</w:t>
      </w:r>
      <w:r w:rsidR="000E5121" w:rsidRPr="00CE2B0C">
        <w:rPr>
          <w:rFonts w:ascii="Arial" w:hAnsi="Arial" w:cs="Arial"/>
          <w:lang w:val="en-GB"/>
        </w:rPr>
        <w:t xml:space="preserve"> </w:t>
      </w:r>
      <w:r w:rsidR="000E5121" w:rsidRPr="00CE2B0C">
        <w:rPr>
          <w:rFonts w:ascii="Arial" w:hAnsi="Arial" w:cs="Arial"/>
          <w:bCs/>
          <w:sz w:val="28"/>
          <w:lang w:val="en-GB"/>
        </w:rPr>
        <w:t>2527585</w:t>
      </w:r>
    </w:p>
    <w:p w14:paraId="56F0CDE0" w14:textId="2BE8DB21" w:rsidR="00673843" w:rsidRPr="00CE2B0C" w:rsidRDefault="00137DBB" w:rsidP="00673843">
      <w:pPr>
        <w:spacing w:line="360" w:lineRule="auto"/>
        <w:ind w:left="360"/>
        <w:jc w:val="center"/>
        <w:rPr>
          <w:rFonts w:ascii="Arial" w:hAnsi="Arial" w:cs="Arial"/>
          <w:sz w:val="28"/>
          <w:lang w:val="en-GB"/>
        </w:rPr>
      </w:pPr>
      <w:r w:rsidRPr="00CE2B0C">
        <w:rPr>
          <w:rFonts w:ascii="Arial" w:hAnsi="Arial" w:cs="Arial"/>
          <w:b/>
          <w:bCs/>
          <w:sz w:val="28"/>
          <w:lang w:val="en-GB"/>
        </w:rPr>
        <w:t>Word count</w:t>
      </w:r>
      <w:r w:rsidR="00D00DE4" w:rsidRPr="00CE2B0C">
        <w:rPr>
          <w:rFonts w:ascii="Arial" w:hAnsi="Arial" w:cs="Arial"/>
          <w:b/>
          <w:bCs/>
          <w:sz w:val="28"/>
          <w:lang w:val="en-GB"/>
        </w:rPr>
        <w:t xml:space="preserve">: </w:t>
      </w:r>
      <w:r w:rsidR="00F02D8F" w:rsidRPr="00CE2B0C">
        <w:rPr>
          <w:rFonts w:ascii="Arial" w:hAnsi="Arial" w:cs="Arial"/>
          <w:sz w:val="28"/>
          <w:lang w:val="en-GB"/>
        </w:rPr>
        <w:t>5</w:t>
      </w:r>
      <w:r w:rsidR="002A7EF1" w:rsidRPr="00CE2B0C">
        <w:rPr>
          <w:rFonts w:ascii="Arial" w:hAnsi="Arial" w:cs="Arial"/>
          <w:sz w:val="28"/>
          <w:lang w:val="en-GB"/>
        </w:rPr>
        <w:t>409</w:t>
      </w:r>
    </w:p>
    <w:p w14:paraId="61D7A8A0" w14:textId="77777777" w:rsidR="009F56B7" w:rsidRPr="00CE2B0C" w:rsidRDefault="009F56B7" w:rsidP="009F56B7">
      <w:pPr>
        <w:spacing w:line="360" w:lineRule="auto"/>
        <w:ind w:left="360"/>
        <w:jc w:val="center"/>
        <w:rPr>
          <w:rFonts w:ascii="Arial" w:hAnsi="Arial" w:cs="Arial"/>
          <w:b/>
          <w:bCs/>
          <w:sz w:val="28"/>
          <w:lang w:val="en-GB"/>
        </w:rPr>
      </w:pPr>
    </w:p>
    <w:p w14:paraId="16DC662C" w14:textId="131C0285" w:rsidR="00137DBB" w:rsidRPr="00CE2B0C" w:rsidRDefault="00137DBB" w:rsidP="009F56B7">
      <w:pPr>
        <w:spacing w:line="360" w:lineRule="auto"/>
        <w:ind w:left="360"/>
        <w:jc w:val="center"/>
        <w:rPr>
          <w:rFonts w:ascii="Arial" w:hAnsi="Arial" w:cs="Arial"/>
          <w:b/>
          <w:bCs/>
          <w:sz w:val="28"/>
          <w:lang w:val="en-GB"/>
        </w:rPr>
      </w:pPr>
      <w:r w:rsidRPr="00CE2B0C">
        <w:rPr>
          <w:rFonts w:ascii="Arial" w:hAnsi="Arial" w:cs="Arial"/>
          <w:b/>
          <w:bCs/>
          <w:sz w:val="28"/>
          <w:lang w:val="en-GB"/>
        </w:rPr>
        <w:t>Submission date</w:t>
      </w:r>
      <w:r w:rsidR="00D00DE4" w:rsidRPr="00CE2B0C">
        <w:rPr>
          <w:rFonts w:ascii="Arial" w:hAnsi="Arial" w:cs="Arial"/>
          <w:b/>
          <w:bCs/>
          <w:sz w:val="28"/>
          <w:lang w:val="en-GB"/>
        </w:rPr>
        <w:t>:</w:t>
      </w:r>
      <w:r w:rsidR="009F56B7" w:rsidRPr="00CE2B0C">
        <w:rPr>
          <w:lang w:val="en-GB"/>
        </w:rPr>
        <w:t xml:space="preserve"> </w:t>
      </w:r>
      <w:r w:rsidR="009F56B7" w:rsidRPr="00CE2B0C">
        <w:rPr>
          <w:rFonts w:ascii="Arial" w:hAnsi="Arial" w:cs="Arial"/>
          <w:b/>
          <w:bCs/>
          <w:sz w:val="28"/>
          <w:lang w:val="en-GB"/>
        </w:rPr>
        <w:t>24th April 2026</w:t>
      </w:r>
    </w:p>
    <w:p w14:paraId="32407C86" w14:textId="77777777" w:rsidR="00D00DE4" w:rsidRPr="00CE2B0C" w:rsidRDefault="00D00DE4" w:rsidP="002D1B85">
      <w:pPr>
        <w:spacing w:line="360" w:lineRule="auto"/>
        <w:rPr>
          <w:rFonts w:ascii="Arial" w:hAnsi="Arial" w:cs="Arial"/>
          <w:b/>
          <w:bCs/>
          <w:lang w:val="en-GB"/>
        </w:rPr>
      </w:pPr>
      <w:r w:rsidRPr="00CE2B0C">
        <w:rPr>
          <w:rFonts w:ascii="Arial" w:hAnsi="Arial" w:cs="Arial"/>
          <w:b/>
          <w:bCs/>
          <w:lang w:val="en-GB"/>
        </w:rPr>
        <w:br w:type="page"/>
      </w:r>
    </w:p>
    <w:sdt>
      <w:sdtPr>
        <w:rPr>
          <w:rFonts w:ascii="Arial" w:eastAsiaTheme="minorHAnsi" w:hAnsi="Arial" w:cs="Arial"/>
          <w:color w:val="auto"/>
          <w:kern w:val="2"/>
          <w:sz w:val="24"/>
          <w:szCs w:val="24"/>
          <w:lang w:val="en-GB"/>
          <w14:ligatures w14:val="standardContextual"/>
        </w:rPr>
        <w:id w:val="-1862891157"/>
        <w:docPartObj>
          <w:docPartGallery w:val="Table of Contents"/>
          <w:docPartUnique/>
        </w:docPartObj>
      </w:sdtPr>
      <w:sdtEndPr>
        <w:rPr>
          <w:b/>
          <w:bCs/>
          <w:noProof/>
        </w:rPr>
      </w:sdtEndPr>
      <w:sdtContent>
        <w:p w14:paraId="69519351" w14:textId="32037FCF" w:rsidR="00B52EA2" w:rsidRPr="00CE2B0C" w:rsidRDefault="00B52EA2" w:rsidP="002D1B85">
          <w:pPr>
            <w:pStyle w:val="TOCHeading"/>
            <w:spacing w:line="360" w:lineRule="auto"/>
            <w:jc w:val="center"/>
            <w:rPr>
              <w:rFonts w:ascii="Arial" w:hAnsi="Arial" w:cs="Arial"/>
              <w:b/>
              <w:bCs/>
              <w:color w:val="auto"/>
              <w:sz w:val="28"/>
              <w:szCs w:val="24"/>
              <w:lang w:val="en-GB"/>
            </w:rPr>
          </w:pPr>
          <w:r w:rsidRPr="00CE2B0C">
            <w:rPr>
              <w:rFonts w:ascii="Arial" w:hAnsi="Arial" w:cs="Arial"/>
              <w:b/>
              <w:bCs/>
              <w:color w:val="auto"/>
              <w:sz w:val="28"/>
              <w:szCs w:val="24"/>
              <w:lang w:val="en-GB"/>
            </w:rPr>
            <w:t>Table of Contents</w:t>
          </w:r>
        </w:p>
        <w:p w14:paraId="23195A67" w14:textId="77777777" w:rsidR="00CC2C0C" w:rsidRPr="00CE2B0C" w:rsidRDefault="00B52EA2">
          <w:pPr>
            <w:pStyle w:val="TOC1"/>
            <w:tabs>
              <w:tab w:val="right" w:leader="dot" w:pos="9017"/>
            </w:tabs>
            <w:rPr>
              <w:rFonts w:ascii="Arial" w:eastAsiaTheme="minorEastAsia" w:hAnsi="Arial" w:cs="Arial"/>
              <w:noProof/>
              <w:kern w:val="0"/>
              <w:sz w:val="22"/>
              <w:szCs w:val="22"/>
              <w:lang w:val="en-GB" w:eastAsia="en-GB"/>
              <w14:ligatures w14:val="none"/>
            </w:rPr>
          </w:pPr>
          <w:r w:rsidRPr="00CE2B0C">
            <w:rPr>
              <w:rFonts w:ascii="Arial" w:hAnsi="Arial" w:cs="Arial"/>
              <w:lang w:val="en-GB"/>
            </w:rPr>
            <w:fldChar w:fldCharType="begin"/>
          </w:r>
          <w:r w:rsidRPr="00CE2B0C">
            <w:rPr>
              <w:rFonts w:ascii="Arial" w:hAnsi="Arial" w:cs="Arial"/>
              <w:lang w:val="en-GB"/>
            </w:rPr>
            <w:instrText xml:space="preserve"> TOC \o "1-3" \h \z \u </w:instrText>
          </w:r>
          <w:r w:rsidRPr="00CE2B0C">
            <w:rPr>
              <w:rFonts w:ascii="Arial" w:hAnsi="Arial" w:cs="Arial"/>
              <w:lang w:val="en-GB"/>
            </w:rPr>
            <w:fldChar w:fldCharType="separate"/>
          </w:r>
          <w:hyperlink w:anchor="_Toc227812676" w:history="1">
            <w:r w:rsidR="00CC2C0C" w:rsidRPr="00CE2B0C">
              <w:rPr>
                <w:rStyle w:val="Hyperlink"/>
                <w:rFonts w:ascii="Arial" w:hAnsi="Arial" w:cs="Arial"/>
                <w:noProof/>
                <w:lang w:val="en-GB"/>
              </w:rPr>
              <w:t>1. Introduction</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_Toc227812676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4</w:t>
            </w:r>
            <w:r w:rsidR="00CC2C0C" w:rsidRPr="00CE2B0C">
              <w:rPr>
                <w:rFonts w:ascii="Arial" w:hAnsi="Arial" w:cs="Arial"/>
                <w:noProof/>
                <w:webHidden/>
                <w:lang w:val="en-GB"/>
              </w:rPr>
              <w:fldChar w:fldCharType="end"/>
            </w:r>
          </w:hyperlink>
        </w:p>
        <w:p w14:paraId="1EADEAED"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77" w:history="1">
            <w:r w:rsidR="00CC2C0C" w:rsidRPr="00CE2B0C">
              <w:rPr>
                <w:rStyle w:val="Hyperlink"/>
                <w:rFonts w:ascii="Arial" w:hAnsi="Arial" w:cs="Arial"/>
                <w:noProof/>
                <w:lang w:val="en-GB"/>
              </w:rPr>
              <w:t>2. Financial Health Check</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_Toc227812677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5</w:t>
            </w:r>
            <w:r w:rsidR="00CC2C0C" w:rsidRPr="00CE2B0C">
              <w:rPr>
                <w:rFonts w:ascii="Arial" w:hAnsi="Arial" w:cs="Arial"/>
                <w:noProof/>
                <w:webHidden/>
                <w:lang w:val="en-GB"/>
              </w:rPr>
              <w:fldChar w:fldCharType="end"/>
            </w:r>
          </w:hyperlink>
        </w:p>
        <w:p w14:paraId="111A40D8"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78" w:history="1">
            <w:r w:rsidR="00CC2C0C" w:rsidRPr="00CE2B0C">
              <w:rPr>
                <w:rStyle w:val="Hyperlink"/>
                <w:rFonts w:ascii="Arial" w:hAnsi="Arial" w:cs="Arial"/>
                <w:noProof/>
                <w:lang w:val="en-GB"/>
              </w:rPr>
              <w:t>2.1 Profitability analysis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_Toc227812678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5</w:t>
            </w:r>
            <w:r w:rsidR="00CC2C0C" w:rsidRPr="00CE2B0C">
              <w:rPr>
                <w:rFonts w:ascii="Arial" w:hAnsi="Arial" w:cs="Arial"/>
                <w:noProof/>
                <w:webHidden/>
                <w:lang w:val="en-GB"/>
              </w:rPr>
              <w:fldChar w:fldCharType="end"/>
            </w:r>
          </w:hyperlink>
        </w:p>
        <w:p w14:paraId="37366188"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79" w:history="1">
            <w:r w:rsidR="00CC2C0C" w:rsidRPr="00CE2B0C">
              <w:rPr>
                <w:rStyle w:val="Hyperlink"/>
                <w:rFonts w:ascii="Arial" w:hAnsi="Arial" w:cs="Arial"/>
                <w:noProof/>
                <w:lang w:val="en-GB"/>
              </w:rPr>
              <w:t>2.2 Liquidity Analysis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_Toc227812679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5</w:t>
            </w:r>
            <w:r w:rsidR="00CC2C0C" w:rsidRPr="00CE2B0C">
              <w:rPr>
                <w:rFonts w:ascii="Arial" w:hAnsi="Arial" w:cs="Arial"/>
                <w:noProof/>
                <w:webHidden/>
                <w:lang w:val="en-GB"/>
              </w:rPr>
              <w:fldChar w:fldCharType="end"/>
            </w:r>
          </w:hyperlink>
        </w:p>
        <w:p w14:paraId="3C4867B0"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0" w:history="1">
            <w:r w:rsidR="00CC2C0C" w:rsidRPr="00CE2B0C">
              <w:rPr>
                <w:rStyle w:val="Hyperlink"/>
                <w:rFonts w:ascii="Arial" w:hAnsi="Arial" w:cs="Arial"/>
                <w:noProof/>
                <w:lang w:val="en-GB"/>
              </w:rPr>
              <w:t>2.3 Efficiency Analysis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_Toc227812680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6</w:t>
            </w:r>
            <w:r w:rsidR="00CC2C0C" w:rsidRPr="00CE2B0C">
              <w:rPr>
                <w:rFonts w:ascii="Arial" w:hAnsi="Arial" w:cs="Arial"/>
                <w:noProof/>
                <w:webHidden/>
                <w:lang w:val="en-GB"/>
              </w:rPr>
              <w:fldChar w:fldCharType="end"/>
            </w:r>
          </w:hyperlink>
        </w:p>
        <w:p w14:paraId="40BE9724"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1" w:history="1">
            <w:r w:rsidR="00CC2C0C" w:rsidRPr="00CE2B0C">
              <w:rPr>
                <w:rStyle w:val="Hyperlink"/>
                <w:rFonts w:ascii="Arial" w:hAnsi="Arial" w:cs="Arial"/>
                <w:noProof/>
                <w:lang w:val="en-GB"/>
              </w:rPr>
              <w:t>2.4 Gearing / Leverage Ratios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_Toc227812681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6</w:t>
            </w:r>
            <w:r w:rsidR="00CC2C0C" w:rsidRPr="00CE2B0C">
              <w:rPr>
                <w:rFonts w:ascii="Arial" w:hAnsi="Arial" w:cs="Arial"/>
                <w:noProof/>
                <w:webHidden/>
                <w:lang w:val="en-GB"/>
              </w:rPr>
              <w:fldChar w:fldCharType="end"/>
            </w:r>
          </w:hyperlink>
        </w:p>
        <w:p w14:paraId="6AB90F80"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2" w:history="1">
            <w:r w:rsidR="00CC2C0C" w:rsidRPr="00CE2B0C">
              <w:rPr>
                <w:rStyle w:val="Hyperlink"/>
                <w:rFonts w:ascii="Arial" w:hAnsi="Arial" w:cs="Arial"/>
                <w:noProof/>
                <w:lang w:val="en-GB"/>
              </w:rPr>
              <w:t>2.5 Investment Ratios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_Toc227812682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7</w:t>
            </w:r>
            <w:r w:rsidR="00CC2C0C" w:rsidRPr="00CE2B0C">
              <w:rPr>
                <w:rFonts w:ascii="Arial" w:hAnsi="Arial" w:cs="Arial"/>
                <w:noProof/>
                <w:webHidden/>
                <w:lang w:val="en-GB"/>
              </w:rPr>
              <w:fldChar w:fldCharType="end"/>
            </w:r>
          </w:hyperlink>
        </w:p>
        <w:p w14:paraId="58949005"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3" w:history="1">
            <w:r w:rsidR="00CC2C0C" w:rsidRPr="00CE2B0C">
              <w:rPr>
                <w:rStyle w:val="Hyperlink"/>
                <w:rFonts w:ascii="Arial" w:hAnsi="Arial" w:cs="Arial"/>
                <w:noProof/>
                <w:lang w:val="en-GB"/>
              </w:rPr>
              <w:t>2.6 Cash Flow Ratios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_Toc227812683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7</w:t>
            </w:r>
            <w:r w:rsidR="00CC2C0C" w:rsidRPr="00CE2B0C">
              <w:rPr>
                <w:rFonts w:ascii="Arial" w:hAnsi="Arial" w:cs="Arial"/>
                <w:noProof/>
                <w:webHidden/>
                <w:lang w:val="en-GB"/>
              </w:rPr>
              <w:fldChar w:fldCharType="end"/>
            </w:r>
          </w:hyperlink>
        </w:p>
        <w:p w14:paraId="5665E695"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4" w:history="1">
            <w:r w:rsidR="00CC2C0C" w:rsidRPr="00CE2B0C">
              <w:rPr>
                <w:rStyle w:val="Hyperlink"/>
                <w:rFonts w:ascii="Arial" w:hAnsi="Arial" w:cs="Arial"/>
                <w:noProof/>
                <w:lang w:val="en-GB"/>
              </w:rPr>
              <w:t>2.7 Trends, Strengths, and Threats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_Toc227812684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8</w:t>
            </w:r>
            <w:r w:rsidR="00CC2C0C" w:rsidRPr="00CE2B0C">
              <w:rPr>
                <w:rFonts w:ascii="Arial" w:hAnsi="Arial" w:cs="Arial"/>
                <w:noProof/>
                <w:webHidden/>
                <w:lang w:val="en-GB"/>
              </w:rPr>
              <w:fldChar w:fldCharType="end"/>
            </w:r>
          </w:hyperlink>
        </w:p>
        <w:p w14:paraId="1E4BC902"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85" w:history="1">
            <w:r w:rsidR="00CC2C0C" w:rsidRPr="00CE2B0C">
              <w:rPr>
                <w:rStyle w:val="Hyperlink"/>
                <w:rFonts w:ascii="Arial" w:hAnsi="Arial" w:cs="Arial"/>
                <w:bCs/>
                <w:noProof/>
                <w:lang w:val="en-GB"/>
              </w:rPr>
              <w:t>3. Working Capital Management Analysis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_Toc227812685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9</w:t>
            </w:r>
            <w:r w:rsidR="00CC2C0C" w:rsidRPr="00CE2B0C">
              <w:rPr>
                <w:rFonts w:ascii="Arial" w:hAnsi="Arial" w:cs="Arial"/>
                <w:noProof/>
                <w:webHidden/>
                <w:lang w:val="en-GB"/>
              </w:rPr>
              <w:fldChar w:fldCharType="end"/>
            </w:r>
          </w:hyperlink>
        </w:p>
        <w:p w14:paraId="5C6B1443"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6" w:history="1">
            <w:r w:rsidR="00CC2C0C" w:rsidRPr="00CE2B0C">
              <w:rPr>
                <w:rStyle w:val="Hyperlink"/>
                <w:rFonts w:ascii="Arial" w:hAnsi="Arial" w:cs="Arial"/>
                <w:bCs/>
                <w:noProof/>
                <w:lang w:val="en-GB"/>
              </w:rPr>
              <w:t>3.1 Cash Operating Cycle Assessment</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_Toc227812686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9</w:t>
            </w:r>
            <w:r w:rsidR="00CC2C0C" w:rsidRPr="00CE2B0C">
              <w:rPr>
                <w:rFonts w:ascii="Arial" w:hAnsi="Arial" w:cs="Arial"/>
                <w:noProof/>
                <w:webHidden/>
                <w:lang w:val="en-GB"/>
              </w:rPr>
              <w:fldChar w:fldCharType="end"/>
            </w:r>
          </w:hyperlink>
        </w:p>
        <w:p w14:paraId="12F53392"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7" w:history="1">
            <w:r w:rsidR="00CC2C0C" w:rsidRPr="00CE2B0C">
              <w:rPr>
                <w:rStyle w:val="Hyperlink"/>
                <w:rFonts w:ascii="Arial" w:hAnsi="Arial" w:cs="Arial"/>
                <w:bCs/>
                <w:noProof/>
                <w:lang w:val="en-GB"/>
              </w:rPr>
              <w:t>3.2 Strategies to Improve Liquidity Through Working Capital Reform</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_Toc227812687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10</w:t>
            </w:r>
            <w:r w:rsidR="00CC2C0C" w:rsidRPr="00CE2B0C">
              <w:rPr>
                <w:rFonts w:ascii="Arial" w:hAnsi="Arial" w:cs="Arial"/>
                <w:noProof/>
                <w:webHidden/>
                <w:lang w:val="en-GB"/>
              </w:rPr>
              <w:fldChar w:fldCharType="end"/>
            </w:r>
          </w:hyperlink>
        </w:p>
        <w:p w14:paraId="63C82AB9"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88" w:history="1">
            <w:r w:rsidR="00CC2C0C" w:rsidRPr="00CE2B0C">
              <w:rPr>
                <w:rStyle w:val="Hyperlink"/>
                <w:rFonts w:ascii="Arial" w:hAnsi="Arial" w:cs="Arial"/>
                <w:bCs/>
                <w:noProof/>
                <w:lang w:val="en-GB"/>
              </w:rPr>
              <w:t>3.3 Short-Term vs Long-Term Financing Options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_Toc227812688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11</w:t>
            </w:r>
            <w:r w:rsidR="00CC2C0C" w:rsidRPr="00CE2B0C">
              <w:rPr>
                <w:rFonts w:ascii="Arial" w:hAnsi="Arial" w:cs="Arial"/>
                <w:noProof/>
                <w:webHidden/>
                <w:lang w:val="en-GB"/>
              </w:rPr>
              <w:fldChar w:fldCharType="end"/>
            </w:r>
          </w:hyperlink>
        </w:p>
        <w:p w14:paraId="111BEE60"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89" w:history="1">
            <w:r w:rsidR="00CC2C0C" w:rsidRPr="00CE2B0C">
              <w:rPr>
                <w:rStyle w:val="Hyperlink"/>
                <w:rFonts w:ascii="Arial" w:hAnsi="Arial" w:cs="Arial"/>
                <w:noProof/>
                <w:lang w:val="en-GB"/>
              </w:rPr>
              <w:t>4. Strategic Financial Restructuring Plan</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_Toc227812689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12</w:t>
            </w:r>
            <w:r w:rsidR="00CC2C0C" w:rsidRPr="00CE2B0C">
              <w:rPr>
                <w:rFonts w:ascii="Arial" w:hAnsi="Arial" w:cs="Arial"/>
                <w:noProof/>
                <w:webHidden/>
                <w:lang w:val="en-GB"/>
              </w:rPr>
              <w:fldChar w:fldCharType="end"/>
            </w:r>
          </w:hyperlink>
        </w:p>
        <w:p w14:paraId="77949351"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0" w:history="1">
            <w:r w:rsidR="00CC2C0C" w:rsidRPr="00CE2B0C">
              <w:rPr>
                <w:rStyle w:val="Hyperlink"/>
                <w:rFonts w:ascii="Arial" w:hAnsi="Arial" w:cs="Arial"/>
                <w:bCs/>
                <w:noProof/>
                <w:lang w:val="en-GB"/>
              </w:rPr>
              <w:t>4.1 Recommended restructuring options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_Toc227812690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12</w:t>
            </w:r>
            <w:r w:rsidR="00CC2C0C" w:rsidRPr="00CE2B0C">
              <w:rPr>
                <w:rFonts w:ascii="Arial" w:hAnsi="Arial" w:cs="Arial"/>
                <w:noProof/>
                <w:webHidden/>
                <w:lang w:val="en-GB"/>
              </w:rPr>
              <w:fldChar w:fldCharType="end"/>
            </w:r>
          </w:hyperlink>
        </w:p>
        <w:p w14:paraId="19E47E58"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1" w:history="1">
            <w:r w:rsidR="00CC2C0C" w:rsidRPr="00CE2B0C">
              <w:rPr>
                <w:rStyle w:val="Hyperlink"/>
                <w:rFonts w:ascii="Arial" w:hAnsi="Arial" w:cs="Arial"/>
                <w:bCs/>
                <w:noProof/>
                <w:lang w:val="en-GB"/>
              </w:rPr>
              <w:t>4.2 Overall impact on shareholder value, debt structure, and operational flexibility</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_Toc227812691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14</w:t>
            </w:r>
            <w:r w:rsidR="00CC2C0C" w:rsidRPr="00CE2B0C">
              <w:rPr>
                <w:rFonts w:ascii="Arial" w:hAnsi="Arial" w:cs="Arial"/>
                <w:noProof/>
                <w:webHidden/>
                <w:lang w:val="en-GB"/>
              </w:rPr>
              <w:fldChar w:fldCharType="end"/>
            </w:r>
          </w:hyperlink>
        </w:p>
        <w:p w14:paraId="6DCFA971"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92" w:history="1">
            <w:r w:rsidR="00CC2C0C" w:rsidRPr="00CE2B0C">
              <w:rPr>
                <w:rStyle w:val="Hyperlink"/>
                <w:rFonts w:ascii="Arial" w:hAnsi="Arial" w:cs="Arial"/>
                <w:noProof/>
                <w:lang w:val="en-GB"/>
              </w:rPr>
              <w:t>5. Investment Appraisal and Capital Budgeting</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_Toc227812692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16</w:t>
            </w:r>
            <w:r w:rsidR="00CC2C0C" w:rsidRPr="00CE2B0C">
              <w:rPr>
                <w:rFonts w:ascii="Arial" w:hAnsi="Arial" w:cs="Arial"/>
                <w:noProof/>
                <w:webHidden/>
                <w:lang w:val="en-GB"/>
              </w:rPr>
              <w:fldChar w:fldCharType="end"/>
            </w:r>
          </w:hyperlink>
        </w:p>
        <w:p w14:paraId="52A44C16"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93" w:history="1">
            <w:r w:rsidR="00CC2C0C" w:rsidRPr="00CE2B0C">
              <w:rPr>
                <w:rStyle w:val="Hyperlink"/>
                <w:rFonts w:ascii="Arial" w:hAnsi="Arial" w:cs="Arial"/>
                <w:noProof/>
                <w:lang w:val="en-GB"/>
              </w:rPr>
              <w:t>6. Conclusion</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_Toc227812693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21</w:t>
            </w:r>
            <w:r w:rsidR="00CC2C0C" w:rsidRPr="00CE2B0C">
              <w:rPr>
                <w:rFonts w:ascii="Arial" w:hAnsi="Arial" w:cs="Arial"/>
                <w:noProof/>
                <w:webHidden/>
                <w:lang w:val="en-GB"/>
              </w:rPr>
              <w:fldChar w:fldCharType="end"/>
            </w:r>
          </w:hyperlink>
        </w:p>
        <w:p w14:paraId="0407C163"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94" w:history="1">
            <w:r w:rsidR="00CC2C0C" w:rsidRPr="00CE2B0C">
              <w:rPr>
                <w:rStyle w:val="Hyperlink"/>
                <w:rFonts w:ascii="Arial" w:hAnsi="Arial" w:cs="Arial"/>
                <w:noProof/>
                <w:lang w:val="en-GB"/>
              </w:rPr>
              <w:t>7. References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_Toc227812694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22</w:t>
            </w:r>
            <w:r w:rsidR="00CC2C0C" w:rsidRPr="00CE2B0C">
              <w:rPr>
                <w:rFonts w:ascii="Arial" w:hAnsi="Arial" w:cs="Arial"/>
                <w:noProof/>
                <w:webHidden/>
                <w:lang w:val="en-GB"/>
              </w:rPr>
              <w:fldChar w:fldCharType="end"/>
            </w:r>
          </w:hyperlink>
        </w:p>
        <w:p w14:paraId="38929AD4" w14:textId="77777777" w:rsidR="00CC2C0C" w:rsidRPr="00CE2B0C" w:rsidRDefault="00BC71AD">
          <w:pPr>
            <w:pStyle w:val="TOC1"/>
            <w:tabs>
              <w:tab w:val="right" w:leader="dot" w:pos="9017"/>
            </w:tabs>
            <w:rPr>
              <w:rFonts w:ascii="Arial" w:eastAsiaTheme="minorEastAsia" w:hAnsi="Arial" w:cs="Arial"/>
              <w:noProof/>
              <w:kern w:val="0"/>
              <w:sz w:val="22"/>
              <w:szCs w:val="22"/>
              <w:lang w:val="en-GB" w:eastAsia="en-GB"/>
              <w14:ligatures w14:val="none"/>
            </w:rPr>
          </w:pPr>
          <w:hyperlink w:anchor="_Toc227812695" w:history="1">
            <w:r w:rsidR="00CC2C0C" w:rsidRPr="00CE2B0C">
              <w:rPr>
                <w:rStyle w:val="Hyperlink"/>
                <w:rFonts w:ascii="Arial" w:hAnsi="Arial" w:cs="Arial"/>
                <w:noProof/>
                <w:lang w:val="en-GB"/>
              </w:rPr>
              <w:t>8. Appendices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_Toc227812695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25</w:t>
            </w:r>
            <w:r w:rsidR="00CC2C0C" w:rsidRPr="00CE2B0C">
              <w:rPr>
                <w:rFonts w:ascii="Arial" w:hAnsi="Arial" w:cs="Arial"/>
                <w:noProof/>
                <w:webHidden/>
                <w:lang w:val="en-GB"/>
              </w:rPr>
              <w:fldChar w:fldCharType="end"/>
            </w:r>
          </w:hyperlink>
        </w:p>
        <w:p w14:paraId="6B4A82C4"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6" w:history="1">
            <w:r w:rsidR="00CC2C0C" w:rsidRPr="00CE2B0C">
              <w:rPr>
                <w:rStyle w:val="Hyperlink"/>
                <w:rFonts w:ascii="Arial" w:hAnsi="Arial" w:cs="Arial"/>
                <w:noProof/>
                <w:lang w:val="en-GB"/>
              </w:rPr>
              <w:t>Appendix 1: Financial Statement Extracts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_Toc227812696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25</w:t>
            </w:r>
            <w:r w:rsidR="00CC2C0C" w:rsidRPr="00CE2B0C">
              <w:rPr>
                <w:rFonts w:ascii="Arial" w:hAnsi="Arial" w:cs="Arial"/>
                <w:noProof/>
                <w:webHidden/>
                <w:lang w:val="en-GB"/>
              </w:rPr>
              <w:fldChar w:fldCharType="end"/>
            </w:r>
          </w:hyperlink>
        </w:p>
        <w:p w14:paraId="24878B8C"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7" w:history="1">
            <w:r w:rsidR="00CC2C0C" w:rsidRPr="00CE2B0C">
              <w:rPr>
                <w:rStyle w:val="Hyperlink"/>
                <w:rFonts w:ascii="Arial" w:hAnsi="Arial" w:cs="Arial"/>
                <w:noProof/>
                <w:lang w:val="en-GB"/>
              </w:rPr>
              <w:t>Appendix 2: Ratio Calculation Tables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_Toc227812697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27</w:t>
            </w:r>
            <w:r w:rsidR="00CC2C0C" w:rsidRPr="00CE2B0C">
              <w:rPr>
                <w:rFonts w:ascii="Arial" w:hAnsi="Arial" w:cs="Arial"/>
                <w:noProof/>
                <w:webHidden/>
                <w:lang w:val="en-GB"/>
              </w:rPr>
              <w:fldChar w:fldCharType="end"/>
            </w:r>
          </w:hyperlink>
        </w:p>
        <w:p w14:paraId="7F013460"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8" w:history="1">
            <w:r w:rsidR="00CC2C0C" w:rsidRPr="00CE2B0C">
              <w:rPr>
                <w:rStyle w:val="Hyperlink"/>
                <w:rFonts w:ascii="Arial" w:hAnsi="Arial" w:cs="Arial"/>
                <w:noProof/>
                <w:lang w:val="en-GB"/>
              </w:rPr>
              <w:t>Appendix 3: Graphs and Trend Charts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_Toc227812698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30</w:t>
            </w:r>
            <w:r w:rsidR="00CC2C0C" w:rsidRPr="00CE2B0C">
              <w:rPr>
                <w:rFonts w:ascii="Arial" w:hAnsi="Arial" w:cs="Arial"/>
                <w:noProof/>
                <w:webHidden/>
                <w:lang w:val="en-GB"/>
              </w:rPr>
              <w:fldChar w:fldCharType="end"/>
            </w:r>
          </w:hyperlink>
        </w:p>
        <w:p w14:paraId="6C4341C1" w14:textId="77777777" w:rsidR="00CC2C0C" w:rsidRPr="00CE2B0C" w:rsidRDefault="00BC71AD">
          <w:pPr>
            <w:pStyle w:val="TOC2"/>
            <w:tabs>
              <w:tab w:val="right" w:leader="dot" w:pos="9017"/>
            </w:tabs>
            <w:rPr>
              <w:rFonts w:ascii="Arial" w:eastAsiaTheme="minorEastAsia" w:hAnsi="Arial" w:cs="Arial"/>
              <w:noProof/>
              <w:kern w:val="0"/>
              <w:sz w:val="22"/>
              <w:szCs w:val="22"/>
              <w:lang w:val="en-GB" w:eastAsia="en-GB"/>
              <w14:ligatures w14:val="none"/>
            </w:rPr>
          </w:pPr>
          <w:hyperlink w:anchor="_Toc227812699" w:history="1">
            <w:r w:rsidR="00CC2C0C" w:rsidRPr="00CE2B0C">
              <w:rPr>
                <w:rStyle w:val="Hyperlink"/>
                <w:rFonts w:ascii="Arial" w:hAnsi="Arial" w:cs="Arial"/>
                <w:noProof/>
                <w:lang w:val="en-GB"/>
              </w:rPr>
              <w:t>Appendix 4: Investment Appraisal Calculations</w:t>
            </w:r>
            <w:r w:rsidR="00CC2C0C" w:rsidRPr="00CE2B0C">
              <w:rPr>
                <w:rFonts w:ascii="Arial" w:hAnsi="Arial" w:cs="Arial"/>
                <w:noProof/>
                <w:webHidden/>
                <w:lang w:val="en-GB"/>
              </w:rPr>
              <w:tab/>
            </w:r>
            <w:r w:rsidR="00CC2C0C" w:rsidRPr="00CE2B0C">
              <w:rPr>
                <w:rFonts w:ascii="Arial" w:hAnsi="Arial" w:cs="Arial"/>
                <w:noProof/>
                <w:webHidden/>
                <w:lang w:val="en-GB"/>
              </w:rPr>
              <w:fldChar w:fldCharType="begin"/>
            </w:r>
            <w:r w:rsidR="00CC2C0C" w:rsidRPr="00CE2B0C">
              <w:rPr>
                <w:rFonts w:ascii="Arial" w:hAnsi="Arial" w:cs="Arial"/>
                <w:noProof/>
                <w:webHidden/>
                <w:lang w:val="en-GB"/>
              </w:rPr>
              <w:instrText xml:space="preserve"> PAGEREF _Toc227812699 \h </w:instrText>
            </w:r>
            <w:r w:rsidR="00CC2C0C" w:rsidRPr="00CE2B0C">
              <w:rPr>
                <w:rFonts w:ascii="Arial" w:hAnsi="Arial" w:cs="Arial"/>
                <w:noProof/>
                <w:webHidden/>
                <w:lang w:val="en-GB"/>
              </w:rPr>
            </w:r>
            <w:r w:rsidR="00CC2C0C" w:rsidRPr="00CE2B0C">
              <w:rPr>
                <w:rFonts w:ascii="Arial" w:hAnsi="Arial" w:cs="Arial"/>
                <w:noProof/>
                <w:webHidden/>
                <w:lang w:val="en-GB"/>
              </w:rPr>
              <w:fldChar w:fldCharType="separate"/>
            </w:r>
            <w:r w:rsidR="00CC2C0C" w:rsidRPr="00CE2B0C">
              <w:rPr>
                <w:rFonts w:ascii="Arial" w:hAnsi="Arial" w:cs="Arial"/>
                <w:noProof/>
                <w:webHidden/>
                <w:lang w:val="en-GB"/>
              </w:rPr>
              <w:t>33</w:t>
            </w:r>
            <w:r w:rsidR="00CC2C0C" w:rsidRPr="00CE2B0C">
              <w:rPr>
                <w:rFonts w:ascii="Arial" w:hAnsi="Arial" w:cs="Arial"/>
                <w:noProof/>
                <w:webHidden/>
                <w:lang w:val="en-GB"/>
              </w:rPr>
              <w:fldChar w:fldCharType="end"/>
            </w:r>
          </w:hyperlink>
        </w:p>
        <w:p w14:paraId="1323260E" w14:textId="36979CB0" w:rsidR="00B52EA2" w:rsidRPr="00CE2B0C" w:rsidRDefault="00B52EA2" w:rsidP="00484B68">
          <w:pPr>
            <w:spacing w:after="0" w:line="360" w:lineRule="auto"/>
            <w:rPr>
              <w:rFonts w:ascii="Arial" w:hAnsi="Arial" w:cs="Arial"/>
              <w:b/>
              <w:bCs/>
              <w:noProof/>
              <w:lang w:val="en-GB"/>
            </w:rPr>
          </w:pPr>
          <w:r w:rsidRPr="00CE2B0C">
            <w:rPr>
              <w:rFonts w:ascii="Arial" w:hAnsi="Arial" w:cs="Arial"/>
              <w:b/>
              <w:bCs/>
              <w:noProof/>
              <w:lang w:val="en-GB"/>
            </w:rPr>
            <w:fldChar w:fldCharType="end"/>
          </w:r>
        </w:p>
      </w:sdtContent>
    </w:sdt>
    <w:p w14:paraId="400D7C4C" w14:textId="77777777" w:rsidR="00FF790A" w:rsidRPr="00CE2B0C" w:rsidRDefault="00FF790A" w:rsidP="002D1B85">
      <w:pPr>
        <w:spacing w:line="360" w:lineRule="auto"/>
        <w:rPr>
          <w:rFonts w:ascii="Arial" w:hAnsi="Arial" w:cs="Arial"/>
          <w:b/>
          <w:bCs/>
          <w:lang w:val="en-GB"/>
        </w:rPr>
      </w:pPr>
      <w:r w:rsidRPr="00CE2B0C">
        <w:rPr>
          <w:rFonts w:ascii="Arial" w:hAnsi="Arial" w:cs="Arial"/>
          <w:b/>
          <w:bCs/>
          <w:lang w:val="en-GB"/>
        </w:rPr>
        <w:br w:type="page"/>
      </w:r>
    </w:p>
    <w:p w14:paraId="12AE14C4" w14:textId="7DDDC64D" w:rsidR="00137DBB" w:rsidRPr="00CE2B0C" w:rsidRDefault="00137DBB" w:rsidP="002D1B85">
      <w:pPr>
        <w:spacing w:line="360" w:lineRule="auto"/>
        <w:rPr>
          <w:rFonts w:ascii="Arial" w:hAnsi="Arial" w:cs="Arial"/>
          <w:lang w:val="en-GB"/>
        </w:rPr>
      </w:pPr>
      <w:r w:rsidRPr="00CE2B0C">
        <w:rPr>
          <w:rFonts w:ascii="Arial" w:hAnsi="Arial" w:cs="Arial"/>
          <w:b/>
          <w:bCs/>
          <w:lang w:val="en-GB"/>
        </w:rPr>
        <w:lastRenderedPageBreak/>
        <w:t>List of Figures</w:t>
      </w:r>
    </w:p>
    <w:p w14:paraId="0A051466" w14:textId="5EE33FB5" w:rsidR="00B52EA2" w:rsidRPr="00CE2B0C" w:rsidRDefault="00B52EA2" w:rsidP="002D1B85">
      <w:pPr>
        <w:pStyle w:val="TableofFigures"/>
        <w:tabs>
          <w:tab w:val="right" w:leader="dot" w:pos="9350"/>
        </w:tabs>
        <w:spacing w:line="360" w:lineRule="auto"/>
        <w:rPr>
          <w:rFonts w:ascii="Arial" w:hAnsi="Arial" w:cs="Arial"/>
          <w:noProof/>
          <w:lang w:val="en-GB"/>
        </w:rPr>
      </w:pPr>
      <w:r w:rsidRPr="00CE2B0C">
        <w:rPr>
          <w:rFonts w:ascii="Arial" w:hAnsi="Arial" w:cs="Arial"/>
          <w:lang w:val="en-GB"/>
        </w:rPr>
        <w:fldChar w:fldCharType="begin"/>
      </w:r>
      <w:r w:rsidRPr="00CE2B0C">
        <w:rPr>
          <w:rFonts w:ascii="Arial" w:hAnsi="Arial" w:cs="Arial"/>
          <w:lang w:val="en-GB"/>
        </w:rPr>
        <w:instrText xml:space="preserve"> TOC \h \z \c "Figure" </w:instrText>
      </w:r>
      <w:r w:rsidRPr="00CE2B0C">
        <w:rPr>
          <w:rFonts w:ascii="Arial" w:hAnsi="Arial" w:cs="Arial"/>
          <w:lang w:val="en-GB"/>
        </w:rPr>
        <w:fldChar w:fldCharType="separate"/>
      </w:r>
      <w:hyperlink w:anchor="_Toc227448948" w:history="1">
        <w:r w:rsidRPr="00CE2B0C">
          <w:rPr>
            <w:rStyle w:val="Hyperlink"/>
            <w:rFonts w:ascii="Arial" w:hAnsi="Arial" w:cs="Arial"/>
            <w:noProof/>
            <w:lang w:val="en-GB"/>
          </w:rPr>
          <w:t>Figure 1: Volkswagen Group</w:t>
        </w:r>
        <w:r w:rsidRPr="00CE2B0C">
          <w:rPr>
            <w:rFonts w:ascii="Arial" w:hAnsi="Arial" w:cs="Arial"/>
            <w:noProof/>
            <w:webHidden/>
            <w:lang w:val="en-GB"/>
          </w:rPr>
          <w:tab/>
        </w:r>
        <w:r w:rsidRPr="00CE2B0C">
          <w:rPr>
            <w:rFonts w:ascii="Arial" w:hAnsi="Arial" w:cs="Arial"/>
            <w:noProof/>
            <w:webHidden/>
            <w:lang w:val="en-GB"/>
          </w:rPr>
          <w:fldChar w:fldCharType="begin"/>
        </w:r>
        <w:r w:rsidRPr="00CE2B0C">
          <w:rPr>
            <w:rFonts w:ascii="Arial" w:hAnsi="Arial" w:cs="Arial"/>
            <w:noProof/>
            <w:webHidden/>
            <w:lang w:val="en-GB"/>
          </w:rPr>
          <w:instrText xml:space="preserve"> PAGEREF _Toc227448948 \h </w:instrText>
        </w:r>
        <w:r w:rsidRPr="00CE2B0C">
          <w:rPr>
            <w:rFonts w:ascii="Arial" w:hAnsi="Arial" w:cs="Arial"/>
            <w:noProof/>
            <w:webHidden/>
            <w:lang w:val="en-GB"/>
          </w:rPr>
        </w:r>
        <w:r w:rsidRPr="00CE2B0C">
          <w:rPr>
            <w:rFonts w:ascii="Arial" w:hAnsi="Arial" w:cs="Arial"/>
            <w:noProof/>
            <w:webHidden/>
            <w:lang w:val="en-GB"/>
          </w:rPr>
          <w:fldChar w:fldCharType="separate"/>
        </w:r>
        <w:r w:rsidR="002A7EF1" w:rsidRPr="00CE2B0C">
          <w:rPr>
            <w:rFonts w:ascii="Arial" w:hAnsi="Arial" w:cs="Arial"/>
            <w:noProof/>
            <w:webHidden/>
            <w:lang w:val="en-GB"/>
          </w:rPr>
          <w:t>4</w:t>
        </w:r>
        <w:r w:rsidRPr="00CE2B0C">
          <w:rPr>
            <w:rFonts w:ascii="Arial" w:hAnsi="Arial" w:cs="Arial"/>
            <w:noProof/>
            <w:webHidden/>
            <w:lang w:val="en-GB"/>
          </w:rPr>
          <w:fldChar w:fldCharType="end"/>
        </w:r>
      </w:hyperlink>
    </w:p>
    <w:p w14:paraId="7FEC4B77" w14:textId="2E4C67DE"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49" w:history="1">
        <w:r w:rsidR="00B52EA2" w:rsidRPr="00CE2B0C">
          <w:rPr>
            <w:rStyle w:val="Hyperlink"/>
            <w:rFonts w:ascii="Arial" w:hAnsi="Arial" w:cs="Arial"/>
            <w:noProof/>
            <w:lang w:val="en-GB"/>
          </w:rPr>
          <w:t>Figure 2: Revenue, Gross Profit &amp; EBIT (€m)</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_Toc227448949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30</w:t>
        </w:r>
        <w:r w:rsidR="00B52EA2" w:rsidRPr="00CE2B0C">
          <w:rPr>
            <w:rFonts w:ascii="Arial" w:hAnsi="Arial" w:cs="Arial"/>
            <w:noProof/>
            <w:webHidden/>
            <w:lang w:val="en-GB"/>
          </w:rPr>
          <w:fldChar w:fldCharType="end"/>
        </w:r>
      </w:hyperlink>
    </w:p>
    <w:p w14:paraId="27182033" w14:textId="6B4015E7"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0" w:history="1">
        <w:r w:rsidR="00B52EA2" w:rsidRPr="00CE2B0C">
          <w:rPr>
            <w:rStyle w:val="Hyperlink"/>
            <w:rFonts w:ascii="Arial" w:hAnsi="Arial" w:cs="Arial"/>
            <w:noProof/>
            <w:lang w:val="en-GB"/>
          </w:rPr>
          <w:t>Figure 3: Operating &amp; Free Cash Flow (€m)</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_Toc227448950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30</w:t>
        </w:r>
        <w:r w:rsidR="00B52EA2" w:rsidRPr="00CE2B0C">
          <w:rPr>
            <w:rFonts w:ascii="Arial" w:hAnsi="Arial" w:cs="Arial"/>
            <w:noProof/>
            <w:webHidden/>
            <w:lang w:val="en-GB"/>
          </w:rPr>
          <w:fldChar w:fldCharType="end"/>
        </w:r>
      </w:hyperlink>
    </w:p>
    <w:p w14:paraId="639803B1" w14:textId="3B2ACAE0"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1" w:history="1">
        <w:r w:rsidR="00B52EA2" w:rsidRPr="00CE2B0C">
          <w:rPr>
            <w:rStyle w:val="Hyperlink"/>
            <w:rFonts w:ascii="Arial" w:hAnsi="Arial" w:cs="Arial"/>
            <w:noProof/>
            <w:lang w:val="en-GB"/>
          </w:rPr>
          <w:t>Figure 4: Profitability Ratios</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_Toc227448951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31</w:t>
        </w:r>
        <w:r w:rsidR="00B52EA2" w:rsidRPr="00CE2B0C">
          <w:rPr>
            <w:rFonts w:ascii="Arial" w:hAnsi="Arial" w:cs="Arial"/>
            <w:noProof/>
            <w:webHidden/>
            <w:lang w:val="en-GB"/>
          </w:rPr>
          <w:fldChar w:fldCharType="end"/>
        </w:r>
      </w:hyperlink>
    </w:p>
    <w:p w14:paraId="59D27BDC" w14:textId="20E7A4A5"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2" w:history="1">
        <w:r w:rsidR="00B52EA2" w:rsidRPr="00CE2B0C">
          <w:rPr>
            <w:rStyle w:val="Hyperlink"/>
            <w:rFonts w:ascii="Arial" w:hAnsi="Arial" w:cs="Arial"/>
            <w:noProof/>
            <w:lang w:val="en-GB"/>
          </w:rPr>
          <w:t>Figure 5: Liquidity Ratios</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_Toc227448952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31</w:t>
        </w:r>
        <w:r w:rsidR="00B52EA2" w:rsidRPr="00CE2B0C">
          <w:rPr>
            <w:rFonts w:ascii="Arial" w:hAnsi="Arial" w:cs="Arial"/>
            <w:noProof/>
            <w:webHidden/>
            <w:lang w:val="en-GB"/>
          </w:rPr>
          <w:fldChar w:fldCharType="end"/>
        </w:r>
      </w:hyperlink>
    </w:p>
    <w:p w14:paraId="7AE68999" w14:textId="3FA2CBD5"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3" w:history="1">
        <w:r w:rsidR="00B52EA2" w:rsidRPr="00CE2B0C">
          <w:rPr>
            <w:rStyle w:val="Hyperlink"/>
            <w:rFonts w:ascii="Arial" w:hAnsi="Arial" w:cs="Arial"/>
            <w:noProof/>
            <w:lang w:val="en-GB"/>
          </w:rPr>
          <w:t>Figure 6: Efficiency Ratios</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_Toc227448953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32</w:t>
        </w:r>
        <w:r w:rsidR="00B52EA2" w:rsidRPr="00CE2B0C">
          <w:rPr>
            <w:rFonts w:ascii="Arial" w:hAnsi="Arial" w:cs="Arial"/>
            <w:noProof/>
            <w:webHidden/>
            <w:lang w:val="en-GB"/>
          </w:rPr>
          <w:fldChar w:fldCharType="end"/>
        </w:r>
      </w:hyperlink>
    </w:p>
    <w:p w14:paraId="7939BB40" w14:textId="396FBF3A"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4" w:history="1">
        <w:r w:rsidR="00B52EA2" w:rsidRPr="00CE2B0C">
          <w:rPr>
            <w:rStyle w:val="Hyperlink"/>
            <w:rFonts w:ascii="Arial" w:hAnsi="Arial" w:cs="Arial"/>
            <w:noProof/>
            <w:lang w:val="en-GB"/>
          </w:rPr>
          <w:t xml:space="preserve">Figure 7: </w:t>
        </w:r>
        <w:r w:rsidR="00B52EA2" w:rsidRPr="00CE2B0C">
          <w:rPr>
            <w:rStyle w:val="Hyperlink"/>
            <w:rFonts w:ascii="Arial" w:eastAsia="Arial" w:hAnsi="Arial" w:cs="Arial"/>
            <w:noProof/>
            <w:lang w:val="en-GB"/>
          </w:rPr>
          <w:t>Gearing Ratios</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_Toc227448954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32</w:t>
        </w:r>
        <w:r w:rsidR="00B52EA2" w:rsidRPr="00CE2B0C">
          <w:rPr>
            <w:rFonts w:ascii="Arial" w:hAnsi="Arial" w:cs="Arial"/>
            <w:noProof/>
            <w:webHidden/>
            <w:lang w:val="en-GB"/>
          </w:rPr>
          <w:fldChar w:fldCharType="end"/>
        </w:r>
      </w:hyperlink>
    </w:p>
    <w:p w14:paraId="36D16C14" w14:textId="3BFA2F71" w:rsidR="00B52EA2" w:rsidRPr="00CE2B0C" w:rsidRDefault="00BC71AD" w:rsidP="002D1B85">
      <w:pPr>
        <w:pStyle w:val="TableofFigures"/>
        <w:tabs>
          <w:tab w:val="right" w:leader="dot" w:pos="9350"/>
        </w:tabs>
        <w:spacing w:line="360" w:lineRule="auto"/>
        <w:rPr>
          <w:rFonts w:ascii="Arial" w:hAnsi="Arial" w:cs="Arial"/>
          <w:noProof/>
          <w:lang w:val="en-GB"/>
        </w:rPr>
      </w:pPr>
      <w:hyperlink w:anchor="_Toc227448955" w:history="1">
        <w:r w:rsidR="00B52EA2" w:rsidRPr="00CE2B0C">
          <w:rPr>
            <w:rStyle w:val="Hyperlink"/>
            <w:rFonts w:ascii="Arial" w:hAnsi="Arial" w:cs="Arial"/>
            <w:noProof/>
            <w:lang w:val="en-GB"/>
          </w:rPr>
          <w:t>Figure 8: Project NPV Comparison (£m)</w:t>
        </w:r>
        <w:r w:rsidR="00B52EA2" w:rsidRPr="00CE2B0C">
          <w:rPr>
            <w:rFonts w:ascii="Arial" w:hAnsi="Arial" w:cs="Arial"/>
            <w:noProof/>
            <w:webHidden/>
            <w:lang w:val="en-GB"/>
          </w:rPr>
          <w:tab/>
        </w:r>
        <w:r w:rsidR="00B52EA2" w:rsidRPr="00CE2B0C">
          <w:rPr>
            <w:rFonts w:ascii="Arial" w:hAnsi="Arial" w:cs="Arial"/>
            <w:noProof/>
            <w:webHidden/>
            <w:lang w:val="en-GB"/>
          </w:rPr>
          <w:fldChar w:fldCharType="begin"/>
        </w:r>
        <w:r w:rsidR="00B52EA2" w:rsidRPr="00CE2B0C">
          <w:rPr>
            <w:rFonts w:ascii="Arial" w:hAnsi="Arial" w:cs="Arial"/>
            <w:noProof/>
            <w:webHidden/>
            <w:lang w:val="en-GB"/>
          </w:rPr>
          <w:instrText xml:space="preserve"> PAGEREF _Toc227448955 \h </w:instrText>
        </w:r>
        <w:r w:rsidR="00B52EA2" w:rsidRPr="00CE2B0C">
          <w:rPr>
            <w:rFonts w:ascii="Arial" w:hAnsi="Arial" w:cs="Arial"/>
            <w:noProof/>
            <w:webHidden/>
            <w:lang w:val="en-GB"/>
          </w:rPr>
        </w:r>
        <w:r w:rsidR="00B52EA2" w:rsidRPr="00CE2B0C">
          <w:rPr>
            <w:rFonts w:ascii="Arial" w:hAnsi="Arial" w:cs="Arial"/>
            <w:noProof/>
            <w:webHidden/>
            <w:lang w:val="en-GB"/>
          </w:rPr>
          <w:fldChar w:fldCharType="separate"/>
        </w:r>
        <w:r w:rsidR="002A7EF1" w:rsidRPr="00CE2B0C">
          <w:rPr>
            <w:rFonts w:ascii="Arial" w:hAnsi="Arial" w:cs="Arial"/>
            <w:noProof/>
            <w:webHidden/>
            <w:lang w:val="en-GB"/>
          </w:rPr>
          <w:t>33</w:t>
        </w:r>
        <w:r w:rsidR="00B52EA2" w:rsidRPr="00CE2B0C">
          <w:rPr>
            <w:rFonts w:ascii="Arial" w:hAnsi="Arial" w:cs="Arial"/>
            <w:noProof/>
            <w:webHidden/>
            <w:lang w:val="en-GB"/>
          </w:rPr>
          <w:fldChar w:fldCharType="end"/>
        </w:r>
      </w:hyperlink>
    </w:p>
    <w:p w14:paraId="708BCF29" w14:textId="77777777" w:rsidR="00B52EA2" w:rsidRPr="00CE2B0C" w:rsidRDefault="00B52EA2" w:rsidP="002D1B85">
      <w:pPr>
        <w:spacing w:line="360" w:lineRule="auto"/>
        <w:rPr>
          <w:rFonts w:ascii="Arial" w:hAnsi="Arial" w:cs="Arial"/>
          <w:b/>
          <w:bCs/>
          <w:lang w:val="en-GB"/>
        </w:rPr>
      </w:pPr>
      <w:r w:rsidRPr="00CE2B0C">
        <w:rPr>
          <w:rFonts w:ascii="Arial" w:hAnsi="Arial" w:cs="Arial"/>
          <w:lang w:val="en-GB"/>
        </w:rPr>
        <w:fldChar w:fldCharType="end"/>
      </w:r>
    </w:p>
    <w:p w14:paraId="752CC410" w14:textId="77937F69" w:rsidR="00C1017B" w:rsidRPr="00CE2B0C" w:rsidRDefault="00137DBB" w:rsidP="002D1B85">
      <w:pPr>
        <w:spacing w:line="360" w:lineRule="auto"/>
        <w:rPr>
          <w:rFonts w:ascii="Arial" w:hAnsi="Arial" w:cs="Arial"/>
          <w:b/>
          <w:bCs/>
          <w:lang w:val="en-GB"/>
        </w:rPr>
      </w:pPr>
      <w:r w:rsidRPr="00CE2B0C">
        <w:rPr>
          <w:rFonts w:ascii="Arial" w:hAnsi="Arial" w:cs="Arial"/>
          <w:b/>
          <w:bCs/>
          <w:lang w:val="en-GB"/>
        </w:rPr>
        <w:t>List of Tables</w:t>
      </w:r>
    </w:p>
    <w:p w14:paraId="41E4D25B" w14:textId="76DECD98" w:rsidR="00FF790A" w:rsidRPr="00CE2B0C" w:rsidRDefault="00FF790A" w:rsidP="002D1B85">
      <w:pPr>
        <w:pStyle w:val="TableofFigures"/>
        <w:tabs>
          <w:tab w:val="right" w:leader="dot" w:pos="9350"/>
        </w:tabs>
        <w:spacing w:line="360" w:lineRule="auto"/>
        <w:rPr>
          <w:rFonts w:ascii="Arial" w:eastAsiaTheme="minorEastAsia" w:hAnsi="Arial" w:cs="Arial"/>
          <w:noProof/>
          <w:lang w:val="en-GB"/>
        </w:rPr>
      </w:pPr>
      <w:r w:rsidRPr="00CE2B0C">
        <w:rPr>
          <w:rFonts w:ascii="Arial" w:hAnsi="Arial" w:cs="Arial"/>
          <w:b/>
          <w:bCs/>
          <w:lang w:val="en-GB"/>
        </w:rPr>
        <w:fldChar w:fldCharType="begin"/>
      </w:r>
      <w:r w:rsidRPr="00CE2B0C">
        <w:rPr>
          <w:rFonts w:ascii="Arial" w:hAnsi="Arial" w:cs="Arial"/>
          <w:b/>
          <w:bCs/>
          <w:lang w:val="en-GB"/>
        </w:rPr>
        <w:instrText xml:space="preserve"> TOC \h \z \c "Table" </w:instrText>
      </w:r>
      <w:r w:rsidRPr="00CE2B0C">
        <w:rPr>
          <w:rFonts w:ascii="Arial" w:hAnsi="Arial" w:cs="Arial"/>
          <w:b/>
          <w:bCs/>
          <w:lang w:val="en-GB"/>
        </w:rPr>
        <w:fldChar w:fldCharType="separate"/>
      </w:r>
      <w:hyperlink w:anchor="_Toc227448972" w:history="1">
        <w:r w:rsidRPr="00CE2B0C">
          <w:rPr>
            <w:rStyle w:val="Hyperlink"/>
            <w:rFonts w:ascii="Arial" w:hAnsi="Arial" w:cs="Arial"/>
            <w:noProof/>
            <w:lang w:val="en-GB"/>
          </w:rPr>
          <w:t>Table 1: Cash Operating Cycle</w:t>
        </w:r>
        <w:r w:rsidRPr="00CE2B0C">
          <w:rPr>
            <w:rFonts w:ascii="Arial" w:hAnsi="Arial" w:cs="Arial"/>
            <w:noProof/>
            <w:webHidden/>
            <w:lang w:val="en-GB"/>
          </w:rPr>
          <w:tab/>
        </w:r>
        <w:r w:rsidRPr="00CE2B0C">
          <w:rPr>
            <w:rFonts w:ascii="Arial" w:hAnsi="Arial" w:cs="Arial"/>
            <w:noProof/>
            <w:webHidden/>
            <w:lang w:val="en-GB"/>
          </w:rPr>
          <w:fldChar w:fldCharType="begin"/>
        </w:r>
        <w:r w:rsidRPr="00CE2B0C">
          <w:rPr>
            <w:rFonts w:ascii="Arial" w:hAnsi="Arial" w:cs="Arial"/>
            <w:noProof/>
            <w:webHidden/>
            <w:lang w:val="en-GB"/>
          </w:rPr>
          <w:instrText xml:space="preserve"> PAGEREF _Toc227448972 \h </w:instrText>
        </w:r>
        <w:r w:rsidRPr="00CE2B0C">
          <w:rPr>
            <w:rFonts w:ascii="Arial" w:hAnsi="Arial" w:cs="Arial"/>
            <w:noProof/>
            <w:webHidden/>
            <w:lang w:val="en-GB"/>
          </w:rPr>
        </w:r>
        <w:r w:rsidRPr="00CE2B0C">
          <w:rPr>
            <w:rFonts w:ascii="Arial" w:hAnsi="Arial" w:cs="Arial"/>
            <w:noProof/>
            <w:webHidden/>
            <w:lang w:val="en-GB"/>
          </w:rPr>
          <w:fldChar w:fldCharType="separate"/>
        </w:r>
        <w:r w:rsidR="00CC2C0C" w:rsidRPr="00CE2B0C">
          <w:rPr>
            <w:rFonts w:ascii="Arial" w:hAnsi="Arial" w:cs="Arial"/>
            <w:noProof/>
            <w:webHidden/>
            <w:lang w:val="en-GB"/>
          </w:rPr>
          <w:t>9</w:t>
        </w:r>
        <w:r w:rsidRPr="00CE2B0C">
          <w:rPr>
            <w:rFonts w:ascii="Arial" w:hAnsi="Arial" w:cs="Arial"/>
            <w:noProof/>
            <w:webHidden/>
            <w:lang w:val="en-GB"/>
          </w:rPr>
          <w:fldChar w:fldCharType="end"/>
        </w:r>
      </w:hyperlink>
    </w:p>
    <w:p w14:paraId="0266B405" w14:textId="0AE00D24"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3" w:history="1">
        <w:r w:rsidR="00FF790A" w:rsidRPr="00CE2B0C">
          <w:rPr>
            <w:rStyle w:val="Hyperlink"/>
            <w:rFonts w:ascii="Arial" w:hAnsi="Arial" w:cs="Arial"/>
            <w:noProof/>
            <w:lang w:val="en-GB"/>
          </w:rPr>
          <w:t>Table 2: Short-Term vs Long-Term Financing Options</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_Toc227448973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11</w:t>
        </w:r>
        <w:r w:rsidR="00FF790A" w:rsidRPr="00CE2B0C">
          <w:rPr>
            <w:rFonts w:ascii="Arial" w:hAnsi="Arial" w:cs="Arial"/>
            <w:noProof/>
            <w:webHidden/>
            <w:lang w:val="en-GB"/>
          </w:rPr>
          <w:fldChar w:fldCharType="end"/>
        </w:r>
      </w:hyperlink>
    </w:p>
    <w:p w14:paraId="3914D7D1" w14:textId="4851D48A"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4" w:history="1">
        <w:r w:rsidR="00FF790A" w:rsidRPr="00CE2B0C">
          <w:rPr>
            <w:rStyle w:val="Hyperlink"/>
            <w:rFonts w:ascii="Arial" w:hAnsi="Arial" w:cs="Arial"/>
            <w:noProof/>
            <w:lang w:val="en-GB"/>
          </w:rPr>
          <w:t>Table 3: Summary of appraisal results</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_Toc227448974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16</w:t>
        </w:r>
        <w:r w:rsidR="00FF790A" w:rsidRPr="00CE2B0C">
          <w:rPr>
            <w:rFonts w:ascii="Arial" w:hAnsi="Arial" w:cs="Arial"/>
            <w:noProof/>
            <w:webHidden/>
            <w:lang w:val="en-GB"/>
          </w:rPr>
          <w:fldChar w:fldCharType="end"/>
        </w:r>
      </w:hyperlink>
    </w:p>
    <w:p w14:paraId="6FA84903" w14:textId="4FBD2F27"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5" w:history="1">
        <w:r w:rsidR="00FF790A" w:rsidRPr="00CE2B0C">
          <w:rPr>
            <w:rStyle w:val="Hyperlink"/>
            <w:rFonts w:ascii="Arial" w:hAnsi="Arial" w:cs="Arial"/>
            <w:noProof/>
            <w:lang w:val="en-GB"/>
          </w:rPr>
          <w:t>Table 4: Capital rationing</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_Toc227448975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20</w:t>
        </w:r>
        <w:r w:rsidR="00FF790A" w:rsidRPr="00CE2B0C">
          <w:rPr>
            <w:rFonts w:ascii="Arial" w:hAnsi="Arial" w:cs="Arial"/>
            <w:noProof/>
            <w:webHidden/>
            <w:lang w:val="en-GB"/>
          </w:rPr>
          <w:fldChar w:fldCharType="end"/>
        </w:r>
      </w:hyperlink>
    </w:p>
    <w:p w14:paraId="2605F200" w14:textId="0FD40BA7"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6" w:history="1">
        <w:r w:rsidR="00FF790A" w:rsidRPr="00CE2B0C">
          <w:rPr>
            <w:rStyle w:val="Hyperlink"/>
            <w:rFonts w:ascii="Arial" w:hAnsi="Arial" w:cs="Arial"/>
            <w:noProof/>
            <w:lang w:val="en-GB"/>
          </w:rPr>
          <w:t xml:space="preserve">Table 5: </w:t>
        </w:r>
        <w:r w:rsidR="00FF790A" w:rsidRPr="00CE2B0C">
          <w:rPr>
            <w:rStyle w:val="Hyperlink"/>
            <w:rFonts w:ascii="Arial" w:eastAsia="Arial" w:hAnsi="Arial" w:cs="Arial"/>
            <w:noProof/>
            <w:lang w:val="en-GB"/>
          </w:rPr>
          <w:t>Volkswagen Group — Five-Year Financial Summary (€ million).</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_Toc227448976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25</w:t>
        </w:r>
        <w:r w:rsidR="00FF790A" w:rsidRPr="00CE2B0C">
          <w:rPr>
            <w:rFonts w:ascii="Arial" w:hAnsi="Arial" w:cs="Arial"/>
            <w:noProof/>
            <w:webHidden/>
            <w:lang w:val="en-GB"/>
          </w:rPr>
          <w:fldChar w:fldCharType="end"/>
        </w:r>
      </w:hyperlink>
    </w:p>
    <w:p w14:paraId="4D21B1DB" w14:textId="02D719E9"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7" w:history="1">
        <w:r w:rsidR="00FF790A" w:rsidRPr="00CE2B0C">
          <w:rPr>
            <w:rStyle w:val="Hyperlink"/>
            <w:rFonts w:ascii="Arial" w:hAnsi="Arial" w:cs="Arial"/>
            <w:noProof/>
            <w:lang w:val="en-GB"/>
          </w:rPr>
          <w:t xml:space="preserve">Table 6: </w:t>
        </w:r>
        <w:r w:rsidR="00FF790A" w:rsidRPr="00CE2B0C">
          <w:rPr>
            <w:rStyle w:val="Hyperlink"/>
            <w:rFonts w:ascii="Arial" w:eastAsia="Arial" w:hAnsi="Arial" w:cs="Arial"/>
            <w:noProof/>
            <w:lang w:val="en-GB"/>
          </w:rPr>
          <w:t>Volkswagen Group — Full Ratio Analysis (202</w:t>
        </w:r>
        <w:r w:rsidR="007B08F1" w:rsidRPr="00CE2B0C">
          <w:rPr>
            <w:rStyle w:val="Hyperlink"/>
            <w:rFonts w:ascii="Arial" w:eastAsia="Arial" w:hAnsi="Arial" w:cs="Arial"/>
            <w:noProof/>
            <w:lang w:val="en-GB"/>
          </w:rPr>
          <w:t>0</w:t>
        </w:r>
        <w:r w:rsidR="00FF790A" w:rsidRPr="00CE2B0C">
          <w:rPr>
            <w:rStyle w:val="Hyperlink"/>
            <w:rFonts w:ascii="Arial" w:eastAsia="Arial" w:hAnsi="Arial" w:cs="Arial"/>
            <w:noProof/>
            <w:lang w:val="en-GB"/>
          </w:rPr>
          <w:t>–202).</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_Toc227448977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27</w:t>
        </w:r>
        <w:r w:rsidR="00FF790A" w:rsidRPr="00CE2B0C">
          <w:rPr>
            <w:rFonts w:ascii="Arial" w:hAnsi="Arial" w:cs="Arial"/>
            <w:noProof/>
            <w:webHidden/>
            <w:lang w:val="en-GB"/>
          </w:rPr>
          <w:fldChar w:fldCharType="end"/>
        </w:r>
      </w:hyperlink>
    </w:p>
    <w:p w14:paraId="20B0FFD1" w14:textId="38D2917D"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8" w:history="1">
        <w:r w:rsidR="00FF790A" w:rsidRPr="00CE2B0C">
          <w:rPr>
            <w:rStyle w:val="Hyperlink"/>
            <w:rFonts w:ascii="Arial" w:hAnsi="Arial" w:cs="Arial"/>
            <w:noProof/>
            <w:lang w:val="en-GB"/>
          </w:rPr>
          <w:t>Table 7</w:t>
        </w:r>
        <w:r w:rsidR="00FF790A" w:rsidRPr="00CE2B0C">
          <w:rPr>
            <w:rStyle w:val="Hyperlink"/>
            <w:rFonts w:ascii="Arial" w:eastAsia="Arial" w:hAnsi="Arial" w:cs="Arial"/>
            <w:noProof/>
            <w:lang w:val="en-GB"/>
          </w:rPr>
          <w:t>. Cash Operating Cycle Components (202</w:t>
        </w:r>
        <w:r w:rsidR="007B08F1" w:rsidRPr="00CE2B0C">
          <w:rPr>
            <w:rStyle w:val="Hyperlink"/>
            <w:rFonts w:ascii="Arial" w:eastAsia="Arial" w:hAnsi="Arial" w:cs="Arial"/>
            <w:noProof/>
            <w:lang w:val="en-GB"/>
          </w:rPr>
          <w:t>0</w:t>
        </w:r>
        <w:r w:rsidR="00FF790A" w:rsidRPr="00CE2B0C">
          <w:rPr>
            <w:rStyle w:val="Hyperlink"/>
            <w:rFonts w:ascii="Arial" w:eastAsia="Arial" w:hAnsi="Arial" w:cs="Arial"/>
            <w:noProof/>
            <w:lang w:val="en-GB"/>
          </w:rPr>
          <w:t>–202</w:t>
        </w:r>
        <w:r w:rsidR="007B08F1" w:rsidRPr="00CE2B0C">
          <w:rPr>
            <w:rStyle w:val="Hyperlink"/>
            <w:rFonts w:ascii="Arial" w:eastAsia="Arial" w:hAnsi="Arial" w:cs="Arial"/>
            <w:noProof/>
            <w:lang w:val="en-GB"/>
          </w:rPr>
          <w:t>4</w:t>
        </w:r>
        <w:r w:rsidR="00FF790A" w:rsidRPr="00CE2B0C">
          <w:rPr>
            <w:rStyle w:val="Hyperlink"/>
            <w:rFonts w:ascii="Arial" w:eastAsia="Arial" w:hAnsi="Arial" w:cs="Arial"/>
            <w:noProof/>
            <w:lang w:val="en-GB"/>
          </w:rPr>
          <w:t>).</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_Toc227448978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28</w:t>
        </w:r>
        <w:r w:rsidR="00FF790A" w:rsidRPr="00CE2B0C">
          <w:rPr>
            <w:rFonts w:ascii="Arial" w:hAnsi="Arial" w:cs="Arial"/>
            <w:noProof/>
            <w:webHidden/>
            <w:lang w:val="en-GB"/>
          </w:rPr>
          <w:fldChar w:fldCharType="end"/>
        </w:r>
      </w:hyperlink>
    </w:p>
    <w:p w14:paraId="4152C5EC" w14:textId="47D08B57"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79" w:history="1">
        <w:r w:rsidR="00FF790A" w:rsidRPr="00CE2B0C">
          <w:rPr>
            <w:rStyle w:val="Hyperlink"/>
            <w:rFonts w:ascii="Arial" w:hAnsi="Arial" w:cs="Arial"/>
            <w:noProof/>
            <w:lang w:val="en-GB"/>
          </w:rPr>
          <w:t xml:space="preserve">Table 8: </w:t>
        </w:r>
        <w:r w:rsidR="00FF790A" w:rsidRPr="00CE2B0C">
          <w:rPr>
            <w:rStyle w:val="Hyperlink"/>
            <w:rFonts w:ascii="Arial" w:eastAsia="Arial" w:hAnsi="Arial" w:cs="Arial"/>
            <w:noProof/>
            <w:lang w:val="en-GB"/>
          </w:rPr>
          <w:t>Short-Term vs Long-Term Financing Comparison.</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_Toc227448979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29</w:t>
        </w:r>
        <w:r w:rsidR="00FF790A" w:rsidRPr="00CE2B0C">
          <w:rPr>
            <w:rFonts w:ascii="Arial" w:hAnsi="Arial" w:cs="Arial"/>
            <w:noProof/>
            <w:webHidden/>
            <w:lang w:val="en-GB"/>
          </w:rPr>
          <w:fldChar w:fldCharType="end"/>
        </w:r>
      </w:hyperlink>
    </w:p>
    <w:p w14:paraId="1F7FD623" w14:textId="59A4C04F"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80" w:history="1">
        <w:r w:rsidR="00FF790A" w:rsidRPr="00CE2B0C">
          <w:rPr>
            <w:rStyle w:val="Hyperlink"/>
            <w:rFonts w:ascii="Arial" w:hAnsi="Arial" w:cs="Arial"/>
            <w:noProof/>
            <w:lang w:val="en-GB"/>
          </w:rPr>
          <w:t xml:space="preserve">Table 9: </w:t>
        </w:r>
        <w:r w:rsidR="00FF790A" w:rsidRPr="00CE2B0C">
          <w:rPr>
            <w:rStyle w:val="Hyperlink"/>
            <w:rFonts w:ascii="Arial" w:eastAsia="Arial" w:hAnsi="Arial" w:cs="Arial"/>
            <w:noProof/>
            <w:lang w:val="en-GB"/>
          </w:rPr>
          <w:t>Discounted Cash Flow Analysis — Projects A, B and C.</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_Toc227448980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33</w:t>
        </w:r>
        <w:r w:rsidR="00FF790A" w:rsidRPr="00CE2B0C">
          <w:rPr>
            <w:rFonts w:ascii="Arial" w:hAnsi="Arial" w:cs="Arial"/>
            <w:noProof/>
            <w:webHidden/>
            <w:lang w:val="en-GB"/>
          </w:rPr>
          <w:fldChar w:fldCharType="end"/>
        </w:r>
      </w:hyperlink>
    </w:p>
    <w:p w14:paraId="0646C9AC" w14:textId="634E190B"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81" w:history="1">
        <w:r w:rsidR="00FF790A" w:rsidRPr="00CE2B0C">
          <w:rPr>
            <w:rStyle w:val="Hyperlink"/>
            <w:rFonts w:ascii="Arial" w:hAnsi="Arial" w:cs="Arial"/>
            <w:noProof/>
            <w:lang w:val="en-GB"/>
          </w:rPr>
          <w:t xml:space="preserve">Table 10: </w:t>
        </w:r>
        <w:r w:rsidR="00FF790A" w:rsidRPr="00CE2B0C">
          <w:rPr>
            <w:rStyle w:val="Hyperlink"/>
            <w:rFonts w:ascii="Arial" w:eastAsia="Arial" w:hAnsi="Arial" w:cs="Arial"/>
            <w:noProof/>
            <w:lang w:val="en-GB"/>
          </w:rPr>
          <w:t>Investment Appraisal Results Summary.</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_Toc227448981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34</w:t>
        </w:r>
        <w:r w:rsidR="00FF790A" w:rsidRPr="00CE2B0C">
          <w:rPr>
            <w:rFonts w:ascii="Arial" w:hAnsi="Arial" w:cs="Arial"/>
            <w:noProof/>
            <w:webHidden/>
            <w:lang w:val="en-GB"/>
          </w:rPr>
          <w:fldChar w:fldCharType="end"/>
        </w:r>
      </w:hyperlink>
    </w:p>
    <w:p w14:paraId="64B36D80" w14:textId="5E8A61FB" w:rsidR="00FF790A" w:rsidRPr="00CE2B0C" w:rsidRDefault="00BC71AD" w:rsidP="002D1B85">
      <w:pPr>
        <w:pStyle w:val="TableofFigures"/>
        <w:tabs>
          <w:tab w:val="right" w:leader="dot" w:pos="9350"/>
        </w:tabs>
        <w:spacing w:line="360" w:lineRule="auto"/>
        <w:rPr>
          <w:rFonts w:ascii="Arial" w:eastAsiaTheme="minorEastAsia" w:hAnsi="Arial" w:cs="Arial"/>
          <w:noProof/>
          <w:lang w:val="en-GB"/>
        </w:rPr>
      </w:pPr>
      <w:hyperlink w:anchor="_Toc227448982" w:history="1">
        <w:r w:rsidR="00FF790A" w:rsidRPr="00CE2B0C">
          <w:rPr>
            <w:rStyle w:val="Hyperlink"/>
            <w:rFonts w:ascii="Arial" w:hAnsi="Arial" w:cs="Arial"/>
            <w:noProof/>
            <w:lang w:val="en-GB"/>
          </w:rPr>
          <w:t>Table 11:</w:t>
        </w:r>
        <w:r w:rsidR="00FF790A" w:rsidRPr="00CE2B0C">
          <w:rPr>
            <w:rStyle w:val="Hyperlink"/>
            <w:rFonts w:ascii="Arial" w:eastAsia="Arial" w:hAnsi="Arial" w:cs="Arial"/>
            <w:noProof/>
            <w:lang w:val="en-GB"/>
          </w:rPr>
          <w:t>Capital Rationing — PI Ranking.</w:t>
        </w:r>
        <w:r w:rsidR="00FF790A" w:rsidRPr="00CE2B0C">
          <w:rPr>
            <w:rFonts w:ascii="Arial" w:hAnsi="Arial" w:cs="Arial"/>
            <w:noProof/>
            <w:webHidden/>
            <w:lang w:val="en-GB"/>
          </w:rPr>
          <w:tab/>
        </w:r>
        <w:r w:rsidR="00FF790A" w:rsidRPr="00CE2B0C">
          <w:rPr>
            <w:rFonts w:ascii="Arial" w:hAnsi="Arial" w:cs="Arial"/>
            <w:noProof/>
            <w:webHidden/>
            <w:lang w:val="en-GB"/>
          </w:rPr>
          <w:fldChar w:fldCharType="begin"/>
        </w:r>
        <w:r w:rsidR="00FF790A" w:rsidRPr="00CE2B0C">
          <w:rPr>
            <w:rFonts w:ascii="Arial" w:hAnsi="Arial" w:cs="Arial"/>
            <w:noProof/>
            <w:webHidden/>
            <w:lang w:val="en-GB"/>
          </w:rPr>
          <w:instrText xml:space="preserve"> PAGEREF _Toc227448982 \h </w:instrText>
        </w:r>
        <w:r w:rsidR="00FF790A" w:rsidRPr="00CE2B0C">
          <w:rPr>
            <w:rFonts w:ascii="Arial" w:hAnsi="Arial" w:cs="Arial"/>
            <w:noProof/>
            <w:webHidden/>
            <w:lang w:val="en-GB"/>
          </w:rPr>
        </w:r>
        <w:r w:rsidR="00FF790A" w:rsidRPr="00CE2B0C">
          <w:rPr>
            <w:rFonts w:ascii="Arial" w:hAnsi="Arial" w:cs="Arial"/>
            <w:noProof/>
            <w:webHidden/>
            <w:lang w:val="en-GB"/>
          </w:rPr>
          <w:fldChar w:fldCharType="separate"/>
        </w:r>
        <w:r w:rsidR="00CC2C0C" w:rsidRPr="00CE2B0C">
          <w:rPr>
            <w:rFonts w:ascii="Arial" w:hAnsi="Arial" w:cs="Arial"/>
            <w:noProof/>
            <w:webHidden/>
            <w:lang w:val="en-GB"/>
          </w:rPr>
          <w:t>34</w:t>
        </w:r>
        <w:r w:rsidR="00FF790A" w:rsidRPr="00CE2B0C">
          <w:rPr>
            <w:rFonts w:ascii="Arial" w:hAnsi="Arial" w:cs="Arial"/>
            <w:noProof/>
            <w:webHidden/>
            <w:lang w:val="en-GB"/>
          </w:rPr>
          <w:fldChar w:fldCharType="end"/>
        </w:r>
      </w:hyperlink>
    </w:p>
    <w:p w14:paraId="4C8C2651" w14:textId="527CB32C" w:rsidR="00B52EA2" w:rsidRPr="00CE2B0C" w:rsidRDefault="00FF790A" w:rsidP="002D1B85">
      <w:pPr>
        <w:spacing w:line="360" w:lineRule="auto"/>
        <w:rPr>
          <w:rFonts w:ascii="Arial" w:hAnsi="Arial" w:cs="Arial"/>
          <w:b/>
          <w:bCs/>
          <w:lang w:val="en-GB"/>
        </w:rPr>
      </w:pPr>
      <w:r w:rsidRPr="00CE2B0C">
        <w:rPr>
          <w:rFonts w:ascii="Arial" w:hAnsi="Arial" w:cs="Arial"/>
          <w:b/>
          <w:bCs/>
          <w:lang w:val="en-GB"/>
        </w:rPr>
        <w:fldChar w:fldCharType="end"/>
      </w:r>
    </w:p>
    <w:p w14:paraId="653C5862" w14:textId="77777777" w:rsidR="00B52EA2" w:rsidRPr="00CE2B0C" w:rsidRDefault="00B52EA2" w:rsidP="002D1B85">
      <w:pPr>
        <w:spacing w:line="360" w:lineRule="auto"/>
        <w:rPr>
          <w:rFonts w:ascii="Arial" w:hAnsi="Arial" w:cs="Arial"/>
          <w:b/>
          <w:bCs/>
          <w:lang w:val="en-GB"/>
        </w:rPr>
      </w:pPr>
    </w:p>
    <w:p w14:paraId="55870C1F" w14:textId="20401D6F" w:rsidR="00137DBB" w:rsidRPr="00CE2B0C" w:rsidRDefault="00C1017B" w:rsidP="002D1B85">
      <w:pPr>
        <w:spacing w:line="360" w:lineRule="auto"/>
        <w:jc w:val="both"/>
        <w:rPr>
          <w:rFonts w:ascii="Arial" w:hAnsi="Arial" w:cs="Arial"/>
          <w:b/>
          <w:bCs/>
          <w:lang w:val="en-GB"/>
        </w:rPr>
      </w:pPr>
      <w:r w:rsidRPr="00CE2B0C">
        <w:rPr>
          <w:rFonts w:ascii="Arial" w:hAnsi="Arial" w:cs="Arial"/>
          <w:b/>
          <w:bCs/>
          <w:lang w:val="en-GB"/>
        </w:rPr>
        <w:br w:type="page"/>
      </w:r>
    </w:p>
    <w:p w14:paraId="38E8DE40" w14:textId="169E05CF" w:rsidR="00137DBB" w:rsidRPr="00CE2B0C" w:rsidRDefault="00137DBB" w:rsidP="007B08F1">
      <w:pPr>
        <w:pStyle w:val="Heading1"/>
        <w:spacing w:line="360" w:lineRule="auto"/>
        <w:rPr>
          <w:rFonts w:cs="Arial"/>
          <w:szCs w:val="24"/>
          <w:lang w:val="en-GB"/>
        </w:rPr>
      </w:pPr>
      <w:bookmarkStart w:id="0" w:name="_Toc227812676"/>
      <w:r w:rsidRPr="00CE2B0C">
        <w:rPr>
          <w:rFonts w:cs="Arial"/>
          <w:szCs w:val="24"/>
          <w:lang w:val="en-GB"/>
        </w:rPr>
        <w:lastRenderedPageBreak/>
        <w:t>1. Introduction</w:t>
      </w:r>
      <w:bookmarkEnd w:id="0"/>
      <w:r w:rsidRPr="00CE2B0C">
        <w:rPr>
          <w:rFonts w:cs="Arial"/>
          <w:szCs w:val="24"/>
          <w:lang w:val="en-GB"/>
        </w:rPr>
        <w:t xml:space="preserve"> </w:t>
      </w:r>
    </w:p>
    <w:p w14:paraId="56615AB1" w14:textId="1B73FBD3" w:rsidR="00263F61" w:rsidRPr="00CE2B0C" w:rsidRDefault="00263F61" w:rsidP="007B08F1">
      <w:pPr>
        <w:spacing w:line="360" w:lineRule="auto"/>
        <w:jc w:val="both"/>
        <w:rPr>
          <w:rFonts w:ascii="Arial" w:hAnsi="Arial" w:cs="Arial"/>
          <w:lang w:val="en-GB"/>
        </w:rPr>
      </w:pPr>
      <w:r w:rsidRPr="00CE2B0C">
        <w:rPr>
          <w:rFonts w:ascii="Arial" w:hAnsi="Arial" w:cs="Arial"/>
          <w:lang w:val="en-GB"/>
        </w:rPr>
        <w:t>Volkswagen Group is one of the largest manufacturers of cars in Europe and the world. The Group has a broad range of vehicle brands and currently pursues a long-term strategy to define the future of mobility by being electrified, digitalised and sustainable. Its increasing engagement with electric vehicles can be seen in its strategic roadmap to 2035</w:t>
      </w:r>
      <w:r w:rsidR="00B30CC8" w:rsidRPr="00CE2B0C">
        <w:rPr>
          <w:rFonts w:ascii="Arial" w:hAnsi="Arial" w:cs="Arial"/>
          <w:lang w:val="en-GB"/>
        </w:rPr>
        <w:t xml:space="preserve"> (</w:t>
      </w:r>
      <w:proofErr w:type="spellStart"/>
      <w:r w:rsidR="00B30CC8" w:rsidRPr="00CE2B0C">
        <w:rPr>
          <w:rFonts w:ascii="Arial" w:hAnsi="Arial" w:cs="Arial"/>
          <w:lang w:val="en-GB"/>
        </w:rPr>
        <w:t>Freppert</w:t>
      </w:r>
      <w:proofErr w:type="spellEnd"/>
      <w:r w:rsidR="00B30CC8" w:rsidRPr="00CE2B0C">
        <w:rPr>
          <w:rFonts w:ascii="Arial" w:hAnsi="Arial" w:cs="Arial"/>
          <w:lang w:val="en-GB"/>
        </w:rPr>
        <w:t xml:space="preserve"> et al., 2024)</w:t>
      </w:r>
      <w:r w:rsidR="00EB2D47" w:rsidRPr="00CE2B0C">
        <w:rPr>
          <w:rFonts w:ascii="Arial" w:hAnsi="Arial" w:cs="Arial"/>
          <w:lang w:val="en-GB"/>
        </w:rPr>
        <w:t xml:space="preserve">. </w:t>
      </w:r>
      <w:proofErr w:type="gramStart"/>
      <w:r w:rsidR="00EB2D47" w:rsidRPr="00CE2B0C">
        <w:rPr>
          <w:rFonts w:ascii="Arial" w:hAnsi="Arial" w:cs="Arial"/>
          <w:lang w:val="en-GB"/>
        </w:rPr>
        <w:t>Milestone to deliver four million all-electric vehicles globally also well-placed in the European BEV market.</w:t>
      </w:r>
      <w:proofErr w:type="gramEnd"/>
      <w:r w:rsidR="00EB2D47" w:rsidRPr="00CE2B0C">
        <w:rPr>
          <w:rFonts w:ascii="Arial" w:hAnsi="Arial" w:cs="Arial"/>
          <w:lang w:val="en-GB"/>
        </w:rPr>
        <w:t xml:space="preserve">  This</w:t>
      </w:r>
      <w:r w:rsidRPr="00CE2B0C">
        <w:rPr>
          <w:rFonts w:ascii="Arial" w:hAnsi="Arial" w:cs="Arial"/>
          <w:lang w:val="en-GB"/>
        </w:rPr>
        <w:t xml:space="preserve"> report is conducted in the context of the Chief Financial Officer and financial control, risk management and long-term value creation. </w:t>
      </w:r>
    </w:p>
    <w:p w14:paraId="6FFF2780" w14:textId="0E69C073" w:rsidR="00EB2D47" w:rsidRPr="00CE2B0C" w:rsidRDefault="00EB2D47" w:rsidP="007B08F1">
      <w:pPr>
        <w:spacing w:line="360" w:lineRule="auto"/>
        <w:jc w:val="both"/>
        <w:rPr>
          <w:rFonts w:ascii="Arial" w:hAnsi="Arial" w:cs="Arial"/>
          <w:lang w:val="en-GB"/>
        </w:rPr>
      </w:pPr>
      <w:r w:rsidRPr="00CE2B0C">
        <w:rPr>
          <w:rFonts w:ascii="Arial" w:hAnsi="Arial" w:cs="Arial"/>
          <w:noProof/>
          <w:lang w:val="en-GB" w:eastAsia="en-GB"/>
        </w:rPr>
        <w:drawing>
          <wp:inline distT="0" distB="0" distL="0" distR="0" wp14:anchorId="38E7BAE3" wp14:editId="3548B596">
            <wp:extent cx="5943600" cy="2121535"/>
            <wp:effectExtent l="0" t="0" r="0" b="0"/>
            <wp:docPr id="1990190611" name="Picture 4" descr="Volkswagen Group Statistics, Facts, Goals and Strategies, Pla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olkswagen Group Statistics, Facts, Goals and Strategies, Plant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121535"/>
                    </a:xfrm>
                    <a:prstGeom prst="rect">
                      <a:avLst/>
                    </a:prstGeom>
                    <a:noFill/>
                    <a:ln>
                      <a:noFill/>
                    </a:ln>
                  </pic:spPr>
                </pic:pic>
              </a:graphicData>
            </a:graphic>
          </wp:inline>
        </w:drawing>
      </w:r>
    </w:p>
    <w:p w14:paraId="7224B5A2" w14:textId="04ACD0D8" w:rsidR="006D40B8" w:rsidRPr="00CE2B0C" w:rsidRDefault="0067230A" w:rsidP="007B08F1">
      <w:pPr>
        <w:pStyle w:val="Caption"/>
        <w:spacing w:line="360" w:lineRule="auto"/>
        <w:jc w:val="center"/>
        <w:rPr>
          <w:rFonts w:ascii="Arial" w:hAnsi="Arial" w:cs="Arial"/>
          <w:sz w:val="24"/>
          <w:szCs w:val="24"/>
          <w:lang w:val="en-GB"/>
        </w:rPr>
      </w:pPr>
      <w:bookmarkStart w:id="1" w:name="_Toc227448948"/>
      <w:r w:rsidRPr="00CE2B0C">
        <w:rPr>
          <w:rFonts w:ascii="Arial" w:hAnsi="Arial" w:cs="Arial"/>
          <w:sz w:val="24"/>
          <w:szCs w:val="24"/>
          <w:lang w:val="en-GB"/>
        </w:rPr>
        <w:t xml:space="preserve">Figure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Figure \* ARABIC </w:instrText>
      </w:r>
      <w:r w:rsidRPr="00CE2B0C">
        <w:rPr>
          <w:rFonts w:ascii="Arial" w:hAnsi="Arial" w:cs="Arial"/>
          <w:sz w:val="24"/>
          <w:szCs w:val="24"/>
          <w:lang w:val="en-GB"/>
        </w:rPr>
        <w:fldChar w:fldCharType="separate"/>
      </w:r>
      <w:r w:rsidR="00B52EA2" w:rsidRPr="00CE2B0C">
        <w:rPr>
          <w:rFonts w:ascii="Arial" w:hAnsi="Arial" w:cs="Arial"/>
          <w:noProof/>
          <w:sz w:val="24"/>
          <w:szCs w:val="24"/>
          <w:lang w:val="en-GB"/>
        </w:rPr>
        <w:t>1</w:t>
      </w:r>
      <w:r w:rsidRPr="00CE2B0C">
        <w:rPr>
          <w:rFonts w:ascii="Arial" w:hAnsi="Arial" w:cs="Arial"/>
          <w:sz w:val="24"/>
          <w:szCs w:val="24"/>
          <w:lang w:val="en-GB"/>
        </w:rPr>
        <w:fldChar w:fldCharType="end"/>
      </w:r>
      <w:r w:rsidR="006D40B8" w:rsidRPr="00CE2B0C">
        <w:rPr>
          <w:rFonts w:ascii="Arial" w:hAnsi="Arial" w:cs="Arial"/>
          <w:sz w:val="24"/>
          <w:szCs w:val="24"/>
          <w:lang w:val="en-GB"/>
        </w:rPr>
        <w:t>: Volkswagen Group</w:t>
      </w:r>
      <w:bookmarkEnd w:id="1"/>
      <w:r w:rsidR="00FF790A" w:rsidRPr="00CE2B0C">
        <w:rPr>
          <w:rFonts w:ascii="Arial" w:hAnsi="Arial" w:cs="Arial"/>
          <w:sz w:val="24"/>
          <w:szCs w:val="24"/>
          <w:lang w:val="en-GB"/>
        </w:rPr>
        <w:t xml:space="preserve"> (Volkswagen Group, 202</w:t>
      </w:r>
      <w:r w:rsidR="00F02D8F" w:rsidRPr="00CE2B0C">
        <w:rPr>
          <w:rFonts w:ascii="Arial" w:hAnsi="Arial" w:cs="Arial"/>
          <w:sz w:val="24"/>
          <w:szCs w:val="24"/>
          <w:lang w:val="en-GB"/>
        </w:rPr>
        <w:t>6</w:t>
      </w:r>
      <w:r w:rsidR="00FF790A" w:rsidRPr="00CE2B0C">
        <w:rPr>
          <w:rFonts w:ascii="Arial" w:hAnsi="Arial" w:cs="Arial"/>
          <w:sz w:val="24"/>
          <w:szCs w:val="24"/>
          <w:lang w:val="en-GB"/>
        </w:rPr>
        <w:t>)</w:t>
      </w:r>
    </w:p>
    <w:p w14:paraId="4B298447" w14:textId="207E976E" w:rsidR="00137DBB" w:rsidRPr="00CE2B0C" w:rsidRDefault="00EB2D47" w:rsidP="007B08F1">
      <w:pPr>
        <w:spacing w:line="360" w:lineRule="auto"/>
        <w:jc w:val="both"/>
        <w:rPr>
          <w:rFonts w:ascii="Arial" w:hAnsi="Arial" w:cs="Arial"/>
          <w:lang w:val="en-GB"/>
        </w:rPr>
      </w:pPr>
      <w:r w:rsidRPr="00CE2B0C">
        <w:rPr>
          <w:rFonts w:ascii="Arial" w:hAnsi="Arial" w:cs="Arial"/>
          <w:lang w:val="en-GB"/>
        </w:rPr>
        <w:t xml:space="preserve">The purpose of the report is to </w:t>
      </w:r>
      <w:r w:rsidR="00263F61" w:rsidRPr="00CE2B0C">
        <w:rPr>
          <w:rFonts w:ascii="Arial" w:hAnsi="Arial" w:cs="Arial"/>
          <w:lang w:val="en-GB"/>
        </w:rPr>
        <w:t>analyse the financial performance of Volkswagen Group during the five years and also to determ</w:t>
      </w:r>
      <w:bookmarkStart w:id="2" w:name="_GoBack"/>
      <w:bookmarkEnd w:id="2"/>
      <w:r w:rsidR="00263F61" w:rsidRPr="00CE2B0C">
        <w:rPr>
          <w:rFonts w:ascii="Arial" w:hAnsi="Arial" w:cs="Arial"/>
          <w:lang w:val="en-GB"/>
        </w:rPr>
        <w:t>ine how the business has been able to manage its financial resources over the past five years in an era of strategic change and market challenges. This way, the report also analyses the working capital position of the Group, appropriate restructuring alternatives and key investment decisions as far as the future growth is concerned. The study relies predominantly on published annual reports and financial statements of Volkswagen Group</w:t>
      </w:r>
      <w:r w:rsidRPr="00CE2B0C">
        <w:rPr>
          <w:rFonts w:ascii="Arial" w:hAnsi="Arial" w:cs="Arial"/>
          <w:lang w:val="en-GB"/>
        </w:rPr>
        <w:t xml:space="preserve">. </w:t>
      </w:r>
      <w:r w:rsidR="00C1017B" w:rsidRPr="00CE2B0C">
        <w:rPr>
          <w:rFonts w:ascii="Arial" w:hAnsi="Arial" w:cs="Arial"/>
          <w:lang w:val="en-GB"/>
        </w:rPr>
        <w:br w:type="page"/>
      </w:r>
    </w:p>
    <w:p w14:paraId="3042BE7F" w14:textId="525BF8BA" w:rsidR="001C2DE1" w:rsidRPr="00CE2B0C" w:rsidRDefault="005228C6" w:rsidP="007B08F1">
      <w:pPr>
        <w:pStyle w:val="Heading1"/>
        <w:spacing w:line="360" w:lineRule="auto"/>
        <w:rPr>
          <w:rFonts w:cs="Arial"/>
          <w:szCs w:val="24"/>
          <w:lang w:val="en-GB"/>
        </w:rPr>
      </w:pPr>
      <w:bookmarkStart w:id="3" w:name="_Toc227812677"/>
      <w:r w:rsidRPr="00CE2B0C">
        <w:rPr>
          <w:rFonts w:cs="Arial"/>
          <w:szCs w:val="24"/>
          <w:lang w:val="en-GB"/>
        </w:rPr>
        <w:lastRenderedPageBreak/>
        <w:t>2</w:t>
      </w:r>
      <w:r w:rsidR="001C2DE1" w:rsidRPr="00CE2B0C">
        <w:rPr>
          <w:rFonts w:cs="Arial"/>
          <w:szCs w:val="24"/>
          <w:lang w:val="en-GB"/>
        </w:rPr>
        <w:t>. Financial Health Check</w:t>
      </w:r>
      <w:bookmarkEnd w:id="3"/>
    </w:p>
    <w:p w14:paraId="0970D92F" w14:textId="77777777" w:rsidR="00997A1A" w:rsidRPr="00CE2B0C" w:rsidRDefault="00997A1A" w:rsidP="007B08F1">
      <w:pPr>
        <w:spacing w:line="360" w:lineRule="auto"/>
        <w:jc w:val="both"/>
        <w:rPr>
          <w:rFonts w:ascii="Arial" w:hAnsi="Arial" w:cs="Arial"/>
          <w:b/>
          <w:bCs/>
          <w:i/>
          <w:iCs/>
          <w:lang w:val="en-GB"/>
        </w:rPr>
      </w:pPr>
      <w:r w:rsidRPr="00CE2B0C">
        <w:rPr>
          <w:rFonts w:ascii="Arial" w:hAnsi="Arial" w:cs="Arial"/>
          <w:b/>
          <w:bCs/>
          <w:i/>
          <w:iCs/>
          <w:lang w:val="en-GB"/>
        </w:rPr>
        <w:t xml:space="preserve">Calculations: </w:t>
      </w:r>
      <w:hyperlink w:anchor="_Appendix_2:_Ratio" w:history="1">
        <w:r w:rsidRPr="00CE2B0C">
          <w:rPr>
            <w:rStyle w:val="Hyperlink"/>
            <w:rFonts w:ascii="Arial" w:hAnsi="Arial" w:cs="Arial"/>
            <w:b/>
            <w:bCs/>
            <w:i/>
            <w:iCs/>
            <w:lang w:val="en-GB"/>
          </w:rPr>
          <w:t>Appendix 2</w:t>
        </w:r>
      </w:hyperlink>
    </w:p>
    <w:p w14:paraId="7A679881" w14:textId="03BCCF60" w:rsidR="00263F61" w:rsidRPr="00CE2B0C" w:rsidRDefault="005228C6" w:rsidP="007B08F1">
      <w:pPr>
        <w:pStyle w:val="Heading2"/>
        <w:spacing w:line="360" w:lineRule="auto"/>
        <w:rPr>
          <w:rFonts w:cs="Arial"/>
          <w:szCs w:val="24"/>
          <w:lang w:val="en-GB"/>
        </w:rPr>
      </w:pPr>
      <w:bookmarkStart w:id="4" w:name="_Toc227812678"/>
      <w:r w:rsidRPr="00CE2B0C">
        <w:rPr>
          <w:rFonts w:cs="Arial"/>
          <w:szCs w:val="24"/>
          <w:lang w:val="en-GB"/>
        </w:rPr>
        <w:t xml:space="preserve">2.1 </w:t>
      </w:r>
      <w:r w:rsidR="00263F61" w:rsidRPr="00CE2B0C">
        <w:rPr>
          <w:rFonts w:cs="Arial"/>
          <w:szCs w:val="24"/>
          <w:lang w:val="en-GB"/>
        </w:rPr>
        <w:t>Profitability analysis</w:t>
      </w:r>
      <w:bookmarkEnd w:id="4"/>
    </w:p>
    <w:p w14:paraId="7EEC8825" w14:textId="227385BC" w:rsidR="001B5B60" w:rsidRPr="00CE2B0C" w:rsidRDefault="001B5B60" w:rsidP="007B08F1">
      <w:pPr>
        <w:spacing w:line="360" w:lineRule="auto"/>
        <w:jc w:val="both"/>
        <w:rPr>
          <w:rFonts w:ascii="Arial" w:hAnsi="Arial" w:cs="Arial"/>
          <w:lang w:val="en-GB"/>
        </w:rPr>
      </w:pPr>
      <w:r w:rsidRPr="00CE2B0C">
        <w:rPr>
          <w:rFonts w:ascii="Arial" w:hAnsi="Arial" w:cs="Arial"/>
          <w:lang w:val="en-GB"/>
        </w:rPr>
        <w:t xml:space="preserve">The profitability ratios of Volkswagen indicated an overall decrease in the period between 2020 and 2024, which indicates difficulties in achieving stable profits. The Gross Profit Margin rose from 17.5% in 2020 to 18.9% in 2021, remained stable at 18.7% in 2022 and 2023 and slightly dropped to 18.3% in 2024. This fluctuation shows an increase in the cost of production exceeding the growth in revenue </w:t>
      </w:r>
      <w:r w:rsidR="003D66BC" w:rsidRPr="00CE2B0C">
        <w:rPr>
          <w:rFonts w:ascii="Arial" w:hAnsi="Arial" w:cs="Arial"/>
          <w:lang w:val="en-GB"/>
        </w:rPr>
        <w:t xml:space="preserve">by </w:t>
      </w:r>
      <w:r w:rsidRPr="00CE2B0C">
        <w:rPr>
          <w:rFonts w:ascii="Arial" w:hAnsi="Arial" w:cs="Arial"/>
          <w:lang w:val="en-GB"/>
        </w:rPr>
        <w:t>the gross profitability (</w:t>
      </w:r>
      <w:proofErr w:type="spellStart"/>
      <w:r w:rsidRPr="00CE2B0C">
        <w:rPr>
          <w:rFonts w:ascii="Arial" w:hAnsi="Arial" w:cs="Arial"/>
          <w:lang w:val="en-GB"/>
        </w:rPr>
        <w:t>Rusdiyanto</w:t>
      </w:r>
      <w:proofErr w:type="spellEnd"/>
      <w:r w:rsidRPr="00CE2B0C">
        <w:rPr>
          <w:rFonts w:ascii="Arial" w:hAnsi="Arial" w:cs="Arial"/>
          <w:lang w:val="en-GB"/>
        </w:rPr>
        <w:t xml:space="preserve"> et al., 2021). The EBIT Margin is an indicator of operational </w:t>
      </w:r>
      <w:proofErr w:type="gramStart"/>
      <w:r w:rsidRPr="00CE2B0C">
        <w:rPr>
          <w:rFonts w:ascii="Arial" w:hAnsi="Arial" w:cs="Arial"/>
          <w:lang w:val="en-GB"/>
        </w:rPr>
        <w:t>efficiency,</w:t>
      </w:r>
      <w:proofErr w:type="gramEnd"/>
      <w:r w:rsidRPr="00CE2B0C">
        <w:rPr>
          <w:rFonts w:ascii="Arial" w:hAnsi="Arial" w:cs="Arial"/>
          <w:lang w:val="en-GB"/>
        </w:rPr>
        <w:t xml:space="preserve"> rose to 7.9% in 2022 and dropped to 5.9% in 2024 but had risen to 4.3% in 2020. The trend is an indication of a declining capability to translate sales into operating profits. Likewise, the Net Profit Margin dropped to 3.8% in 2024 compared to 6.2% in 2021, indicating lower efficiency, despite a stable rise in revenue, in converting this revenue into bottom-line profits (</w:t>
      </w:r>
      <w:proofErr w:type="spellStart"/>
      <w:r w:rsidRPr="00CE2B0C">
        <w:rPr>
          <w:rFonts w:ascii="Arial" w:hAnsi="Arial" w:cs="Arial"/>
          <w:lang w:val="en-GB"/>
        </w:rPr>
        <w:t>Qureshi</w:t>
      </w:r>
      <w:proofErr w:type="spellEnd"/>
      <w:r w:rsidRPr="00CE2B0C">
        <w:rPr>
          <w:rFonts w:ascii="Arial" w:hAnsi="Arial" w:cs="Arial"/>
          <w:lang w:val="en-GB"/>
        </w:rPr>
        <w:t xml:space="preserve"> and Khan, 2025). Return on Assets (ROA) rose marginally in 2021 to 2.9% compared to 1.8% in 2020 but fell to 2.0% in 2024, which is an indication of decreased efficiency in asset-generated profits. Similarly, Return on Equity (ROE) dropped from 10.6% in 2021 to 6.3% in 2024. The Return on Capital Employed (ROCE) decreased to 4.6% in 2024 compared to 5.3% in 2021, indicating poorer </w:t>
      </w:r>
      <w:r w:rsidR="003D66BC" w:rsidRPr="00CE2B0C">
        <w:rPr>
          <w:rFonts w:ascii="Arial" w:hAnsi="Arial" w:cs="Arial"/>
          <w:lang w:val="en-GB"/>
        </w:rPr>
        <w:t>utilisation</w:t>
      </w:r>
      <w:r w:rsidRPr="00CE2B0C">
        <w:rPr>
          <w:rFonts w:ascii="Arial" w:hAnsi="Arial" w:cs="Arial"/>
          <w:lang w:val="en-GB"/>
        </w:rPr>
        <w:t xml:space="preserve"> of long-term capital. The EBITDA Margin also demonstrated a decrease in the years 2021 and 2024</w:t>
      </w:r>
      <w:r w:rsidR="003D66BC" w:rsidRPr="00CE2B0C">
        <w:rPr>
          <w:rFonts w:ascii="Arial" w:hAnsi="Arial" w:cs="Arial"/>
          <w:lang w:val="en-GB"/>
        </w:rPr>
        <w:t>,</w:t>
      </w:r>
      <w:r w:rsidRPr="00CE2B0C">
        <w:rPr>
          <w:rFonts w:ascii="Arial" w:hAnsi="Arial" w:cs="Arial"/>
          <w:lang w:val="en-GB"/>
        </w:rPr>
        <w:t xml:space="preserve"> as the EBITDA Margin decreased to 12.4% in 2024 compared to 15.0% in 2021</w:t>
      </w:r>
      <w:r w:rsidR="003D66BC" w:rsidRPr="00CE2B0C">
        <w:rPr>
          <w:rFonts w:ascii="Arial" w:hAnsi="Arial" w:cs="Arial"/>
          <w:lang w:val="en-GB"/>
        </w:rPr>
        <w:t xml:space="preserve">. This indicates that </w:t>
      </w:r>
      <w:r w:rsidRPr="00CE2B0C">
        <w:rPr>
          <w:rFonts w:ascii="Arial" w:hAnsi="Arial" w:cs="Arial"/>
          <w:lang w:val="en-GB"/>
        </w:rPr>
        <w:t xml:space="preserve">Volkswagen is now less able to generate profit. </w:t>
      </w:r>
      <w:r w:rsidR="003D66BC" w:rsidRPr="00CE2B0C">
        <w:rPr>
          <w:rFonts w:ascii="Arial" w:hAnsi="Arial" w:cs="Arial"/>
          <w:lang w:val="en-GB"/>
        </w:rPr>
        <w:t xml:space="preserve"> However, </w:t>
      </w:r>
      <w:r w:rsidRPr="00CE2B0C">
        <w:rPr>
          <w:rFonts w:ascii="Arial" w:hAnsi="Arial" w:cs="Arial"/>
          <w:lang w:val="en-GB"/>
        </w:rPr>
        <w:t>these data indicate a decrease in profitability based on the key indicators.</w:t>
      </w:r>
    </w:p>
    <w:p w14:paraId="09A0D9B3" w14:textId="35F12385" w:rsidR="00997A1A" w:rsidRPr="00CE2B0C" w:rsidRDefault="00997A1A" w:rsidP="007B08F1">
      <w:pPr>
        <w:pStyle w:val="Heading2"/>
        <w:spacing w:line="360" w:lineRule="auto"/>
        <w:rPr>
          <w:rFonts w:cs="Arial"/>
          <w:szCs w:val="24"/>
          <w:lang w:val="en-GB"/>
        </w:rPr>
      </w:pPr>
      <w:bookmarkStart w:id="5" w:name="_Toc227812679"/>
      <w:r w:rsidRPr="00CE2B0C">
        <w:rPr>
          <w:rFonts w:cs="Arial"/>
          <w:szCs w:val="24"/>
          <w:lang w:val="en-GB"/>
        </w:rPr>
        <w:t>2.2 Liquidity Analysis</w:t>
      </w:r>
      <w:bookmarkEnd w:id="5"/>
    </w:p>
    <w:p w14:paraId="206E4F24" w14:textId="361E887C" w:rsidR="003D66BC" w:rsidRPr="00CE2B0C" w:rsidRDefault="003D66BC" w:rsidP="007B08F1">
      <w:pPr>
        <w:spacing w:line="360" w:lineRule="auto"/>
        <w:jc w:val="both"/>
        <w:rPr>
          <w:rFonts w:ascii="Arial" w:hAnsi="Arial" w:cs="Arial"/>
          <w:lang w:val="en-GB"/>
        </w:rPr>
      </w:pPr>
      <w:r w:rsidRPr="00CE2B0C">
        <w:rPr>
          <w:rFonts w:ascii="Arial" w:hAnsi="Arial" w:cs="Arial"/>
          <w:lang w:val="en-GB"/>
        </w:rPr>
        <w:t xml:space="preserve">The liquidity ratios used in Volkswagen indicate a slow deterioration of the company's capacity to settle its short-term liabilities. The Current Ratio decreased from 1.18 in 2020 to 1.13 in 2024. Although it remains above 1.0, this decreasing trend is an indication of increased liquidity pressure as the assets held by Volkswagen are less powerful to finance its current liabilities. Likewise, the Quick Ratio (without inventories) declined to 0.91 in 2020 to 0.87 in 2024 and indicates a lower ability to cover short-term debts using liquid assets (Zhou, 2025). The Cash Ratio also declined in 2024, as it was 0.24 in 2020, which also suggests lower </w:t>
      </w:r>
      <w:r w:rsidRPr="00CE2B0C">
        <w:rPr>
          <w:rFonts w:ascii="Arial" w:hAnsi="Arial" w:cs="Arial"/>
          <w:lang w:val="en-GB"/>
        </w:rPr>
        <w:lastRenderedPageBreak/>
        <w:t xml:space="preserve">immediate liquidity. However, Net Working Capital was also positive during the period, but it dropped between 2021 and 2024, which indicates a reduction in the short-term financial buffer of Volkswagen. Although liquidity pressures are growing, Volkswagen can cover its short-term </w:t>
      </w:r>
      <w:proofErr w:type="gramStart"/>
      <w:r w:rsidRPr="00CE2B0C">
        <w:rPr>
          <w:rFonts w:ascii="Arial" w:hAnsi="Arial" w:cs="Arial"/>
          <w:lang w:val="en-GB"/>
        </w:rPr>
        <w:t>liabilities,</w:t>
      </w:r>
      <w:proofErr w:type="gramEnd"/>
      <w:r w:rsidRPr="00CE2B0C">
        <w:rPr>
          <w:rFonts w:ascii="Arial" w:hAnsi="Arial" w:cs="Arial"/>
          <w:lang w:val="en-GB"/>
        </w:rPr>
        <w:t xml:space="preserve"> although the deteriorating ratios indicate a risk should the trend persist.</w:t>
      </w:r>
    </w:p>
    <w:p w14:paraId="4FA8DDDC" w14:textId="44DE54F7" w:rsidR="00997A1A" w:rsidRPr="00CE2B0C" w:rsidRDefault="00997A1A" w:rsidP="007B08F1">
      <w:pPr>
        <w:pStyle w:val="Heading2"/>
        <w:spacing w:line="360" w:lineRule="auto"/>
        <w:rPr>
          <w:rFonts w:cs="Arial"/>
          <w:szCs w:val="24"/>
          <w:lang w:val="en-GB"/>
        </w:rPr>
      </w:pPr>
      <w:bookmarkStart w:id="6" w:name="_Toc227812680"/>
      <w:r w:rsidRPr="00CE2B0C">
        <w:rPr>
          <w:rFonts w:cs="Arial"/>
          <w:szCs w:val="24"/>
          <w:lang w:val="en-GB"/>
        </w:rPr>
        <w:t>2.3 Efficiency Analysis</w:t>
      </w:r>
      <w:bookmarkEnd w:id="6"/>
    </w:p>
    <w:p w14:paraId="20433446" w14:textId="4B98D15C" w:rsidR="003D66BC" w:rsidRPr="00CE2B0C" w:rsidRDefault="003D66BC" w:rsidP="007B08F1">
      <w:pPr>
        <w:spacing w:line="360" w:lineRule="auto"/>
        <w:jc w:val="both"/>
        <w:rPr>
          <w:rFonts w:ascii="Arial" w:hAnsi="Arial" w:cs="Arial"/>
          <w:lang w:val="en-GB"/>
        </w:rPr>
      </w:pPr>
      <w:r w:rsidRPr="00CE2B0C">
        <w:rPr>
          <w:rFonts w:ascii="Arial" w:hAnsi="Arial" w:cs="Arial"/>
          <w:lang w:val="en-GB"/>
        </w:rPr>
        <w:t>The efficiency ratios of Volkswagen show both positive and negative results, as there has been some improvement, but there are still inefficiencies. The Asset Turnover Ratio rose with 0.45 in 2020 to 0.51 in 2024, which means that the efficiency of generating revenue on assets slightly improved (</w:t>
      </w:r>
      <w:proofErr w:type="spellStart"/>
      <w:r w:rsidRPr="00CE2B0C">
        <w:rPr>
          <w:rFonts w:ascii="Arial" w:hAnsi="Arial" w:cs="Arial"/>
          <w:lang w:val="en-GB"/>
        </w:rPr>
        <w:t>Lidvall</w:t>
      </w:r>
      <w:proofErr w:type="spellEnd"/>
      <w:r w:rsidRPr="00CE2B0C">
        <w:rPr>
          <w:rFonts w:ascii="Arial" w:hAnsi="Arial" w:cs="Arial"/>
          <w:lang w:val="en-GB"/>
        </w:rPr>
        <w:t xml:space="preserve"> and </w:t>
      </w:r>
      <w:proofErr w:type="spellStart"/>
      <w:r w:rsidRPr="00CE2B0C">
        <w:rPr>
          <w:rFonts w:ascii="Arial" w:hAnsi="Arial" w:cs="Arial"/>
          <w:lang w:val="en-GB"/>
        </w:rPr>
        <w:t>Rafstedt</w:t>
      </w:r>
      <w:proofErr w:type="spellEnd"/>
      <w:r w:rsidRPr="00CE2B0C">
        <w:rPr>
          <w:rFonts w:ascii="Arial" w:hAnsi="Arial" w:cs="Arial"/>
          <w:lang w:val="en-GB"/>
        </w:rPr>
        <w:t>, 2023). Nevertheless, the ratio is low which points to an opportunity to optimise the use of assets. Compared to 4.20 in 2020, the Inventory Turnover Ratio improved to 4.68 in 2024, indicating an improvement in inventory management. Nevertheless, the enhancement was rather limited indicating that the inventory turnover might be optimised. Likewise, the Inventory Days declined from 87.0 days in 2020 to 78.1 days in 2024, yet the value is still high which shows some inefficiency in managing inventory. VW Receivable Days has a greater efficiency in payments with the Receivable Days increasing to 23.8 days in 2024 as compared to 26.6 days in 2020. The Payable Days also changed positively as it was 45.0 days in 2020, and then it was 41.0 days in 2024, which is a better indicator of supplier credit management. The Cash Operating Cycle was lower in 2024 compared to 2020, 60.8 days, but was rather high.</w:t>
      </w:r>
    </w:p>
    <w:p w14:paraId="1EF11223" w14:textId="10336F58" w:rsidR="00997A1A" w:rsidRPr="00CE2B0C" w:rsidRDefault="00997A1A" w:rsidP="007B08F1">
      <w:pPr>
        <w:pStyle w:val="Heading2"/>
        <w:spacing w:line="360" w:lineRule="auto"/>
        <w:rPr>
          <w:rFonts w:cs="Arial"/>
          <w:szCs w:val="24"/>
          <w:lang w:val="en-GB"/>
        </w:rPr>
      </w:pPr>
      <w:bookmarkStart w:id="7" w:name="_Toc227812681"/>
      <w:r w:rsidRPr="00CE2B0C">
        <w:rPr>
          <w:rFonts w:cs="Arial"/>
          <w:szCs w:val="24"/>
          <w:lang w:val="en-GB"/>
        </w:rPr>
        <w:t>2.4 Gearing / Leverage Ratios</w:t>
      </w:r>
      <w:bookmarkEnd w:id="7"/>
    </w:p>
    <w:p w14:paraId="26A9D0D4" w14:textId="79DC3517" w:rsidR="003D66BC" w:rsidRPr="00CE2B0C" w:rsidRDefault="003D66BC" w:rsidP="007B08F1">
      <w:pPr>
        <w:spacing w:line="360" w:lineRule="auto"/>
        <w:jc w:val="both"/>
        <w:rPr>
          <w:rFonts w:ascii="Arial" w:hAnsi="Arial" w:cs="Arial"/>
          <w:lang w:val="en-GB"/>
        </w:rPr>
      </w:pPr>
      <w:r w:rsidRPr="00CE2B0C">
        <w:rPr>
          <w:rFonts w:ascii="Arial" w:hAnsi="Arial" w:cs="Arial"/>
          <w:lang w:val="en-GB"/>
        </w:rPr>
        <w:t>Volkswagen's gearing ratios indicate the increasing use of debt financing, which increases financial risk. Debt-to-Equity Ratio declined in 2024 to 1.29, which shows the leveraging reduced in comparison to the 2020 figure (1.58). Nonetheless, the ratio is still high, which shows that Volkswagen is still highly dependent on debt. In the same manner, the Total Debt-to-Assets Ratio has declined a bit, with 40.9% in 2020 to 40.1% in 2024, indicating that Volkswagen has debt levels that are still high compared to its assets (</w:t>
      </w:r>
      <w:proofErr w:type="spellStart"/>
      <w:r w:rsidRPr="00CE2B0C">
        <w:rPr>
          <w:rFonts w:ascii="Arial" w:hAnsi="Arial" w:cs="Arial"/>
          <w:lang w:val="en-GB"/>
        </w:rPr>
        <w:t>Qureshi</w:t>
      </w:r>
      <w:proofErr w:type="spellEnd"/>
      <w:r w:rsidRPr="00CE2B0C">
        <w:rPr>
          <w:rFonts w:ascii="Arial" w:hAnsi="Arial" w:cs="Arial"/>
          <w:lang w:val="en-GB"/>
        </w:rPr>
        <w:t xml:space="preserve"> and Khan, 2025). Interest coverage Ratio indicates how many times Volkswagen can pay operating profits to meet interest payments also declined considerably to 50.05 in 2022 and to 5.53 in 2024. This indicates that </w:t>
      </w:r>
      <w:r w:rsidRPr="00CE2B0C">
        <w:rPr>
          <w:rFonts w:ascii="Arial" w:hAnsi="Arial" w:cs="Arial"/>
          <w:lang w:val="en-GB"/>
        </w:rPr>
        <w:lastRenderedPageBreak/>
        <w:t>the company became less able to cover its interest payments with operating profits. Net Debt grew from €169,548 million in 2020 to €213,785 million in 2024, reflecting a rising debt burden. The Gearing Ratio (Net Debt/Equity) dropped to 108.7% in 2024 as compared to 131.7% in 2020, which is a slight decline in the financial leverage but still reflects high financial risk.</w:t>
      </w:r>
    </w:p>
    <w:p w14:paraId="3028AD68" w14:textId="110923A9" w:rsidR="00997A1A" w:rsidRPr="00CE2B0C" w:rsidRDefault="00997A1A" w:rsidP="007B08F1">
      <w:pPr>
        <w:pStyle w:val="Heading2"/>
        <w:spacing w:line="360" w:lineRule="auto"/>
        <w:rPr>
          <w:rFonts w:cs="Arial"/>
          <w:szCs w:val="24"/>
          <w:lang w:val="en-GB"/>
        </w:rPr>
      </w:pPr>
      <w:bookmarkStart w:id="8" w:name="_Toc227812682"/>
      <w:r w:rsidRPr="00CE2B0C">
        <w:rPr>
          <w:rFonts w:cs="Arial"/>
          <w:szCs w:val="24"/>
          <w:lang w:val="en-GB"/>
        </w:rPr>
        <w:t>2.5 Investment Ratios</w:t>
      </w:r>
      <w:bookmarkEnd w:id="8"/>
    </w:p>
    <w:p w14:paraId="6C4C5312" w14:textId="78C34E21" w:rsidR="003D66BC" w:rsidRPr="00CE2B0C" w:rsidRDefault="003D66BC" w:rsidP="007B08F1">
      <w:pPr>
        <w:spacing w:line="360" w:lineRule="auto"/>
        <w:jc w:val="both"/>
        <w:rPr>
          <w:rFonts w:ascii="Arial" w:hAnsi="Arial" w:cs="Arial"/>
          <w:lang w:val="en-GB"/>
        </w:rPr>
      </w:pPr>
      <w:r w:rsidRPr="00CE2B0C">
        <w:rPr>
          <w:rFonts w:ascii="Arial" w:hAnsi="Arial" w:cs="Arial"/>
          <w:lang w:val="en-GB"/>
        </w:rPr>
        <w:t xml:space="preserve">The investment ratios of Volkswagen indicate a decreasing trend in the returns to shareholders, although it is also investing in long-term growth. The Earnings </w:t>
      </w:r>
      <w:proofErr w:type="gramStart"/>
      <w:r w:rsidRPr="00CE2B0C">
        <w:rPr>
          <w:rFonts w:ascii="Arial" w:hAnsi="Arial" w:cs="Arial"/>
          <w:lang w:val="en-GB"/>
        </w:rPr>
        <w:t>Per</w:t>
      </w:r>
      <w:proofErr w:type="gramEnd"/>
      <w:r w:rsidRPr="00CE2B0C">
        <w:rPr>
          <w:rFonts w:ascii="Arial" w:hAnsi="Arial" w:cs="Arial"/>
          <w:lang w:val="en-GB"/>
        </w:rPr>
        <w:t xml:space="preserve"> Share (EPS) increased from €16.62 in 2020 to €31.94 in 2023, before falling to €21.39 in 2024. The drop in EPS shows the decrease in profitability, and increasing costs and decreasing revenue affect the shareholder returns (Volkswagen AG, 2024). Dividend </w:t>
      </w:r>
      <w:proofErr w:type="gramStart"/>
      <w:r w:rsidRPr="00CE2B0C">
        <w:rPr>
          <w:rFonts w:ascii="Arial" w:hAnsi="Arial" w:cs="Arial"/>
          <w:lang w:val="en-GB"/>
        </w:rPr>
        <w:t>Per</w:t>
      </w:r>
      <w:proofErr w:type="gramEnd"/>
      <w:r w:rsidRPr="00CE2B0C">
        <w:rPr>
          <w:rFonts w:ascii="Arial" w:hAnsi="Arial" w:cs="Arial"/>
          <w:lang w:val="en-GB"/>
        </w:rPr>
        <w:t xml:space="preserve"> Share is growing, with a value of 4.8 in 2020 to 6.0 in 2024, showing that this company cares about shareholder value. However, the Dividend </w:t>
      </w:r>
      <w:proofErr w:type="spellStart"/>
      <w:r w:rsidRPr="00CE2B0C">
        <w:rPr>
          <w:rFonts w:ascii="Arial" w:hAnsi="Arial" w:cs="Arial"/>
          <w:lang w:val="en-GB"/>
        </w:rPr>
        <w:t>Payout</w:t>
      </w:r>
      <w:proofErr w:type="spellEnd"/>
      <w:r w:rsidRPr="00CE2B0C">
        <w:rPr>
          <w:rFonts w:ascii="Arial" w:hAnsi="Arial" w:cs="Arial"/>
          <w:lang w:val="en-GB"/>
        </w:rPr>
        <w:t xml:space="preserve"> Ratio stood at 28 and 28. Thus, the dividends were paid in accordance with the decreasing earnings and the capacity of the company to pay increasing dividends to shareholders was reduced. The Capital Expenditure to Revenue Ratio of Volkswagen was between 7.4% in 2021 and 8.5% in 2024, indicating that the company has had a stable level of investment in long-term projects, especially in the electric vehicle industry. Although this investment is essential to the future of Volkswagen, its profitability is decreasing casting doubt on the viability of such investments.</w:t>
      </w:r>
    </w:p>
    <w:p w14:paraId="50A46CB1" w14:textId="437B4D2B" w:rsidR="00997A1A" w:rsidRPr="00CE2B0C" w:rsidRDefault="00997A1A" w:rsidP="007B08F1">
      <w:pPr>
        <w:pStyle w:val="Heading2"/>
        <w:spacing w:line="360" w:lineRule="auto"/>
        <w:rPr>
          <w:rFonts w:cs="Arial"/>
          <w:szCs w:val="24"/>
          <w:lang w:val="en-GB"/>
        </w:rPr>
      </w:pPr>
      <w:bookmarkStart w:id="9" w:name="_Toc227812683"/>
      <w:r w:rsidRPr="00CE2B0C">
        <w:rPr>
          <w:rFonts w:cs="Arial"/>
          <w:szCs w:val="24"/>
          <w:lang w:val="en-GB"/>
        </w:rPr>
        <w:t>2.6 Cash Flow Ratios</w:t>
      </w:r>
      <w:bookmarkEnd w:id="9"/>
    </w:p>
    <w:p w14:paraId="1B163B7B" w14:textId="103678BC" w:rsidR="003D66BC" w:rsidRPr="00CE2B0C" w:rsidRDefault="003D66BC" w:rsidP="007B08F1">
      <w:pPr>
        <w:spacing w:line="360" w:lineRule="auto"/>
        <w:jc w:val="both"/>
        <w:rPr>
          <w:rFonts w:ascii="Arial" w:hAnsi="Arial" w:cs="Arial"/>
          <w:lang w:val="en-GB"/>
        </w:rPr>
      </w:pPr>
      <w:r w:rsidRPr="00CE2B0C">
        <w:rPr>
          <w:rFonts w:ascii="Arial" w:hAnsi="Arial" w:cs="Arial"/>
          <w:lang w:val="en-GB"/>
        </w:rPr>
        <w:t xml:space="preserve">The cash flow ratios show that Volkswagen has a waning cash-generating and cash-management capability. The Operating Cash Flow (OCF) Ratio dropped to </w:t>
      </w:r>
      <w:proofErr w:type="gramStart"/>
      <w:r w:rsidRPr="00CE2B0C">
        <w:rPr>
          <w:rFonts w:ascii="Arial" w:hAnsi="Arial" w:cs="Arial"/>
          <w:lang w:val="en-GB"/>
        </w:rPr>
        <w:t>0.08x</w:t>
      </w:r>
      <w:proofErr w:type="gramEnd"/>
      <w:r w:rsidRPr="00CE2B0C">
        <w:rPr>
          <w:rFonts w:ascii="Arial" w:hAnsi="Arial" w:cs="Arial"/>
          <w:lang w:val="en-GB"/>
        </w:rPr>
        <w:t xml:space="preserve"> in 2024, indicating that the company has become much less efficient in regard to its capacity of meeting short-term liabilities using operating cash flow, as compared to 0.24x in 2021. On the same note, the OCF to Net Income Ratio declined to a lower level of </w:t>
      </w:r>
      <w:proofErr w:type="gramStart"/>
      <w:r w:rsidRPr="00CE2B0C">
        <w:rPr>
          <w:rFonts w:ascii="Arial" w:hAnsi="Arial" w:cs="Arial"/>
          <w:lang w:val="en-GB"/>
        </w:rPr>
        <w:t>1.38x</w:t>
      </w:r>
      <w:proofErr w:type="gramEnd"/>
      <w:r w:rsidRPr="00CE2B0C">
        <w:rPr>
          <w:rFonts w:ascii="Arial" w:hAnsi="Arial" w:cs="Arial"/>
          <w:lang w:val="en-GB"/>
        </w:rPr>
        <w:t xml:space="preserve"> in 2024 as compared to 2.82x in 2020 indicating that profitability was increasingly being sustained by reduced cash flow (</w:t>
      </w:r>
      <w:proofErr w:type="spellStart"/>
      <w:r w:rsidRPr="00CE2B0C">
        <w:rPr>
          <w:rFonts w:ascii="Arial" w:hAnsi="Arial" w:cs="Arial"/>
          <w:lang w:val="en-GB"/>
        </w:rPr>
        <w:t>Mensah</w:t>
      </w:r>
      <w:proofErr w:type="spellEnd"/>
      <w:r w:rsidRPr="00CE2B0C">
        <w:rPr>
          <w:rFonts w:ascii="Arial" w:hAnsi="Arial" w:cs="Arial"/>
          <w:lang w:val="en-GB"/>
        </w:rPr>
        <w:t xml:space="preserve"> et al., 2025). In 2023, Volkswagen's free cash flow became negative, falling to -10,295 million in 2024, a decrease compared to the 2021 level of €20,135 million. It means that there is a very acute lack of cash and the firm is increasingly unable to finance the capital </w:t>
      </w:r>
      <w:r w:rsidRPr="00CE2B0C">
        <w:rPr>
          <w:rFonts w:ascii="Arial" w:hAnsi="Arial" w:cs="Arial"/>
          <w:lang w:val="en-GB"/>
        </w:rPr>
        <w:lastRenderedPageBreak/>
        <w:t xml:space="preserve">expenditures with the help of operating cash flow. The </w:t>
      </w:r>
      <w:proofErr w:type="spellStart"/>
      <w:r w:rsidRPr="00CE2B0C">
        <w:rPr>
          <w:rFonts w:ascii="Arial" w:hAnsi="Arial" w:cs="Arial"/>
          <w:lang w:val="en-GB"/>
        </w:rPr>
        <w:t>Capex</w:t>
      </w:r>
      <w:proofErr w:type="spellEnd"/>
      <w:r w:rsidRPr="00CE2B0C">
        <w:rPr>
          <w:rFonts w:ascii="Arial" w:hAnsi="Arial" w:cs="Arial"/>
          <w:lang w:val="en-GB"/>
        </w:rPr>
        <w:t xml:space="preserve"> Coverage Ratio improved in the year 2021 to </w:t>
      </w:r>
      <w:proofErr w:type="gramStart"/>
      <w:r w:rsidRPr="00CE2B0C">
        <w:rPr>
          <w:rFonts w:ascii="Arial" w:hAnsi="Arial" w:cs="Arial"/>
          <w:lang w:val="en-GB"/>
        </w:rPr>
        <w:t>0.62x</w:t>
      </w:r>
      <w:proofErr w:type="gramEnd"/>
      <w:r w:rsidRPr="00CE2B0C">
        <w:rPr>
          <w:rFonts w:ascii="Arial" w:hAnsi="Arial" w:cs="Arial"/>
          <w:lang w:val="en-GB"/>
        </w:rPr>
        <w:t xml:space="preserve"> in 2024 indicating that operating cash flow was no longer sufficient to cover capital expenditures. Cash Return on Assets declined to 2.7% in 2024 compared to 7.3% in 2021, which is also a sign of a decline in the capability of Volkswagen to generate cash out of its assets (Zhou, 2025).</w:t>
      </w:r>
    </w:p>
    <w:p w14:paraId="3332BA2B" w14:textId="1E6B728D" w:rsidR="00997A1A" w:rsidRPr="00CE2B0C" w:rsidRDefault="00997A1A" w:rsidP="007B08F1">
      <w:pPr>
        <w:pStyle w:val="Heading2"/>
        <w:spacing w:line="360" w:lineRule="auto"/>
        <w:rPr>
          <w:rFonts w:cs="Arial"/>
          <w:szCs w:val="24"/>
          <w:lang w:val="en-GB"/>
        </w:rPr>
      </w:pPr>
      <w:bookmarkStart w:id="10" w:name="_Toc227812684"/>
      <w:r w:rsidRPr="00CE2B0C">
        <w:rPr>
          <w:rFonts w:cs="Arial"/>
          <w:szCs w:val="24"/>
          <w:lang w:val="en-GB"/>
        </w:rPr>
        <w:t>2.7 Trends, Strengths, and Threats</w:t>
      </w:r>
      <w:bookmarkEnd w:id="10"/>
    </w:p>
    <w:p w14:paraId="48404E85" w14:textId="77777777" w:rsidR="003D66BC" w:rsidRPr="00CE2B0C" w:rsidRDefault="003D66BC" w:rsidP="007B08F1">
      <w:pPr>
        <w:spacing w:line="360" w:lineRule="auto"/>
        <w:rPr>
          <w:rFonts w:ascii="Arial" w:hAnsi="Arial" w:cs="Arial"/>
          <w:b/>
          <w:bCs/>
          <w:lang w:val="en-GB"/>
        </w:rPr>
      </w:pPr>
      <w:r w:rsidRPr="00CE2B0C">
        <w:rPr>
          <w:rFonts w:ascii="Arial" w:hAnsi="Arial" w:cs="Arial"/>
          <w:b/>
          <w:bCs/>
          <w:lang w:val="en-GB"/>
        </w:rPr>
        <w:t>Trends:</w:t>
      </w:r>
    </w:p>
    <w:p w14:paraId="66111131" w14:textId="22D5AEF0" w:rsidR="003D66BC" w:rsidRPr="00CE2B0C" w:rsidRDefault="003D66BC" w:rsidP="007B08F1">
      <w:pPr>
        <w:spacing w:line="360" w:lineRule="auto"/>
        <w:jc w:val="both"/>
        <w:rPr>
          <w:rFonts w:ascii="Arial" w:hAnsi="Arial" w:cs="Arial"/>
          <w:lang w:val="en-GB"/>
        </w:rPr>
      </w:pPr>
      <w:r w:rsidRPr="00CE2B0C">
        <w:rPr>
          <w:rFonts w:ascii="Arial" w:hAnsi="Arial" w:cs="Arial"/>
          <w:lang w:val="en-GB"/>
        </w:rPr>
        <w:t xml:space="preserve">The financial performance of Volkswagen in 2020-2024 revealed a steady decrease in profitability, declining margins and returns on assets and equity. Liquidity ratios of the company also </w:t>
      </w:r>
      <w:proofErr w:type="gramStart"/>
      <w:r w:rsidRPr="00CE2B0C">
        <w:rPr>
          <w:rFonts w:ascii="Arial" w:hAnsi="Arial" w:cs="Arial"/>
          <w:lang w:val="en-GB"/>
        </w:rPr>
        <w:t>fluctuate</w:t>
      </w:r>
      <w:proofErr w:type="gramEnd"/>
      <w:r w:rsidRPr="00CE2B0C">
        <w:rPr>
          <w:rFonts w:ascii="Arial" w:hAnsi="Arial" w:cs="Arial"/>
          <w:lang w:val="en-GB"/>
        </w:rPr>
        <w:t xml:space="preserve"> indicating increasing stress on the short-term financial flexibility. Despite the slight improvement in the efficiency ratios, Volkswagen continues to encounter problems in its inventory and working capital management. The growing debt and the falling interest coverage ratios vividly point towards the escalating financial risk.</w:t>
      </w:r>
    </w:p>
    <w:p w14:paraId="37CD6C94" w14:textId="77777777" w:rsidR="003D66BC" w:rsidRPr="00CE2B0C" w:rsidRDefault="003D66BC" w:rsidP="007B08F1">
      <w:pPr>
        <w:spacing w:line="360" w:lineRule="auto"/>
        <w:rPr>
          <w:rFonts w:ascii="Arial" w:hAnsi="Arial" w:cs="Arial"/>
          <w:b/>
          <w:bCs/>
          <w:lang w:val="en-GB"/>
        </w:rPr>
      </w:pPr>
      <w:r w:rsidRPr="00CE2B0C">
        <w:rPr>
          <w:rFonts w:ascii="Arial" w:hAnsi="Arial" w:cs="Arial"/>
          <w:b/>
          <w:bCs/>
          <w:lang w:val="en-GB"/>
        </w:rPr>
        <w:t>Strengths:</w:t>
      </w:r>
    </w:p>
    <w:p w14:paraId="5ECB3332" w14:textId="24DB0DF2" w:rsidR="003D66BC" w:rsidRPr="00CE2B0C" w:rsidRDefault="003D66BC" w:rsidP="007B08F1">
      <w:pPr>
        <w:spacing w:line="360" w:lineRule="auto"/>
        <w:jc w:val="both"/>
        <w:rPr>
          <w:rFonts w:ascii="Arial" w:hAnsi="Arial" w:cs="Arial"/>
          <w:lang w:val="en-GB"/>
        </w:rPr>
      </w:pPr>
      <w:r w:rsidRPr="00CE2B0C">
        <w:rPr>
          <w:rFonts w:ascii="Arial" w:hAnsi="Arial" w:cs="Arial"/>
          <w:lang w:val="en-GB"/>
        </w:rPr>
        <w:t>The asset base, long-term growth commitment and the future investment in electric vehicles of Volkswagen are strong points of the company. Although its profitability is on a downward trend, the company has the capacity to sustain a positive net working capital and to invest in future technologies, which makes it a successful company in the long run.</w:t>
      </w:r>
    </w:p>
    <w:p w14:paraId="3477DF4E" w14:textId="77777777" w:rsidR="003D66BC" w:rsidRPr="00CE2B0C" w:rsidRDefault="003D66BC" w:rsidP="007B08F1">
      <w:pPr>
        <w:spacing w:line="360" w:lineRule="auto"/>
        <w:rPr>
          <w:rFonts w:ascii="Arial" w:hAnsi="Arial" w:cs="Arial"/>
          <w:b/>
          <w:bCs/>
          <w:lang w:val="en-GB"/>
        </w:rPr>
      </w:pPr>
      <w:r w:rsidRPr="00CE2B0C">
        <w:rPr>
          <w:rFonts w:ascii="Arial" w:hAnsi="Arial" w:cs="Arial"/>
          <w:b/>
          <w:bCs/>
          <w:lang w:val="en-GB"/>
        </w:rPr>
        <w:t>Threats:</w:t>
      </w:r>
    </w:p>
    <w:p w14:paraId="47C96905" w14:textId="4487EFBF" w:rsidR="003D66BC" w:rsidRPr="00CE2B0C" w:rsidRDefault="003D66BC" w:rsidP="007B08F1">
      <w:pPr>
        <w:spacing w:line="360" w:lineRule="auto"/>
        <w:jc w:val="both"/>
        <w:rPr>
          <w:rFonts w:ascii="Arial" w:hAnsi="Arial" w:cs="Arial"/>
          <w:lang w:val="en-GB"/>
        </w:rPr>
      </w:pPr>
      <w:r w:rsidRPr="00CE2B0C">
        <w:rPr>
          <w:rFonts w:ascii="Arial" w:hAnsi="Arial" w:cs="Arial"/>
          <w:lang w:val="en-GB"/>
        </w:rPr>
        <w:t>Volkswagen is exposed to many threats such as increasing debt, decreased profitability, and poor cash flow. Its debt financing exposes it to greater financial risk and the declining liquidity ratios suggest that the company may not be able to fulfil its short-term liabilities. Its cash flow also decreases and this puts the company at risk of failing to finance investments especially when capital expenditures are high.</w:t>
      </w:r>
    </w:p>
    <w:p w14:paraId="08E93B89" w14:textId="77777777" w:rsidR="002A7EF1" w:rsidRPr="00CE2B0C" w:rsidRDefault="002A7EF1" w:rsidP="007B08F1">
      <w:pPr>
        <w:spacing w:line="360" w:lineRule="auto"/>
        <w:jc w:val="both"/>
        <w:rPr>
          <w:rFonts w:ascii="Arial" w:hAnsi="Arial" w:cs="Arial"/>
          <w:lang w:val="en-GB"/>
        </w:rPr>
      </w:pPr>
    </w:p>
    <w:p w14:paraId="5E3E8B82" w14:textId="2428AEDF" w:rsidR="008A248A" w:rsidRPr="00CE2B0C" w:rsidRDefault="00022456" w:rsidP="007B08F1">
      <w:pPr>
        <w:pStyle w:val="Heading1"/>
        <w:spacing w:line="360" w:lineRule="auto"/>
        <w:rPr>
          <w:rFonts w:cs="Arial"/>
          <w:b w:val="0"/>
          <w:bCs/>
          <w:szCs w:val="24"/>
          <w:lang w:val="en-GB"/>
        </w:rPr>
      </w:pPr>
      <w:bookmarkStart w:id="11" w:name="_Toc227812685"/>
      <w:r w:rsidRPr="00CE2B0C">
        <w:rPr>
          <w:rFonts w:cs="Arial"/>
          <w:bCs/>
          <w:szCs w:val="24"/>
          <w:lang w:val="en-GB"/>
        </w:rPr>
        <w:lastRenderedPageBreak/>
        <w:t>3</w:t>
      </w:r>
      <w:r w:rsidR="008A248A" w:rsidRPr="00CE2B0C">
        <w:rPr>
          <w:rFonts w:cs="Arial"/>
          <w:bCs/>
          <w:szCs w:val="24"/>
          <w:lang w:val="en-GB"/>
        </w:rPr>
        <w:t>. Working Capital Management Analysis</w:t>
      </w:r>
      <w:bookmarkEnd w:id="11"/>
    </w:p>
    <w:p w14:paraId="19EE30E0" w14:textId="374C582E" w:rsidR="008A248A" w:rsidRPr="00CE2B0C" w:rsidRDefault="00022456" w:rsidP="007B08F1">
      <w:pPr>
        <w:pStyle w:val="Heading2"/>
        <w:spacing w:line="360" w:lineRule="auto"/>
        <w:rPr>
          <w:rFonts w:cs="Arial"/>
          <w:b w:val="0"/>
          <w:bCs/>
          <w:szCs w:val="24"/>
          <w:lang w:val="en-GB"/>
        </w:rPr>
      </w:pPr>
      <w:bookmarkStart w:id="12" w:name="_Toc227812686"/>
      <w:r w:rsidRPr="00CE2B0C">
        <w:rPr>
          <w:rFonts w:cs="Arial"/>
          <w:bCs/>
          <w:szCs w:val="24"/>
          <w:lang w:val="en-GB"/>
        </w:rPr>
        <w:t>3</w:t>
      </w:r>
      <w:r w:rsidR="008A248A" w:rsidRPr="00CE2B0C">
        <w:rPr>
          <w:rFonts w:cs="Arial"/>
          <w:bCs/>
          <w:szCs w:val="24"/>
          <w:lang w:val="en-GB"/>
        </w:rPr>
        <w:t>.1 Cash Operating Cycle Assessment</w:t>
      </w:r>
      <w:bookmarkEnd w:id="12"/>
    </w:p>
    <w:p w14:paraId="67E7F4BB" w14:textId="076363E0" w:rsidR="00B52EA2" w:rsidRPr="00CE2B0C" w:rsidRDefault="00B52EA2" w:rsidP="007B08F1">
      <w:pPr>
        <w:pStyle w:val="Caption"/>
        <w:spacing w:line="360" w:lineRule="auto"/>
        <w:rPr>
          <w:rFonts w:ascii="Arial" w:hAnsi="Arial" w:cs="Arial"/>
          <w:b/>
          <w:bCs/>
          <w:sz w:val="24"/>
          <w:szCs w:val="24"/>
          <w:lang w:val="en-GB"/>
        </w:rPr>
      </w:pPr>
      <w:bookmarkStart w:id="13" w:name="_Toc227448972"/>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1</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Pr="00CE2B0C">
        <w:rPr>
          <w:rFonts w:ascii="Arial" w:hAnsi="Arial" w:cs="Arial"/>
          <w:b/>
          <w:bCs/>
          <w:sz w:val="24"/>
          <w:szCs w:val="24"/>
          <w:lang w:val="en-GB"/>
        </w:rPr>
        <w:t>Cash Operating Cycle</w:t>
      </w:r>
      <w:bookmarkEnd w:id="13"/>
      <w:r w:rsidRPr="00CE2B0C">
        <w:rPr>
          <w:rFonts w:ascii="Arial" w:hAnsi="Arial" w:cs="Arial"/>
          <w:b/>
          <w:bCs/>
          <w:sz w:val="24"/>
          <w:szCs w:val="24"/>
          <w:lang w:val="en-GB"/>
        </w:rPr>
        <w:t xml:space="preserve"> </w:t>
      </w:r>
    </w:p>
    <w:tbl>
      <w:tblPr>
        <w:tblStyle w:val="TableGrid"/>
        <w:tblW w:w="9077" w:type="dxa"/>
        <w:tblLook w:val="04A0" w:firstRow="1" w:lastRow="0" w:firstColumn="1" w:lastColumn="0" w:noHBand="0" w:noVBand="1"/>
      </w:tblPr>
      <w:tblGrid>
        <w:gridCol w:w="3686"/>
        <w:gridCol w:w="1492"/>
        <w:gridCol w:w="1078"/>
        <w:gridCol w:w="889"/>
        <w:gridCol w:w="1043"/>
        <w:gridCol w:w="889"/>
      </w:tblGrid>
      <w:tr w:rsidR="001B5B60" w:rsidRPr="00CE2B0C" w14:paraId="02C65093" w14:textId="77777777" w:rsidTr="007B08F1">
        <w:trPr>
          <w:trHeight w:val="959"/>
        </w:trPr>
        <w:tc>
          <w:tcPr>
            <w:tcW w:w="3686" w:type="dxa"/>
            <w:noWrap/>
          </w:tcPr>
          <w:p w14:paraId="4AA7E2FD" w14:textId="63C573D5" w:rsidR="001B5B60" w:rsidRPr="00CE2B0C" w:rsidRDefault="001B5B60" w:rsidP="007B08F1">
            <w:pPr>
              <w:spacing w:line="360" w:lineRule="auto"/>
              <w:ind w:firstLineChars="100" w:firstLine="241"/>
              <w:rPr>
                <w:rFonts w:ascii="Arial" w:eastAsia="Times New Roman" w:hAnsi="Arial" w:cs="Arial"/>
                <w:b/>
                <w:kern w:val="0"/>
                <w:lang w:val="en-GB"/>
                <w14:ligatures w14:val="none"/>
              </w:rPr>
            </w:pPr>
            <w:r w:rsidRPr="00CE2B0C">
              <w:rPr>
                <w:rFonts w:ascii="Arial" w:hAnsi="Arial" w:cs="Arial"/>
                <w:b/>
                <w:lang w:val="en-GB"/>
              </w:rPr>
              <w:t>Assessment</w:t>
            </w:r>
          </w:p>
        </w:tc>
        <w:tc>
          <w:tcPr>
            <w:tcW w:w="1492" w:type="dxa"/>
            <w:noWrap/>
          </w:tcPr>
          <w:p w14:paraId="35DA7909" w14:textId="5B2AB36B" w:rsidR="001B5B60" w:rsidRPr="00CE2B0C" w:rsidRDefault="001B5B60" w:rsidP="007B08F1">
            <w:pPr>
              <w:spacing w:line="360" w:lineRule="auto"/>
              <w:jc w:val="center"/>
              <w:rPr>
                <w:rFonts w:ascii="Arial" w:eastAsia="Times New Roman" w:hAnsi="Arial" w:cs="Arial"/>
                <w:b/>
                <w:kern w:val="0"/>
                <w:lang w:val="en-GB"/>
                <w14:ligatures w14:val="none"/>
              </w:rPr>
            </w:pPr>
            <w:r w:rsidRPr="00CE2B0C">
              <w:rPr>
                <w:rFonts w:ascii="Arial" w:eastAsia="Times New Roman" w:hAnsi="Arial" w:cs="Arial"/>
                <w:b/>
                <w:kern w:val="0"/>
                <w:lang w:val="en-GB"/>
                <w14:ligatures w14:val="none"/>
              </w:rPr>
              <w:t>2020</w:t>
            </w:r>
          </w:p>
        </w:tc>
        <w:tc>
          <w:tcPr>
            <w:tcW w:w="1078" w:type="dxa"/>
            <w:noWrap/>
          </w:tcPr>
          <w:p w14:paraId="1962153B" w14:textId="6A36B4ED" w:rsidR="001B5B60" w:rsidRPr="00CE2B0C" w:rsidRDefault="001B5B60" w:rsidP="007B08F1">
            <w:pPr>
              <w:spacing w:line="360" w:lineRule="auto"/>
              <w:jc w:val="center"/>
              <w:rPr>
                <w:rFonts w:ascii="Arial" w:eastAsia="Times New Roman" w:hAnsi="Arial" w:cs="Arial"/>
                <w:b/>
                <w:kern w:val="0"/>
                <w:lang w:val="en-GB"/>
                <w14:ligatures w14:val="none"/>
              </w:rPr>
            </w:pPr>
            <w:r w:rsidRPr="00CE2B0C">
              <w:rPr>
                <w:rFonts w:ascii="Arial" w:eastAsia="Times New Roman" w:hAnsi="Arial" w:cs="Arial"/>
                <w:b/>
                <w:kern w:val="0"/>
                <w:lang w:val="en-GB"/>
                <w14:ligatures w14:val="none"/>
              </w:rPr>
              <w:t>2021</w:t>
            </w:r>
          </w:p>
        </w:tc>
        <w:tc>
          <w:tcPr>
            <w:tcW w:w="889" w:type="dxa"/>
            <w:noWrap/>
          </w:tcPr>
          <w:p w14:paraId="62D52C6F" w14:textId="2F4CA5CE" w:rsidR="001B5B60" w:rsidRPr="00CE2B0C" w:rsidRDefault="001B5B60" w:rsidP="007B08F1">
            <w:pPr>
              <w:spacing w:line="360" w:lineRule="auto"/>
              <w:jc w:val="center"/>
              <w:rPr>
                <w:rFonts w:ascii="Arial" w:eastAsia="Times New Roman" w:hAnsi="Arial" w:cs="Arial"/>
                <w:b/>
                <w:kern w:val="0"/>
                <w:lang w:val="en-GB"/>
                <w14:ligatures w14:val="none"/>
              </w:rPr>
            </w:pPr>
            <w:r w:rsidRPr="00CE2B0C">
              <w:rPr>
                <w:rFonts w:ascii="Arial" w:eastAsia="Times New Roman" w:hAnsi="Arial" w:cs="Arial"/>
                <w:b/>
                <w:kern w:val="0"/>
                <w:lang w:val="en-GB"/>
                <w14:ligatures w14:val="none"/>
              </w:rPr>
              <w:t>2022</w:t>
            </w:r>
          </w:p>
        </w:tc>
        <w:tc>
          <w:tcPr>
            <w:tcW w:w="1043" w:type="dxa"/>
            <w:noWrap/>
          </w:tcPr>
          <w:p w14:paraId="27167A6A" w14:textId="0351AD7F" w:rsidR="001B5B60" w:rsidRPr="00CE2B0C" w:rsidRDefault="001B5B60" w:rsidP="007B08F1">
            <w:pPr>
              <w:spacing w:line="360" w:lineRule="auto"/>
              <w:jc w:val="center"/>
              <w:rPr>
                <w:rFonts w:ascii="Arial" w:eastAsia="Times New Roman" w:hAnsi="Arial" w:cs="Arial"/>
                <w:b/>
                <w:kern w:val="0"/>
                <w:lang w:val="en-GB"/>
                <w14:ligatures w14:val="none"/>
              </w:rPr>
            </w:pPr>
            <w:r w:rsidRPr="00CE2B0C">
              <w:rPr>
                <w:rFonts w:ascii="Arial" w:eastAsia="Times New Roman" w:hAnsi="Arial" w:cs="Arial"/>
                <w:b/>
                <w:kern w:val="0"/>
                <w:lang w:val="en-GB"/>
                <w14:ligatures w14:val="none"/>
              </w:rPr>
              <w:t>2023</w:t>
            </w:r>
          </w:p>
        </w:tc>
        <w:tc>
          <w:tcPr>
            <w:tcW w:w="889" w:type="dxa"/>
            <w:noWrap/>
          </w:tcPr>
          <w:p w14:paraId="2462F10D" w14:textId="06EF363B" w:rsidR="001B5B60" w:rsidRPr="00CE2B0C" w:rsidRDefault="001B5B60" w:rsidP="007B08F1">
            <w:pPr>
              <w:spacing w:line="360" w:lineRule="auto"/>
              <w:jc w:val="center"/>
              <w:rPr>
                <w:rFonts w:ascii="Arial" w:eastAsia="Times New Roman" w:hAnsi="Arial" w:cs="Arial"/>
                <w:b/>
                <w:kern w:val="0"/>
                <w:lang w:val="en-GB"/>
                <w14:ligatures w14:val="none"/>
              </w:rPr>
            </w:pPr>
            <w:r w:rsidRPr="00CE2B0C">
              <w:rPr>
                <w:rFonts w:ascii="Arial" w:eastAsia="Times New Roman" w:hAnsi="Arial" w:cs="Arial"/>
                <w:b/>
                <w:kern w:val="0"/>
                <w:lang w:val="en-GB"/>
                <w14:ligatures w14:val="none"/>
              </w:rPr>
              <w:t>2024</w:t>
            </w:r>
          </w:p>
        </w:tc>
      </w:tr>
      <w:tr w:rsidR="001B5B60" w:rsidRPr="00CE2B0C" w14:paraId="08BB4B2F" w14:textId="77777777" w:rsidTr="007B08F1">
        <w:trPr>
          <w:trHeight w:val="959"/>
        </w:trPr>
        <w:tc>
          <w:tcPr>
            <w:tcW w:w="3686" w:type="dxa"/>
            <w:noWrap/>
          </w:tcPr>
          <w:p w14:paraId="2DDE5E4F" w14:textId="53EA7390" w:rsidR="001B5B60" w:rsidRPr="00CE2B0C" w:rsidRDefault="001B5B60" w:rsidP="007B08F1">
            <w:pPr>
              <w:spacing w:line="360" w:lineRule="auto"/>
              <w:ind w:firstLineChars="100" w:firstLine="241"/>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Days Inventory Outstanding - DIO (days)</w:t>
            </w:r>
          </w:p>
        </w:tc>
        <w:tc>
          <w:tcPr>
            <w:tcW w:w="1492" w:type="dxa"/>
            <w:noWrap/>
          </w:tcPr>
          <w:p w14:paraId="6BD5D938" w14:textId="5B67F961"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87.0</w:t>
            </w:r>
          </w:p>
        </w:tc>
        <w:tc>
          <w:tcPr>
            <w:tcW w:w="1078" w:type="dxa"/>
            <w:noWrap/>
          </w:tcPr>
          <w:p w14:paraId="05FB3069" w14:textId="3ED6EABC"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78.6</w:t>
            </w:r>
          </w:p>
        </w:tc>
        <w:tc>
          <w:tcPr>
            <w:tcW w:w="889" w:type="dxa"/>
            <w:noWrap/>
          </w:tcPr>
          <w:p w14:paraId="107CD163" w14:textId="55F808BC"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84.1</w:t>
            </w:r>
          </w:p>
        </w:tc>
        <w:tc>
          <w:tcPr>
            <w:tcW w:w="1043" w:type="dxa"/>
            <w:noWrap/>
          </w:tcPr>
          <w:p w14:paraId="1F798102" w14:textId="2773F75B"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74.9</w:t>
            </w:r>
          </w:p>
        </w:tc>
        <w:tc>
          <w:tcPr>
            <w:tcW w:w="889" w:type="dxa"/>
            <w:noWrap/>
          </w:tcPr>
          <w:p w14:paraId="1356EC7E" w14:textId="26E5167B"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78.1</w:t>
            </w:r>
          </w:p>
        </w:tc>
      </w:tr>
      <w:tr w:rsidR="001B5B60" w:rsidRPr="00CE2B0C" w14:paraId="36F80366" w14:textId="77777777" w:rsidTr="007B08F1">
        <w:trPr>
          <w:trHeight w:val="1063"/>
        </w:trPr>
        <w:tc>
          <w:tcPr>
            <w:tcW w:w="3686" w:type="dxa"/>
            <w:noWrap/>
            <w:hideMark/>
          </w:tcPr>
          <w:p w14:paraId="0D0DCA82" w14:textId="77777777" w:rsidR="001B5B60" w:rsidRPr="00CE2B0C" w:rsidRDefault="001B5B60" w:rsidP="007B08F1">
            <w:pPr>
              <w:spacing w:line="360" w:lineRule="auto"/>
              <w:ind w:firstLineChars="100" w:firstLine="241"/>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Days Sales Outstanding - DSO (days)</w:t>
            </w:r>
          </w:p>
        </w:tc>
        <w:tc>
          <w:tcPr>
            <w:tcW w:w="1492" w:type="dxa"/>
            <w:noWrap/>
            <w:hideMark/>
          </w:tcPr>
          <w:p w14:paraId="5FEFFA13"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26.6</w:t>
            </w:r>
          </w:p>
        </w:tc>
        <w:tc>
          <w:tcPr>
            <w:tcW w:w="1078" w:type="dxa"/>
            <w:noWrap/>
            <w:hideMark/>
          </w:tcPr>
          <w:p w14:paraId="14598545"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22.6</w:t>
            </w:r>
          </w:p>
        </w:tc>
        <w:tc>
          <w:tcPr>
            <w:tcW w:w="889" w:type="dxa"/>
            <w:noWrap/>
            <w:hideMark/>
          </w:tcPr>
          <w:p w14:paraId="495A5DCA"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24.3</w:t>
            </w:r>
          </w:p>
        </w:tc>
        <w:tc>
          <w:tcPr>
            <w:tcW w:w="1043" w:type="dxa"/>
            <w:noWrap/>
            <w:hideMark/>
          </w:tcPr>
          <w:p w14:paraId="2ACCF14A"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24.7</w:t>
            </w:r>
          </w:p>
        </w:tc>
        <w:tc>
          <w:tcPr>
            <w:tcW w:w="889" w:type="dxa"/>
            <w:noWrap/>
            <w:hideMark/>
          </w:tcPr>
          <w:p w14:paraId="135174BC"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23.8</w:t>
            </w:r>
          </w:p>
        </w:tc>
      </w:tr>
      <w:tr w:rsidR="001B5B60" w:rsidRPr="00CE2B0C" w14:paraId="19D2575E" w14:textId="77777777" w:rsidTr="007B08F1">
        <w:trPr>
          <w:trHeight w:val="1141"/>
        </w:trPr>
        <w:tc>
          <w:tcPr>
            <w:tcW w:w="3686" w:type="dxa"/>
            <w:noWrap/>
            <w:hideMark/>
          </w:tcPr>
          <w:p w14:paraId="63A7353F" w14:textId="77777777" w:rsidR="001B5B60" w:rsidRPr="00CE2B0C" w:rsidRDefault="001B5B60" w:rsidP="007B08F1">
            <w:pPr>
              <w:spacing w:line="360" w:lineRule="auto"/>
              <w:ind w:firstLineChars="100" w:firstLine="241"/>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Days Payable Outstanding - DPO (days)</w:t>
            </w:r>
          </w:p>
        </w:tc>
        <w:tc>
          <w:tcPr>
            <w:tcW w:w="1492" w:type="dxa"/>
            <w:noWrap/>
            <w:hideMark/>
          </w:tcPr>
          <w:p w14:paraId="7FAC6D73"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45.0</w:t>
            </w:r>
          </w:p>
        </w:tc>
        <w:tc>
          <w:tcPr>
            <w:tcW w:w="1078" w:type="dxa"/>
            <w:noWrap/>
            <w:hideMark/>
          </w:tcPr>
          <w:p w14:paraId="14EFD881"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42.5</w:t>
            </w:r>
          </w:p>
        </w:tc>
        <w:tc>
          <w:tcPr>
            <w:tcW w:w="889" w:type="dxa"/>
            <w:noWrap/>
            <w:hideMark/>
          </w:tcPr>
          <w:p w14:paraId="50518CED"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46.2</w:t>
            </w:r>
          </w:p>
        </w:tc>
        <w:tc>
          <w:tcPr>
            <w:tcW w:w="1043" w:type="dxa"/>
            <w:noWrap/>
            <w:hideMark/>
          </w:tcPr>
          <w:p w14:paraId="6398458C"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43.2</w:t>
            </w:r>
          </w:p>
        </w:tc>
        <w:tc>
          <w:tcPr>
            <w:tcW w:w="889" w:type="dxa"/>
            <w:noWrap/>
            <w:hideMark/>
          </w:tcPr>
          <w:p w14:paraId="63B109D0" w14:textId="77777777" w:rsidR="001B5B60" w:rsidRPr="00CE2B0C" w:rsidRDefault="001B5B60" w:rsidP="007B08F1">
            <w:pPr>
              <w:spacing w:line="360" w:lineRule="auto"/>
              <w:jc w:val="center"/>
              <w:rPr>
                <w:rFonts w:ascii="Arial" w:eastAsia="Times New Roman" w:hAnsi="Arial" w:cs="Arial"/>
                <w:kern w:val="0"/>
                <w:lang w:val="en-GB"/>
                <w14:ligatures w14:val="none"/>
              </w:rPr>
            </w:pPr>
            <w:r w:rsidRPr="00CE2B0C">
              <w:rPr>
                <w:rFonts w:ascii="Arial" w:eastAsia="Times New Roman" w:hAnsi="Arial" w:cs="Arial"/>
                <w:kern w:val="0"/>
                <w:lang w:val="en-GB"/>
                <w14:ligatures w14:val="none"/>
              </w:rPr>
              <w:t>41.0</w:t>
            </w:r>
          </w:p>
        </w:tc>
      </w:tr>
      <w:tr w:rsidR="001B5B60" w:rsidRPr="00CE2B0C" w14:paraId="2619BEA9" w14:textId="77777777" w:rsidTr="007B08F1">
        <w:trPr>
          <w:trHeight w:val="750"/>
        </w:trPr>
        <w:tc>
          <w:tcPr>
            <w:tcW w:w="3686" w:type="dxa"/>
            <w:noWrap/>
            <w:hideMark/>
          </w:tcPr>
          <w:p w14:paraId="356E6CB8" w14:textId="77777777" w:rsidR="001B5B60" w:rsidRPr="00CE2B0C" w:rsidRDefault="001B5B60" w:rsidP="007B08F1">
            <w:pPr>
              <w:spacing w:line="360" w:lineRule="auto"/>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Cash Operating Cycle - COC (days) = DIO + DSO − DPO</w:t>
            </w:r>
          </w:p>
        </w:tc>
        <w:tc>
          <w:tcPr>
            <w:tcW w:w="1492" w:type="dxa"/>
            <w:noWrap/>
            <w:hideMark/>
          </w:tcPr>
          <w:p w14:paraId="02E05AB2" w14:textId="77777777" w:rsidR="001B5B60" w:rsidRPr="00CE2B0C" w:rsidRDefault="001B5B60" w:rsidP="007B08F1">
            <w:pPr>
              <w:spacing w:line="360" w:lineRule="auto"/>
              <w:jc w:val="center"/>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68.6</w:t>
            </w:r>
          </w:p>
        </w:tc>
        <w:tc>
          <w:tcPr>
            <w:tcW w:w="1078" w:type="dxa"/>
            <w:noWrap/>
            <w:hideMark/>
          </w:tcPr>
          <w:p w14:paraId="7404089F" w14:textId="77777777" w:rsidR="001B5B60" w:rsidRPr="00CE2B0C" w:rsidRDefault="001B5B60" w:rsidP="007B08F1">
            <w:pPr>
              <w:spacing w:line="360" w:lineRule="auto"/>
              <w:jc w:val="center"/>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58.8</w:t>
            </w:r>
          </w:p>
        </w:tc>
        <w:tc>
          <w:tcPr>
            <w:tcW w:w="889" w:type="dxa"/>
            <w:noWrap/>
            <w:hideMark/>
          </w:tcPr>
          <w:p w14:paraId="59CBB12D" w14:textId="77777777" w:rsidR="001B5B60" w:rsidRPr="00CE2B0C" w:rsidRDefault="001B5B60" w:rsidP="007B08F1">
            <w:pPr>
              <w:spacing w:line="360" w:lineRule="auto"/>
              <w:jc w:val="center"/>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62.1</w:t>
            </w:r>
          </w:p>
        </w:tc>
        <w:tc>
          <w:tcPr>
            <w:tcW w:w="1043" w:type="dxa"/>
            <w:noWrap/>
            <w:hideMark/>
          </w:tcPr>
          <w:p w14:paraId="7658EE06" w14:textId="77777777" w:rsidR="001B5B60" w:rsidRPr="00CE2B0C" w:rsidRDefault="001B5B60" w:rsidP="007B08F1">
            <w:pPr>
              <w:spacing w:line="360" w:lineRule="auto"/>
              <w:jc w:val="center"/>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56.5</w:t>
            </w:r>
          </w:p>
        </w:tc>
        <w:tc>
          <w:tcPr>
            <w:tcW w:w="889" w:type="dxa"/>
            <w:noWrap/>
            <w:hideMark/>
          </w:tcPr>
          <w:p w14:paraId="4CB064D9" w14:textId="77777777" w:rsidR="001B5B60" w:rsidRPr="00CE2B0C" w:rsidRDefault="001B5B60" w:rsidP="007B08F1">
            <w:pPr>
              <w:spacing w:line="360" w:lineRule="auto"/>
              <w:jc w:val="center"/>
              <w:rPr>
                <w:rFonts w:ascii="Arial" w:eastAsia="Times New Roman" w:hAnsi="Arial" w:cs="Arial"/>
                <w:b/>
                <w:bCs/>
                <w:kern w:val="0"/>
                <w:lang w:val="en-GB"/>
                <w14:ligatures w14:val="none"/>
              </w:rPr>
            </w:pPr>
            <w:r w:rsidRPr="00CE2B0C">
              <w:rPr>
                <w:rFonts w:ascii="Arial" w:eastAsia="Times New Roman" w:hAnsi="Arial" w:cs="Arial"/>
                <w:b/>
                <w:bCs/>
                <w:kern w:val="0"/>
                <w:lang w:val="en-GB"/>
                <w14:ligatures w14:val="none"/>
              </w:rPr>
              <w:t>60.8</w:t>
            </w:r>
          </w:p>
        </w:tc>
      </w:tr>
    </w:tbl>
    <w:p w14:paraId="40E805E4" w14:textId="77777777" w:rsidR="001B5B60" w:rsidRPr="00CE2B0C" w:rsidRDefault="001B5B60" w:rsidP="007B08F1">
      <w:pPr>
        <w:spacing w:line="360" w:lineRule="auto"/>
        <w:jc w:val="both"/>
        <w:rPr>
          <w:rFonts w:ascii="Arial" w:hAnsi="Arial" w:cs="Arial"/>
          <w:lang w:val="en-GB"/>
        </w:rPr>
      </w:pPr>
    </w:p>
    <w:p w14:paraId="489F44A4" w14:textId="4116BF7F" w:rsidR="001B5B60" w:rsidRPr="00CE2B0C" w:rsidRDefault="001B5B60" w:rsidP="007B08F1">
      <w:pPr>
        <w:spacing w:line="360" w:lineRule="auto"/>
        <w:jc w:val="both"/>
        <w:rPr>
          <w:rFonts w:ascii="Arial" w:hAnsi="Arial" w:cs="Arial"/>
          <w:lang w:val="en-GB"/>
        </w:rPr>
      </w:pPr>
      <w:r w:rsidRPr="00CE2B0C">
        <w:rPr>
          <w:rFonts w:ascii="Arial" w:hAnsi="Arial" w:cs="Arial"/>
          <w:lang w:val="en-GB"/>
        </w:rPr>
        <w:t xml:space="preserve">The Cash Operating Cycle (COC) of Volkswagen has been relatively high since 2020 and has varied between 56.5 and 62.1 days. This implies that the company would on </w:t>
      </w:r>
      <w:proofErr w:type="gramStart"/>
      <w:r w:rsidRPr="00CE2B0C">
        <w:rPr>
          <w:rFonts w:ascii="Arial" w:hAnsi="Arial" w:cs="Arial"/>
          <w:lang w:val="en-GB"/>
        </w:rPr>
        <w:t>average,</w:t>
      </w:r>
      <w:proofErr w:type="gramEnd"/>
      <w:r w:rsidRPr="00CE2B0C">
        <w:rPr>
          <w:rFonts w:ascii="Arial" w:hAnsi="Arial" w:cs="Arial"/>
          <w:lang w:val="en-GB"/>
        </w:rPr>
        <w:t xml:space="preserve"> take almost two months to recover the money they used in operations. Although the cycle did not worsen continuously, it was structurally long. It is tying up a large amount of liquidity and, possibly by restricting the financial flexibility of Volkswagen (</w:t>
      </w:r>
      <w:proofErr w:type="spellStart"/>
      <w:r w:rsidRPr="00CE2B0C">
        <w:rPr>
          <w:rFonts w:ascii="Arial" w:hAnsi="Arial" w:cs="Arial"/>
          <w:lang w:val="en-GB"/>
        </w:rPr>
        <w:t>Bostanci</w:t>
      </w:r>
      <w:proofErr w:type="spellEnd"/>
      <w:r w:rsidRPr="00CE2B0C">
        <w:rPr>
          <w:rFonts w:ascii="Arial" w:hAnsi="Arial" w:cs="Arial"/>
          <w:lang w:val="en-GB"/>
        </w:rPr>
        <w:t xml:space="preserve"> and Ordonez, 2024).</w:t>
      </w:r>
    </w:p>
    <w:p w14:paraId="5129599B" w14:textId="652F273C" w:rsidR="001B5B60" w:rsidRPr="00CE2B0C" w:rsidRDefault="001B5B60" w:rsidP="007B08F1">
      <w:pPr>
        <w:spacing w:line="360" w:lineRule="auto"/>
        <w:jc w:val="both"/>
        <w:rPr>
          <w:rFonts w:ascii="Arial" w:hAnsi="Arial" w:cs="Arial"/>
          <w:lang w:val="en-GB"/>
        </w:rPr>
      </w:pPr>
      <w:r w:rsidRPr="00CE2B0C">
        <w:rPr>
          <w:rFonts w:ascii="Arial" w:hAnsi="Arial" w:cs="Arial"/>
          <w:lang w:val="en-GB"/>
        </w:rPr>
        <w:t xml:space="preserve">The Days Inventory Outstanding (DIO), which is the number of days that the inventory is taking to get sold or </w:t>
      </w:r>
      <w:r w:rsidR="00673843" w:rsidRPr="00CE2B0C">
        <w:rPr>
          <w:rFonts w:ascii="Arial" w:hAnsi="Arial" w:cs="Arial"/>
          <w:lang w:val="en-GB"/>
        </w:rPr>
        <w:t>utilised</w:t>
      </w:r>
      <w:r w:rsidRPr="00CE2B0C">
        <w:rPr>
          <w:rFonts w:ascii="Arial" w:hAnsi="Arial" w:cs="Arial"/>
          <w:lang w:val="en-GB"/>
        </w:rPr>
        <w:t xml:space="preserve"> has been one of the factors that have contributed to the long cycle. The DIO decreased from 87.0 days in 2020 to 78.1 days in 2024, with a peak of 84.1 days in 2022. This shows that there could be an improvement in the inventory management and a significant amount of money is being retained in the unsold inventory. The relatively high DIO is one of the liquidity stressors, although given the complex production cycles and global supply chains of which Volkswagen is a part, a certain level of inventory intensity is to be expected.</w:t>
      </w:r>
    </w:p>
    <w:p w14:paraId="2E15B1D1" w14:textId="63C85653" w:rsidR="001B5B60" w:rsidRPr="00CE2B0C" w:rsidRDefault="001B5B60" w:rsidP="007B08F1">
      <w:pPr>
        <w:spacing w:line="360" w:lineRule="auto"/>
        <w:jc w:val="both"/>
        <w:rPr>
          <w:rFonts w:ascii="Arial" w:hAnsi="Arial" w:cs="Arial"/>
          <w:lang w:val="en-GB"/>
        </w:rPr>
      </w:pPr>
      <w:r w:rsidRPr="00CE2B0C">
        <w:rPr>
          <w:rFonts w:ascii="Arial" w:hAnsi="Arial" w:cs="Arial"/>
          <w:lang w:val="en-GB"/>
        </w:rPr>
        <w:lastRenderedPageBreak/>
        <w:t xml:space="preserve">On the other hand, Days Sales Outstanding (DSO), which measures how fast the company collects the payment of its </w:t>
      </w:r>
      <w:proofErr w:type="gramStart"/>
      <w:r w:rsidRPr="00CE2B0C">
        <w:rPr>
          <w:rFonts w:ascii="Arial" w:hAnsi="Arial" w:cs="Arial"/>
          <w:lang w:val="en-GB"/>
        </w:rPr>
        <w:t>customers</w:t>
      </w:r>
      <w:proofErr w:type="gramEnd"/>
      <w:r w:rsidRPr="00CE2B0C">
        <w:rPr>
          <w:rFonts w:ascii="Arial" w:hAnsi="Arial" w:cs="Arial"/>
          <w:lang w:val="en-GB"/>
        </w:rPr>
        <w:t xml:space="preserve"> was also under control. It also reduced to 26.6 days in 2020 to 23.8 days in 2024, i.e., there was a smooth and efficient management of the receivables. Similarly, Days Payable Outstanding (DPO) was 41.0 to 46.2 days, which showed that the Volkswagen </w:t>
      </w:r>
      <w:proofErr w:type="gramStart"/>
      <w:r w:rsidRPr="00CE2B0C">
        <w:rPr>
          <w:rFonts w:ascii="Arial" w:hAnsi="Arial" w:cs="Arial"/>
          <w:lang w:val="en-GB"/>
        </w:rPr>
        <w:t>company</w:t>
      </w:r>
      <w:proofErr w:type="gramEnd"/>
      <w:r w:rsidRPr="00CE2B0C">
        <w:rPr>
          <w:rFonts w:ascii="Arial" w:hAnsi="Arial" w:cs="Arial"/>
          <w:lang w:val="en-GB"/>
        </w:rPr>
        <w:t xml:space="preserve"> utilised supplier credit well. However, the supplier credit was not able to offset the liquidity stress due to high inventories (</w:t>
      </w:r>
      <w:proofErr w:type="spellStart"/>
      <w:r w:rsidRPr="00CE2B0C">
        <w:rPr>
          <w:rFonts w:ascii="Arial" w:hAnsi="Arial" w:cs="Arial"/>
          <w:lang w:val="en-GB"/>
        </w:rPr>
        <w:t>Preckel</w:t>
      </w:r>
      <w:proofErr w:type="spellEnd"/>
      <w:r w:rsidRPr="00CE2B0C">
        <w:rPr>
          <w:rFonts w:ascii="Arial" w:hAnsi="Arial" w:cs="Arial"/>
          <w:lang w:val="en-GB"/>
        </w:rPr>
        <w:t xml:space="preserve">, 2021). The reduction of the COC through the improved management of inventory and increased turnover would leave Volkswagen with huge </w:t>
      </w:r>
      <w:r w:rsidR="00673843" w:rsidRPr="00CE2B0C">
        <w:rPr>
          <w:rFonts w:ascii="Arial" w:hAnsi="Arial" w:cs="Arial"/>
          <w:lang w:val="en-GB"/>
        </w:rPr>
        <w:t>liquidity</w:t>
      </w:r>
      <w:r w:rsidRPr="00CE2B0C">
        <w:rPr>
          <w:rFonts w:ascii="Arial" w:hAnsi="Arial" w:cs="Arial"/>
          <w:lang w:val="en-GB"/>
        </w:rPr>
        <w:t>. This could improve the overall financial health of the company.</w:t>
      </w:r>
    </w:p>
    <w:p w14:paraId="788855C3" w14:textId="17799354" w:rsidR="00DD5893" w:rsidRPr="00CE2B0C" w:rsidRDefault="00022456" w:rsidP="007B08F1">
      <w:pPr>
        <w:pStyle w:val="Heading2"/>
        <w:spacing w:line="360" w:lineRule="auto"/>
        <w:rPr>
          <w:rFonts w:cs="Arial"/>
          <w:b w:val="0"/>
          <w:bCs/>
          <w:szCs w:val="24"/>
          <w:lang w:val="en-GB"/>
        </w:rPr>
      </w:pPr>
      <w:bookmarkStart w:id="14" w:name="_Toc227812687"/>
      <w:r w:rsidRPr="00CE2B0C">
        <w:rPr>
          <w:rFonts w:cs="Arial"/>
          <w:bCs/>
          <w:szCs w:val="24"/>
          <w:lang w:val="en-GB"/>
        </w:rPr>
        <w:t>3</w:t>
      </w:r>
      <w:r w:rsidR="00DD5893" w:rsidRPr="00CE2B0C">
        <w:rPr>
          <w:rFonts w:cs="Arial"/>
          <w:bCs/>
          <w:szCs w:val="24"/>
          <w:lang w:val="en-GB"/>
        </w:rPr>
        <w:t xml:space="preserve">.2 Strategies to Improve Liquidity </w:t>
      </w:r>
      <w:proofErr w:type="gramStart"/>
      <w:r w:rsidR="00DD5893" w:rsidRPr="00CE2B0C">
        <w:rPr>
          <w:rFonts w:cs="Arial"/>
          <w:bCs/>
          <w:szCs w:val="24"/>
          <w:lang w:val="en-GB"/>
        </w:rPr>
        <w:t>Through</w:t>
      </w:r>
      <w:proofErr w:type="gramEnd"/>
      <w:r w:rsidR="00DD5893" w:rsidRPr="00CE2B0C">
        <w:rPr>
          <w:rFonts w:cs="Arial"/>
          <w:bCs/>
          <w:szCs w:val="24"/>
          <w:lang w:val="en-GB"/>
        </w:rPr>
        <w:t xml:space="preserve"> Working Capital Reform</w:t>
      </w:r>
      <w:bookmarkEnd w:id="14"/>
    </w:p>
    <w:p w14:paraId="50D74321" w14:textId="032847DF" w:rsidR="00263F61" w:rsidRPr="00CE2B0C" w:rsidRDefault="00263F61" w:rsidP="007B08F1">
      <w:pPr>
        <w:spacing w:line="360" w:lineRule="auto"/>
        <w:jc w:val="both"/>
        <w:rPr>
          <w:rFonts w:ascii="Arial" w:hAnsi="Arial" w:cs="Arial"/>
          <w:lang w:val="en-GB"/>
        </w:rPr>
      </w:pPr>
      <w:r w:rsidRPr="00CE2B0C">
        <w:rPr>
          <w:rFonts w:ascii="Arial" w:hAnsi="Arial" w:cs="Arial"/>
          <w:b/>
          <w:bCs/>
          <w:lang w:val="en-GB"/>
        </w:rPr>
        <w:t>Inventory minimisation:</w:t>
      </w:r>
      <w:r w:rsidRPr="00CE2B0C">
        <w:rPr>
          <w:rFonts w:ascii="Arial" w:hAnsi="Arial" w:cs="Arial"/>
          <w:lang w:val="en-GB"/>
        </w:rPr>
        <w:t xml:space="preserve"> Inventory minimisation should be a priority </w:t>
      </w:r>
      <w:r w:rsidR="004D4426" w:rsidRPr="00CE2B0C">
        <w:rPr>
          <w:rFonts w:ascii="Arial" w:hAnsi="Arial" w:cs="Arial"/>
          <w:lang w:val="en-GB"/>
        </w:rPr>
        <w:t>for</w:t>
      </w:r>
      <w:r w:rsidRPr="00CE2B0C">
        <w:rPr>
          <w:rFonts w:ascii="Arial" w:hAnsi="Arial" w:cs="Arial"/>
          <w:lang w:val="en-GB"/>
        </w:rPr>
        <w:t xml:space="preserve"> Volkswagen as it is the biggest source of cash that is tied up. Increased excess inventory would be </w:t>
      </w:r>
      <w:r w:rsidR="004D4426" w:rsidRPr="00CE2B0C">
        <w:rPr>
          <w:rFonts w:ascii="Arial" w:hAnsi="Arial" w:cs="Arial"/>
          <w:lang w:val="en-GB"/>
        </w:rPr>
        <w:t>minimised</w:t>
      </w:r>
      <w:r w:rsidRPr="00CE2B0C">
        <w:rPr>
          <w:rFonts w:ascii="Arial" w:hAnsi="Arial" w:cs="Arial"/>
          <w:lang w:val="en-GB"/>
        </w:rPr>
        <w:t xml:space="preserve"> through better demand forecasting, better production scheduling, better dealer order planning and real-time inventory monitoring</w:t>
      </w:r>
      <w:r w:rsidR="00934AB3" w:rsidRPr="00CE2B0C">
        <w:rPr>
          <w:rFonts w:ascii="Arial" w:hAnsi="Arial" w:cs="Arial"/>
          <w:lang w:val="en-GB"/>
        </w:rPr>
        <w:t xml:space="preserve"> (Zhang, 2023)</w:t>
      </w:r>
      <w:r w:rsidRPr="00CE2B0C">
        <w:rPr>
          <w:rFonts w:ascii="Arial" w:hAnsi="Arial" w:cs="Arial"/>
          <w:lang w:val="en-GB"/>
        </w:rPr>
        <w:t>. An inventory target of 65-70 days would free up a large amount of cash.</w:t>
      </w:r>
    </w:p>
    <w:p w14:paraId="6D3734BC" w14:textId="47D3356E" w:rsidR="00263F61" w:rsidRPr="00CE2B0C" w:rsidRDefault="00263F61" w:rsidP="007B08F1">
      <w:pPr>
        <w:spacing w:line="360" w:lineRule="auto"/>
        <w:jc w:val="both"/>
        <w:rPr>
          <w:rFonts w:ascii="Arial" w:hAnsi="Arial" w:cs="Arial"/>
          <w:lang w:val="en-GB"/>
        </w:rPr>
      </w:pPr>
      <w:r w:rsidRPr="00CE2B0C">
        <w:rPr>
          <w:rFonts w:ascii="Arial" w:hAnsi="Arial" w:cs="Arial"/>
          <w:b/>
          <w:bCs/>
          <w:lang w:val="en-GB"/>
        </w:rPr>
        <w:t>Receivables improvement:</w:t>
      </w:r>
      <w:r w:rsidRPr="00CE2B0C">
        <w:rPr>
          <w:rFonts w:ascii="Arial" w:hAnsi="Arial" w:cs="Arial"/>
          <w:lang w:val="en-GB"/>
        </w:rPr>
        <w:t xml:space="preserve"> </w:t>
      </w:r>
      <w:r w:rsidR="004D4426" w:rsidRPr="00CE2B0C">
        <w:rPr>
          <w:rFonts w:ascii="Arial" w:hAnsi="Arial" w:cs="Arial"/>
          <w:lang w:val="en-GB"/>
        </w:rPr>
        <w:t>Although</w:t>
      </w:r>
      <w:r w:rsidRPr="00CE2B0C">
        <w:rPr>
          <w:rFonts w:ascii="Arial" w:hAnsi="Arial" w:cs="Arial"/>
          <w:lang w:val="en-GB"/>
        </w:rPr>
        <w:t xml:space="preserve"> the current receivables are well-managed, it is still possible to enhance liquidity by invoicing faster, conducting stricter credit checks, using automated collection tools and providing selective early-payment discounts. This would reduce the time taken to collect and enhance cash inflows.</w:t>
      </w:r>
    </w:p>
    <w:p w14:paraId="79EEF1C6" w14:textId="5DAA400E" w:rsidR="00263F61" w:rsidRPr="00CE2B0C" w:rsidRDefault="00263F61" w:rsidP="007B08F1">
      <w:pPr>
        <w:spacing w:line="360" w:lineRule="auto"/>
        <w:jc w:val="both"/>
        <w:rPr>
          <w:rFonts w:ascii="Arial" w:hAnsi="Arial" w:cs="Arial"/>
          <w:lang w:val="en-GB"/>
        </w:rPr>
      </w:pPr>
      <w:r w:rsidRPr="00CE2B0C">
        <w:rPr>
          <w:rFonts w:ascii="Arial" w:hAnsi="Arial" w:cs="Arial"/>
          <w:b/>
          <w:bCs/>
          <w:lang w:val="en-GB"/>
        </w:rPr>
        <w:t>Payables optimisation:</w:t>
      </w:r>
      <w:r w:rsidRPr="00CE2B0C">
        <w:rPr>
          <w:rFonts w:ascii="Arial" w:hAnsi="Arial" w:cs="Arial"/>
          <w:lang w:val="en-GB"/>
        </w:rPr>
        <w:t xml:space="preserve"> Volkswagen will have to selectively extend the supplier payment terms where it is commercially prudent to do so. This would enhance cash flow through postponing outflows. But the extension of payment has to be done in a very careful manner without damaging </w:t>
      </w:r>
      <w:r w:rsidR="004D4426" w:rsidRPr="00CE2B0C">
        <w:rPr>
          <w:rFonts w:ascii="Arial" w:hAnsi="Arial" w:cs="Arial"/>
          <w:lang w:val="en-GB"/>
        </w:rPr>
        <w:t xml:space="preserve">the </w:t>
      </w:r>
      <w:r w:rsidRPr="00CE2B0C">
        <w:rPr>
          <w:rFonts w:ascii="Arial" w:hAnsi="Arial" w:cs="Arial"/>
          <w:lang w:val="en-GB"/>
        </w:rPr>
        <w:t>relationship with the suppliers</w:t>
      </w:r>
      <w:r w:rsidR="00934AB3" w:rsidRPr="00CE2B0C">
        <w:rPr>
          <w:rFonts w:ascii="Arial" w:hAnsi="Arial" w:cs="Arial"/>
          <w:lang w:val="en-GB"/>
        </w:rPr>
        <w:t xml:space="preserve"> (Kovach et al., 2023)</w:t>
      </w:r>
      <w:r w:rsidRPr="00CE2B0C">
        <w:rPr>
          <w:rFonts w:ascii="Arial" w:hAnsi="Arial" w:cs="Arial"/>
          <w:lang w:val="en-GB"/>
        </w:rPr>
        <w:t xml:space="preserve">. It would be more appropriate to have a supplier finance programme whereby suppliers can be paid early by the banks and Volkswagen </w:t>
      </w:r>
      <w:r w:rsidR="004D4426" w:rsidRPr="00CE2B0C">
        <w:rPr>
          <w:rFonts w:ascii="Arial" w:hAnsi="Arial" w:cs="Arial"/>
          <w:lang w:val="en-GB"/>
        </w:rPr>
        <w:t>enjoys</w:t>
      </w:r>
      <w:r w:rsidRPr="00CE2B0C">
        <w:rPr>
          <w:rFonts w:ascii="Arial" w:hAnsi="Arial" w:cs="Arial"/>
          <w:lang w:val="en-GB"/>
        </w:rPr>
        <w:t xml:space="preserve"> a longer term.</w:t>
      </w:r>
    </w:p>
    <w:p w14:paraId="0AD2F4C9" w14:textId="7606BED4" w:rsidR="00022456" w:rsidRPr="00CE2B0C" w:rsidRDefault="00263F61" w:rsidP="007B08F1">
      <w:pPr>
        <w:spacing w:line="360" w:lineRule="auto"/>
        <w:jc w:val="both"/>
        <w:rPr>
          <w:rFonts w:ascii="Arial" w:hAnsi="Arial" w:cs="Arial"/>
          <w:lang w:val="en-GB"/>
        </w:rPr>
      </w:pPr>
      <w:r w:rsidRPr="00CE2B0C">
        <w:rPr>
          <w:rFonts w:ascii="Arial" w:hAnsi="Arial" w:cs="Arial"/>
          <w:b/>
          <w:bCs/>
          <w:lang w:val="en-GB"/>
        </w:rPr>
        <w:t>Greater cash management:</w:t>
      </w:r>
      <w:r w:rsidRPr="00CE2B0C">
        <w:rPr>
          <w:rFonts w:ascii="Arial" w:hAnsi="Arial" w:cs="Arial"/>
          <w:lang w:val="en-GB"/>
        </w:rPr>
        <w:t xml:space="preserve"> L</w:t>
      </w:r>
      <w:r w:rsidR="004D4426" w:rsidRPr="00CE2B0C">
        <w:rPr>
          <w:rFonts w:ascii="Arial" w:hAnsi="Arial" w:cs="Arial"/>
          <w:lang w:val="en-GB"/>
        </w:rPr>
        <w:t>astly</w:t>
      </w:r>
      <w:r w:rsidRPr="00CE2B0C">
        <w:rPr>
          <w:rFonts w:ascii="Arial" w:hAnsi="Arial" w:cs="Arial"/>
          <w:lang w:val="en-GB"/>
        </w:rPr>
        <w:t xml:space="preserve">, Volkswagen </w:t>
      </w:r>
      <w:r w:rsidR="004D4426" w:rsidRPr="00CE2B0C">
        <w:rPr>
          <w:rFonts w:ascii="Arial" w:hAnsi="Arial" w:cs="Arial"/>
          <w:lang w:val="en-GB"/>
        </w:rPr>
        <w:t>should</w:t>
      </w:r>
      <w:r w:rsidRPr="00CE2B0C">
        <w:rPr>
          <w:rFonts w:ascii="Arial" w:hAnsi="Arial" w:cs="Arial"/>
          <w:lang w:val="en-GB"/>
        </w:rPr>
        <w:t xml:space="preserve"> enhance cash control and cash governance by rolling forecasting, monthly liquidity goals</w:t>
      </w:r>
      <w:r w:rsidR="004D4426" w:rsidRPr="00CE2B0C">
        <w:rPr>
          <w:rFonts w:ascii="Arial" w:hAnsi="Arial" w:cs="Arial"/>
          <w:lang w:val="en-GB"/>
        </w:rPr>
        <w:t xml:space="preserve"> </w:t>
      </w:r>
      <w:r w:rsidRPr="00CE2B0C">
        <w:rPr>
          <w:rFonts w:ascii="Arial" w:hAnsi="Arial" w:cs="Arial"/>
          <w:lang w:val="en-GB"/>
        </w:rPr>
        <w:t xml:space="preserve">and enhanced coordination between treasury and operations. This is necessary since the free cash flow became negative </w:t>
      </w:r>
      <w:r w:rsidR="004D4426" w:rsidRPr="00CE2B0C">
        <w:rPr>
          <w:rFonts w:ascii="Arial" w:hAnsi="Arial" w:cs="Arial"/>
          <w:lang w:val="en-GB"/>
        </w:rPr>
        <w:t>in</w:t>
      </w:r>
      <w:r w:rsidRPr="00CE2B0C">
        <w:rPr>
          <w:rFonts w:ascii="Arial" w:hAnsi="Arial" w:cs="Arial"/>
          <w:lang w:val="en-GB"/>
        </w:rPr>
        <w:t xml:space="preserve"> 2023.</w:t>
      </w:r>
    </w:p>
    <w:p w14:paraId="44744A26" w14:textId="1E6BFA24" w:rsidR="00263F61" w:rsidRPr="00CE2B0C" w:rsidRDefault="00022456" w:rsidP="007B08F1">
      <w:pPr>
        <w:pStyle w:val="Heading2"/>
        <w:spacing w:line="360" w:lineRule="auto"/>
        <w:rPr>
          <w:rFonts w:cs="Arial"/>
          <w:b w:val="0"/>
          <w:bCs/>
          <w:szCs w:val="24"/>
          <w:lang w:val="en-GB"/>
        </w:rPr>
      </w:pPr>
      <w:bookmarkStart w:id="15" w:name="_Toc227812688"/>
      <w:r w:rsidRPr="00CE2B0C">
        <w:rPr>
          <w:rFonts w:cs="Arial"/>
          <w:bCs/>
          <w:szCs w:val="24"/>
          <w:lang w:val="en-GB"/>
        </w:rPr>
        <w:lastRenderedPageBreak/>
        <w:t>3</w:t>
      </w:r>
      <w:r w:rsidR="00263F61" w:rsidRPr="00CE2B0C">
        <w:rPr>
          <w:rFonts w:cs="Arial"/>
          <w:bCs/>
          <w:szCs w:val="24"/>
          <w:lang w:val="en-GB"/>
        </w:rPr>
        <w:t xml:space="preserve">.3 Short-Term </w:t>
      </w:r>
      <w:proofErr w:type="spellStart"/>
      <w:r w:rsidR="00263F61" w:rsidRPr="00CE2B0C">
        <w:rPr>
          <w:rFonts w:cs="Arial"/>
          <w:bCs/>
          <w:szCs w:val="24"/>
          <w:lang w:val="en-GB"/>
        </w:rPr>
        <w:t>vs</w:t>
      </w:r>
      <w:proofErr w:type="spellEnd"/>
      <w:r w:rsidR="00263F61" w:rsidRPr="00CE2B0C">
        <w:rPr>
          <w:rFonts w:cs="Arial"/>
          <w:bCs/>
          <w:szCs w:val="24"/>
          <w:lang w:val="en-GB"/>
        </w:rPr>
        <w:t xml:space="preserve"> Long-Term Financing Options</w:t>
      </w:r>
      <w:bookmarkEnd w:id="15"/>
    </w:p>
    <w:p w14:paraId="4ADD5052" w14:textId="33AF2F1C" w:rsidR="00263F61" w:rsidRPr="00CE2B0C" w:rsidRDefault="00263F61" w:rsidP="007B08F1">
      <w:pPr>
        <w:spacing w:line="360" w:lineRule="auto"/>
        <w:jc w:val="both"/>
        <w:rPr>
          <w:rFonts w:ascii="Arial" w:hAnsi="Arial" w:cs="Arial"/>
          <w:lang w:val="en-GB"/>
        </w:rPr>
      </w:pPr>
      <w:r w:rsidRPr="00CE2B0C">
        <w:rPr>
          <w:rFonts w:ascii="Arial" w:hAnsi="Arial" w:cs="Arial"/>
          <w:lang w:val="en-GB"/>
        </w:rPr>
        <w:t>Both short-term and long-term financing can assist Volkswagen with its working capital</w:t>
      </w:r>
      <w:r w:rsidR="005228C6" w:rsidRPr="00CE2B0C">
        <w:rPr>
          <w:rFonts w:ascii="Arial" w:hAnsi="Arial" w:cs="Arial"/>
          <w:lang w:val="en-GB"/>
        </w:rPr>
        <w:t>,</w:t>
      </w:r>
      <w:r w:rsidRPr="00CE2B0C">
        <w:rPr>
          <w:rFonts w:ascii="Arial" w:hAnsi="Arial" w:cs="Arial"/>
          <w:lang w:val="en-GB"/>
        </w:rPr>
        <w:t xml:space="preserve"> although the two have different purposes.</w:t>
      </w:r>
    </w:p>
    <w:p w14:paraId="3AB644E8" w14:textId="5B58BEEE" w:rsidR="00B52EA2" w:rsidRPr="00CE2B0C" w:rsidRDefault="00B52EA2" w:rsidP="007B08F1">
      <w:pPr>
        <w:pStyle w:val="Caption"/>
        <w:spacing w:line="360" w:lineRule="auto"/>
        <w:rPr>
          <w:rFonts w:ascii="Arial" w:hAnsi="Arial" w:cs="Arial"/>
          <w:b/>
          <w:bCs/>
          <w:sz w:val="24"/>
          <w:szCs w:val="24"/>
          <w:lang w:val="en-GB"/>
        </w:rPr>
      </w:pPr>
      <w:bookmarkStart w:id="16" w:name="_Toc227448973"/>
      <w:r w:rsidRPr="00CE2B0C">
        <w:rPr>
          <w:rFonts w:ascii="Arial" w:hAnsi="Arial" w:cs="Arial"/>
          <w:b/>
          <w:bCs/>
          <w:sz w:val="24"/>
          <w:szCs w:val="24"/>
          <w:lang w:val="en-GB"/>
        </w:rPr>
        <w:t xml:space="preserve">Table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Table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2</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Short-Term </w:t>
      </w:r>
      <w:proofErr w:type="spellStart"/>
      <w:r w:rsidRPr="00CE2B0C">
        <w:rPr>
          <w:rFonts w:ascii="Arial" w:hAnsi="Arial" w:cs="Arial"/>
          <w:b/>
          <w:bCs/>
          <w:sz w:val="24"/>
          <w:szCs w:val="24"/>
          <w:lang w:val="en-GB"/>
        </w:rPr>
        <w:t>vs</w:t>
      </w:r>
      <w:proofErr w:type="spellEnd"/>
      <w:r w:rsidRPr="00CE2B0C">
        <w:rPr>
          <w:rFonts w:ascii="Arial" w:hAnsi="Arial" w:cs="Arial"/>
          <w:b/>
          <w:bCs/>
          <w:sz w:val="24"/>
          <w:szCs w:val="24"/>
          <w:lang w:val="en-GB"/>
        </w:rPr>
        <w:t xml:space="preserve"> Long-Term Financing Options</w:t>
      </w:r>
      <w:bookmarkEnd w:id="16"/>
    </w:p>
    <w:tbl>
      <w:tblPr>
        <w:tblStyle w:val="TableGrid"/>
        <w:tblW w:w="0" w:type="auto"/>
        <w:tblLook w:val="04A0" w:firstRow="1" w:lastRow="0" w:firstColumn="1" w:lastColumn="0" w:noHBand="0" w:noVBand="1"/>
      </w:tblPr>
      <w:tblGrid>
        <w:gridCol w:w="2146"/>
        <w:gridCol w:w="2253"/>
        <w:gridCol w:w="2424"/>
        <w:gridCol w:w="2420"/>
      </w:tblGrid>
      <w:tr w:rsidR="008A248A" w:rsidRPr="00CE2B0C" w14:paraId="1E7C0F01" w14:textId="77777777" w:rsidTr="00DD5893">
        <w:tc>
          <w:tcPr>
            <w:tcW w:w="0" w:type="auto"/>
            <w:hideMark/>
          </w:tcPr>
          <w:p w14:paraId="47A94EC7" w14:textId="77777777" w:rsidR="008A248A" w:rsidRPr="00CE2B0C" w:rsidRDefault="008A248A" w:rsidP="007B08F1">
            <w:pPr>
              <w:spacing w:after="160" w:line="360" w:lineRule="auto"/>
              <w:jc w:val="both"/>
              <w:rPr>
                <w:rFonts w:ascii="Arial" w:hAnsi="Arial" w:cs="Arial"/>
                <w:b/>
                <w:bCs/>
                <w:lang w:val="en-GB"/>
              </w:rPr>
            </w:pPr>
            <w:r w:rsidRPr="00CE2B0C">
              <w:rPr>
                <w:rFonts w:ascii="Arial" w:hAnsi="Arial" w:cs="Arial"/>
                <w:b/>
                <w:bCs/>
                <w:lang w:val="en-GB"/>
              </w:rPr>
              <w:t>Financing option</w:t>
            </w:r>
          </w:p>
        </w:tc>
        <w:tc>
          <w:tcPr>
            <w:tcW w:w="0" w:type="auto"/>
            <w:hideMark/>
          </w:tcPr>
          <w:p w14:paraId="45400B46" w14:textId="77777777" w:rsidR="008A248A" w:rsidRPr="00CE2B0C" w:rsidRDefault="008A248A" w:rsidP="007B08F1">
            <w:pPr>
              <w:spacing w:after="160" w:line="360" w:lineRule="auto"/>
              <w:jc w:val="both"/>
              <w:rPr>
                <w:rFonts w:ascii="Arial" w:hAnsi="Arial" w:cs="Arial"/>
                <w:b/>
                <w:bCs/>
                <w:lang w:val="en-GB"/>
              </w:rPr>
            </w:pPr>
            <w:r w:rsidRPr="00CE2B0C">
              <w:rPr>
                <w:rFonts w:ascii="Arial" w:hAnsi="Arial" w:cs="Arial"/>
                <w:b/>
                <w:bCs/>
                <w:lang w:val="en-GB"/>
              </w:rPr>
              <w:t>Main advantages</w:t>
            </w:r>
          </w:p>
        </w:tc>
        <w:tc>
          <w:tcPr>
            <w:tcW w:w="0" w:type="auto"/>
            <w:hideMark/>
          </w:tcPr>
          <w:p w14:paraId="44FD543F" w14:textId="77777777" w:rsidR="008A248A" w:rsidRPr="00CE2B0C" w:rsidRDefault="008A248A" w:rsidP="007B08F1">
            <w:pPr>
              <w:spacing w:after="160" w:line="360" w:lineRule="auto"/>
              <w:jc w:val="both"/>
              <w:rPr>
                <w:rFonts w:ascii="Arial" w:hAnsi="Arial" w:cs="Arial"/>
                <w:b/>
                <w:bCs/>
                <w:lang w:val="en-GB"/>
              </w:rPr>
            </w:pPr>
            <w:r w:rsidRPr="00CE2B0C">
              <w:rPr>
                <w:rFonts w:ascii="Arial" w:hAnsi="Arial" w:cs="Arial"/>
                <w:b/>
                <w:bCs/>
                <w:lang w:val="en-GB"/>
              </w:rPr>
              <w:t>Main risks</w:t>
            </w:r>
          </w:p>
        </w:tc>
        <w:tc>
          <w:tcPr>
            <w:tcW w:w="0" w:type="auto"/>
            <w:hideMark/>
          </w:tcPr>
          <w:p w14:paraId="4595CA3B" w14:textId="77777777" w:rsidR="008A248A" w:rsidRPr="00CE2B0C" w:rsidRDefault="008A248A" w:rsidP="007B08F1">
            <w:pPr>
              <w:spacing w:after="160" w:line="360" w:lineRule="auto"/>
              <w:jc w:val="both"/>
              <w:rPr>
                <w:rFonts w:ascii="Arial" w:hAnsi="Arial" w:cs="Arial"/>
                <w:b/>
                <w:bCs/>
                <w:lang w:val="en-GB"/>
              </w:rPr>
            </w:pPr>
            <w:r w:rsidRPr="00CE2B0C">
              <w:rPr>
                <w:rFonts w:ascii="Arial" w:hAnsi="Arial" w:cs="Arial"/>
                <w:b/>
                <w:bCs/>
                <w:lang w:val="en-GB"/>
              </w:rPr>
              <w:t>Best use for Volkswagen</w:t>
            </w:r>
          </w:p>
        </w:tc>
      </w:tr>
      <w:tr w:rsidR="008A248A" w:rsidRPr="00CE2B0C" w14:paraId="75304F24" w14:textId="77777777" w:rsidTr="00DD5893">
        <w:tc>
          <w:tcPr>
            <w:tcW w:w="0" w:type="auto"/>
            <w:hideMark/>
          </w:tcPr>
          <w:p w14:paraId="18585D7A"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Trade credit / revolving credit / commercial paper / short-term loans</w:t>
            </w:r>
          </w:p>
        </w:tc>
        <w:tc>
          <w:tcPr>
            <w:tcW w:w="0" w:type="auto"/>
            <w:hideMark/>
          </w:tcPr>
          <w:p w14:paraId="1106C912"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Flexible, fast access, suitable for temporary liquidity gaps</w:t>
            </w:r>
          </w:p>
        </w:tc>
        <w:tc>
          <w:tcPr>
            <w:tcW w:w="0" w:type="auto"/>
            <w:hideMark/>
          </w:tcPr>
          <w:p w14:paraId="4C5C7069"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Refinancing risk, interest-rate exposure, dependence on market conditions</w:t>
            </w:r>
          </w:p>
        </w:tc>
        <w:tc>
          <w:tcPr>
            <w:tcW w:w="0" w:type="auto"/>
            <w:hideMark/>
          </w:tcPr>
          <w:p w14:paraId="115140D1"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Seasonal or temporary working capital needs</w:t>
            </w:r>
          </w:p>
        </w:tc>
      </w:tr>
      <w:tr w:rsidR="008A248A" w:rsidRPr="00CE2B0C" w14:paraId="64F3D332" w14:textId="77777777" w:rsidTr="00DD5893">
        <w:tc>
          <w:tcPr>
            <w:tcW w:w="0" w:type="auto"/>
            <w:hideMark/>
          </w:tcPr>
          <w:p w14:paraId="59590147"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Bonds / debentures / long-term loans / green bonds / equity</w:t>
            </w:r>
          </w:p>
        </w:tc>
        <w:tc>
          <w:tcPr>
            <w:tcW w:w="0" w:type="auto"/>
            <w:hideMark/>
          </w:tcPr>
          <w:p w14:paraId="4692DB88"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Stable funding, lower rollover risk, suitable for large strategic projects</w:t>
            </w:r>
          </w:p>
        </w:tc>
        <w:tc>
          <w:tcPr>
            <w:tcW w:w="0" w:type="auto"/>
            <w:hideMark/>
          </w:tcPr>
          <w:p w14:paraId="0AFCC8FA"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Lower flexibility, higher long-run commitment, possible dilution in case of equity</w:t>
            </w:r>
          </w:p>
        </w:tc>
        <w:tc>
          <w:tcPr>
            <w:tcW w:w="0" w:type="auto"/>
            <w:hideMark/>
          </w:tcPr>
          <w:p w14:paraId="1EB6C6C2" w14:textId="77777777" w:rsidR="008A248A" w:rsidRPr="00CE2B0C" w:rsidRDefault="008A248A" w:rsidP="007B08F1">
            <w:pPr>
              <w:spacing w:after="160" w:line="360" w:lineRule="auto"/>
              <w:jc w:val="both"/>
              <w:rPr>
                <w:rFonts w:ascii="Arial" w:hAnsi="Arial" w:cs="Arial"/>
                <w:lang w:val="en-GB"/>
              </w:rPr>
            </w:pPr>
            <w:r w:rsidRPr="00CE2B0C">
              <w:rPr>
                <w:rFonts w:ascii="Arial" w:hAnsi="Arial" w:cs="Arial"/>
                <w:lang w:val="en-GB"/>
              </w:rPr>
              <w:t>EV investment, plant transformation, structural liquidity support</w:t>
            </w:r>
          </w:p>
        </w:tc>
      </w:tr>
    </w:tbl>
    <w:p w14:paraId="0F8764B7" w14:textId="77777777" w:rsidR="00263F61" w:rsidRPr="00CE2B0C" w:rsidRDefault="00263F61" w:rsidP="007B08F1">
      <w:pPr>
        <w:spacing w:line="360" w:lineRule="auto"/>
        <w:jc w:val="both"/>
        <w:rPr>
          <w:rFonts w:ascii="Arial" w:hAnsi="Arial" w:cs="Arial"/>
          <w:lang w:val="en-GB"/>
        </w:rPr>
      </w:pPr>
    </w:p>
    <w:p w14:paraId="449E66A2" w14:textId="24DEF096" w:rsidR="00263F61" w:rsidRPr="00CE2B0C" w:rsidRDefault="004D4426" w:rsidP="007B08F1">
      <w:pPr>
        <w:spacing w:line="360" w:lineRule="auto"/>
        <w:jc w:val="both"/>
        <w:rPr>
          <w:rFonts w:ascii="Arial" w:hAnsi="Arial" w:cs="Arial"/>
          <w:lang w:val="en-GB"/>
        </w:rPr>
      </w:pPr>
      <w:r w:rsidRPr="00CE2B0C">
        <w:rPr>
          <w:rFonts w:ascii="Arial" w:hAnsi="Arial" w:cs="Arial"/>
          <w:b/>
          <w:bCs/>
          <w:lang w:val="en-GB"/>
        </w:rPr>
        <w:t>Short-term</w:t>
      </w:r>
      <w:r w:rsidR="00263F61" w:rsidRPr="00CE2B0C">
        <w:rPr>
          <w:rFonts w:ascii="Arial" w:hAnsi="Arial" w:cs="Arial"/>
          <w:b/>
          <w:bCs/>
          <w:lang w:val="en-GB"/>
        </w:rPr>
        <w:t xml:space="preserve"> finance:</w:t>
      </w:r>
      <w:r w:rsidR="00263F61" w:rsidRPr="00CE2B0C">
        <w:rPr>
          <w:rFonts w:ascii="Arial" w:hAnsi="Arial" w:cs="Arial"/>
          <w:lang w:val="en-GB"/>
        </w:rPr>
        <w:t xml:space="preserve"> It is the right form of finance when there is a temporary requirement of working capital</w:t>
      </w:r>
      <w:r w:rsidRPr="00CE2B0C">
        <w:rPr>
          <w:rFonts w:ascii="Arial" w:hAnsi="Arial" w:cs="Arial"/>
          <w:lang w:val="en-GB"/>
        </w:rPr>
        <w:t>,</w:t>
      </w:r>
      <w:r w:rsidR="00263F61" w:rsidRPr="00CE2B0C">
        <w:rPr>
          <w:rFonts w:ascii="Arial" w:hAnsi="Arial" w:cs="Arial"/>
          <w:lang w:val="en-GB"/>
        </w:rPr>
        <w:t xml:space="preserve"> since it is flexible and most of the time faster to secure. Trade credit is useful since it is directly helpful in terms of inventory financing. Another liquidity buffer is revolving credit facilities. But excess short-term borrowing adds refinancing risk. This is relevant to Volkswagen since its interest coverage dropped to 2.73 times in 2025, which is less indicative of shielding against finance expenses</w:t>
      </w:r>
      <w:r w:rsidR="00831D70" w:rsidRPr="00CE2B0C">
        <w:rPr>
          <w:rFonts w:ascii="Arial" w:hAnsi="Arial" w:cs="Arial"/>
          <w:lang w:val="en-GB"/>
        </w:rPr>
        <w:t xml:space="preserve"> (Volkswagen AG, 2026)</w:t>
      </w:r>
      <w:r w:rsidR="00263F61" w:rsidRPr="00CE2B0C">
        <w:rPr>
          <w:rFonts w:ascii="Arial" w:hAnsi="Arial" w:cs="Arial"/>
          <w:lang w:val="en-GB"/>
        </w:rPr>
        <w:t>.</w:t>
      </w:r>
    </w:p>
    <w:p w14:paraId="0BD41E23" w14:textId="2121E9EA" w:rsidR="00263F61" w:rsidRPr="00CE2B0C" w:rsidRDefault="00263F61" w:rsidP="007B08F1">
      <w:pPr>
        <w:spacing w:line="360" w:lineRule="auto"/>
        <w:jc w:val="both"/>
        <w:rPr>
          <w:rFonts w:ascii="Arial" w:hAnsi="Arial" w:cs="Arial"/>
          <w:lang w:val="en-GB"/>
        </w:rPr>
      </w:pPr>
      <w:r w:rsidRPr="00CE2B0C">
        <w:rPr>
          <w:rFonts w:ascii="Arial" w:hAnsi="Arial" w:cs="Arial"/>
          <w:b/>
          <w:bCs/>
          <w:lang w:val="en-GB"/>
        </w:rPr>
        <w:t>Long-term finance:</w:t>
      </w:r>
      <w:r w:rsidRPr="00CE2B0C">
        <w:rPr>
          <w:rFonts w:ascii="Arial" w:hAnsi="Arial" w:cs="Arial"/>
          <w:lang w:val="en-GB"/>
        </w:rPr>
        <w:t xml:space="preserve"> Long-term financing is more suitable </w:t>
      </w:r>
      <w:r w:rsidR="004D4426" w:rsidRPr="00CE2B0C">
        <w:rPr>
          <w:rFonts w:ascii="Arial" w:hAnsi="Arial" w:cs="Arial"/>
          <w:lang w:val="en-GB"/>
        </w:rPr>
        <w:t>for</w:t>
      </w:r>
      <w:r w:rsidRPr="00CE2B0C">
        <w:rPr>
          <w:rFonts w:ascii="Arial" w:hAnsi="Arial" w:cs="Arial"/>
          <w:lang w:val="en-GB"/>
        </w:rPr>
        <w:t xml:space="preserve"> the large strategic expenditure like EV platform development, green manufacturing and plant upgrades. </w:t>
      </w:r>
      <w:r w:rsidR="004D4426" w:rsidRPr="00CE2B0C">
        <w:rPr>
          <w:rFonts w:ascii="Arial" w:hAnsi="Arial" w:cs="Arial"/>
          <w:lang w:val="en-GB"/>
        </w:rPr>
        <w:t xml:space="preserve">These </w:t>
      </w:r>
      <w:r w:rsidRPr="00CE2B0C">
        <w:rPr>
          <w:rFonts w:ascii="Arial" w:hAnsi="Arial" w:cs="Arial"/>
          <w:lang w:val="en-GB"/>
        </w:rPr>
        <w:t>investments bring about profits in the form of years</w:t>
      </w:r>
      <w:r w:rsidR="004D4426" w:rsidRPr="00CE2B0C">
        <w:rPr>
          <w:rFonts w:ascii="Arial" w:hAnsi="Arial" w:cs="Arial"/>
          <w:lang w:val="en-GB"/>
        </w:rPr>
        <w:t xml:space="preserve">. So, </w:t>
      </w:r>
      <w:r w:rsidRPr="00CE2B0C">
        <w:rPr>
          <w:rFonts w:ascii="Arial" w:hAnsi="Arial" w:cs="Arial"/>
          <w:lang w:val="en-GB"/>
        </w:rPr>
        <w:t>long-term funding is more suitable. It is not as flexible but offers more financial stability.</w:t>
      </w:r>
    </w:p>
    <w:p w14:paraId="084307C1" w14:textId="4F8034B1" w:rsidR="00263F61" w:rsidRPr="00CE2B0C" w:rsidRDefault="00263F61" w:rsidP="007B08F1">
      <w:pPr>
        <w:spacing w:line="360" w:lineRule="auto"/>
        <w:jc w:val="both"/>
        <w:rPr>
          <w:rFonts w:ascii="Arial" w:hAnsi="Arial" w:cs="Arial"/>
          <w:lang w:val="en-GB"/>
        </w:rPr>
      </w:pPr>
      <w:r w:rsidRPr="00CE2B0C">
        <w:rPr>
          <w:rFonts w:ascii="Arial" w:hAnsi="Arial" w:cs="Arial"/>
          <w:lang w:val="en-GB"/>
        </w:rPr>
        <w:t xml:space="preserve">In general, the same principle should be applied to Volkswagen: short-term assets and temporary working capital requirements should be financed by the short-term </w:t>
      </w:r>
      <w:r w:rsidRPr="00CE2B0C">
        <w:rPr>
          <w:rFonts w:ascii="Arial" w:hAnsi="Arial" w:cs="Arial"/>
          <w:lang w:val="en-GB"/>
        </w:rPr>
        <w:lastRenderedPageBreak/>
        <w:t>sources</w:t>
      </w:r>
      <w:r w:rsidR="00831D70" w:rsidRPr="00CE2B0C">
        <w:rPr>
          <w:rFonts w:ascii="Arial" w:hAnsi="Arial" w:cs="Arial"/>
          <w:lang w:val="en-GB"/>
        </w:rPr>
        <w:t xml:space="preserve"> (</w:t>
      </w:r>
      <w:proofErr w:type="spellStart"/>
      <w:r w:rsidR="00831D70" w:rsidRPr="00CE2B0C">
        <w:rPr>
          <w:rFonts w:ascii="Arial" w:hAnsi="Arial" w:cs="Arial"/>
          <w:lang w:val="en-GB"/>
        </w:rPr>
        <w:t>Schoenmaker</w:t>
      </w:r>
      <w:proofErr w:type="spellEnd"/>
      <w:r w:rsidR="00831D70" w:rsidRPr="00CE2B0C">
        <w:rPr>
          <w:rFonts w:ascii="Arial" w:hAnsi="Arial" w:cs="Arial"/>
          <w:lang w:val="en-GB"/>
        </w:rPr>
        <w:t xml:space="preserve"> and </w:t>
      </w:r>
      <w:proofErr w:type="spellStart"/>
      <w:r w:rsidR="00831D70" w:rsidRPr="00CE2B0C">
        <w:rPr>
          <w:rFonts w:ascii="Arial" w:hAnsi="Arial" w:cs="Arial"/>
          <w:lang w:val="en-GB"/>
        </w:rPr>
        <w:t>Schramade</w:t>
      </w:r>
      <w:proofErr w:type="spellEnd"/>
      <w:r w:rsidR="00831D70" w:rsidRPr="00CE2B0C">
        <w:rPr>
          <w:rFonts w:ascii="Arial" w:hAnsi="Arial" w:cs="Arial"/>
          <w:lang w:val="en-GB"/>
        </w:rPr>
        <w:t>, 2023)</w:t>
      </w:r>
      <w:r w:rsidR="004D4426" w:rsidRPr="00CE2B0C">
        <w:rPr>
          <w:rFonts w:ascii="Arial" w:hAnsi="Arial" w:cs="Arial"/>
          <w:lang w:val="en-GB"/>
        </w:rPr>
        <w:t xml:space="preserve">. </w:t>
      </w:r>
      <w:r w:rsidRPr="00CE2B0C">
        <w:rPr>
          <w:rFonts w:ascii="Arial" w:hAnsi="Arial" w:cs="Arial"/>
          <w:lang w:val="en-GB"/>
        </w:rPr>
        <w:t xml:space="preserve"> </w:t>
      </w:r>
      <w:proofErr w:type="gramStart"/>
      <w:r w:rsidR="004D4426" w:rsidRPr="00CE2B0C">
        <w:rPr>
          <w:rFonts w:ascii="Arial" w:hAnsi="Arial" w:cs="Arial"/>
          <w:lang w:val="en-GB"/>
        </w:rPr>
        <w:t>W</w:t>
      </w:r>
      <w:r w:rsidRPr="00CE2B0C">
        <w:rPr>
          <w:rFonts w:ascii="Arial" w:hAnsi="Arial" w:cs="Arial"/>
          <w:lang w:val="en-GB"/>
        </w:rPr>
        <w:t>hereas long-term assets and strategic projects should be financed by long-term capital.</w:t>
      </w:r>
      <w:proofErr w:type="gramEnd"/>
      <w:r w:rsidRPr="00CE2B0C">
        <w:rPr>
          <w:rFonts w:ascii="Arial" w:hAnsi="Arial" w:cs="Arial"/>
          <w:lang w:val="en-GB"/>
        </w:rPr>
        <w:t xml:space="preserve"> This would alleviate the liquidity pressure and enhance financial stability.</w:t>
      </w:r>
    </w:p>
    <w:p w14:paraId="19CA3375" w14:textId="21E28E4E" w:rsidR="00DD5893" w:rsidRPr="00CE2B0C" w:rsidRDefault="00022456" w:rsidP="007B08F1">
      <w:pPr>
        <w:pStyle w:val="Heading1"/>
        <w:spacing w:line="360" w:lineRule="auto"/>
        <w:rPr>
          <w:rFonts w:cs="Arial"/>
          <w:szCs w:val="24"/>
          <w:lang w:val="en-GB"/>
        </w:rPr>
      </w:pPr>
      <w:bookmarkStart w:id="17" w:name="_Toc227812689"/>
      <w:r w:rsidRPr="00CE2B0C">
        <w:rPr>
          <w:rFonts w:cs="Arial"/>
          <w:szCs w:val="24"/>
          <w:lang w:val="en-GB"/>
        </w:rPr>
        <w:t>4</w:t>
      </w:r>
      <w:r w:rsidR="00DD5893" w:rsidRPr="00CE2B0C">
        <w:rPr>
          <w:rFonts w:cs="Arial"/>
          <w:szCs w:val="24"/>
          <w:lang w:val="en-GB"/>
        </w:rPr>
        <w:t>. Strategic Financial Restructuring Plan</w:t>
      </w:r>
      <w:bookmarkEnd w:id="17"/>
    </w:p>
    <w:p w14:paraId="31D6E39E" w14:textId="21390391" w:rsidR="00263F61" w:rsidRPr="00CE2B0C" w:rsidRDefault="00DD5893" w:rsidP="007B08F1">
      <w:pPr>
        <w:spacing w:line="360" w:lineRule="auto"/>
        <w:jc w:val="both"/>
        <w:rPr>
          <w:rFonts w:ascii="Arial" w:hAnsi="Arial" w:cs="Arial"/>
          <w:lang w:val="en-GB"/>
        </w:rPr>
      </w:pPr>
      <w:r w:rsidRPr="00CE2B0C">
        <w:rPr>
          <w:rFonts w:ascii="Arial" w:hAnsi="Arial" w:cs="Arial"/>
          <w:lang w:val="en-GB"/>
        </w:rPr>
        <w:t>Volkswagen’s financial results over 202</w:t>
      </w:r>
      <w:r w:rsidR="00F65C6D" w:rsidRPr="00CE2B0C">
        <w:rPr>
          <w:rFonts w:ascii="Arial" w:hAnsi="Arial" w:cs="Arial"/>
          <w:lang w:val="en-GB"/>
        </w:rPr>
        <w:t>0</w:t>
      </w:r>
      <w:r w:rsidRPr="00CE2B0C">
        <w:rPr>
          <w:rFonts w:ascii="Arial" w:hAnsi="Arial" w:cs="Arial"/>
          <w:lang w:val="en-GB"/>
        </w:rPr>
        <w:t>–202</w:t>
      </w:r>
      <w:r w:rsidR="00F65C6D" w:rsidRPr="00CE2B0C">
        <w:rPr>
          <w:rFonts w:ascii="Arial" w:hAnsi="Arial" w:cs="Arial"/>
          <w:lang w:val="en-GB"/>
        </w:rPr>
        <w:t>4</w:t>
      </w:r>
      <w:r w:rsidRPr="00CE2B0C">
        <w:rPr>
          <w:rFonts w:ascii="Arial" w:hAnsi="Arial" w:cs="Arial"/>
          <w:lang w:val="en-GB"/>
        </w:rPr>
        <w:t xml:space="preserve"> indicate that a strategic financial restructuring plan is necessary. </w:t>
      </w:r>
      <w:r w:rsidR="00263F61" w:rsidRPr="00CE2B0C">
        <w:rPr>
          <w:rFonts w:ascii="Arial" w:hAnsi="Arial" w:cs="Arial"/>
          <w:lang w:val="en-GB"/>
        </w:rPr>
        <w:t xml:space="preserve">A balanced and selective strategy is the most appropriate </w:t>
      </w:r>
      <w:r w:rsidR="004D4426" w:rsidRPr="00CE2B0C">
        <w:rPr>
          <w:rFonts w:ascii="Arial" w:hAnsi="Arial" w:cs="Arial"/>
          <w:lang w:val="en-GB"/>
        </w:rPr>
        <w:t>reorganisation</w:t>
      </w:r>
      <w:r w:rsidR="00263F61" w:rsidRPr="00CE2B0C">
        <w:rPr>
          <w:rFonts w:ascii="Arial" w:hAnsi="Arial" w:cs="Arial"/>
          <w:lang w:val="en-GB"/>
        </w:rPr>
        <w:t xml:space="preserve"> strategy to use in the case of Volkswagen</w:t>
      </w:r>
      <w:r w:rsidR="004D4426" w:rsidRPr="00CE2B0C">
        <w:rPr>
          <w:rFonts w:ascii="Arial" w:hAnsi="Arial" w:cs="Arial"/>
          <w:lang w:val="en-GB"/>
        </w:rPr>
        <w:t>, not a radical corporate break-up</w:t>
      </w:r>
      <w:r w:rsidR="00263F61" w:rsidRPr="00CE2B0C">
        <w:rPr>
          <w:rFonts w:ascii="Arial" w:hAnsi="Arial" w:cs="Arial"/>
          <w:lang w:val="en-GB"/>
        </w:rPr>
        <w:t>. It will not be possible to act once</w:t>
      </w:r>
      <w:r w:rsidR="00831D70" w:rsidRPr="00CE2B0C">
        <w:rPr>
          <w:rFonts w:ascii="Arial" w:hAnsi="Arial" w:cs="Arial"/>
          <w:lang w:val="en-GB"/>
        </w:rPr>
        <w:t xml:space="preserve"> (boerse-global.de, 2026)</w:t>
      </w:r>
      <w:r w:rsidR="00263F61" w:rsidRPr="00CE2B0C">
        <w:rPr>
          <w:rFonts w:ascii="Arial" w:hAnsi="Arial" w:cs="Arial"/>
          <w:lang w:val="en-GB"/>
        </w:rPr>
        <w:t xml:space="preserve">. The company </w:t>
      </w:r>
      <w:r w:rsidR="00513B1A" w:rsidRPr="00CE2B0C">
        <w:rPr>
          <w:rFonts w:ascii="Arial" w:hAnsi="Arial" w:cs="Arial"/>
          <w:lang w:val="en-GB"/>
        </w:rPr>
        <w:t xml:space="preserve">should </w:t>
      </w:r>
      <w:r w:rsidR="00263F61" w:rsidRPr="00CE2B0C">
        <w:rPr>
          <w:rFonts w:ascii="Arial" w:hAnsi="Arial" w:cs="Arial"/>
          <w:lang w:val="en-GB"/>
        </w:rPr>
        <w:t xml:space="preserve">combine selective divestiture, debt </w:t>
      </w:r>
      <w:r w:rsidR="004D4426" w:rsidRPr="00CE2B0C">
        <w:rPr>
          <w:rFonts w:ascii="Arial" w:hAnsi="Arial" w:cs="Arial"/>
          <w:lang w:val="en-GB"/>
        </w:rPr>
        <w:t>reorganisation</w:t>
      </w:r>
      <w:r w:rsidR="00263F61" w:rsidRPr="00CE2B0C">
        <w:rPr>
          <w:rFonts w:ascii="Arial" w:hAnsi="Arial" w:cs="Arial"/>
          <w:lang w:val="en-GB"/>
        </w:rPr>
        <w:t xml:space="preserve">, </w:t>
      </w:r>
      <w:r w:rsidR="00323660" w:rsidRPr="00CE2B0C">
        <w:rPr>
          <w:rFonts w:ascii="Arial" w:hAnsi="Arial" w:cs="Arial"/>
          <w:lang w:val="en-GB"/>
        </w:rPr>
        <w:t xml:space="preserve">and </w:t>
      </w:r>
      <w:r w:rsidR="00263F61" w:rsidRPr="00CE2B0C">
        <w:rPr>
          <w:rFonts w:ascii="Arial" w:hAnsi="Arial" w:cs="Arial"/>
          <w:lang w:val="en-GB"/>
        </w:rPr>
        <w:t>strategic alliances</w:t>
      </w:r>
      <w:r w:rsidR="004D4426" w:rsidRPr="00CE2B0C">
        <w:rPr>
          <w:rFonts w:ascii="Arial" w:hAnsi="Arial" w:cs="Arial"/>
          <w:lang w:val="en-GB"/>
        </w:rPr>
        <w:t>,</w:t>
      </w:r>
      <w:r w:rsidR="00263F61" w:rsidRPr="00CE2B0C">
        <w:rPr>
          <w:rFonts w:ascii="Arial" w:hAnsi="Arial" w:cs="Arial"/>
          <w:lang w:val="en-GB"/>
        </w:rPr>
        <w:t xml:space="preserve"> rather than a big merger and contingent hybrid or equity support only when it is necessary. </w:t>
      </w:r>
    </w:p>
    <w:p w14:paraId="1C5866E0" w14:textId="63659BBB" w:rsidR="00DD5893" w:rsidRPr="00CE2B0C" w:rsidRDefault="00022456" w:rsidP="007B08F1">
      <w:pPr>
        <w:pStyle w:val="Heading2"/>
        <w:spacing w:line="360" w:lineRule="auto"/>
        <w:rPr>
          <w:rFonts w:cs="Arial"/>
          <w:b w:val="0"/>
          <w:bCs/>
          <w:szCs w:val="24"/>
          <w:lang w:val="en-GB"/>
        </w:rPr>
      </w:pPr>
      <w:bookmarkStart w:id="18" w:name="_Toc227812690"/>
      <w:r w:rsidRPr="00CE2B0C">
        <w:rPr>
          <w:rFonts w:cs="Arial"/>
          <w:bCs/>
          <w:szCs w:val="24"/>
          <w:lang w:val="en-GB"/>
        </w:rPr>
        <w:t>4</w:t>
      </w:r>
      <w:r w:rsidR="00DD5893" w:rsidRPr="00CE2B0C">
        <w:rPr>
          <w:rFonts w:cs="Arial"/>
          <w:bCs/>
          <w:szCs w:val="24"/>
          <w:lang w:val="en-GB"/>
        </w:rPr>
        <w:t>.</w:t>
      </w:r>
      <w:r w:rsidR="00506FA3" w:rsidRPr="00CE2B0C">
        <w:rPr>
          <w:rFonts w:cs="Arial"/>
          <w:bCs/>
          <w:szCs w:val="24"/>
          <w:lang w:val="en-GB"/>
        </w:rPr>
        <w:t>1</w:t>
      </w:r>
      <w:r w:rsidR="00DD5893" w:rsidRPr="00CE2B0C">
        <w:rPr>
          <w:rFonts w:cs="Arial"/>
          <w:bCs/>
          <w:szCs w:val="24"/>
          <w:lang w:val="en-GB"/>
        </w:rPr>
        <w:t xml:space="preserve"> Recommended restructuring options</w:t>
      </w:r>
      <w:bookmarkEnd w:id="18"/>
    </w:p>
    <w:p w14:paraId="066F52A1" w14:textId="159ED0AD" w:rsidR="00DD5893" w:rsidRPr="00CE2B0C" w:rsidRDefault="004D4426" w:rsidP="007B08F1">
      <w:pPr>
        <w:spacing w:line="360" w:lineRule="auto"/>
        <w:jc w:val="both"/>
        <w:rPr>
          <w:rFonts w:ascii="Arial" w:hAnsi="Arial" w:cs="Arial"/>
          <w:b/>
          <w:bCs/>
          <w:lang w:val="en-GB"/>
        </w:rPr>
      </w:pPr>
      <w:r w:rsidRPr="00CE2B0C">
        <w:rPr>
          <w:rFonts w:ascii="Arial" w:hAnsi="Arial" w:cs="Arial"/>
          <w:b/>
          <w:bCs/>
          <w:lang w:val="en-GB"/>
        </w:rPr>
        <w:t xml:space="preserve"> </w:t>
      </w:r>
      <w:r w:rsidR="00DD5893" w:rsidRPr="00CE2B0C">
        <w:rPr>
          <w:rFonts w:ascii="Arial" w:hAnsi="Arial" w:cs="Arial"/>
          <w:b/>
          <w:bCs/>
          <w:lang w:val="en-GB"/>
        </w:rPr>
        <w:t>Selective divestiture</w:t>
      </w:r>
    </w:p>
    <w:p w14:paraId="04E6D8AC" w14:textId="37344046" w:rsidR="00263F61" w:rsidRPr="00CE2B0C" w:rsidRDefault="00263F61" w:rsidP="007B08F1">
      <w:pPr>
        <w:spacing w:line="360" w:lineRule="auto"/>
        <w:jc w:val="both"/>
        <w:rPr>
          <w:rFonts w:ascii="Arial" w:hAnsi="Arial" w:cs="Arial"/>
          <w:lang w:val="en-GB"/>
        </w:rPr>
      </w:pPr>
      <w:r w:rsidRPr="00CE2B0C">
        <w:rPr>
          <w:rFonts w:ascii="Arial" w:hAnsi="Arial" w:cs="Arial"/>
          <w:lang w:val="en-GB"/>
        </w:rPr>
        <w:t xml:space="preserve">Selective divestment of non-core, lower-return, or strategically weak assets is the first recommendation. Volkswagen </w:t>
      </w:r>
      <w:r w:rsidR="00323660" w:rsidRPr="00CE2B0C">
        <w:rPr>
          <w:rFonts w:ascii="Arial" w:hAnsi="Arial" w:cs="Arial"/>
          <w:lang w:val="en-GB"/>
        </w:rPr>
        <w:t xml:space="preserve">should </w:t>
      </w:r>
      <w:r w:rsidRPr="00CE2B0C">
        <w:rPr>
          <w:rFonts w:ascii="Arial" w:hAnsi="Arial" w:cs="Arial"/>
          <w:lang w:val="en-GB"/>
        </w:rPr>
        <w:t>examine minority portfolio, peripheral businesses, or units</w:t>
      </w:r>
      <w:r w:rsidR="00323660" w:rsidRPr="00CE2B0C">
        <w:rPr>
          <w:rFonts w:ascii="Arial" w:hAnsi="Arial" w:cs="Arial"/>
          <w:lang w:val="en-GB"/>
        </w:rPr>
        <w:t>. This does</w:t>
      </w:r>
      <w:r w:rsidRPr="00CE2B0C">
        <w:rPr>
          <w:rFonts w:ascii="Arial" w:hAnsi="Arial" w:cs="Arial"/>
          <w:lang w:val="en-GB"/>
        </w:rPr>
        <w:t xml:space="preserve"> not directly support its </w:t>
      </w:r>
      <w:r w:rsidR="00786425" w:rsidRPr="00CE2B0C">
        <w:rPr>
          <w:rFonts w:ascii="Arial" w:hAnsi="Arial" w:cs="Arial"/>
          <w:lang w:val="en-GB"/>
        </w:rPr>
        <w:t>long-term</w:t>
      </w:r>
      <w:r w:rsidRPr="00CE2B0C">
        <w:rPr>
          <w:rFonts w:ascii="Arial" w:hAnsi="Arial" w:cs="Arial"/>
          <w:lang w:val="en-GB"/>
        </w:rPr>
        <w:t xml:space="preserve"> EV, software or mobility strategy. The goal is not to downsize, but to enhance focus and release capital that </w:t>
      </w:r>
      <w:r w:rsidR="00786425" w:rsidRPr="00CE2B0C">
        <w:rPr>
          <w:rFonts w:ascii="Arial" w:hAnsi="Arial" w:cs="Arial"/>
          <w:lang w:val="en-GB"/>
        </w:rPr>
        <w:t>does</w:t>
      </w:r>
      <w:r w:rsidRPr="00CE2B0C">
        <w:rPr>
          <w:rFonts w:ascii="Arial" w:hAnsi="Arial" w:cs="Arial"/>
          <w:lang w:val="en-GB"/>
        </w:rPr>
        <w:t xml:space="preserve"> not </w:t>
      </w:r>
      <w:r w:rsidR="00786425" w:rsidRPr="00CE2B0C">
        <w:rPr>
          <w:rFonts w:ascii="Arial" w:hAnsi="Arial" w:cs="Arial"/>
          <w:lang w:val="en-GB"/>
        </w:rPr>
        <w:t>produce</w:t>
      </w:r>
      <w:r w:rsidRPr="00CE2B0C">
        <w:rPr>
          <w:rFonts w:ascii="Arial" w:hAnsi="Arial" w:cs="Arial"/>
          <w:lang w:val="en-GB"/>
        </w:rPr>
        <w:t xml:space="preserve"> enough financial or strategic value</w:t>
      </w:r>
      <w:r w:rsidR="00831D70" w:rsidRPr="00CE2B0C">
        <w:rPr>
          <w:rFonts w:ascii="Arial" w:hAnsi="Arial" w:cs="Arial"/>
          <w:lang w:val="en-GB"/>
        </w:rPr>
        <w:t xml:space="preserve"> (Volkswagen AG, 2024)</w:t>
      </w:r>
      <w:r w:rsidRPr="00CE2B0C">
        <w:rPr>
          <w:rFonts w:ascii="Arial" w:hAnsi="Arial" w:cs="Arial"/>
          <w:lang w:val="en-GB"/>
        </w:rPr>
        <w:t>.</w:t>
      </w:r>
    </w:p>
    <w:p w14:paraId="4F3E9DB9" w14:textId="2BBE5FA3" w:rsidR="00263F61" w:rsidRPr="00CE2B0C" w:rsidRDefault="00263F61" w:rsidP="007B08F1">
      <w:pPr>
        <w:spacing w:line="360" w:lineRule="auto"/>
        <w:jc w:val="both"/>
        <w:rPr>
          <w:rFonts w:ascii="Arial" w:hAnsi="Arial" w:cs="Arial"/>
          <w:lang w:val="en-GB"/>
        </w:rPr>
      </w:pPr>
      <w:r w:rsidRPr="00CE2B0C">
        <w:rPr>
          <w:rFonts w:ascii="Arial" w:hAnsi="Arial" w:cs="Arial"/>
          <w:lang w:val="en-GB"/>
        </w:rPr>
        <w:t xml:space="preserve">This alternative has the potential to enhance shareholder value in case the asset sales are made at fair values and the proceeds are </w:t>
      </w:r>
      <w:r w:rsidR="00786425" w:rsidRPr="00CE2B0C">
        <w:rPr>
          <w:rFonts w:ascii="Arial" w:hAnsi="Arial" w:cs="Arial"/>
          <w:lang w:val="en-GB"/>
        </w:rPr>
        <w:t>utilised</w:t>
      </w:r>
      <w:r w:rsidRPr="00CE2B0C">
        <w:rPr>
          <w:rFonts w:ascii="Arial" w:hAnsi="Arial" w:cs="Arial"/>
          <w:lang w:val="en-GB"/>
        </w:rPr>
        <w:t xml:space="preserve"> effectively. Proceeds on disposal may decrease net debt, bolster liquidity, or finance projects of higher priority. This will be useful during a time when negative free cash flow is already constraining internal financing potential. Divestiture would alleviate the necessity of further borrowing and could assist in enhancing gearing, in terms of debt structure. In terms of operational flexibility, the impact would be broadly positive in case the disposals are confined to non-core operations, as the Group would be simplified and the management could focus on core operations. </w:t>
      </w:r>
      <w:r w:rsidR="00323660" w:rsidRPr="00CE2B0C">
        <w:rPr>
          <w:rFonts w:ascii="Arial" w:hAnsi="Arial" w:cs="Arial"/>
          <w:lang w:val="en-GB"/>
        </w:rPr>
        <w:t>However</w:t>
      </w:r>
      <w:r w:rsidRPr="00CE2B0C">
        <w:rPr>
          <w:rFonts w:ascii="Arial" w:hAnsi="Arial" w:cs="Arial"/>
          <w:lang w:val="en-GB"/>
        </w:rPr>
        <w:t xml:space="preserve">, the danger is that too much divestment can decrease the diversification and future streams of income. Consequently, divestiture must be </w:t>
      </w:r>
      <w:r w:rsidR="00323660" w:rsidRPr="00CE2B0C">
        <w:rPr>
          <w:rFonts w:ascii="Arial" w:hAnsi="Arial" w:cs="Arial"/>
          <w:lang w:val="en-GB"/>
        </w:rPr>
        <w:t>discriminating</w:t>
      </w:r>
      <w:r w:rsidRPr="00CE2B0C">
        <w:rPr>
          <w:rFonts w:ascii="Arial" w:hAnsi="Arial" w:cs="Arial"/>
          <w:lang w:val="en-GB"/>
        </w:rPr>
        <w:t xml:space="preserve"> as opposed to offensive</w:t>
      </w:r>
      <w:r w:rsidR="00831D70" w:rsidRPr="00CE2B0C">
        <w:rPr>
          <w:rFonts w:ascii="Arial" w:hAnsi="Arial" w:cs="Arial"/>
          <w:lang w:val="en-GB"/>
        </w:rPr>
        <w:t xml:space="preserve"> (</w:t>
      </w:r>
      <w:proofErr w:type="spellStart"/>
      <w:r w:rsidR="00831D70" w:rsidRPr="00CE2B0C">
        <w:rPr>
          <w:rFonts w:ascii="Arial" w:hAnsi="Arial" w:cs="Arial"/>
          <w:lang w:val="en-GB"/>
        </w:rPr>
        <w:t>Dordi</w:t>
      </w:r>
      <w:proofErr w:type="spellEnd"/>
      <w:r w:rsidR="00831D70" w:rsidRPr="00CE2B0C">
        <w:rPr>
          <w:rFonts w:ascii="Arial" w:hAnsi="Arial" w:cs="Arial"/>
          <w:lang w:val="en-GB"/>
        </w:rPr>
        <w:t xml:space="preserve"> and Weber, 2023)</w:t>
      </w:r>
      <w:r w:rsidRPr="00CE2B0C">
        <w:rPr>
          <w:rFonts w:ascii="Arial" w:hAnsi="Arial" w:cs="Arial"/>
          <w:lang w:val="en-GB"/>
        </w:rPr>
        <w:t>.</w:t>
      </w:r>
    </w:p>
    <w:p w14:paraId="66DD3966" w14:textId="0F4FDF6A" w:rsidR="00DD5893" w:rsidRPr="00CE2B0C" w:rsidRDefault="00DD5893" w:rsidP="007B08F1">
      <w:pPr>
        <w:spacing w:line="360" w:lineRule="auto"/>
        <w:jc w:val="both"/>
        <w:rPr>
          <w:rFonts w:ascii="Arial" w:hAnsi="Arial" w:cs="Arial"/>
          <w:b/>
          <w:bCs/>
          <w:lang w:val="en-GB"/>
        </w:rPr>
      </w:pPr>
      <w:r w:rsidRPr="00CE2B0C">
        <w:rPr>
          <w:rFonts w:ascii="Arial" w:hAnsi="Arial" w:cs="Arial"/>
          <w:b/>
          <w:bCs/>
          <w:lang w:val="en-GB"/>
        </w:rPr>
        <w:lastRenderedPageBreak/>
        <w:t>Debt restructuring and refinancing</w:t>
      </w:r>
    </w:p>
    <w:p w14:paraId="44617DE3" w14:textId="0571ACC8"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The second suggestion is the restructuring of debt by refinancing and extending maturity. The leverage at Volkswagen is still high and declining interest cover indicates that </w:t>
      </w:r>
      <w:r w:rsidR="00323660" w:rsidRPr="00CE2B0C">
        <w:rPr>
          <w:rFonts w:ascii="Arial" w:hAnsi="Arial" w:cs="Arial"/>
          <w:lang w:val="en-GB"/>
        </w:rPr>
        <w:t xml:space="preserve">the </w:t>
      </w:r>
      <w:r w:rsidRPr="00CE2B0C">
        <w:rPr>
          <w:rFonts w:ascii="Arial" w:hAnsi="Arial" w:cs="Arial"/>
          <w:lang w:val="en-GB"/>
        </w:rPr>
        <w:t xml:space="preserve">business does not have much space to meet financing costs. </w:t>
      </w:r>
      <w:r w:rsidR="00323660" w:rsidRPr="00CE2B0C">
        <w:rPr>
          <w:rFonts w:ascii="Arial" w:hAnsi="Arial" w:cs="Arial"/>
          <w:lang w:val="en-GB"/>
        </w:rPr>
        <w:t>Therefore, the</w:t>
      </w:r>
      <w:r w:rsidRPr="00CE2B0C">
        <w:rPr>
          <w:rFonts w:ascii="Arial" w:hAnsi="Arial" w:cs="Arial"/>
          <w:lang w:val="en-GB"/>
        </w:rPr>
        <w:t xml:space="preserve"> Group should </w:t>
      </w:r>
      <w:r w:rsidR="00323660" w:rsidRPr="00CE2B0C">
        <w:rPr>
          <w:rFonts w:ascii="Arial" w:hAnsi="Arial" w:cs="Arial"/>
          <w:lang w:val="en-GB"/>
        </w:rPr>
        <w:t>minimise</w:t>
      </w:r>
      <w:r w:rsidRPr="00CE2B0C">
        <w:rPr>
          <w:rFonts w:ascii="Arial" w:hAnsi="Arial" w:cs="Arial"/>
          <w:lang w:val="en-GB"/>
        </w:rPr>
        <w:t xml:space="preserve"> short-term refinancing strains by moving a bigger portion of its liability structure to long-term funding when it comes to large investments of capital</w:t>
      </w:r>
      <w:r w:rsidR="00831D70" w:rsidRPr="00CE2B0C">
        <w:rPr>
          <w:rFonts w:ascii="Arial" w:hAnsi="Arial" w:cs="Arial"/>
          <w:lang w:val="en-GB"/>
        </w:rPr>
        <w:t xml:space="preserve"> (Zhou, 2025)</w:t>
      </w:r>
      <w:r w:rsidRPr="00CE2B0C">
        <w:rPr>
          <w:rFonts w:ascii="Arial" w:hAnsi="Arial" w:cs="Arial"/>
          <w:lang w:val="en-GB"/>
        </w:rPr>
        <w:t>.</w:t>
      </w:r>
    </w:p>
    <w:p w14:paraId="453CD906" w14:textId="4C977EE2" w:rsidR="00A0653D" w:rsidRPr="00CE2B0C" w:rsidRDefault="00323660" w:rsidP="007B08F1">
      <w:pPr>
        <w:spacing w:line="360" w:lineRule="auto"/>
        <w:jc w:val="both"/>
        <w:rPr>
          <w:rFonts w:ascii="Arial" w:hAnsi="Arial" w:cs="Arial"/>
          <w:lang w:val="en-GB"/>
        </w:rPr>
      </w:pPr>
      <w:r w:rsidRPr="00CE2B0C">
        <w:rPr>
          <w:rFonts w:ascii="Arial" w:hAnsi="Arial" w:cs="Arial"/>
          <w:lang w:val="en-GB"/>
        </w:rPr>
        <w:t>This</w:t>
      </w:r>
      <w:r w:rsidR="00A0653D" w:rsidRPr="00CE2B0C">
        <w:rPr>
          <w:rFonts w:ascii="Arial" w:hAnsi="Arial" w:cs="Arial"/>
          <w:lang w:val="en-GB"/>
        </w:rPr>
        <w:t xml:space="preserve"> alternative would help in shareholder value by decreasing financial risk and decreasing the risk that cash flow weakness is going to become liquidity stress. It would not raise earnings in the short term, but would render earnings more sustainable. It has the greatest impact on the debt structure. The longer maturities enhance stability, lower rollover risk and better match funding with </w:t>
      </w:r>
      <w:r w:rsidRPr="00CE2B0C">
        <w:rPr>
          <w:rFonts w:ascii="Arial" w:hAnsi="Arial" w:cs="Arial"/>
          <w:lang w:val="en-GB"/>
        </w:rPr>
        <w:t xml:space="preserve">the </w:t>
      </w:r>
      <w:r w:rsidR="00A0653D" w:rsidRPr="00CE2B0C">
        <w:rPr>
          <w:rFonts w:ascii="Arial" w:hAnsi="Arial" w:cs="Arial"/>
          <w:lang w:val="en-GB"/>
        </w:rPr>
        <w:t>long duration of strategic investments of Volkswagen, particularly EV production, battery and digital systems. Regarding operational flexibility, increased stability in funding would allow the management to have more leeway in planning investment without having to respond to short-term funding pressure</w:t>
      </w:r>
      <w:r w:rsidR="00831D70" w:rsidRPr="00CE2B0C">
        <w:rPr>
          <w:rFonts w:ascii="Arial" w:hAnsi="Arial" w:cs="Arial"/>
          <w:lang w:val="en-GB"/>
        </w:rPr>
        <w:t xml:space="preserve"> (</w:t>
      </w:r>
      <w:proofErr w:type="spellStart"/>
      <w:r w:rsidR="00831D70" w:rsidRPr="00CE2B0C">
        <w:rPr>
          <w:rFonts w:ascii="Arial" w:hAnsi="Arial" w:cs="Arial"/>
          <w:lang w:val="en-GB"/>
        </w:rPr>
        <w:t>Batiuk</w:t>
      </w:r>
      <w:proofErr w:type="spellEnd"/>
      <w:r w:rsidR="00831D70" w:rsidRPr="00CE2B0C">
        <w:rPr>
          <w:rFonts w:ascii="Arial" w:hAnsi="Arial" w:cs="Arial"/>
          <w:lang w:val="en-GB"/>
        </w:rPr>
        <w:t xml:space="preserve"> and </w:t>
      </w:r>
      <w:proofErr w:type="spellStart"/>
      <w:r w:rsidR="00831D70" w:rsidRPr="00CE2B0C">
        <w:rPr>
          <w:rFonts w:ascii="Arial" w:hAnsi="Arial" w:cs="Arial"/>
          <w:lang w:val="en-GB"/>
        </w:rPr>
        <w:t>Kuzyk</w:t>
      </w:r>
      <w:proofErr w:type="spellEnd"/>
      <w:r w:rsidR="00831D70" w:rsidRPr="00CE2B0C">
        <w:rPr>
          <w:rFonts w:ascii="Arial" w:hAnsi="Arial" w:cs="Arial"/>
          <w:lang w:val="en-GB"/>
        </w:rPr>
        <w:t>, 2025)</w:t>
      </w:r>
      <w:r w:rsidR="00A0653D" w:rsidRPr="00CE2B0C">
        <w:rPr>
          <w:rFonts w:ascii="Arial" w:hAnsi="Arial" w:cs="Arial"/>
          <w:lang w:val="en-GB"/>
        </w:rPr>
        <w:t>. The key limitation is that refinancing alone will not resolve weak profitability</w:t>
      </w:r>
      <w:r w:rsidRPr="00CE2B0C">
        <w:rPr>
          <w:rFonts w:ascii="Arial" w:hAnsi="Arial" w:cs="Arial"/>
          <w:lang w:val="en-GB"/>
        </w:rPr>
        <w:t>. Therefore,</w:t>
      </w:r>
      <w:r w:rsidR="00A0653D" w:rsidRPr="00CE2B0C">
        <w:rPr>
          <w:rFonts w:ascii="Arial" w:hAnsi="Arial" w:cs="Arial"/>
          <w:lang w:val="en-GB"/>
        </w:rPr>
        <w:t xml:space="preserve"> it has to be complemented with more rigorous cash discipline and operating enhancement.</w:t>
      </w:r>
    </w:p>
    <w:p w14:paraId="189F9F7B" w14:textId="39C0A238" w:rsidR="00DD5893" w:rsidRPr="00CE2B0C" w:rsidRDefault="00DD5893" w:rsidP="007B08F1">
      <w:pPr>
        <w:spacing w:line="360" w:lineRule="auto"/>
        <w:jc w:val="both"/>
        <w:rPr>
          <w:rFonts w:ascii="Arial" w:hAnsi="Arial" w:cs="Arial"/>
          <w:b/>
          <w:bCs/>
          <w:lang w:val="en-GB"/>
        </w:rPr>
      </w:pPr>
      <w:r w:rsidRPr="00CE2B0C">
        <w:rPr>
          <w:rFonts w:ascii="Arial" w:hAnsi="Arial" w:cs="Arial"/>
          <w:b/>
          <w:bCs/>
          <w:lang w:val="en-GB"/>
        </w:rPr>
        <w:t>Strategic alliances rather than a major merger</w:t>
      </w:r>
    </w:p>
    <w:p w14:paraId="74500BED" w14:textId="5C8079C4" w:rsidR="00323660"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The most appropriate restructuring option that Volkswagen can have at this point is a complete merger. </w:t>
      </w:r>
      <w:r w:rsidR="00323660" w:rsidRPr="00CE2B0C">
        <w:rPr>
          <w:rFonts w:ascii="Arial" w:hAnsi="Arial" w:cs="Arial"/>
          <w:lang w:val="en-GB"/>
        </w:rPr>
        <w:t>Although</w:t>
      </w:r>
      <w:r w:rsidRPr="00CE2B0C">
        <w:rPr>
          <w:rFonts w:ascii="Arial" w:hAnsi="Arial" w:cs="Arial"/>
          <w:lang w:val="en-GB"/>
        </w:rPr>
        <w:t xml:space="preserve"> mergers may result in economies of scale, it is associated with high integration risk, high cost of restructuring, cultural conflict and distraction of management. </w:t>
      </w:r>
      <w:r w:rsidR="00323660" w:rsidRPr="00CE2B0C">
        <w:rPr>
          <w:rFonts w:ascii="Arial" w:hAnsi="Arial" w:cs="Arial"/>
          <w:lang w:val="en-GB"/>
        </w:rPr>
        <w:t>A large merger would probably raise execution risk, although it is already struggling with margin pressure and with a highly complicated global business</w:t>
      </w:r>
      <w:r w:rsidR="00831D70" w:rsidRPr="00CE2B0C">
        <w:rPr>
          <w:rFonts w:ascii="Arial" w:hAnsi="Arial" w:cs="Arial"/>
          <w:lang w:val="en-GB"/>
        </w:rPr>
        <w:t xml:space="preserve"> (Ray, 2022)</w:t>
      </w:r>
      <w:r w:rsidR="00323660" w:rsidRPr="00CE2B0C">
        <w:rPr>
          <w:rFonts w:ascii="Arial" w:hAnsi="Arial" w:cs="Arial"/>
          <w:lang w:val="en-GB"/>
        </w:rPr>
        <w:t xml:space="preserve">. </w:t>
      </w:r>
    </w:p>
    <w:p w14:paraId="74B81242" w14:textId="3B88A9B2"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A better option would be to employ strategic partnerships or joint </w:t>
      </w:r>
      <w:r w:rsidR="00323660" w:rsidRPr="00CE2B0C">
        <w:rPr>
          <w:rFonts w:ascii="Arial" w:hAnsi="Arial" w:cs="Arial"/>
          <w:lang w:val="en-GB"/>
        </w:rPr>
        <w:t>ventures</w:t>
      </w:r>
      <w:r w:rsidRPr="00CE2B0C">
        <w:rPr>
          <w:rFonts w:ascii="Arial" w:hAnsi="Arial" w:cs="Arial"/>
          <w:lang w:val="en-GB"/>
        </w:rPr>
        <w:t xml:space="preserve"> in targeted regions like battery supply, platform development, charging infrastructure, software, or green technology. This would enable Volkswagen to share cost, risk and have access to specialist capability without losing overall corporate control.</w:t>
      </w:r>
    </w:p>
    <w:p w14:paraId="0644DF3C" w14:textId="01A11A95" w:rsidR="00484B68"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The shareholder value may be affected positively since alliances will have </w:t>
      </w:r>
      <w:r w:rsidR="00323660" w:rsidRPr="00CE2B0C">
        <w:rPr>
          <w:rFonts w:ascii="Arial" w:hAnsi="Arial" w:cs="Arial"/>
          <w:lang w:val="en-GB"/>
        </w:rPr>
        <w:t>lower</w:t>
      </w:r>
      <w:r w:rsidRPr="00CE2B0C">
        <w:rPr>
          <w:rFonts w:ascii="Arial" w:hAnsi="Arial" w:cs="Arial"/>
          <w:lang w:val="en-GB"/>
        </w:rPr>
        <w:t xml:space="preserve"> capital intensity and lighten the load of having to finance each project separately. In </w:t>
      </w:r>
      <w:r w:rsidRPr="00CE2B0C">
        <w:rPr>
          <w:rFonts w:ascii="Arial" w:hAnsi="Arial" w:cs="Arial"/>
          <w:lang w:val="en-GB"/>
        </w:rPr>
        <w:lastRenderedPageBreak/>
        <w:t xml:space="preserve">the case of the debt structure, this is beneficial as it will eliminate the volume of debt required to facilitate long-term change. Alliances are better than mergers in terms of flexibility in operations as they can be targeted, adapted or even exited easily. Consequently, a restructuring </w:t>
      </w:r>
      <w:r w:rsidR="00323660" w:rsidRPr="00CE2B0C">
        <w:rPr>
          <w:rFonts w:ascii="Arial" w:hAnsi="Arial" w:cs="Arial"/>
          <w:lang w:val="en-GB"/>
        </w:rPr>
        <w:t>involving</w:t>
      </w:r>
      <w:r w:rsidRPr="00CE2B0C">
        <w:rPr>
          <w:rFonts w:ascii="Arial" w:hAnsi="Arial" w:cs="Arial"/>
          <w:lang w:val="en-GB"/>
        </w:rPr>
        <w:t xml:space="preserve"> </w:t>
      </w:r>
      <w:proofErr w:type="gramStart"/>
      <w:r w:rsidRPr="00CE2B0C">
        <w:rPr>
          <w:rFonts w:ascii="Arial" w:hAnsi="Arial" w:cs="Arial"/>
          <w:lang w:val="en-GB"/>
        </w:rPr>
        <w:t>partnerships</w:t>
      </w:r>
      <w:proofErr w:type="gramEnd"/>
      <w:r w:rsidRPr="00CE2B0C">
        <w:rPr>
          <w:rFonts w:ascii="Arial" w:hAnsi="Arial" w:cs="Arial"/>
          <w:lang w:val="en-GB"/>
        </w:rPr>
        <w:t xml:space="preserve"> is more appropriate than a complete merger.</w:t>
      </w:r>
    </w:p>
    <w:p w14:paraId="53E68314" w14:textId="0B38308A" w:rsidR="00DD5893" w:rsidRPr="00CE2B0C" w:rsidRDefault="00DD5893" w:rsidP="007B08F1">
      <w:pPr>
        <w:spacing w:line="360" w:lineRule="auto"/>
        <w:jc w:val="both"/>
        <w:rPr>
          <w:rFonts w:ascii="Arial" w:hAnsi="Arial" w:cs="Arial"/>
          <w:b/>
          <w:bCs/>
          <w:lang w:val="en-GB"/>
        </w:rPr>
      </w:pPr>
      <w:r w:rsidRPr="00CE2B0C">
        <w:rPr>
          <w:rFonts w:ascii="Arial" w:hAnsi="Arial" w:cs="Arial"/>
          <w:b/>
          <w:bCs/>
          <w:lang w:val="en-GB"/>
        </w:rPr>
        <w:t>Hybrid capital or limited equity injection</w:t>
      </w:r>
    </w:p>
    <w:p w14:paraId="7266E4EC" w14:textId="10C364AF"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The last recommendation is </w:t>
      </w:r>
      <w:r w:rsidR="00323660" w:rsidRPr="00CE2B0C">
        <w:rPr>
          <w:rFonts w:ascii="Arial" w:hAnsi="Arial" w:cs="Arial"/>
          <w:lang w:val="en-GB"/>
        </w:rPr>
        <w:t xml:space="preserve">a </w:t>
      </w:r>
      <w:r w:rsidRPr="00CE2B0C">
        <w:rPr>
          <w:rFonts w:ascii="Arial" w:hAnsi="Arial" w:cs="Arial"/>
          <w:lang w:val="en-GB"/>
        </w:rPr>
        <w:t xml:space="preserve">contingent capital strengthening option </w:t>
      </w:r>
      <w:r w:rsidR="00323660" w:rsidRPr="00CE2B0C">
        <w:rPr>
          <w:rFonts w:ascii="Arial" w:hAnsi="Arial" w:cs="Arial"/>
          <w:lang w:val="en-GB"/>
        </w:rPr>
        <w:t>like</w:t>
      </w:r>
      <w:r w:rsidRPr="00CE2B0C">
        <w:rPr>
          <w:rFonts w:ascii="Arial" w:hAnsi="Arial" w:cs="Arial"/>
          <w:lang w:val="en-GB"/>
        </w:rPr>
        <w:t xml:space="preserve"> hybrid capital or </w:t>
      </w:r>
      <w:r w:rsidR="00323660" w:rsidRPr="00CE2B0C">
        <w:rPr>
          <w:rFonts w:ascii="Arial" w:hAnsi="Arial" w:cs="Arial"/>
          <w:lang w:val="en-GB"/>
        </w:rPr>
        <w:t xml:space="preserve">a </w:t>
      </w:r>
      <w:r w:rsidRPr="00CE2B0C">
        <w:rPr>
          <w:rFonts w:ascii="Arial" w:hAnsi="Arial" w:cs="Arial"/>
          <w:lang w:val="en-GB"/>
        </w:rPr>
        <w:t xml:space="preserve">limited amount of equity injection to be employed only in the event that leverage and cash flow positions worsen. It is not the first option that should be selected by Volkswagen, as a case of ordinary equity may dilute the existing </w:t>
      </w:r>
      <w:r w:rsidR="00323660" w:rsidRPr="00CE2B0C">
        <w:rPr>
          <w:rFonts w:ascii="Arial" w:hAnsi="Arial" w:cs="Arial"/>
          <w:lang w:val="en-GB"/>
        </w:rPr>
        <w:t>stockholders</w:t>
      </w:r>
      <w:r w:rsidRPr="00CE2B0C">
        <w:rPr>
          <w:rFonts w:ascii="Arial" w:hAnsi="Arial" w:cs="Arial"/>
          <w:lang w:val="en-GB"/>
        </w:rPr>
        <w:t xml:space="preserve"> and reduce the EPS in the short term</w:t>
      </w:r>
      <w:r w:rsidR="00831D70" w:rsidRPr="00CE2B0C">
        <w:rPr>
          <w:rFonts w:ascii="Arial" w:hAnsi="Arial" w:cs="Arial"/>
          <w:lang w:val="en-GB"/>
        </w:rPr>
        <w:t xml:space="preserve"> (</w:t>
      </w:r>
      <w:proofErr w:type="spellStart"/>
      <w:r w:rsidR="00831D70" w:rsidRPr="00CE2B0C">
        <w:rPr>
          <w:rFonts w:ascii="Arial" w:hAnsi="Arial" w:cs="Arial"/>
          <w:lang w:val="en-GB"/>
        </w:rPr>
        <w:t>Qureshi</w:t>
      </w:r>
      <w:proofErr w:type="spellEnd"/>
      <w:r w:rsidR="00831D70" w:rsidRPr="00CE2B0C">
        <w:rPr>
          <w:rFonts w:ascii="Arial" w:hAnsi="Arial" w:cs="Arial"/>
          <w:lang w:val="en-GB"/>
        </w:rPr>
        <w:t xml:space="preserve"> and Khan, 2025)</w:t>
      </w:r>
      <w:r w:rsidRPr="00CE2B0C">
        <w:rPr>
          <w:rFonts w:ascii="Arial" w:hAnsi="Arial" w:cs="Arial"/>
          <w:lang w:val="en-GB"/>
        </w:rPr>
        <w:t>. But a type of capital relief might be required</w:t>
      </w:r>
      <w:r w:rsidR="00323660" w:rsidRPr="00CE2B0C">
        <w:rPr>
          <w:rFonts w:ascii="Arial" w:hAnsi="Arial" w:cs="Arial"/>
          <w:lang w:val="en-GB"/>
        </w:rPr>
        <w:t xml:space="preserve"> with net debt growing and profitability under stress. </w:t>
      </w:r>
    </w:p>
    <w:p w14:paraId="211676C8" w14:textId="6318A5F5"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The impact on shareholder value is ambivalent. Dilution can lower returns in the short term</w:t>
      </w:r>
      <w:r w:rsidR="00323660" w:rsidRPr="00CE2B0C">
        <w:rPr>
          <w:rFonts w:ascii="Arial" w:hAnsi="Arial" w:cs="Arial"/>
          <w:lang w:val="en-GB"/>
        </w:rPr>
        <w:t>,</w:t>
      </w:r>
      <w:r w:rsidRPr="00CE2B0C">
        <w:rPr>
          <w:rFonts w:ascii="Arial" w:hAnsi="Arial" w:cs="Arial"/>
          <w:lang w:val="en-GB"/>
        </w:rPr>
        <w:t xml:space="preserve"> but a more robust balance sheet can safeguard value </w:t>
      </w:r>
      <w:r w:rsidR="00323660" w:rsidRPr="00CE2B0C">
        <w:rPr>
          <w:rFonts w:ascii="Arial" w:hAnsi="Arial" w:cs="Arial"/>
          <w:lang w:val="en-GB"/>
        </w:rPr>
        <w:t xml:space="preserve">in the long-term </w:t>
      </w:r>
      <w:r w:rsidRPr="00CE2B0C">
        <w:rPr>
          <w:rFonts w:ascii="Arial" w:hAnsi="Arial" w:cs="Arial"/>
          <w:lang w:val="en-GB"/>
        </w:rPr>
        <w:t xml:space="preserve">by </w:t>
      </w:r>
      <w:r w:rsidR="00323660" w:rsidRPr="00CE2B0C">
        <w:rPr>
          <w:rFonts w:ascii="Arial" w:hAnsi="Arial" w:cs="Arial"/>
          <w:lang w:val="en-GB"/>
        </w:rPr>
        <w:t>minimising</w:t>
      </w:r>
      <w:r w:rsidRPr="00CE2B0C">
        <w:rPr>
          <w:rFonts w:ascii="Arial" w:hAnsi="Arial" w:cs="Arial"/>
          <w:lang w:val="en-GB"/>
        </w:rPr>
        <w:t xml:space="preserve"> financial risk. The debt structure would have been obviously beneficial since the higher equity or quasi-equity support would reduce gearing and enhance solvency ratios. Operationally, it would have been more resilient and less reliant on the debt markets. Thus, this option must be kept as a backup or emergency option.</w:t>
      </w:r>
    </w:p>
    <w:p w14:paraId="16BB8F78" w14:textId="395D9E02" w:rsidR="00A0653D" w:rsidRPr="00CE2B0C" w:rsidRDefault="00022456" w:rsidP="007B08F1">
      <w:pPr>
        <w:pStyle w:val="Heading2"/>
        <w:spacing w:line="360" w:lineRule="auto"/>
        <w:jc w:val="both"/>
        <w:rPr>
          <w:rFonts w:cs="Arial"/>
          <w:bCs/>
          <w:szCs w:val="24"/>
          <w:lang w:val="en-GB"/>
        </w:rPr>
      </w:pPr>
      <w:bookmarkStart w:id="19" w:name="_Toc227812691"/>
      <w:r w:rsidRPr="00CE2B0C">
        <w:rPr>
          <w:rFonts w:cs="Arial"/>
          <w:bCs/>
          <w:szCs w:val="24"/>
          <w:lang w:val="en-GB"/>
        </w:rPr>
        <w:t>4</w:t>
      </w:r>
      <w:r w:rsidR="00484B68" w:rsidRPr="00CE2B0C">
        <w:rPr>
          <w:rFonts w:cs="Arial"/>
          <w:bCs/>
          <w:szCs w:val="24"/>
          <w:lang w:val="en-GB"/>
        </w:rPr>
        <w:t>.2</w:t>
      </w:r>
      <w:r w:rsidR="00DD5893" w:rsidRPr="00CE2B0C">
        <w:rPr>
          <w:rFonts w:cs="Arial"/>
          <w:bCs/>
          <w:szCs w:val="24"/>
          <w:lang w:val="en-GB"/>
        </w:rPr>
        <w:t xml:space="preserve"> Overall impact on shareholder value, debt structure, and operational flexibility</w:t>
      </w:r>
      <w:bookmarkEnd w:id="19"/>
    </w:p>
    <w:p w14:paraId="58F6AA4C" w14:textId="3D17DB31"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The most suitable would be a combined restructuring strategy. Selective divestiture would enhance allocations of capital and free cash. Refinancing of debts would enhance the maturity structure and ease liquidity strains. Alliances would reduce the cost of investment without the chance of a complete merger</w:t>
      </w:r>
      <w:r w:rsidR="00831D70" w:rsidRPr="00CE2B0C">
        <w:rPr>
          <w:rFonts w:ascii="Arial" w:hAnsi="Arial" w:cs="Arial"/>
          <w:lang w:val="en-GB"/>
        </w:rPr>
        <w:t xml:space="preserve"> (</w:t>
      </w:r>
      <w:proofErr w:type="spellStart"/>
      <w:r w:rsidR="00831D70" w:rsidRPr="00CE2B0C">
        <w:rPr>
          <w:rFonts w:ascii="Arial" w:hAnsi="Arial" w:cs="Arial"/>
          <w:lang w:val="en-GB"/>
        </w:rPr>
        <w:t>Potharla</w:t>
      </w:r>
      <w:proofErr w:type="spellEnd"/>
      <w:r w:rsidR="00831D70" w:rsidRPr="00CE2B0C">
        <w:rPr>
          <w:rFonts w:ascii="Arial" w:hAnsi="Arial" w:cs="Arial"/>
          <w:lang w:val="en-GB"/>
        </w:rPr>
        <w:t>, 2025)</w:t>
      </w:r>
      <w:r w:rsidRPr="00CE2B0C">
        <w:rPr>
          <w:rFonts w:ascii="Arial" w:hAnsi="Arial" w:cs="Arial"/>
          <w:lang w:val="en-GB"/>
        </w:rPr>
        <w:t xml:space="preserve">. </w:t>
      </w:r>
      <w:r w:rsidR="00323660" w:rsidRPr="00CE2B0C">
        <w:rPr>
          <w:rFonts w:ascii="Arial" w:hAnsi="Arial" w:cs="Arial"/>
          <w:lang w:val="en-GB"/>
        </w:rPr>
        <w:t>Hybrid</w:t>
      </w:r>
      <w:r w:rsidRPr="00CE2B0C">
        <w:rPr>
          <w:rFonts w:ascii="Arial" w:hAnsi="Arial" w:cs="Arial"/>
          <w:lang w:val="en-GB"/>
        </w:rPr>
        <w:t xml:space="preserve"> or equity assistance would be retained</w:t>
      </w:r>
      <w:r w:rsidR="00323660" w:rsidRPr="00CE2B0C">
        <w:rPr>
          <w:rFonts w:ascii="Arial" w:hAnsi="Arial" w:cs="Arial"/>
          <w:lang w:val="en-GB"/>
        </w:rPr>
        <w:t xml:space="preserve"> only in case of aggravation of conditions. </w:t>
      </w:r>
    </w:p>
    <w:p w14:paraId="07D9E922" w14:textId="2600BEBE"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This is a better combination in terms of shareholder value since it does not lead to unnecessary dilution, less financial risk</w:t>
      </w:r>
      <w:r w:rsidR="00323660" w:rsidRPr="00CE2B0C">
        <w:rPr>
          <w:rFonts w:ascii="Arial" w:hAnsi="Arial" w:cs="Arial"/>
          <w:lang w:val="en-GB"/>
        </w:rPr>
        <w:t xml:space="preserve"> </w:t>
      </w:r>
      <w:r w:rsidRPr="00CE2B0C">
        <w:rPr>
          <w:rFonts w:ascii="Arial" w:hAnsi="Arial" w:cs="Arial"/>
          <w:lang w:val="en-GB"/>
        </w:rPr>
        <w:t xml:space="preserve">and directs capital to more productive applications. In terms of debt structure, it would enhance the stability of funding and decrease dependence on short-term pressure. Operationally, it maintains the </w:t>
      </w:r>
      <w:r w:rsidRPr="00CE2B0C">
        <w:rPr>
          <w:rFonts w:ascii="Arial" w:hAnsi="Arial" w:cs="Arial"/>
          <w:lang w:val="en-GB"/>
        </w:rPr>
        <w:lastRenderedPageBreak/>
        <w:t xml:space="preserve">capability of Volkswagen to proceed with investing in change without being overly disruptive in terms of </w:t>
      </w:r>
      <w:r w:rsidR="00323660" w:rsidRPr="00CE2B0C">
        <w:rPr>
          <w:rFonts w:ascii="Arial" w:hAnsi="Arial" w:cs="Arial"/>
          <w:lang w:val="en-GB"/>
        </w:rPr>
        <w:t>the reorganisation</w:t>
      </w:r>
      <w:r w:rsidRPr="00CE2B0C">
        <w:rPr>
          <w:rFonts w:ascii="Arial" w:hAnsi="Arial" w:cs="Arial"/>
          <w:lang w:val="en-GB"/>
        </w:rPr>
        <w:t xml:space="preserve"> model.</w:t>
      </w:r>
    </w:p>
    <w:p w14:paraId="118CEF16" w14:textId="619E7449" w:rsidR="00DD5893" w:rsidRPr="00CE2B0C" w:rsidRDefault="00022456" w:rsidP="007B08F1">
      <w:pPr>
        <w:spacing w:line="360" w:lineRule="auto"/>
        <w:jc w:val="both"/>
        <w:rPr>
          <w:rFonts w:ascii="Arial" w:hAnsi="Arial" w:cs="Arial"/>
          <w:b/>
          <w:bCs/>
          <w:lang w:val="en-GB"/>
        </w:rPr>
      </w:pPr>
      <w:r w:rsidRPr="00CE2B0C">
        <w:rPr>
          <w:rFonts w:ascii="Arial" w:hAnsi="Arial" w:cs="Arial"/>
          <w:b/>
          <w:bCs/>
          <w:lang w:val="en-GB"/>
        </w:rPr>
        <w:t>4</w:t>
      </w:r>
      <w:r w:rsidR="00DD5893" w:rsidRPr="00CE2B0C">
        <w:rPr>
          <w:rFonts w:ascii="Arial" w:hAnsi="Arial" w:cs="Arial"/>
          <w:b/>
          <w:bCs/>
          <w:lang w:val="en-GB"/>
        </w:rPr>
        <w:t>.4 International and ethical considerations</w:t>
      </w:r>
    </w:p>
    <w:p w14:paraId="2E47B059" w14:textId="77777777" w:rsidR="008E1B69"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The </w:t>
      </w:r>
      <w:r w:rsidR="00323660" w:rsidRPr="00CE2B0C">
        <w:rPr>
          <w:rFonts w:ascii="Arial" w:hAnsi="Arial" w:cs="Arial"/>
          <w:lang w:val="en-GB"/>
        </w:rPr>
        <w:t>reorganisation</w:t>
      </w:r>
      <w:r w:rsidRPr="00CE2B0C">
        <w:rPr>
          <w:rFonts w:ascii="Arial" w:hAnsi="Arial" w:cs="Arial"/>
          <w:lang w:val="en-GB"/>
        </w:rPr>
        <w:t xml:space="preserve"> strategy of Volkswagen should also take into consideration its global status and its broader ethical obligations. </w:t>
      </w:r>
    </w:p>
    <w:p w14:paraId="4C9097DD" w14:textId="0E06B70C" w:rsidR="00A0653D" w:rsidRPr="00CE2B0C" w:rsidRDefault="008E1B69" w:rsidP="007B08F1">
      <w:pPr>
        <w:pStyle w:val="ListParagraph"/>
        <w:numPr>
          <w:ilvl w:val="0"/>
          <w:numId w:val="3"/>
        </w:numPr>
        <w:spacing w:line="360" w:lineRule="auto"/>
        <w:jc w:val="both"/>
        <w:rPr>
          <w:rFonts w:ascii="Arial" w:hAnsi="Arial" w:cs="Arial"/>
          <w:b/>
          <w:bCs/>
          <w:lang w:val="en-GB"/>
        </w:rPr>
      </w:pPr>
      <w:r w:rsidRPr="00CE2B0C">
        <w:rPr>
          <w:rFonts w:ascii="Arial" w:hAnsi="Arial" w:cs="Arial"/>
          <w:b/>
          <w:bCs/>
          <w:lang w:val="en-GB"/>
        </w:rPr>
        <w:t xml:space="preserve">Taxation: </w:t>
      </w:r>
      <w:r w:rsidR="00A0653D" w:rsidRPr="00CE2B0C">
        <w:rPr>
          <w:rFonts w:ascii="Arial" w:hAnsi="Arial" w:cs="Arial"/>
          <w:lang w:val="en-GB"/>
        </w:rPr>
        <w:t xml:space="preserve">First, taxation is significant since the Group is operating in varied jurisdictions. Disposition of assets, internal financing restructuring and restructuring across borders can have tax implications. Instead of engaging in aggressive tax minimisation, Volkswagen needs to </w:t>
      </w:r>
      <w:r w:rsidRPr="00CE2B0C">
        <w:rPr>
          <w:rFonts w:ascii="Arial" w:hAnsi="Arial" w:cs="Arial"/>
          <w:lang w:val="en-GB"/>
        </w:rPr>
        <w:t>emphasise</w:t>
      </w:r>
      <w:r w:rsidR="00A0653D" w:rsidRPr="00CE2B0C">
        <w:rPr>
          <w:rFonts w:ascii="Arial" w:hAnsi="Arial" w:cs="Arial"/>
          <w:lang w:val="en-GB"/>
        </w:rPr>
        <w:t xml:space="preserve"> transparent tax governance and compliance.</w:t>
      </w:r>
    </w:p>
    <w:p w14:paraId="621EDCCA" w14:textId="66BF8C54" w:rsidR="00A0653D" w:rsidRPr="00CE2B0C" w:rsidRDefault="008E1B69" w:rsidP="007B08F1">
      <w:pPr>
        <w:pStyle w:val="ListParagraph"/>
        <w:numPr>
          <w:ilvl w:val="0"/>
          <w:numId w:val="3"/>
        </w:numPr>
        <w:spacing w:line="360" w:lineRule="auto"/>
        <w:jc w:val="both"/>
        <w:rPr>
          <w:rFonts w:ascii="Arial" w:hAnsi="Arial" w:cs="Arial"/>
          <w:lang w:val="en-GB"/>
        </w:rPr>
      </w:pPr>
      <w:r w:rsidRPr="00CE2B0C">
        <w:rPr>
          <w:rFonts w:ascii="Arial" w:hAnsi="Arial" w:cs="Arial"/>
          <w:b/>
          <w:bCs/>
          <w:lang w:val="en-GB"/>
        </w:rPr>
        <w:t>Currency Risk:</w:t>
      </w:r>
      <w:r w:rsidRPr="00CE2B0C">
        <w:rPr>
          <w:rFonts w:ascii="Arial" w:hAnsi="Arial" w:cs="Arial"/>
          <w:lang w:val="en-GB"/>
        </w:rPr>
        <w:t xml:space="preserve"> </w:t>
      </w:r>
      <w:r w:rsidR="00A0653D" w:rsidRPr="00CE2B0C">
        <w:rPr>
          <w:rFonts w:ascii="Arial" w:hAnsi="Arial" w:cs="Arial"/>
          <w:lang w:val="en-GB"/>
        </w:rPr>
        <w:t>Second</w:t>
      </w:r>
      <w:r w:rsidRPr="00CE2B0C">
        <w:rPr>
          <w:rFonts w:ascii="Arial" w:hAnsi="Arial" w:cs="Arial"/>
          <w:lang w:val="en-GB"/>
        </w:rPr>
        <w:t>ly</w:t>
      </w:r>
      <w:r w:rsidR="00A0653D" w:rsidRPr="00CE2B0C">
        <w:rPr>
          <w:rFonts w:ascii="Arial" w:hAnsi="Arial" w:cs="Arial"/>
          <w:lang w:val="en-GB"/>
        </w:rPr>
        <w:t xml:space="preserve">, one should </w:t>
      </w:r>
      <w:r w:rsidRPr="00CE2B0C">
        <w:rPr>
          <w:rFonts w:ascii="Arial" w:hAnsi="Arial" w:cs="Arial"/>
          <w:lang w:val="en-GB"/>
        </w:rPr>
        <w:t>consider currency risk</w:t>
      </w:r>
      <w:r w:rsidR="00A0653D" w:rsidRPr="00CE2B0C">
        <w:rPr>
          <w:rFonts w:ascii="Arial" w:hAnsi="Arial" w:cs="Arial"/>
          <w:lang w:val="en-GB"/>
        </w:rPr>
        <w:t>. Volkswagen receives revenue and makes expenses in various currencies</w:t>
      </w:r>
      <w:r w:rsidRPr="00CE2B0C">
        <w:rPr>
          <w:rFonts w:ascii="Arial" w:hAnsi="Arial" w:cs="Arial"/>
          <w:lang w:val="en-GB"/>
        </w:rPr>
        <w:t xml:space="preserve">. </w:t>
      </w:r>
      <w:r w:rsidR="00A0653D" w:rsidRPr="00CE2B0C">
        <w:rPr>
          <w:rFonts w:ascii="Arial" w:hAnsi="Arial" w:cs="Arial"/>
          <w:lang w:val="en-GB"/>
        </w:rPr>
        <w:t xml:space="preserve"> </w:t>
      </w:r>
      <w:r w:rsidRPr="00CE2B0C">
        <w:rPr>
          <w:rFonts w:ascii="Arial" w:hAnsi="Arial" w:cs="Arial"/>
          <w:lang w:val="en-GB"/>
        </w:rPr>
        <w:t>Therefore,</w:t>
      </w:r>
      <w:r w:rsidR="00A0653D" w:rsidRPr="00CE2B0C">
        <w:rPr>
          <w:rFonts w:ascii="Arial" w:hAnsi="Arial" w:cs="Arial"/>
          <w:lang w:val="en-GB"/>
        </w:rPr>
        <w:t xml:space="preserve"> fluctuations can influence the profitability and debt servicing</w:t>
      </w:r>
      <w:r w:rsidRPr="00CE2B0C">
        <w:rPr>
          <w:rFonts w:ascii="Arial" w:hAnsi="Arial" w:cs="Arial"/>
          <w:lang w:val="en-GB"/>
        </w:rPr>
        <w:t xml:space="preserve"> in the exchange rates</w:t>
      </w:r>
      <w:r w:rsidR="00831D70" w:rsidRPr="00CE2B0C">
        <w:rPr>
          <w:rFonts w:ascii="Arial" w:hAnsi="Arial" w:cs="Arial"/>
          <w:lang w:val="en-GB"/>
        </w:rPr>
        <w:t xml:space="preserve"> (</w:t>
      </w:r>
      <w:proofErr w:type="spellStart"/>
      <w:r w:rsidR="00831D70" w:rsidRPr="00CE2B0C">
        <w:rPr>
          <w:rFonts w:ascii="Arial" w:hAnsi="Arial" w:cs="Arial"/>
          <w:lang w:val="en-GB"/>
        </w:rPr>
        <w:t>Ebikeiseye</w:t>
      </w:r>
      <w:proofErr w:type="spellEnd"/>
      <w:r w:rsidR="00831D70" w:rsidRPr="00CE2B0C">
        <w:rPr>
          <w:rFonts w:ascii="Arial" w:hAnsi="Arial" w:cs="Arial"/>
          <w:lang w:val="en-GB"/>
        </w:rPr>
        <w:t xml:space="preserve"> and </w:t>
      </w:r>
      <w:proofErr w:type="spellStart"/>
      <w:r w:rsidR="00831D70" w:rsidRPr="00CE2B0C">
        <w:rPr>
          <w:rFonts w:ascii="Arial" w:hAnsi="Arial" w:cs="Arial"/>
          <w:lang w:val="en-GB"/>
        </w:rPr>
        <w:t>Ebipre</w:t>
      </w:r>
      <w:proofErr w:type="spellEnd"/>
      <w:r w:rsidR="00831D70" w:rsidRPr="00CE2B0C">
        <w:rPr>
          <w:rFonts w:ascii="Arial" w:hAnsi="Arial" w:cs="Arial"/>
          <w:lang w:val="en-GB"/>
        </w:rPr>
        <w:t>, 2025)</w:t>
      </w:r>
      <w:r w:rsidR="00A0653D" w:rsidRPr="00CE2B0C">
        <w:rPr>
          <w:rFonts w:ascii="Arial" w:hAnsi="Arial" w:cs="Arial"/>
          <w:lang w:val="en-GB"/>
        </w:rPr>
        <w:t>. The decisions on financing should hence be pegged to operating currency exposure</w:t>
      </w:r>
      <w:r w:rsidRPr="00CE2B0C">
        <w:rPr>
          <w:rFonts w:ascii="Arial" w:hAnsi="Arial" w:cs="Arial"/>
          <w:lang w:val="en-GB"/>
        </w:rPr>
        <w:t>. The</w:t>
      </w:r>
      <w:r w:rsidR="00A0653D" w:rsidRPr="00CE2B0C">
        <w:rPr>
          <w:rFonts w:ascii="Arial" w:hAnsi="Arial" w:cs="Arial"/>
          <w:lang w:val="en-GB"/>
        </w:rPr>
        <w:t xml:space="preserve"> currency risk</w:t>
      </w:r>
      <w:r w:rsidRPr="00CE2B0C">
        <w:rPr>
          <w:rFonts w:ascii="Arial" w:hAnsi="Arial" w:cs="Arial"/>
          <w:lang w:val="en-GB"/>
        </w:rPr>
        <w:t xml:space="preserve"> should also</w:t>
      </w:r>
      <w:r w:rsidR="00A0653D" w:rsidRPr="00CE2B0C">
        <w:rPr>
          <w:rFonts w:ascii="Arial" w:hAnsi="Arial" w:cs="Arial"/>
          <w:lang w:val="en-GB"/>
        </w:rPr>
        <w:t xml:space="preserve"> be dealt with using proper hedging and funds allocation.</w:t>
      </w:r>
    </w:p>
    <w:p w14:paraId="5509139D" w14:textId="3261A3C0" w:rsidR="00A0653D" w:rsidRPr="00CE2B0C" w:rsidRDefault="008E1B69" w:rsidP="007B08F1">
      <w:pPr>
        <w:pStyle w:val="ListParagraph"/>
        <w:numPr>
          <w:ilvl w:val="0"/>
          <w:numId w:val="3"/>
        </w:numPr>
        <w:spacing w:line="360" w:lineRule="auto"/>
        <w:jc w:val="both"/>
        <w:rPr>
          <w:rFonts w:ascii="Arial" w:hAnsi="Arial" w:cs="Arial"/>
          <w:lang w:val="en-GB"/>
        </w:rPr>
      </w:pPr>
      <w:r w:rsidRPr="00CE2B0C">
        <w:rPr>
          <w:rFonts w:ascii="Arial" w:hAnsi="Arial" w:cs="Arial"/>
          <w:b/>
          <w:bCs/>
          <w:lang w:val="en-GB"/>
        </w:rPr>
        <w:t>Inflation:</w:t>
      </w:r>
      <w:r w:rsidRPr="00CE2B0C">
        <w:rPr>
          <w:rFonts w:ascii="Arial" w:hAnsi="Arial" w:cs="Arial"/>
          <w:lang w:val="en-GB"/>
        </w:rPr>
        <w:t xml:space="preserve"> </w:t>
      </w:r>
      <w:r w:rsidR="00A0653D" w:rsidRPr="00CE2B0C">
        <w:rPr>
          <w:rFonts w:ascii="Arial" w:hAnsi="Arial" w:cs="Arial"/>
          <w:lang w:val="en-GB"/>
        </w:rPr>
        <w:t>Third</w:t>
      </w:r>
      <w:r w:rsidRPr="00CE2B0C">
        <w:rPr>
          <w:rFonts w:ascii="Arial" w:hAnsi="Arial" w:cs="Arial"/>
          <w:lang w:val="en-GB"/>
        </w:rPr>
        <w:t>ly</w:t>
      </w:r>
      <w:r w:rsidR="00A0653D" w:rsidRPr="00CE2B0C">
        <w:rPr>
          <w:rFonts w:ascii="Arial" w:hAnsi="Arial" w:cs="Arial"/>
          <w:lang w:val="en-GB"/>
        </w:rPr>
        <w:t xml:space="preserve">, inflation is a risk as it increases the prices of materials, labour, logistics and financing. Restructuring should therefore also encompass tightening the cost control and </w:t>
      </w:r>
      <w:r w:rsidRPr="00CE2B0C">
        <w:rPr>
          <w:rFonts w:ascii="Arial" w:hAnsi="Arial" w:cs="Arial"/>
          <w:lang w:val="en-GB"/>
        </w:rPr>
        <w:t>increasing</w:t>
      </w:r>
      <w:r w:rsidR="00A0653D" w:rsidRPr="00CE2B0C">
        <w:rPr>
          <w:rFonts w:ascii="Arial" w:hAnsi="Arial" w:cs="Arial"/>
          <w:lang w:val="en-GB"/>
        </w:rPr>
        <w:t xml:space="preserve"> procurement discipline so that financing gains will not be counterbalanced by operational cost escalations.</w:t>
      </w:r>
    </w:p>
    <w:p w14:paraId="1479DA75" w14:textId="77777777" w:rsidR="008E1B69" w:rsidRPr="00CE2B0C" w:rsidRDefault="008E1B69" w:rsidP="007B08F1">
      <w:pPr>
        <w:pStyle w:val="ListParagraph"/>
        <w:numPr>
          <w:ilvl w:val="0"/>
          <w:numId w:val="3"/>
        </w:numPr>
        <w:spacing w:line="360" w:lineRule="auto"/>
        <w:jc w:val="both"/>
        <w:rPr>
          <w:rFonts w:ascii="Arial" w:hAnsi="Arial" w:cs="Arial"/>
          <w:lang w:val="en-GB"/>
        </w:rPr>
      </w:pPr>
      <w:r w:rsidRPr="00CE2B0C">
        <w:rPr>
          <w:rFonts w:ascii="Arial" w:hAnsi="Arial" w:cs="Arial"/>
          <w:b/>
          <w:bCs/>
          <w:lang w:val="en-GB"/>
        </w:rPr>
        <w:t>CSR and Ethics:</w:t>
      </w:r>
      <w:r w:rsidRPr="00CE2B0C">
        <w:rPr>
          <w:rFonts w:ascii="Arial" w:hAnsi="Arial" w:cs="Arial"/>
          <w:lang w:val="en-GB"/>
        </w:rPr>
        <w:t xml:space="preserve"> </w:t>
      </w:r>
      <w:r w:rsidR="00A0653D" w:rsidRPr="00CE2B0C">
        <w:rPr>
          <w:rFonts w:ascii="Arial" w:hAnsi="Arial" w:cs="Arial"/>
          <w:lang w:val="en-GB"/>
        </w:rPr>
        <w:t xml:space="preserve">Lastly, restructuring should be </w:t>
      </w:r>
      <w:r w:rsidRPr="00CE2B0C">
        <w:rPr>
          <w:rFonts w:ascii="Arial" w:hAnsi="Arial" w:cs="Arial"/>
          <w:lang w:val="en-GB"/>
        </w:rPr>
        <w:t>centred</w:t>
      </w:r>
      <w:r w:rsidR="00A0653D" w:rsidRPr="00CE2B0C">
        <w:rPr>
          <w:rFonts w:ascii="Arial" w:hAnsi="Arial" w:cs="Arial"/>
          <w:lang w:val="en-GB"/>
        </w:rPr>
        <w:t xml:space="preserve"> on CSR and ethics. Balance-sheet repair should not be undertaken by Volkswagen in a manner that places an undue burden on the employees, suppliers and communities. Divestiture, </w:t>
      </w:r>
      <w:r w:rsidRPr="00CE2B0C">
        <w:rPr>
          <w:rFonts w:ascii="Arial" w:hAnsi="Arial" w:cs="Arial"/>
          <w:lang w:val="en-GB"/>
        </w:rPr>
        <w:t>cost-cutting</w:t>
      </w:r>
      <w:r w:rsidR="00A0653D" w:rsidRPr="00CE2B0C">
        <w:rPr>
          <w:rFonts w:ascii="Arial" w:hAnsi="Arial" w:cs="Arial"/>
          <w:lang w:val="en-GB"/>
        </w:rPr>
        <w:t xml:space="preserve"> and financing reforms must be done in a transparent and responsible way. </w:t>
      </w:r>
    </w:p>
    <w:p w14:paraId="7CF5B9C7" w14:textId="490B7A23" w:rsidR="006D40B8" w:rsidRPr="00CE2B0C" w:rsidRDefault="00A0653D" w:rsidP="007B08F1">
      <w:pPr>
        <w:spacing w:line="360" w:lineRule="auto"/>
        <w:jc w:val="both"/>
        <w:rPr>
          <w:rFonts w:ascii="Arial" w:hAnsi="Arial" w:cs="Arial"/>
          <w:lang w:val="en-GB"/>
        </w:rPr>
      </w:pPr>
      <w:r w:rsidRPr="00CE2B0C">
        <w:rPr>
          <w:rFonts w:ascii="Arial" w:hAnsi="Arial" w:cs="Arial"/>
          <w:lang w:val="en-GB"/>
        </w:rPr>
        <w:t>Moreover, since the future strategy of the Group is closely associated with EV production, it has to be ethically sourcing battery materials, ethically working on labour</w:t>
      </w:r>
      <w:r w:rsidR="00831D70" w:rsidRPr="00CE2B0C">
        <w:rPr>
          <w:rFonts w:ascii="Arial" w:hAnsi="Arial" w:cs="Arial"/>
          <w:lang w:val="en-GB"/>
        </w:rPr>
        <w:t xml:space="preserve"> </w:t>
      </w:r>
      <w:r w:rsidRPr="00CE2B0C">
        <w:rPr>
          <w:rFonts w:ascii="Arial" w:hAnsi="Arial" w:cs="Arial"/>
          <w:lang w:val="en-GB"/>
        </w:rPr>
        <w:t xml:space="preserve">and having </w:t>
      </w:r>
      <w:r w:rsidR="008E1B69" w:rsidRPr="00CE2B0C">
        <w:rPr>
          <w:rFonts w:ascii="Arial" w:hAnsi="Arial" w:cs="Arial"/>
          <w:lang w:val="en-GB"/>
        </w:rPr>
        <w:t xml:space="preserve">a </w:t>
      </w:r>
      <w:r w:rsidRPr="00CE2B0C">
        <w:rPr>
          <w:rFonts w:ascii="Arial" w:hAnsi="Arial" w:cs="Arial"/>
          <w:lang w:val="en-GB"/>
        </w:rPr>
        <w:t xml:space="preserve">credible </w:t>
      </w:r>
      <w:r w:rsidR="008E1B69" w:rsidRPr="00CE2B0C">
        <w:rPr>
          <w:rFonts w:ascii="Arial" w:hAnsi="Arial" w:cs="Arial"/>
          <w:lang w:val="en-GB"/>
        </w:rPr>
        <w:t>environmental</w:t>
      </w:r>
      <w:r w:rsidRPr="00CE2B0C">
        <w:rPr>
          <w:rFonts w:ascii="Arial" w:hAnsi="Arial" w:cs="Arial"/>
          <w:lang w:val="en-GB"/>
        </w:rPr>
        <w:t xml:space="preserve"> commitment</w:t>
      </w:r>
      <w:r w:rsidR="00831D70" w:rsidRPr="00CE2B0C">
        <w:rPr>
          <w:rFonts w:ascii="Arial" w:hAnsi="Arial" w:cs="Arial"/>
          <w:lang w:val="en-GB"/>
        </w:rPr>
        <w:t xml:space="preserve"> (</w:t>
      </w:r>
      <w:proofErr w:type="spellStart"/>
      <w:r w:rsidR="00831D70" w:rsidRPr="00CE2B0C">
        <w:rPr>
          <w:rFonts w:ascii="Arial" w:hAnsi="Arial" w:cs="Arial"/>
          <w:lang w:val="en-GB"/>
        </w:rPr>
        <w:t>Goel</w:t>
      </w:r>
      <w:proofErr w:type="spellEnd"/>
      <w:r w:rsidR="00831D70" w:rsidRPr="00CE2B0C">
        <w:rPr>
          <w:rFonts w:ascii="Arial" w:hAnsi="Arial" w:cs="Arial"/>
          <w:lang w:val="en-GB"/>
        </w:rPr>
        <w:t>, 2024)</w:t>
      </w:r>
      <w:r w:rsidRPr="00CE2B0C">
        <w:rPr>
          <w:rFonts w:ascii="Arial" w:hAnsi="Arial" w:cs="Arial"/>
          <w:lang w:val="en-GB"/>
        </w:rPr>
        <w:t>. Sustainability should be encouraged by financial restructuring, rather than compromised.</w:t>
      </w:r>
    </w:p>
    <w:p w14:paraId="05AADD27" w14:textId="77777777" w:rsidR="002A7EF1" w:rsidRPr="00CE2B0C" w:rsidRDefault="002A7EF1" w:rsidP="007B08F1">
      <w:pPr>
        <w:spacing w:line="360" w:lineRule="auto"/>
        <w:jc w:val="both"/>
        <w:rPr>
          <w:rFonts w:ascii="Arial" w:hAnsi="Arial" w:cs="Arial"/>
          <w:lang w:val="en-GB"/>
        </w:rPr>
      </w:pPr>
    </w:p>
    <w:p w14:paraId="13CEDFDE" w14:textId="2BB06417" w:rsidR="005B5F59" w:rsidRPr="00CE2B0C" w:rsidRDefault="00022456" w:rsidP="007B08F1">
      <w:pPr>
        <w:pStyle w:val="Heading1"/>
        <w:spacing w:line="360" w:lineRule="auto"/>
        <w:rPr>
          <w:rFonts w:cs="Arial"/>
          <w:szCs w:val="24"/>
          <w:lang w:val="en-GB"/>
        </w:rPr>
      </w:pPr>
      <w:bookmarkStart w:id="20" w:name="_Toc227812692"/>
      <w:r w:rsidRPr="00CE2B0C">
        <w:rPr>
          <w:rFonts w:cs="Arial"/>
          <w:szCs w:val="24"/>
          <w:lang w:val="en-GB"/>
        </w:rPr>
        <w:lastRenderedPageBreak/>
        <w:t>5</w:t>
      </w:r>
      <w:r w:rsidR="005B5F59" w:rsidRPr="00CE2B0C">
        <w:rPr>
          <w:rFonts w:cs="Arial"/>
          <w:szCs w:val="24"/>
          <w:lang w:val="en-GB"/>
        </w:rPr>
        <w:t>. Investment Appraisal and Capital Budgeting</w:t>
      </w:r>
      <w:bookmarkEnd w:id="20"/>
    </w:p>
    <w:p w14:paraId="3951C400" w14:textId="05AB815A" w:rsidR="005B5F59"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Project cash flows and assumptions</w:t>
      </w:r>
    </w:p>
    <w:p w14:paraId="5D1AFBB5"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The projects are:</w:t>
      </w:r>
    </w:p>
    <w:p w14:paraId="6F372AB0"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A: £10m, £12m, £14m, £10m, £8m </w:t>
      </w:r>
    </w:p>
    <w:p w14:paraId="326D9D45"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B: £11m, £11m, £11m, £11m, £11m </w:t>
      </w:r>
    </w:p>
    <w:p w14:paraId="3237394F"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C: £5m, £10m, £20m, £25m, £5m </w:t>
      </w:r>
    </w:p>
    <w:p w14:paraId="73FB67DD" w14:textId="58167FB2" w:rsidR="00A0653D" w:rsidRPr="00CE2B0C" w:rsidRDefault="00A0653D" w:rsidP="007B08F1">
      <w:pPr>
        <w:spacing w:line="360" w:lineRule="auto"/>
        <w:jc w:val="both"/>
        <w:rPr>
          <w:rFonts w:ascii="Arial" w:hAnsi="Arial" w:cs="Arial"/>
          <w:lang w:val="en-GB"/>
        </w:rPr>
      </w:pPr>
      <w:r w:rsidRPr="00CE2B0C">
        <w:rPr>
          <w:rFonts w:ascii="Arial" w:hAnsi="Arial" w:cs="Arial"/>
          <w:lang w:val="en-GB"/>
        </w:rPr>
        <w:t>Project A, Project B and Project C have total cash inflows of 54m, 55m and 65m respectively at a simple undiscounted level</w:t>
      </w:r>
      <w:r w:rsidR="006D40B8" w:rsidRPr="00CE2B0C">
        <w:rPr>
          <w:rFonts w:ascii="Arial" w:hAnsi="Arial" w:cs="Arial"/>
          <w:lang w:val="en-GB"/>
        </w:rPr>
        <w:t xml:space="preserve">. </w:t>
      </w:r>
      <w:r w:rsidRPr="00CE2B0C">
        <w:rPr>
          <w:rFonts w:ascii="Arial" w:hAnsi="Arial" w:cs="Arial"/>
          <w:lang w:val="en-GB"/>
        </w:rPr>
        <w:t xml:space="preserve"> </w:t>
      </w:r>
      <w:r w:rsidR="006D40B8" w:rsidRPr="00CE2B0C">
        <w:rPr>
          <w:rFonts w:ascii="Arial" w:hAnsi="Arial" w:cs="Arial"/>
          <w:lang w:val="en-GB"/>
        </w:rPr>
        <w:t>All</w:t>
      </w:r>
      <w:r w:rsidRPr="00CE2B0C">
        <w:rPr>
          <w:rFonts w:ascii="Arial" w:hAnsi="Arial" w:cs="Arial"/>
          <w:lang w:val="en-GB"/>
        </w:rPr>
        <w:t xml:space="preserve"> three projects would pay off the initial investment but </w:t>
      </w:r>
      <w:r w:rsidR="006D40B8" w:rsidRPr="00CE2B0C">
        <w:rPr>
          <w:rFonts w:ascii="Arial" w:hAnsi="Arial" w:cs="Arial"/>
          <w:lang w:val="en-GB"/>
        </w:rPr>
        <w:t xml:space="preserve">a </w:t>
      </w:r>
      <w:r w:rsidRPr="00CE2B0C">
        <w:rPr>
          <w:rFonts w:ascii="Arial" w:hAnsi="Arial" w:cs="Arial"/>
          <w:lang w:val="en-GB"/>
        </w:rPr>
        <w:t>discounted appraisal is more reliable since it takes into consideration the time value of money.</w:t>
      </w:r>
    </w:p>
    <w:p w14:paraId="5717C06F" w14:textId="05CAA75E" w:rsidR="005B5F59" w:rsidRPr="00CE2B0C" w:rsidRDefault="00B52EA2" w:rsidP="007B08F1">
      <w:pPr>
        <w:pStyle w:val="Caption"/>
        <w:spacing w:line="360" w:lineRule="auto"/>
        <w:rPr>
          <w:rFonts w:ascii="Arial" w:hAnsi="Arial" w:cs="Arial"/>
          <w:b/>
          <w:bCs/>
          <w:sz w:val="24"/>
          <w:szCs w:val="24"/>
          <w:lang w:val="en-GB"/>
        </w:rPr>
      </w:pPr>
      <w:bookmarkStart w:id="21" w:name="_Toc227448974"/>
      <w:r w:rsidRPr="00CE2B0C">
        <w:rPr>
          <w:rFonts w:ascii="Arial" w:hAnsi="Arial" w:cs="Arial"/>
          <w:b/>
          <w:bCs/>
          <w:sz w:val="24"/>
          <w:szCs w:val="24"/>
          <w:lang w:val="en-GB"/>
        </w:rPr>
        <w:t xml:space="preserve">Table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Table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3</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5B5F59" w:rsidRPr="00CE2B0C">
        <w:rPr>
          <w:rFonts w:ascii="Arial" w:hAnsi="Arial" w:cs="Arial"/>
          <w:b/>
          <w:bCs/>
          <w:sz w:val="24"/>
          <w:szCs w:val="24"/>
          <w:lang w:val="en-GB"/>
        </w:rPr>
        <w:t>Summary of appraisal results</w:t>
      </w:r>
      <w:bookmarkEnd w:id="21"/>
    </w:p>
    <w:p w14:paraId="60C9BE6A" w14:textId="342D137A" w:rsidR="002E01C6" w:rsidRPr="00CE2B0C" w:rsidRDefault="002E01C6" w:rsidP="007B08F1">
      <w:pPr>
        <w:spacing w:line="360" w:lineRule="auto"/>
        <w:rPr>
          <w:rFonts w:ascii="Arial" w:hAnsi="Arial" w:cs="Arial"/>
          <w:lang w:val="en-GB"/>
        </w:rPr>
      </w:pPr>
      <w:r w:rsidRPr="00CE2B0C">
        <w:rPr>
          <w:rFonts w:ascii="Arial" w:hAnsi="Arial" w:cs="Arial"/>
          <w:b/>
          <w:lang w:val="en-GB"/>
        </w:rPr>
        <w:t>Calculations:</w:t>
      </w:r>
      <w:r w:rsidRPr="00CE2B0C">
        <w:rPr>
          <w:rFonts w:ascii="Arial" w:hAnsi="Arial" w:cs="Arial"/>
          <w:lang w:val="en-GB"/>
        </w:rPr>
        <w:t xml:space="preserve"> </w:t>
      </w:r>
      <w:hyperlink w:anchor="_Appendix_4:_Investment" w:history="1">
        <w:r w:rsidRPr="00CE2B0C">
          <w:rPr>
            <w:rStyle w:val="Hyperlink"/>
            <w:rFonts w:ascii="Arial" w:hAnsi="Arial" w:cs="Arial"/>
            <w:lang w:val="en-GB"/>
          </w:rPr>
          <w:t>Appendix 4: Investment Appraisal Calculations</w:t>
        </w:r>
      </w:hyperlink>
    </w:p>
    <w:tbl>
      <w:tblPr>
        <w:tblStyle w:val="TableGrid"/>
        <w:tblW w:w="9378" w:type="dxa"/>
        <w:tblLook w:val="04A0" w:firstRow="1" w:lastRow="0" w:firstColumn="1" w:lastColumn="0" w:noHBand="0" w:noVBand="1"/>
      </w:tblPr>
      <w:tblGrid>
        <w:gridCol w:w="2502"/>
        <w:gridCol w:w="1763"/>
        <w:gridCol w:w="1763"/>
        <w:gridCol w:w="1763"/>
        <w:gridCol w:w="1587"/>
      </w:tblGrid>
      <w:tr w:rsidR="005B5F59" w:rsidRPr="00CE2B0C" w14:paraId="100CF5DE" w14:textId="77777777" w:rsidTr="00A0653D">
        <w:trPr>
          <w:trHeight w:val="492"/>
        </w:trPr>
        <w:tc>
          <w:tcPr>
            <w:tcW w:w="0" w:type="auto"/>
            <w:hideMark/>
          </w:tcPr>
          <w:p w14:paraId="453E4A06" w14:textId="77777777" w:rsidR="005B5F59" w:rsidRPr="00CE2B0C" w:rsidRDefault="005B5F59" w:rsidP="007B08F1">
            <w:pPr>
              <w:spacing w:after="160" w:line="360" w:lineRule="auto"/>
              <w:jc w:val="both"/>
              <w:rPr>
                <w:rFonts w:ascii="Arial" w:hAnsi="Arial" w:cs="Arial"/>
                <w:b/>
                <w:bCs/>
                <w:lang w:val="en-GB"/>
              </w:rPr>
            </w:pPr>
            <w:r w:rsidRPr="00CE2B0C">
              <w:rPr>
                <w:rFonts w:ascii="Arial" w:hAnsi="Arial" w:cs="Arial"/>
                <w:b/>
                <w:bCs/>
                <w:lang w:val="en-GB"/>
              </w:rPr>
              <w:t>Method</w:t>
            </w:r>
          </w:p>
        </w:tc>
        <w:tc>
          <w:tcPr>
            <w:tcW w:w="0" w:type="auto"/>
            <w:hideMark/>
          </w:tcPr>
          <w:p w14:paraId="01AAB102" w14:textId="77777777" w:rsidR="005B5F59" w:rsidRPr="00CE2B0C" w:rsidRDefault="005B5F59" w:rsidP="007B08F1">
            <w:pPr>
              <w:spacing w:after="160" w:line="360" w:lineRule="auto"/>
              <w:jc w:val="both"/>
              <w:rPr>
                <w:rFonts w:ascii="Arial" w:hAnsi="Arial" w:cs="Arial"/>
                <w:b/>
                <w:bCs/>
                <w:lang w:val="en-GB"/>
              </w:rPr>
            </w:pPr>
            <w:r w:rsidRPr="00CE2B0C">
              <w:rPr>
                <w:rFonts w:ascii="Arial" w:hAnsi="Arial" w:cs="Arial"/>
                <w:b/>
                <w:bCs/>
                <w:lang w:val="en-GB"/>
              </w:rPr>
              <w:t>Project A</w:t>
            </w:r>
          </w:p>
        </w:tc>
        <w:tc>
          <w:tcPr>
            <w:tcW w:w="0" w:type="auto"/>
            <w:hideMark/>
          </w:tcPr>
          <w:p w14:paraId="0C5551A0" w14:textId="77777777" w:rsidR="005B5F59" w:rsidRPr="00CE2B0C" w:rsidRDefault="005B5F59" w:rsidP="007B08F1">
            <w:pPr>
              <w:spacing w:after="160" w:line="360" w:lineRule="auto"/>
              <w:jc w:val="both"/>
              <w:rPr>
                <w:rFonts w:ascii="Arial" w:hAnsi="Arial" w:cs="Arial"/>
                <w:b/>
                <w:bCs/>
                <w:lang w:val="en-GB"/>
              </w:rPr>
            </w:pPr>
            <w:r w:rsidRPr="00CE2B0C">
              <w:rPr>
                <w:rFonts w:ascii="Arial" w:hAnsi="Arial" w:cs="Arial"/>
                <w:b/>
                <w:bCs/>
                <w:lang w:val="en-GB"/>
              </w:rPr>
              <w:t>Project B</w:t>
            </w:r>
          </w:p>
        </w:tc>
        <w:tc>
          <w:tcPr>
            <w:tcW w:w="0" w:type="auto"/>
            <w:hideMark/>
          </w:tcPr>
          <w:p w14:paraId="40292DEF" w14:textId="77777777" w:rsidR="005B5F59" w:rsidRPr="00CE2B0C" w:rsidRDefault="005B5F59" w:rsidP="007B08F1">
            <w:pPr>
              <w:spacing w:after="160" w:line="360" w:lineRule="auto"/>
              <w:jc w:val="both"/>
              <w:rPr>
                <w:rFonts w:ascii="Arial" w:hAnsi="Arial" w:cs="Arial"/>
                <w:b/>
                <w:bCs/>
                <w:lang w:val="en-GB"/>
              </w:rPr>
            </w:pPr>
            <w:r w:rsidRPr="00CE2B0C">
              <w:rPr>
                <w:rFonts w:ascii="Arial" w:hAnsi="Arial" w:cs="Arial"/>
                <w:b/>
                <w:bCs/>
                <w:lang w:val="en-GB"/>
              </w:rPr>
              <w:t>Project C</w:t>
            </w:r>
          </w:p>
        </w:tc>
        <w:tc>
          <w:tcPr>
            <w:tcW w:w="0" w:type="auto"/>
            <w:hideMark/>
          </w:tcPr>
          <w:p w14:paraId="06D40D40" w14:textId="77777777" w:rsidR="005B5F59" w:rsidRPr="00CE2B0C" w:rsidRDefault="005B5F59" w:rsidP="007B08F1">
            <w:pPr>
              <w:spacing w:after="160" w:line="360" w:lineRule="auto"/>
              <w:jc w:val="center"/>
              <w:rPr>
                <w:rFonts w:ascii="Arial" w:hAnsi="Arial" w:cs="Arial"/>
                <w:b/>
                <w:bCs/>
                <w:lang w:val="en-GB"/>
              </w:rPr>
            </w:pPr>
            <w:r w:rsidRPr="00CE2B0C">
              <w:rPr>
                <w:rFonts w:ascii="Arial" w:hAnsi="Arial" w:cs="Arial"/>
                <w:b/>
                <w:bCs/>
                <w:lang w:val="en-GB"/>
              </w:rPr>
              <w:t>Best</w:t>
            </w:r>
          </w:p>
        </w:tc>
      </w:tr>
      <w:tr w:rsidR="005B5F59" w:rsidRPr="00CE2B0C" w14:paraId="05C2A8EA" w14:textId="77777777" w:rsidTr="00A0653D">
        <w:trPr>
          <w:trHeight w:val="492"/>
        </w:trPr>
        <w:tc>
          <w:tcPr>
            <w:tcW w:w="0" w:type="auto"/>
            <w:hideMark/>
          </w:tcPr>
          <w:p w14:paraId="5C41002B" w14:textId="77777777" w:rsidR="005B5F59" w:rsidRPr="00CE2B0C" w:rsidRDefault="005B5F59" w:rsidP="007B08F1">
            <w:pPr>
              <w:spacing w:after="160" w:line="360" w:lineRule="auto"/>
              <w:jc w:val="both"/>
              <w:rPr>
                <w:rFonts w:ascii="Arial" w:hAnsi="Arial" w:cs="Arial"/>
                <w:lang w:val="en-GB"/>
              </w:rPr>
            </w:pPr>
            <w:r w:rsidRPr="00CE2B0C">
              <w:rPr>
                <w:rFonts w:ascii="Arial" w:hAnsi="Arial" w:cs="Arial"/>
                <w:lang w:val="en-GB"/>
              </w:rPr>
              <w:t>Payback Period</w:t>
            </w:r>
          </w:p>
        </w:tc>
        <w:tc>
          <w:tcPr>
            <w:tcW w:w="0" w:type="auto"/>
            <w:hideMark/>
          </w:tcPr>
          <w:p w14:paraId="44B04624"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4.50 years</w:t>
            </w:r>
          </w:p>
        </w:tc>
        <w:tc>
          <w:tcPr>
            <w:tcW w:w="0" w:type="auto"/>
            <w:hideMark/>
          </w:tcPr>
          <w:p w14:paraId="397FA8B9"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4.55 years</w:t>
            </w:r>
          </w:p>
        </w:tc>
        <w:tc>
          <w:tcPr>
            <w:tcW w:w="0" w:type="auto"/>
            <w:hideMark/>
          </w:tcPr>
          <w:p w14:paraId="71788C48"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3.60 years</w:t>
            </w:r>
          </w:p>
        </w:tc>
        <w:tc>
          <w:tcPr>
            <w:tcW w:w="0" w:type="auto"/>
            <w:hideMark/>
          </w:tcPr>
          <w:p w14:paraId="38AAA68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Project C</w:t>
            </w:r>
          </w:p>
        </w:tc>
      </w:tr>
      <w:tr w:rsidR="005B5F59" w:rsidRPr="00CE2B0C" w14:paraId="247A50F5" w14:textId="77777777" w:rsidTr="00A0653D">
        <w:trPr>
          <w:trHeight w:val="492"/>
        </w:trPr>
        <w:tc>
          <w:tcPr>
            <w:tcW w:w="0" w:type="auto"/>
            <w:hideMark/>
          </w:tcPr>
          <w:p w14:paraId="17D6CAC3" w14:textId="77777777" w:rsidR="005B5F59" w:rsidRPr="00CE2B0C" w:rsidRDefault="005B5F59" w:rsidP="007B08F1">
            <w:pPr>
              <w:spacing w:after="160" w:line="360" w:lineRule="auto"/>
              <w:jc w:val="both"/>
              <w:rPr>
                <w:rFonts w:ascii="Arial" w:hAnsi="Arial" w:cs="Arial"/>
                <w:lang w:val="en-GB"/>
              </w:rPr>
            </w:pPr>
            <w:r w:rsidRPr="00CE2B0C">
              <w:rPr>
                <w:rFonts w:ascii="Arial" w:hAnsi="Arial" w:cs="Arial"/>
                <w:lang w:val="en-GB"/>
              </w:rPr>
              <w:t>ARR</w:t>
            </w:r>
          </w:p>
        </w:tc>
        <w:tc>
          <w:tcPr>
            <w:tcW w:w="0" w:type="auto"/>
            <w:hideMark/>
          </w:tcPr>
          <w:p w14:paraId="262D65B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3.2%</w:t>
            </w:r>
          </w:p>
        </w:tc>
        <w:tc>
          <w:tcPr>
            <w:tcW w:w="0" w:type="auto"/>
            <w:hideMark/>
          </w:tcPr>
          <w:p w14:paraId="36A322C0"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4.0%</w:t>
            </w:r>
          </w:p>
        </w:tc>
        <w:tc>
          <w:tcPr>
            <w:tcW w:w="0" w:type="auto"/>
            <w:hideMark/>
          </w:tcPr>
          <w:p w14:paraId="2B78E55C"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12.0%</w:t>
            </w:r>
          </w:p>
        </w:tc>
        <w:tc>
          <w:tcPr>
            <w:tcW w:w="0" w:type="auto"/>
            <w:hideMark/>
          </w:tcPr>
          <w:p w14:paraId="5803CA7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Project C</w:t>
            </w:r>
          </w:p>
        </w:tc>
      </w:tr>
      <w:tr w:rsidR="005B5F59" w:rsidRPr="00CE2B0C" w14:paraId="343BC6FA" w14:textId="77777777" w:rsidTr="00A0653D">
        <w:trPr>
          <w:trHeight w:val="492"/>
        </w:trPr>
        <w:tc>
          <w:tcPr>
            <w:tcW w:w="0" w:type="auto"/>
            <w:hideMark/>
          </w:tcPr>
          <w:p w14:paraId="03807CCE" w14:textId="77777777" w:rsidR="005B5F59" w:rsidRPr="00CE2B0C" w:rsidRDefault="005B5F59" w:rsidP="007B08F1">
            <w:pPr>
              <w:spacing w:after="160" w:line="360" w:lineRule="auto"/>
              <w:jc w:val="both"/>
              <w:rPr>
                <w:rFonts w:ascii="Arial" w:hAnsi="Arial" w:cs="Arial"/>
                <w:lang w:val="en-GB"/>
              </w:rPr>
            </w:pPr>
            <w:r w:rsidRPr="00CE2B0C">
              <w:rPr>
                <w:rFonts w:ascii="Arial" w:hAnsi="Arial" w:cs="Arial"/>
                <w:lang w:val="en-GB"/>
              </w:rPr>
              <w:t>NPV @ 10%</w:t>
            </w:r>
          </w:p>
        </w:tc>
        <w:tc>
          <w:tcPr>
            <w:tcW w:w="0" w:type="auto"/>
            <w:hideMark/>
          </w:tcPr>
          <w:p w14:paraId="7340AE58"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(£8.68m)</w:t>
            </w:r>
          </w:p>
        </w:tc>
        <w:tc>
          <w:tcPr>
            <w:tcW w:w="0" w:type="auto"/>
            <w:hideMark/>
          </w:tcPr>
          <w:p w14:paraId="136D5910"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(£8.30m)</w:t>
            </w:r>
          </w:p>
        </w:tc>
        <w:tc>
          <w:tcPr>
            <w:tcW w:w="0" w:type="auto"/>
            <w:hideMark/>
          </w:tcPr>
          <w:p w14:paraId="64FE6E49"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(£1.98m)</w:t>
            </w:r>
          </w:p>
        </w:tc>
        <w:tc>
          <w:tcPr>
            <w:tcW w:w="0" w:type="auto"/>
            <w:hideMark/>
          </w:tcPr>
          <w:p w14:paraId="0FD9DE8F"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Project C</w:t>
            </w:r>
          </w:p>
        </w:tc>
      </w:tr>
      <w:tr w:rsidR="005B5F59" w:rsidRPr="00CE2B0C" w14:paraId="7028A0E8" w14:textId="77777777" w:rsidTr="00A0653D">
        <w:trPr>
          <w:trHeight w:val="492"/>
        </w:trPr>
        <w:tc>
          <w:tcPr>
            <w:tcW w:w="0" w:type="auto"/>
            <w:hideMark/>
          </w:tcPr>
          <w:p w14:paraId="744D330B" w14:textId="77777777" w:rsidR="005B5F59" w:rsidRPr="00CE2B0C" w:rsidRDefault="005B5F59" w:rsidP="007B08F1">
            <w:pPr>
              <w:spacing w:after="160" w:line="360" w:lineRule="auto"/>
              <w:jc w:val="both"/>
              <w:rPr>
                <w:rFonts w:ascii="Arial" w:hAnsi="Arial" w:cs="Arial"/>
                <w:lang w:val="en-GB"/>
              </w:rPr>
            </w:pPr>
            <w:r w:rsidRPr="00CE2B0C">
              <w:rPr>
                <w:rFonts w:ascii="Arial" w:hAnsi="Arial" w:cs="Arial"/>
                <w:lang w:val="en-GB"/>
              </w:rPr>
              <w:t>PI</w:t>
            </w:r>
          </w:p>
        </w:tc>
        <w:tc>
          <w:tcPr>
            <w:tcW w:w="0" w:type="auto"/>
            <w:hideMark/>
          </w:tcPr>
          <w:p w14:paraId="50AC1F1C"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0.827</w:t>
            </w:r>
          </w:p>
        </w:tc>
        <w:tc>
          <w:tcPr>
            <w:tcW w:w="0" w:type="auto"/>
            <w:hideMark/>
          </w:tcPr>
          <w:p w14:paraId="76326796"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0.834</w:t>
            </w:r>
          </w:p>
        </w:tc>
        <w:tc>
          <w:tcPr>
            <w:tcW w:w="0" w:type="auto"/>
            <w:hideMark/>
          </w:tcPr>
          <w:p w14:paraId="06BCCD59"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0.960</w:t>
            </w:r>
          </w:p>
        </w:tc>
        <w:tc>
          <w:tcPr>
            <w:tcW w:w="0" w:type="auto"/>
            <w:hideMark/>
          </w:tcPr>
          <w:p w14:paraId="141E7985"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Project C</w:t>
            </w:r>
          </w:p>
        </w:tc>
      </w:tr>
      <w:tr w:rsidR="005B5F59" w:rsidRPr="00CE2B0C" w14:paraId="2457DE4B" w14:textId="77777777" w:rsidTr="00A0653D">
        <w:trPr>
          <w:trHeight w:val="492"/>
        </w:trPr>
        <w:tc>
          <w:tcPr>
            <w:tcW w:w="0" w:type="auto"/>
            <w:hideMark/>
          </w:tcPr>
          <w:p w14:paraId="61B1C9F5" w14:textId="77777777" w:rsidR="005B5F59" w:rsidRPr="00CE2B0C" w:rsidRDefault="005B5F59" w:rsidP="007B08F1">
            <w:pPr>
              <w:spacing w:after="160" w:line="360" w:lineRule="auto"/>
              <w:jc w:val="both"/>
              <w:rPr>
                <w:rFonts w:ascii="Arial" w:hAnsi="Arial" w:cs="Arial"/>
                <w:lang w:val="en-GB"/>
              </w:rPr>
            </w:pPr>
            <w:r w:rsidRPr="00CE2B0C">
              <w:rPr>
                <w:rFonts w:ascii="Arial" w:hAnsi="Arial" w:cs="Arial"/>
                <w:lang w:val="en-GB"/>
              </w:rPr>
              <w:t>IRR</w:t>
            </w:r>
          </w:p>
        </w:tc>
        <w:tc>
          <w:tcPr>
            <w:tcW w:w="0" w:type="auto"/>
            <w:hideMark/>
          </w:tcPr>
          <w:p w14:paraId="7C9DA89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2.72%</w:t>
            </w:r>
          </w:p>
        </w:tc>
        <w:tc>
          <w:tcPr>
            <w:tcW w:w="0" w:type="auto"/>
            <w:hideMark/>
          </w:tcPr>
          <w:p w14:paraId="4758F0CF"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3.26%</w:t>
            </w:r>
          </w:p>
        </w:tc>
        <w:tc>
          <w:tcPr>
            <w:tcW w:w="0" w:type="auto"/>
            <w:hideMark/>
          </w:tcPr>
          <w:p w14:paraId="3A1B142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8.59%</w:t>
            </w:r>
          </w:p>
        </w:tc>
        <w:tc>
          <w:tcPr>
            <w:tcW w:w="0" w:type="auto"/>
            <w:hideMark/>
          </w:tcPr>
          <w:p w14:paraId="3BE03B83"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Project C</w:t>
            </w:r>
          </w:p>
        </w:tc>
      </w:tr>
    </w:tbl>
    <w:p w14:paraId="4C51A4F7" w14:textId="77777777" w:rsidR="00A0653D" w:rsidRPr="00CE2B0C" w:rsidRDefault="00A0653D" w:rsidP="007B08F1">
      <w:pPr>
        <w:spacing w:line="360" w:lineRule="auto"/>
        <w:jc w:val="both"/>
        <w:rPr>
          <w:rFonts w:ascii="Arial" w:hAnsi="Arial" w:cs="Arial"/>
          <w:lang w:val="en-GB"/>
        </w:rPr>
      </w:pPr>
    </w:p>
    <w:p w14:paraId="72F0AC0D" w14:textId="7286D07B" w:rsidR="00A0653D" w:rsidRPr="00CE2B0C" w:rsidRDefault="00A0653D" w:rsidP="007B08F1">
      <w:pPr>
        <w:spacing w:line="360" w:lineRule="auto"/>
        <w:jc w:val="both"/>
        <w:rPr>
          <w:rFonts w:ascii="Arial" w:hAnsi="Arial" w:cs="Arial"/>
          <w:lang w:val="en-GB"/>
        </w:rPr>
      </w:pPr>
      <w:r w:rsidRPr="00CE2B0C">
        <w:rPr>
          <w:rFonts w:ascii="Arial" w:hAnsi="Arial" w:cs="Arial"/>
          <w:lang w:val="en-GB"/>
        </w:rPr>
        <w:t>Project C is at the top of the five methods. But it does not necessarily imply that it must be accepted. The results of NPV, PI, and IRR should be considered.</w:t>
      </w:r>
    </w:p>
    <w:p w14:paraId="4DE0F081" w14:textId="643868CF" w:rsidR="00A0653D"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Payback Period (PBP)</w:t>
      </w:r>
      <w:r w:rsidR="005228C6" w:rsidRPr="00CE2B0C">
        <w:rPr>
          <w:rFonts w:ascii="Arial" w:hAnsi="Arial" w:cs="Arial"/>
          <w:b/>
          <w:bCs/>
          <w:lang w:val="en-GB"/>
        </w:rPr>
        <w:t xml:space="preserve">: </w:t>
      </w:r>
      <w:r w:rsidR="00A0653D" w:rsidRPr="00CE2B0C">
        <w:rPr>
          <w:rFonts w:ascii="Arial" w:hAnsi="Arial" w:cs="Arial"/>
          <w:lang w:val="en-GB"/>
        </w:rPr>
        <w:t xml:space="preserve">Payback Period is used to determine the time that net cash inflows need to be repaid to the initial investment. It is applicable in cases where there is pressure on liquidity as it favours those projects that generate cash faster. Project A will pay back after 4.50 years, Project B after 4.55 years and Project C after 3.60 years. In this respect, Project C is obviously the best. It recovers the initial investment almost a year before the other two projects. This matters to Volkswagen </w:t>
      </w:r>
      <w:r w:rsidR="00A0653D" w:rsidRPr="00CE2B0C">
        <w:rPr>
          <w:rFonts w:ascii="Arial" w:hAnsi="Arial" w:cs="Arial"/>
          <w:lang w:val="en-GB"/>
        </w:rPr>
        <w:lastRenderedPageBreak/>
        <w:t>since the recent financial analysis indicated the company has poor liquidity, decreasing operating cash flows and negative free cash flow. In this case, prompt capital recovery is beneficial since it will help to avoid prolonged cash lock-up. The weakness of payback</w:t>
      </w:r>
      <w:r w:rsidR="007465C0" w:rsidRPr="00CE2B0C">
        <w:rPr>
          <w:rFonts w:ascii="Arial" w:hAnsi="Arial" w:cs="Arial"/>
          <w:lang w:val="en-GB"/>
        </w:rPr>
        <w:t xml:space="preserve"> </w:t>
      </w:r>
      <w:r w:rsidR="00A0653D" w:rsidRPr="00CE2B0C">
        <w:rPr>
          <w:rFonts w:ascii="Arial" w:hAnsi="Arial" w:cs="Arial"/>
          <w:lang w:val="en-GB"/>
        </w:rPr>
        <w:t>is that it does not take into account the time value of money and does not attach any weight to the cash flows beyond the payback point</w:t>
      </w:r>
      <w:r w:rsidR="002D1B85" w:rsidRPr="00CE2B0C">
        <w:rPr>
          <w:rFonts w:ascii="Arial" w:hAnsi="Arial" w:cs="Arial"/>
          <w:lang w:val="en-GB"/>
        </w:rPr>
        <w:t xml:space="preserve"> (Volkswagen AG, 2024)</w:t>
      </w:r>
      <w:r w:rsidR="00A0653D" w:rsidRPr="00CE2B0C">
        <w:rPr>
          <w:rFonts w:ascii="Arial" w:hAnsi="Arial" w:cs="Arial"/>
          <w:lang w:val="en-GB"/>
        </w:rPr>
        <w:t>. It is useful in the assessment of liquidity</w:t>
      </w:r>
      <w:r w:rsidR="007465C0" w:rsidRPr="00CE2B0C">
        <w:rPr>
          <w:rFonts w:ascii="Arial" w:hAnsi="Arial" w:cs="Arial"/>
          <w:lang w:val="en-GB"/>
        </w:rPr>
        <w:t>,</w:t>
      </w:r>
      <w:r w:rsidR="00A0653D" w:rsidRPr="00CE2B0C">
        <w:rPr>
          <w:rFonts w:ascii="Arial" w:hAnsi="Arial" w:cs="Arial"/>
          <w:lang w:val="en-GB"/>
        </w:rPr>
        <w:t xml:space="preserve"> though </w:t>
      </w:r>
      <w:r w:rsidR="007465C0" w:rsidRPr="00CE2B0C">
        <w:rPr>
          <w:rFonts w:ascii="Arial" w:hAnsi="Arial" w:cs="Arial"/>
          <w:lang w:val="en-GB"/>
        </w:rPr>
        <w:t xml:space="preserve">it </w:t>
      </w:r>
      <w:r w:rsidR="00A0653D" w:rsidRPr="00CE2B0C">
        <w:rPr>
          <w:rFonts w:ascii="Arial" w:hAnsi="Arial" w:cs="Arial"/>
          <w:lang w:val="en-GB"/>
        </w:rPr>
        <w:t>not adequate as a decision tool by itself.</w:t>
      </w:r>
    </w:p>
    <w:p w14:paraId="386DD10F" w14:textId="76B9167B" w:rsidR="00A0653D"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Accounting Rate of Return (ARR)</w:t>
      </w:r>
      <w:r w:rsidR="005228C6" w:rsidRPr="00CE2B0C">
        <w:rPr>
          <w:rFonts w:ascii="Arial" w:hAnsi="Arial" w:cs="Arial"/>
          <w:b/>
          <w:bCs/>
          <w:lang w:val="en-GB"/>
        </w:rPr>
        <w:t xml:space="preserve">: </w:t>
      </w:r>
      <w:r w:rsidR="007465C0" w:rsidRPr="00CE2B0C">
        <w:rPr>
          <w:rFonts w:ascii="Arial" w:hAnsi="Arial" w:cs="Arial"/>
          <w:lang w:val="en-GB"/>
        </w:rPr>
        <w:t>The</w:t>
      </w:r>
      <w:r w:rsidR="00A0653D" w:rsidRPr="00CE2B0C">
        <w:rPr>
          <w:rFonts w:ascii="Arial" w:hAnsi="Arial" w:cs="Arial"/>
          <w:lang w:val="en-GB"/>
        </w:rPr>
        <w:t xml:space="preserve"> average investment is</w:t>
      </w:r>
      <w:r w:rsidR="007465C0" w:rsidRPr="00CE2B0C">
        <w:rPr>
          <w:rFonts w:ascii="Arial" w:hAnsi="Arial" w:cs="Arial"/>
          <w:lang w:val="en-GB"/>
        </w:rPr>
        <w:t xml:space="preserve"> under straight-line depreciation to zero, </w:t>
      </w:r>
    </w:p>
    <w:p w14:paraId="67FA0D54"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Average investment = £50m / 2 = £25m</w:t>
      </w:r>
    </w:p>
    <w:p w14:paraId="7EDE4A65" w14:textId="1EEB2EE7" w:rsidR="00A0653D" w:rsidRPr="00CE2B0C" w:rsidRDefault="007465C0" w:rsidP="007B08F1">
      <w:pPr>
        <w:spacing w:line="360" w:lineRule="auto"/>
        <w:jc w:val="both"/>
        <w:rPr>
          <w:rFonts w:ascii="Arial" w:hAnsi="Arial" w:cs="Arial"/>
          <w:lang w:val="en-GB"/>
        </w:rPr>
      </w:pPr>
      <w:r w:rsidRPr="00CE2B0C">
        <w:rPr>
          <w:rFonts w:ascii="Arial" w:hAnsi="Arial" w:cs="Arial"/>
          <w:lang w:val="en-GB"/>
        </w:rPr>
        <w:t>Average</w:t>
      </w:r>
      <w:r w:rsidR="00A0653D" w:rsidRPr="00CE2B0C">
        <w:rPr>
          <w:rFonts w:ascii="Arial" w:hAnsi="Arial" w:cs="Arial"/>
          <w:lang w:val="en-GB"/>
        </w:rPr>
        <w:t xml:space="preserve"> accounting profit is calculated </w:t>
      </w:r>
      <w:r w:rsidRPr="00CE2B0C">
        <w:rPr>
          <w:rFonts w:ascii="Arial" w:hAnsi="Arial" w:cs="Arial"/>
          <w:lang w:val="en-GB"/>
        </w:rPr>
        <w:t>based on</w:t>
      </w:r>
      <w:r w:rsidR="00A0653D" w:rsidRPr="00CE2B0C">
        <w:rPr>
          <w:rFonts w:ascii="Arial" w:hAnsi="Arial" w:cs="Arial"/>
          <w:lang w:val="en-GB"/>
        </w:rPr>
        <w:t xml:space="preserve"> the annual cash inflows minus the annual depreciation of £10m.</w:t>
      </w:r>
    </w:p>
    <w:p w14:paraId="30D900B3"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In Project A, the profits are 0, 2, 4, 0, </w:t>
      </w:r>
      <w:proofErr w:type="gramStart"/>
      <w:r w:rsidRPr="00CE2B0C">
        <w:rPr>
          <w:rFonts w:ascii="Arial" w:hAnsi="Arial" w:cs="Arial"/>
          <w:lang w:val="en-GB"/>
        </w:rPr>
        <w:t>-</w:t>
      </w:r>
      <w:proofErr w:type="gramEnd"/>
      <w:r w:rsidRPr="00CE2B0C">
        <w:rPr>
          <w:rFonts w:ascii="Arial" w:hAnsi="Arial" w:cs="Arial"/>
          <w:lang w:val="en-GB"/>
        </w:rPr>
        <w:t>2 making the mean profit of 0.8m.</w:t>
      </w:r>
    </w:p>
    <w:p w14:paraId="0FFC9E2F"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In the case of Project B annual profits are 1, 1, 1, 1, 1, and an average profit of 1,000,000.</w:t>
      </w:r>
    </w:p>
    <w:p w14:paraId="694D2BAA"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For Project C, annual profits are -5, 0, 10, 15, -5, giving an average profit of £3.0m.</w:t>
      </w:r>
    </w:p>
    <w:p w14:paraId="50911A9C"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Therefore:</w:t>
      </w:r>
    </w:p>
    <w:p w14:paraId="69B6A431"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A ARR = 0.8 / 25 × 100 = 3.2% </w:t>
      </w:r>
    </w:p>
    <w:p w14:paraId="1EC5DD9F"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B ARR = 1.0 / 25 × 100 = 4.0% </w:t>
      </w:r>
    </w:p>
    <w:p w14:paraId="27D3CCDE"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C ARR = 3.0 / 25 × 100 = 12.0% </w:t>
      </w:r>
    </w:p>
    <w:p w14:paraId="624217CE" w14:textId="61176D68"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Once again, Project C is the most powerful. It has a </w:t>
      </w:r>
      <w:r w:rsidR="007465C0" w:rsidRPr="00CE2B0C">
        <w:rPr>
          <w:rFonts w:ascii="Arial" w:hAnsi="Arial" w:cs="Arial"/>
          <w:lang w:val="en-GB"/>
        </w:rPr>
        <w:t>much</w:t>
      </w:r>
      <w:r w:rsidRPr="00CE2B0C">
        <w:rPr>
          <w:rFonts w:ascii="Arial" w:hAnsi="Arial" w:cs="Arial"/>
          <w:lang w:val="en-GB"/>
        </w:rPr>
        <w:t xml:space="preserve"> better accounting payoff than A and B. </w:t>
      </w:r>
      <w:r w:rsidR="007465C0" w:rsidRPr="00CE2B0C">
        <w:rPr>
          <w:rFonts w:ascii="Arial" w:hAnsi="Arial" w:cs="Arial"/>
          <w:lang w:val="en-GB"/>
        </w:rPr>
        <w:t>It</w:t>
      </w:r>
      <w:r w:rsidRPr="00CE2B0C">
        <w:rPr>
          <w:rFonts w:ascii="Arial" w:hAnsi="Arial" w:cs="Arial"/>
          <w:lang w:val="en-GB"/>
        </w:rPr>
        <w:t xml:space="preserve"> is crucial </w:t>
      </w:r>
      <w:r w:rsidR="007465C0" w:rsidRPr="00CE2B0C">
        <w:rPr>
          <w:rFonts w:ascii="Arial" w:hAnsi="Arial" w:cs="Arial"/>
          <w:lang w:val="en-GB"/>
        </w:rPr>
        <w:t xml:space="preserve">that </w:t>
      </w:r>
      <w:r w:rsidRPr="00CE2B0C">
        <w:rPr>
          <w:rFonts w:ascii="Arial" w:hAnsi="Arial" w:cs="Arial"/>
          <w:lang w:val="en-GB"/>
        </w:rPr>
        <w:t xml:space="preserve">the ROE and ROCE of Volkswagen have already been significantly lowered and a project </w:t>
      </w:r>
      <w:r w:rsidR="007465C0" w:rsidRPr="00CE2B0C">
        <w:rPr>
          <w:rFonts w:ascii="Arial" w:hAnsi="Arial" w:cs="Arial"/>
          <w:lang w:val="en-GB"/>
        </w:rPr>
        <w:t>with</w:t>
      </w:r>
      <w:r w:rsidRPr="00CE2B0C">
        <w:rPr>
          <w:rFonts w:ascii="Arial" w:hAnsi="Arial" w:cs="Arial"/>
          <w:lang w:val="en-GB"/>
        </w:rPr>
        <w:t xml:space="preserve"> a higher accounting payoff is preferable. </w:t>
      </w:r>
      <w:r w:rsidR="007465C0" w:rsidRPr="00CE2B0C">
        <w:rPr>
          <w:rFonts w:ascii="Arial" w:hAnsi="Arial" w:cs="Arial"/>
          <w:lang w:val="en-GB"/>
        </w:rPr>
        <w:t xml:space="preserve">However, </w:t>
      </w:r>
      <w:r w:rsidRPr="00CE2B0C">
        <w:rPr>
          <w:rFonts w:ascii="Arial" w:hAnsi="Arial" w:cs="Arial"/>
          <w:lang w:val="en-GB"/>
        </w:rPr>
        <w:t>ARR does not consider the timing of cash flows and it relies on accounting profit instead of discounted cash flow</w:t>
      </w:r>
      <w:r w:rsidR="007465C0" w:rsidRPr="00CE2B0C">
        <w:rPr>
          <w:rFonts w:ascii="Arial" w:hAnsi="Arial" w:cs="Arial"/>
          <w:lang w:val="en-GB"/>
        </w:rPr>
        <w:t xml:space="preserve">. So, it </w:t>
      </w:r>
      <w:r w:rsidRPr="00CE2B0C">
        <w:rPr>
          <w:rFonts w:ascii="Arial" w:hAnsi="Arial" w:cs="Arial"/>
          <w:lang w:val="en-GB"/>
        </w:rPr>
        <w:t>should not override NPV</w:t>
      </w:r>
      <w:r w:rsidR="002D1B85" w:rsidRPr="00CE2B0C">
        <w:rPr>
          <w:rFonts w:ascii="Arial" w:hAnsi="Arial" w:cs="Arial"/>
          <w:lang w:val="en-GB"/>
        </w:rPr>
        <w:t xml:space="preserve"> (</w:t>
      </w:r>
      <w:proofErr w:type="spellStart"/>
      <w:r w:rsidR="002D1B85" w:rsidRPr="00CE2B0C">
        <w:rPr>
          <w:rFonts w:ascii="Arial" w:hAnsi="Arial" w:cs="Arial"/>
          <w:lang w:val="en-GB"/>
        </w:rPr>
        <w:t>Rekker</w:t>
      </w:r>
      <w:proofErr w:type="spellEnd"/>
      <w:r w:rsidR="002D1B85" w:rsidRPr="00CE2B0C">
        <w:rPr>
          <w:rFonts w:ascii="Arial" w:hAnsi="Arial" w:cs="Arial"/>
          <w:lang w:val="en-GB"/>
        </w:rPr>
        <w:t>, 2024)</w:t>
      </w:r>
      <w:r w:rsidRPr="00CE2B0C">
        <w:rPr>
          <w:rFonts w:ascii="Arial" w:hAnsi="Arial" w:cs="Arial"/>
          <w:lang w:val="en-GB"/>
        </w:rPr>
        <w:t>.</w:t>
      </w:r>
    </w:p>
    <w:p w14:paraId="688ADCE9" w14:textId="50E44C7F" w:rsidR="00A0653D"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Net Present Value (NPV)</w:t>
      </w:r>
      <w:r w:rsidR="005228C6" w:rsidRPr="00CE2B0C">
        <w:rPr>
          <w:rFonts w:ascii="Arial" w:hAnsi="Arial" w:cs="Arial"/>
          <w:b/>
          <w:bCs/>
          <w:lang w:val="en-GB"/>
        </w:rPr>
        <w:t xml:space="preserve">: </w:t>
      </w:r>
      <w:r w:rsidR="00A0653D" w:rsidRPr="00CE2B0C">
        <w:rPr>
          <w:rFonts w:ascii="Arial" w:hAnsi="Arial" w:cs="Arial"/>
          <w:lang w:val="en-GB"/>
        </w:rPr>
        <w:t xml:space="preserve">The NPV is the most significant appraisal technique </w:t>
      </w:r>
      <w:r w:rsidR="00F66D7E" w:rsidRPr="00CE2B0C">
        <w:rPr>
          <w:rFonts w:ascii="Arial" w:hAnsi="Arial" w:cs="Arial"/>
          <w:lang w:val="en-GB"/>
        </w:rPr>
        <w:t xml:space="preserve">and </w:t>
      </w:r>
      <w:r w:rsidR="00A0653D" w:rsidRPr="00CE2B0C">
        <w:rPr>
          <w:rFonts w:ascii="Arial" w:hAnsi="Arial" w:cs="Arial"/>
          <w:lang w:val="en-GB"/>
        </w:rPr>
        <w:t>very easy to make a decision: accept a project when NPV is positive</w:t>
      </w:r>
      <w:r w:rsidR="00F66D7E" w:rsidRPr="00CE2B0C">
        <w:rPr>
          <w:rFonts w:ascii="Arial" w:hAnsi="Arial" w:cs="Arial"/>
          <w:lang w:val="en-GB"/>
        </w:rPr>
        <w:t xml:space="preserve"> and </w:t>
      </w:r>
      <w:r w:rsidR="00A0653D" w:rsidRPr="00CE2B0C">
        <w:rPr>
          <w:rFonts w:ascii="Arial" w:hAnsi="Arial" w:cs="Arial"/>
          <w:lang w:val="en-GB"/>
        </w:rPr>
        <w:t>reject it when NPV is negative.</w:t>
      </w:r>
      <w:r w:rsidR="00F66D7E" w:rsidRPr="00CE2B0C">
        <w:rPr>
          <w:rFonts w:ascii="Arial" w:hAnsi="Arial" w:cs="Arial"/>
          <w:lang w:val="en-GB"/>
        </w:rPr>
        <w:t xml:space="preserve"> </w:t>
      </w:r>
      <w:r w:rsidR="00A0653D" w:rsidRPr="00CE2B0C">
        <w:rPr>
          <w:rFonts w:ascii="Arial" w:hAnsi="Arial" w:cs="Arial"/>
          <w:lang w:val="en-GB"/>
        </w:rPr>
        <w:t>The projects calculate the following NPVs at a 10% discount rate:</w:t>
      </w:r>
    </w:p>
    <w:p w14:paraId="3249CBD5"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lastRenderedPageBreak/>
        <w:t>•</w:t>
      </w:r>
      <w:r w:rsidRPr="00CE2B0C">
        <w:rPr>
          <w:rFonts w:ascii="Arial" w:hAnsi="Arial" w:cs="Arial"/>
          <w:lang w:val="en-GB"/>
        </w:rPr>
        <w:tab/>
        <w:t xml:space="preserve">Project A: (£8.68m) </w:t>
      </w:r>
    </w:p>
    <w:p w14:paraId="541D8784"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B: (£8.30m) </w:t>
      </w:r>
    </w:p>
    <w:p w14:paraId="0BE4A454"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C: (£1.98m) </w:t>
      </w:r>
    </w:p>
    <w:p w14:paraId="5D80E808" w14:textId="029BA113"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This is the most important outcome. The NPVs of all three projects are negative, indicating that none of them is in financial terms acceptable at the requested 10 </w:t>
      </w:r>
      <w:r w:rsidR="002D1B85" w:rsidRPr="00CE2B0C">
        <w:rPr>
          <w:rFonts w:ascii="Arial" w:hAnsi="Arial" w:cs="Arial"/>
          <w:lang w:val="en-GB"/>
        </w:rPr>
        <w:t>%</w:t>
      </w:r>
      <w:r w:rsidRPr="00CE2B0C">
        <w:rPr>
          <w:rFonts w:ascii="Arial" w:hAnsi="Arial" w:cs="Arial"/>
          <w:lang w:val="en-GB"/>
        </w:rPr>
        <w:t xml:space="preserve"> rate of return. All three should be rejected on strict shareholder maximisation of wealth grounds. This is the best scholarly conclusion as NPV is the most theoretically correct approach</w:t>
      </w:r>
      <w:r w:rsidR="002D1B85" w:rsidRPr="00CE2B0C">
        <w:rPr>
          <w:rFonts w:ascii="Arial" w:hAnsi="Arial" w:cs="Arial"/>
          <w:lang w:val="en-GB"/>
        </w:rPr>
        <w:t xml:space="preserve"> (Danielson et al., 2024)</w:t>
      </w:r>
      <w:r w:rsidRPr="00CE2B0C">
        <w:rPr>
          <w:rFonts w:ascii="Arial" w:hAnsi="Arial" w:cs="Arial"/>
          <w:lang w:val="en-GB"/>
        </w:rPr>
        <w:t>.</w:t>
      </w:r>
    </w:p>
    <w:p w14:paraId="46BCBA48" w14:textId="5552D2C4" w:rsidR="00F66D7E"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But Project C is the least unappealing project </w:t>
      </w:r>
      <w:r w:rsidR="00F66D7E" w:rsidRPr="00CE2B0C">
        <w:rPr>
          <w:rFonts w:ascii="Arial" w:hAnsi="Arial" w:cs="Arial"/>
          <w:lang w:val="en-GB"/>
        </w:rPr>
        <w:t>when the management has to select one project due to strategic reasons</w:t>
      </w:r>
      <w:r w:rsidR="00EF016F" w:rsidRPr="00CE2B0C">
        <w:rPr>
          <w:rFonts w:ascii="Arial" w:hAnsi="Arial" w:cs="Arial"/>
          <w:lang w:val="en-GB"/>
        </w:rPr>
        <w:t xml:space="preserve">. </w:t>
      </w:r>
    </w:p>
    <w:p w14:paraId="53DF12B2" w14:textId="7498BD93" w:rsidR="00A0653D"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Profitability Index (PI)</w:t>
      </w:r>
      <w:r w:rsidR="005228C6" w:rsidRPr="00CE2B0C">
        <w:rPr>
          <w:rFonts w:ascii="Arial" w:hAnsi="Arial" w:cs="Arial"/>
          <w:b/>
          <w:bCs/>
          <w:lang w:val="en-GB"/>
        </w:rPr>
        <w:t xml:space="preserve">: </w:t>
      </w:r>
      <w:r w:rsidR="00A0653D" w:rsidRPr="00CE2B0C">
        <w:rPr>
          <w:rFonts w:ascii="Arial" w:hAnsi="Arial" w:cs="Arial"/>
          <w:lang w:val="en-GB"/>
        </w:rPr>
        <w:t xml:space="preserve">PI indicates the current worth of future payments per pound invested. </w:t>
      </w:r>
      <w:proofErr w:type="gramStart"/>
      <w:r w:rsidR="00A0653D" w:rsidRPr="00CE2B0C">
        <w:rPr>
          <w:rFonts w:ascii="Arial" w:hAnsi="Arial" w:cs="Arial"/>
          <w:lang w:val="en-GB"/>
        </w:rPr>
        <w:t xml:space="preserve">A PI above 1 means that it creates value; </w:t>
      </w:r>
      <w:r w:rsidR="00EF016F" w:rsidRPr="00CE2B0C">
        <w:rPr>
          <w:rFonts w:ascii="Arial" w:hAnsi="Arial" w:cs="Arial"/>
          <w:lang w:val="en-GB"/>
        </w:rPr>
        <w:t xml:space="preserve">a </w:t>
      </w:r>
      <w:r w:rsidR="00A0653D" w:rsidRPr="00CE2B0C">
        <w:rPr>
          <w:rFonts w:ascii="Arial" w:hAnsi="Arial" w:cs="Arial"/>
          <w:lang w:val="en-GB"/>
        </w:rPr>
        <w:t>PI below 1 means that it destroys value.</w:t>
      </w:r>
      <w:proofErr w:type="gramEnd"/>
    </w:p>
    <w:p w14:paraId="2FDD24E3" w14:textId="4E87916C" w:rsidR="00A0653D" w:rsidRPr="00CE2B0C" w:rsidRDefault="00A0653D" w:rsidP="007B08F1">
      <w:pPr>
        <w:pStyle w:val="ListParagraph"/>
        <w:numPr>
          <w:ilvl w:val="0"/>
          <w:numId w:val="1"/>
        </w:numPr>
        <w:spacing w:line="360" w:lineRule="auto"/>
        <w:jc w:val="both"/>
        <w:rPr>
          <w:rFonts w:ascii="Arial" w:hAnsi="Arial" w:cs="Arial"/>
          <w:lang w:val="en-GB"/>
        </w:rPr>
      </w:pPr>
      <w:r w:rsidRPr="00CE2B0C">
        <w:rPr>
          <w:rFonts w:ascii="Arial" w:hAnsi="Arial" w:cs="Arial"/>
          <w:lang w:val="en-GB"/>
        </w:rPr>
        <w:t xml:space="preserve">Project A PI = 0.827 </w:t>
      </w:r>
    </w:p>
    <w:p w14:paraId="51DCD35C" w14:textId="27D8F020" w:rsidR="00A0653D" w:rsidRPr="00CE2B0C" w:rsidRDefault="00A0653D" w:rsidP="007B08F1">
      <w:pPr>
        <w:pStyle w:val="ListParagraph"/>
        <w:numPr>
          <w:ilvl w:val="0"/>
          <w:numId w:val="1"/>
        </w:numPr>
        <w:spacing w:line="360" w:lineRule="auto"/>
        <w:jc w:val="both"/>
        <w:rPr>
          <w:rFonts w:ascii="Arial" w:hAnsi="Arial" w:cs="Arial"/>
          <w:lang w:val="en-GB"/>
        </w:rPr>
      </w:pPr>
      <w:r w:rsidRPr="00CE2B0C">
        <w:rPr>
          <w:rFonts w:ascii="Arial" w:hAnsi="Arial" w:cs="Arial"/>
          <w:lang w:val="en-GB"/>
        </w:rPr>
        <w:t xml:space="preserve">Project B PI = 0.834 </w:t>
      </w:r>
    </w:p>
    <w:p w14:paraId="1FA5416C" w14:textId="05B98FCA" w:rsidR="00A0653D" w:rsidRPr="00CE2B0C" w:rsidRDefault="00A0653D" w:rsidP="007B08F1">
      <w:pPr>
        <w:pStyle w:val="ListParagraph"/>
        <w:numPr>
          <w:ilvl w:val="0"/>
          <w:numId w:val="1"/>
        </w:numPr>
        <w:spacing w:line="360" w:lineRule="auto"/>
        <w:jc w:val="both"/>
        <w:rPr>
          <w:rFonts w:ascii="Arial" w:hAnsi="Arial" w:cs="Arial"/>
          <w:lang w:val="en-GB"/>
        </w:rPr>
      </w:pPr>
      <w:r w:rsidRPr="00CE2B0C">
        <w:rPr>
          <w:rFonts w:ascii="Arial" w:hAnsi="Arial" w:cs="Arial"/>
          <w:lang w:val="en-GB"/>
        </w:rPr>
        <w:t xml:space="preserve">Project C PI = 0.960 </w:t>
      </w:r>
    </w:p>
    <w:p w14:paraId="20AD3557" w14:textId="768D63D1" w:rsidR="005B5F59" w:rsidRPr="00CE2B0C" w:rsidRDefault="00A0653D" w:rsidP="007B08F1">
      <w:pPr>
        <w:spacing w:line="360" w:lineRule="auto"/>
        <w:jc w:val="both"/>
        <w:rPr>
          <w:rFonts w:ascii="Arial" w:hAnsi="Arial" w:cs="Arial"/>
          <w:lang w:val="en-GB"/>
        </w:rPr>
      </w:pPr>
      <w:r w:rsidRPr="00CE2B0C">
        <w:rPr>
          <w:rFonts w:ascii="Arial" w:hAnsi="Arial" w:cs="Arial"/>
          <w:lang w:val="en-GB"/>
        </w:rPr>
        <w:t>All three are lower than 1.0</w:t>
      </w:r>
      <w:r w:rsidR="00EF016F" w:rsidRPr="00CE2B0C">
        <w:rPr>
          <w:rFonts w:ascii="Arial" w:hAnsi="Arial" w:cs="Arial"/>
          <w:lang w:val="en-GB"/>
        </w:rPr>
        <w:t>,</w:t>
      </w:r>
      <w:r w:rsidRPr="00CE2B0C">
        <w:rPr>
          <w:rFonts w:ascii="Arial" w:hAnsi="Arial" w:cs="Arial"/>
          <w:lang w:val="en-GB"/>
        </w:rPr>
        <w:t xml:space="preserve"> which proves the conclusion of the NPV that none of the projects will give the required 10% return. But project C is once again most acceptable. This makes it the most appropriate project in a relative sense</w:t>
      </w:r>
      <w:r w:rsidR="00EF016F" w:rsidRPr="00CE2B0C">
        <w:rPr>
          <w:rFonts w:ascii="Arial" w:hAnsi="Arial" w:cs="Arial"/>
          <w:lang w:val="en-GB"/>
        </w:rPr>
        <w:t>,</w:t>
      </w:r>
      <w:r w:rsidRPr="00CE2B0C">
        <w:rPr>
          <w:rFonts w:ascii="Arial" w:hAnsi="Arial" w:cs="Arial"/>
          <w:lang w:val="en-GB"/>
        </w:rPr>
        <w:t xml:space="preserve"> although it does not pass the absolute acceptance rule.</w:t>
      </w:r>
    </w:p>
    <w:p w14:paraId="0403672A" w14:textId="011DD090" w:rsidR="00A0653D"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Internal Rate of Return (IRR)</w:t>
      </w:r>
      <w:r w:rsidR="005228C6" w:rsidRPr="00CE2B0C">
        <w:rPr>
          <w:rFonts w:ascii="Arial" w:hAnsi="Arial" w:cs="Arial"/>
          <w:b/>
          <w:bCs/>
          <w:lang w:val="en-GB"/>
        </w:rPr>
        <w:t xml:space="preserve">: </w:t>
      </w:r>
      <w:r w:rsidR="00A0653D" w:rsidRPr="00CE2B0C">
        <w:rPr>
          <w:rFonts w:ascii="Arial" w:hAnsi="Arial" w:cs="Arial"/>
          <w:lang w:val="en-GB"/>
        </w:rPr>
        <w:t xml:space="preserve">IRR is the interest rate at which the NPV will be zero. Projects are normally taken with </w:t>
      </w:r>
      <w:r w:rsidR="00EF016F" w:rsidRPr="00CE2B0C">
        <w:rPr>
          <w:rFonts w:ascii="Arial" w:hAnsi="Arial" w:cs="Arial"/>
          <w:lang w:val="en-GB"/>
        </w:rPr>
        <w:t xml:space="preserve">an </w:t>
      </w:r>
      <w:r w:rsidR="00A0653D" w:rsidRPr="00CE2B0C">
        <w:rPr>
          <w:rFonts w:ascii="Arial" w:hAnsi="Arial" w:cs="Arial"/>
          <w:lang w:val="en-GB"/>
        </w:rPr>
        <w:t>IRR that is higher than the required return</w:t>
      </w:r>
      <w:r w:rsidR="002D1B85" w:rsidRPr="00CE2B0C">
        <w:rPr>
          <w:rFonts w:ascii="Arial" w:hAnsi="Arial" w:cs="Arial"/>
          <w:lang w:val="en-GB"/>
        </w:rPr>
        <w:t xml:space="preserve"> (</w:t>
      </w:r>
      <w:proofErr w:type="spellStart"/>
      <w:r w:rsidR="002D1B85" w:rsidRPr="00CE2B0C">
        <w:rPr>
          <w:rFonts w:ascii="Arial" w:hAnsi="Arial" w:cs="Arial"/>
          <w:lang w:val="en-GB"/>
        </w:rPr>
        <w:t>Arjunan</w:t>
      </w:r>
      <w:proofErr w:type="spellEnd"/>
      <w:r w:rsidR="002D1B85" w:rsidRPr="00CE2B0C">
        <w:rPr>
          <w:rFonts w:ascii="Arial" w:hAnsi="Arial" w:cs="Arial"/>
          <w:lang w:val="en-GB"/>
        </w:rPr>
        <w:t>, 2022)</w:t>
      </w:r>
      <w:r w:rsidR="00A0653D" w:rsidRPr="00CE2B0C">
        <w:rPr>
          <w:rFonts w:ascii="Arial" w:hAnsi="Arial" w:cs="Arial"/>
          <w:lang w:val="en-GB"/>
        </w:rPr>
        <w:t>.</w:t>
      </w:r>
    </w:p>
    <w:p w14:paraId="11996F95"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A IRR = 2.72% </w:t>
      </w:r>
    </w:p>
    <w:p w14:paraId="465A58E2"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B IRR = 3.26% </w:t>
      </w:r>
    </w:p>
    <w:p w14:paraId="1310A0F5"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w:t>
      </w:r>
      <w:r w:rsidRPr="00CE2B0C">
        <w:rPr>
          <w:rFonts w:ascii="Arial" w:hAnsi="Arial" w:cs="Arial"/>
          <w:lang w:val="en-GB"/>
        </w:rPr>
        <w:tab/>
        <w:t xml:space="preserve">Project C IRR = 8.59% </w:t>
      </w:r>
    </w:p>
    <w:p w14:paraId="6A780EFB" w14:textId="7870DF0B"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All three IRRs do not pass the IRR test since each of the three has a lower value than the required return of 10%. </w:t>
      </w:r>
      <w:r w:rsidR="00EF016F" w:rsidRPr="00CE2B0C">
        <w:rPr>
          <w:rFonts w:ascii="Arial" w:hAnsi="Arial" w:cs="Arial"/>
          <w:lang w:val="en-GB"/>
        </w:rPr>
        <w:t xml:space="preserve">However, </w:t>
      </w:r>
      <w:r w:rsidRPr="00CE2B0C">
        <w:rPr>
          <w:rFonts w:ascii="Arial" w:hAnsi="Arial" w:cs="Arial"/>
          <w:lang w:val="en-GB"/>
        </w:rPr>
        <w:t xml:space="preserve">Project C is again the </w:t>
      </w:r>
      <w:r w:rsidR="00EF016F" w:rsidRPr="00CE2B0C">
        <w:rPr>
          <w:rFonts w:ascii="Arial" w:hAnsi="Arial" w:cs="Arial"/>
          <w:lang w:val="en-GB"/>
        </w:rPr>
        <w:t xml:space="preserve">best and </w:t>
      </w:r>
      <w:r w:rsidRPr="00CE2B0C">
        <w:rPr>
          <w:rFonts w:ascii="Arial" w:hAnsi="Arial" w:cs="Arial"/>
          <w:lang w:val="en-GB"/>
        </w:rPr>
        <w:t>it is not good enough to meet the hurdle rate of Volkswagen.</w:t>
      </w:r>
    </w:p>
    <w:p w14:paraId="1E39A5FB" w14:textId="468B8C82" w:rsidR="005B5F59" w:rsidRPr="00CE2B0C" w:rsidRDefault="005B5F59" w:rsidP="007B08F1">
      <w:pPr>
        <w:spacing w:line="360" w:lineRule="auto"/>
        <w:jc w:val="both"/>
        <w:rPr>
          <w:rFonts w:ascii="Arial" w:hAnsi="Arial" w:cs="Arial"/>
          <w:b/>
          <w:bCs/>
          <w:lang w:val="en-GB"/>
        </w:rPr>
      </w:pPr>
      <w:r w:rsidRPr="00CE2B0C">
        <w:rPr>
          <w:rFonts w:ascii="Arial" w:hAnsi="Arial" w:cs="Arial"/>
          <w:b/>
          <w:bCs/>
          <w:lang w:val="en-GB"/>
        </w:rPr>
        <w:lastRenderedPageBreak/>
        <w:t>Project recommendation</w:t>
      </w:r>
    </w:p>
    <w:p w14:paraId="6EAA0178" w14:textId="77777777" w:rsidR="00A0653D" w:rsidRPr="00CE2B0C" w:rsidRDefault="00A0653D" w:rsidP="007B08F1">
      <w:pPr>
        <w:spacing w:line="360" w:lineRule="auto"/>
        <w:jc w:val="both"/>
        <w:rPr>
          <w:rFonts w:ascii="Arial" w:hAnsi="Arial" w:cs="Arial"/>
          <w:lang w:val="en-GB"/>
        </w:rPr>
      </w:pPr>
      <w:r w:rsidRPr="00CE2B0C">
        <w:rPr>
          <w:rFonts w:ascii="Arial" w:hAnsi="Arial" w:cs="Arial"/>
          <w:lang w:val="en-GB"/>
        </w:rPr>
        <w:t>The general conclusion relies on whether Volkswagen can avoid any project, or it is obliged to select one.</w:t>
      </w:r>
    </w:p>
    <w:p w14:paraId="0B073D4D" w14:textId="6742A7A5"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Volkswagen </w:t>
      </w:r>
      <w:r w:rsidR="00330E8B" w:rsidRPr="00CE2B0C">
        <w:rPr>
          <w:rFonts w:ascii="Arial" w:hAnsi="Arial" w:cs="Arial"/>
          <w:lang w:val="en-GB"/>
        </w:rPr>
        <w:t>should</w:t>
      </w:r>
      <w:r w:rsidRPr="00CE2B0C">
        <w:rPr>
          <w:rFonts w:ascii="Arial" w:hAnsi="Arial" w:cs="Arial"/>
          <w:lang w:val="en-GB"/>
        </w:rPr>
        <w:t xml:space="preserve"> turn down all three projects on pure financial considerations. All the projects will have a negative NPV, PI below </w:t>
      </w:r>
      <w:proofErr w:type="gramStart"/>
      <w:r w:rsidRPr="00CE2B0C">
        <w:rPr>
          <w:rFonts w:ascii="Arial" w:hAnsi="Arial" w:cs="Arial"/>
          <w:lang w:val="en-GB"/>
        </w:rPr>
        <w:t>1,</w:t>
      </w:r>
      <w:proofErr w:type="gramEnd"/>
      <w:r w:rsidRPr="00CE2B0C">
        <w:rPr>
          <w:rFonts w:ascii="Arial" w:hAnsi="Arial" w:cs="Arial"/>
          <w:lang w:val="en-GB"/>
        </w:rPr>
        <w:t xml:space="preserve"> and IRR below 10. Thus, neither of them generates value at the desired return of the company.</w:t>
      </w:r>
    </w:p>
    <w:p w14:paraId="2FC76B3F" w14:textId="5120FC40"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Nevertheless, in a situation where Volkswagen has to choose a single project due to strategic considerations, then Project C ought to be suggested. It has the lowest payback, highest ARR, highest NPV, highest PI and the highest IRR. </w:t>
      </w:r>
      <w:r w:rsidR="00EF016F" w:rsidRPr="00CE2B0C">
        <w:rPr>
          <w:rFonts w:ascii="Arial" w:hAnsi="Arial" w:cs="Arial"/>
          <w:lang w:val="en-GB"/>
        </w:rPr>
        <w:t>So, it</w:t>
      </w:r>
      <w:r w:rsidRPr="00CE2B0C">
        <w:rPr>
          <w:rFonts w:ascii="Arial" w:hAnsi="Arial" w:cs="Arial"/>
          <w:lang w:val="en-GB"/>
        </w:rPr>
        <w:t xml:space="preserve"> is the best project according to all the appraisal methods</w:t>
      </w:r>
      <w:r w:rsidR="002D1B85" w:rsidRPr="00CE2B0C">
        <w:rPr>
          <w:rFonts w:ascii="Arial" w:hAnsi="Arial" w:cs="Arial"/>
          <w:lang w:val="en-GB"/>
        </w:rPr>
        <w:t xml:space="preserve"> (</w:t>
      </w:r>
      <w:proofErr w:type="spellStart"/>
      <w:r w:rsidR="002D1B85" w:rsidRPr="00CE2B0C">
        <w:rPr>
          <w:rFonts w:ascii="Arial" w:hAnsi="Arial" w:cs="Arial"/>
          <w:lang w:val="en-GB"/>
        </w:rPr>
        <w:t>Sinaga</w:t>
      </w:r>
      <w:proofErr w:type="spellEnd"/>
      <w:r w:rsidR="002D1B85" w:rsidRPr="00CE2B0C">
        <w:rPr>
          <w:rFonts w:ascii="Arial" w:hAnsi="Arial" w:cs="Arial"/>
          <w:lang w:val="en-GB"/>
        </w:rPr>
        <w:t xml:space="preserve"> et al., 2023)</w:t>
      </w:r>
      <w:r w:rsidRPr="00CE2B0C">
        <w:rPr>
          <w:rFonts w:ascii="Arial" w:hAnsi="Arial" w:cs="Arial"/>
          <w:lang w:val="en-GB"/>
        </w:rPr>
        <w:t>.</w:t>
      </w:r>
      <w:r w:rsidR="002D1B85" w:rsidRPr="00CE2B0C">
        <w:rPr>
          <w:rFonts w:ascii="Arial" w:hAnsi="Arial" w:cs="Arial"/>
          <w:lang w:val="en-GB"/>
        </w:rPr>
        <w:t xml:space="preserve"> </w:t>
      </w:r>
    </w:p>
    <w:p w14:paraId="21DD11C9" w14:textId="5783855F" w:rsidR="00250B8E" w:rsidRPr="00CE2B0C" w:rsidRDefault="00A0653D" w:rsidP="007B08F1">
      <w:pPr>
        <w:spacing w:line="360" w:lineRule="auto"/>
        <w:jc w:val="both"/>
        <w:rPr>
          <w:rFonts w:ascii="Arial" w:hAnsi="Arial" w:cs="Arial"/>
          <w:lang w:val="en-GB"/>
        </w:rPr>
      </w:pPr>
      <w:r w:rsidRPr="00CE2B0C">
        <w:rPr>
          <w:rFonts w:ascii="Arial" w:hAnsi="Arial" w:cs="Arial"/>
          <w:lang w:val="en-GB"/>
        </w:rPr>
        <w:t>This suggestion also goes in line with the current financial performance of Volkswagen. The company has been witnessing declining EBIT margin, declining net margin, increasing net debt, deteriorating liquidity</w:t>
      </w:r>
      <w:r w:rsidR="00EF016F" w:rsidRPr="00CE2B0C">
        <w:rPr>
          <w:rFonts w:ascii="Arial" w:hAnsi="Arial" w:cs="Arial"/>
          <w:lang w:val="en-GB"/>
        </w:rPr>
        <w:t xml:space="preserve"> </w:t>
      </w:r>
      <w:r w:rsidRPr="00CE2B0C">
        <w:rPr>
          <w:rFonts w:ascii="Arial" w:hAnsi="Arial" w:cs="Arial"/>
          <w:lang w:val="en-GB"/>
        </w:rPr>
        <w:t>and free cash flow. In that regard, the management ought to prefer the project that recovers cash most rapidly and generates the most powerful overall return profile. Project C is the best that meets that requirement.</w:t>
      </w:r>
    </w:p>
    <w:p w14:paraId="3C48F65E" w14:textId="223095A4" w:rsidR="005B5F59" w:rsidRPr="00CE2B0C" w:rsidRDefault="00EF016F" w:rsidP="007B08F1">
      <w:pPr>
        <w:spacing w:line="360" w:lineRule="auto"/>
        <w:jc w:val="both"/>
        <w:rPr>
          <w:rFonts w:ascii="Arial" w:hAnsi="Arial" w:cs="Arial"/>
          <w:b/>
          <w:bCs/>
          <w:lang w:val="en-GB"/>
        </w:rPr>
      </w:pPr>
      <w:r w:rsidRPr="00CE2B0C">
        <w:rPr>
          <w:rFonts w:ascii="Arial" w:hAnsi="Arial" w:cs="Arial"/>
          <w:b/>
          <w:bCs/>
          <w:lang w:val="en-GB"/>
        </w:rPr>
        <w:t>Non-financial</w:t>
      </w:r>
      <w:r w:rsidR="005B5F59" w:rsidRPr="00CE2B0C">
        <w:rPr>
          <w:rFonts w:ascii="Arial" w:hAnsi="Arial" w:cs="Arial"/>
          <w:b/>
          <w:bCs/>
          <w:lang w:val="en-GB"/>
        </w:rPr>
        <w:t xml:space="preserve"> risks and strategic considerations</w:t>
      </w:r>
    </w:p>
    <w:p w14:paraId="73059FFB" w14:textId="6D11F3AE"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Financial measures </w:t>
      </w:r>
      <w:r w:rsidR="00EF016F" w:rsidRPr="00CE2B0C">
        <w:rPr>
          <w:rFonts w:ascii="Arial" w:hAnsi="Arial" w:cs="Arial"/>
          <w:lang w:val="en-GB"/>
        </w:rPr>
        <w:t>alone</w:t>
      </w:r>
      <w:r w:rsidRPr="00CE2B0C">
        <w:rPr>
          <w:rFonts w:ascii="Arial" w:hAnsi="Arial" w:cs="Arial"/>
          <w:lang w:val="en-GB"/>
        </w:rPr>
        <w:t xml:space="preserve"> should not be the basis upon which the final investment decision will be made. Volkswagen is in a very competitive and politically sensitive industry</w:t>
      </w:r>
      <w:r w:rsidR="002D1B85" w:rsidRPr="00CE2B0C">
        <w:rPr>
          <w:rFonts w:ascii="Arial" w:hAnsi="Arial" w:cs="Arial"/>
          <w:lang w:val="en-GB"/>
        </w:rPr>
        <w:t xml:space="preserve"> (Volkswagen AG, 2026)</w:t>
      </w:r>
      <w:r w:rsidR="005228C6" w:rsidRPr="00CE2B0C">
        <w:rPr>
          <w:rFonts w:ascii="Arial" w:hAnsi="Arial" w:cs="Arial"/>
          <w:lang w:val="en-GB"/>
        </w:rPr>
        <w:t>. Therefore,</w:t>
      </w:r>
      <w:r w:rsidRPr="00CE2B0C">
        <w:rPr>
          <w:rFonts w:ascii="Arial" w:hAnsi="Arial" w:cs="Arial"/>
          <w:lang w:val="en-GB"/>
        </w:rPr>
        <w:t xml:space="preserve"> non-financial risks are significant.</w:t>
      </w:r>
    </w:p>
    <w:p w14:paraId="39D743EA" w14:textId="7A37FD57" w:rsidR="00A0653D" w:rsidRPr="00CE2B0C" w:rsidRDefault="005228C6" w:rsidP="007B08F1">
      <w:pPr>
        <w:pStyle w:val="ListParagraph"/>
        <w:numPr>
          <w:ilvl w:val="0"/>
          <w:numId w:val="2"/>
        </w:numPr>
        <w:spacing w:line="360" w:lineRule="auto"/>
        <w:jc w:val="both"/>
        <w:rPr>
          <w:rFonts w:ascii="Arial" w:hAnsi="Arial" w:cs="Arial"/>
          <w:lang w:val="en-GB"/>
        </w:rPr>
      </w:pPr>
      <w:r w:rsidRPr="00CE2B0C">
        <w:rPr>
          <w:rFonts w:ascii="Arial" w:hAnsi="Arial" w:cs="Arial"/>
          <w:b/>
          <w:bCs/>
          <w:lang w:val="en-GB"/>
        </w:rPr>
        <w:t>Political and Regulatory Risk:</w:t>
      </w:r>
      <w:r w:rsidRPr="00CE2B0C">
        <w:rPr>
          <w:rFonts w:ascii="Arial" w:hAnsi="Arial" w:cs="Arial"/>
          <w:lang w:val="en-GB"/>
        </w:rPr>
        <w:t xml:space="preserve"> Firstly, </w:t>
      </w:r>
      <w:r w:rsidR="00A0653D" w:rsidRPr="00CE2B0C">
        <w:rPr>
          <w:rFonts w:ascii="Arial" w:hAnsi="Arial" w:cs="Arial"/>
          <w:lang w:val="en-GB"/>
        </w:rPr>
        <w:t>there is a high political and regulatory risk. Emission regulations, tariffs, subsidies</w:t>
      </w:r>
      <w:r w:rsidRPr="00CE2B0C">
        <w:rPr>
          <w:rFonts w:ascii="Arial" w:hAnsi="Arial" w:cs="Arial"/>
          <w:lang w:val="en-GB"/>
        </w:rPr>
        <w:t xml:space="preserve"> </w:t>
      </w:r>
      <w:r w:rsidR="00A0653D" w:rsidRPr="00CE2B0C">
        <w:rPr>
          <w:rFonts w:ascii="Arial" w:hAnsi="Arial" w:cs="Arial"/>
          <w:lang w:val="en-GB"/>
        </w:rPr>
        <w:t xml:space="preserve">and industrial policy have a potent impact on the EV and automotive industry. A project which relies on cash inflows later in the year might be at a greater risk should there be a change </w:t>
      </w:r>
      <w:r w:rsidRPr="00CE2B0C">
        <w:rPr>
          <w:rFonts w:ascii="Arial" w:hAnsi="Arial" w:cs="Arial"/>
          <w:lang w:val="en-GB"/>
        </w:rPr>
        <w:t>in</w:t>
      </w:r>
      <w:r w:rsidR="00A0653D" w:rsidRPr="00CE2B0C">
        <w:rPr>
          <w:rFonts w:ascii="Arial" w:hAnsi="Arial" w:cs="Arial"/>
          <w:lang w:val="en-GB"/>
        </w:rPr>
        <w:t xml:space="preserve"> regulations or </w:t>
      </w:r>
      <w:r w:rsidRPr="00CE2B0C">
        <w:rPr>
          <w:rFonts w:ascii="Arial" w:hAnsi="Arial" w:cs="Arial"/>
          <w:lang w:val="en-GB"/>
        </w:rPr>
        <w:t xml:space="preserve">if </w:t>
      </w:r>
      <w:r w:rsidR="00A0653D" w:rsidRPr="00CE2B0C">
        <w:rPr>
          <w:rFonts w:ascii="Arial" w:hAnsi="Arial" w:cs="Arial"/>
          <w:lang w:val="en-GB"/>
        </w:rPr>
        <w:t>incentives are removed</w:t>
      </w:r>
      <w:r w:rsidR="002D1B85" w:rsidRPr="00CE2B0C">
        <w:rPr>
          <w:rFonts w:ascii="Arial" w:hAnsi="Arial" w:cs="Arial"/>
          <w:lang w:val="en-GB"/>
        </w:rPr>
        <w:t xml:space="preserve"> (</w:t>
      </w:r>
      <w:proofErr w:type="spellStart"/>
      <w:r w:rsidR="002D1B85" w:rsidRPr="00CE2B0C">
        <w:rPr>
          <w:rFonts w:ascii="Arial" w:hAnsi="Arial" w:cs="Arial"/>
          <w:lang w:val="en-GB"/>
        </w:rPr>
        <w:t>Gatti</w:t>
      </w:r>
      <w:proofErr w:type="spellEnd"/>
      <w:r w:rsidR="002D1B85" w:rsidRPr="00CE2B0C">
        <w:rPr>
          <w:rFonts w:ascii="Arial" w:hAnsi="Arial" w:cs="Arial"/>
          <w:lang w:val="en-GB"/>
        </w:rPr>
        <w:t>, 2023)</w:t>
      </w:r>
      <w:r w:rsidR="00A0653D" w:rsidRPr="00CE2B0C">
        <w:rPr>
          <w:rFonts w:ascii="Arial" w:hAnsi="Arial" w:cs="Arial"/>
          <w:lang w:val="en-GB"/>
        </w:rPr>
        <w:t>. This applies more so to Project C since a significant part of the value is being accumulated in Years 3 and 4.</w:t>
      </w:r>
    </w:p>
    <w:p w14:paraId="125538DC" w14:textId="1BF7E674" w:rsidR="00A0653D" w:rsidRPr="00CE2B0C" w:rsidRDefault="005228C6" w:rsidP="007B08F1">
      <w:pPr>
        <w:pStyle w:val="ListParagraph"/>
        <w:numPr>
          <w:ilvl w:val="0"/>
          <w:numId w:val="2"/>
        </w:numPr>
        <w:spacing w:line="360" w:lineRule="auto"/>
        <w:jc w:val="both"/>
        <w:rPr>
          <w:rFonts w:ascii="Arial" w:hAnsi="Arial" w:cs="Arial"/>
          <w:lang w:val="en-GB"/>
        </w:rPr>
      </w:pPr>
      <w:r w:rsidRPr="00CE2B0C">
        <w:rPr>
          <w:rFonts w:ascii="Arial" w:hAnsi="Arial" w:cs="Arial"/>
          <w:b/>
          <w:bCs/>
          <w:lang w:val="en-GB"/>
        </w:rPr>
        <w:t>Brand Strength and Customer Loyalty:</w:t>
      </w:r>
      <w:r w:rsidRPr="00CE2B0C">
        <w:rPr>
          <w:rFonts w:ascii="Arial" w:hAnsi="Arial" w:cs="Arial"/>
          <w:lang w:val="en-GB"/>
        </w:rPr>
        <w:t xml:space="preserve"> </w:t>
      </w:r>
      <w:r w:rsidR="00A0653D" w:rsidRPr="00CE2B0C">
        <w:rPr>
          <w:rFonts w:ascii="Arial" w:hAnsi="Arial" w:cs="Arial"/>
          <w:lang w:val="en-GB"/>
        </w:rPr>
        <w:t xml:space="preserve">Second, brand strength and customer loyalty </w:t>
      </w:r>
      <w:r w:rsidRPr="00CE2B0C">
        <w:rPr>
          <w:rFonts w:ascii="Arial" w:hAnsi="Arial" w:cs="Arial"/>
          <w:lang w:val="en-GB"/>
        </w:rPr>
        <w:t>are</w:t>
      </w:r>
      <w:r w:rsidR="00A0653D" w:rsidRPr="00CE2B0C">
        <w:rPr>
          <w:rFonts w:ascii="Arial" w:hAnsi="Arial" w:cs="Arial"/>
          <w:lang w:val="en-GB"/>
        </w:rPr>
        <w:t xml:space="preserve"> important. The long-term competitiveness of Volkswagen lies in being able to keep customer trust and meet the shifting expectations in the areas of electrification, sustainability</w:t>
      </w:r>
      <w:r w:rsidRPr="00CE2B0C">
        <w:rPr>
          <w:rFonts w:ascii="Arial" w:hAnsi="Arial" w:cs="Arial"/>
          <w:lang w:val="en-GB"/>
        </w:rPr>
        <w:t xml:space="preserve"> </w:t>
      </w:r>
      <w:r w:rsidR="00A0653D" w:rsidRPr="00CE2B0C">
        <w:rPr>
          <w:rFonts w:ascii="Arial" w:hAnsi="Arial" w:cs="Arial"/>
          <w:lang w:val="en-GB"/>
        </w:rPr>
        <w:t xml:space="preserve">and digital </w:t>
      </w:r>
      <w:r w:rsidR="00A0653D" w:rsidRPr="00CE2B0C">
        <w:rPr>
          <w:rFonts w:ascii="Arial" w:hAnsi="Arial" w:cs="Arial"/>
          <w:lang w:val="en-GB"/>
        </w:rPr>
        <w:lastRenderedPageBreak/>
        <w:t xml:space="preserve">mobility. When one of these projects </w:t>
      </w:r>
      <w:r w:rsidRPr="00CE2B0C">
        <w:rPr>
          <w:rFonts w:ascii="Arial" w:hAnsi="Arial" w:cs="Arial"/>
          <w:lang w:val="en-GB"/>
        </w:rPr>
        <w:t>subsidises</w:t>
      </w:r>
      <w:r w:rsidR="00A0653D" w:rsidRPr="00CE2B0C">
        <w:rPr>
          <w:rFonts w:ascii="Arial" w:hAnsi="Arial" w:cs="Arial"/>
          <w:lang w:val="en-GB"/>
        </w:rPr>
        <w:t xml:space="preserve"> technology, quality of product or retention of customers, the management may want to go ahead with it despite it having a marginally negative NPV</w:t>
      </w:r>
      <w:r w:rsidR="002D1B85" w:rsidRPr="00CE2B0C">
        <w:rPr>
          <w:rFonts w:ascii="Arial" w:hAnsi="Arial" w:cs="Arial"/>
          <w:lang w:val="en-GB"/>
        </w:rPr>
        <w:t xml:space="preserve"> (</w:t>
      </w:r>
      <w:proofErr w:type="spellStart"/>
      <w:r w:rsidR="002D1B85" w:rsidRPr="00CE2B0C">
        <w:rPr>
          <w:rFonts w:ascii="Arial" w:hAnsi="Arial" w:cs="Arial"/>
          <w:lang w:val="en-GB"/>
        </w:rPr>
        <w:t>Faloye</w:t>
      </w:r>
      <w:proofErr w:type="spellEnd"/>
      <w:r w:rsidR="002D1B85" w:rsidRPr="00CE2B0C">
        <w:rPr>
          <w:rFonts w:ascii="Arial" w:hAnsi="Arial" w:cs="Arial"/>
          <w:lang w:val="en-GB"/>
        </w:rPr>
        <w:t>, 2024)</w:t>
      </w:r>
      <w:r w:rsidR="00A0653D" w:rsidRPr="00CE2B0C">
        <w:rPr>
          <w:rFonts w:ascii="Arial" w:hAnsi="Arial" w:cs="Arial"/>
          <w:lang w:val="en-GB"/>
        </w:rPr>
        <w:t>.</w:t>
      </w:r>
    </w:p>
    <w:p w14:paraId="6A730305" w14:textId="082A0D6D" w:rsidR="00A0653D" w:rsidRPr="00CE2B0C" w:rsidRDefault="005228C6" w:rsidP="007B08F1">
      <w:pPr>
        <w:pStyle w:val="ListParagraph"/>
        <w:numPr>
          <w:ilvl w:val="0"/>
          <w:numId w:val="2"/>
        </w:numPr>
        <w:spacing w:line="360" w:lineRule="auto"/>
        <w:jc w:val="both"/>
        <w:rPr>
          <w:rFonts w:ascii="Arial" w:hAnsi="Arial" w:cs="Arial"/>
          <w:lang w:val="en-GB"/>
        </w:rPr>
      </w:pPr>
      <w:r w:rsidRPr="00CE2B0C">
        <w:rPr>
          <w:rFonts w:ascii="Arial" w:hAnsi="Arial" w:cs="Arial"/>
          <w:b/>
          <w:bCs/>
          <w:lang w:val="en-GB"/>
        </w:rPr>
        <w:t>Technology and Execution Risk</w:t>
      </w:r>
      <w:r w:rsidRPr="00CE2B0C">
        <w:rPr>
          <w:rFonts w:ascii="Arial" w:hAnsi="Arial" w:cs="Arial"/>
          <w:lang w:val="en-GB"/>
        </w:rPr>
        <w:t xml:space="preserve">: </w:t>
      </w:r>
      <w:r w:rsidR="00A0653D" w:rsidRPr="00CE2B0C">
        <w:rPr>
          <w:rFonts w:ascii="Arial" w:hAnsi="Arial" w:cs="Arial"/>
          <w:lang w:val="en-GB"/>
        </w:rPr>
        <w:t>Third, there should be technology and execution risk. Investment projects in the automotive industry are usually delayed, experience cost increases or market demand shifts. Project C has the highest later cash inflows</w:t>
      </w:r>
      <w:r w:rsidRPr="00CE2B0C">
        <w:rPr>
          <w:rFonts w:ascii="Arial" w:hAnsi="Arial" w:cs="Arial"/>
          <w:lang w:val="en-GB"/>
        </w:rPr>
        <w:t xml:space="preserve"> </w:t>
      </w:r>
      <w:r w:rsidR="00A0653D" w:rsidRPr="00CE2B0C">
        <w:rPr>
          <w:rFonts w:ascii="Arial" w:hAnsi="Arial" w:cs="Arial"/>
          <w:lang w:val="en-GB"/>
        </w:rPr>
        <w:t>and as such, it might also be more susceptible to forecasting error than Project B, which has smoother and more predictable cash inflows.</w:t>
      </w:r>
    </w:p>
    <w:p w14:paraId="786A459B" w14:textId="78653E10" w:rsidR="005B5F59" w:rsidRPr="00CE2B0C" w:rsidRDefault="005B5F59" w:rsidP="007B08F1">
      <w:pPr>
        <w:spacing w:line="360" w:lineRule="auto"/>
        <w:jc w:val="both"/>
        <w:rPr>
          <w:rFonts w:ascii="Arial" w:hAnsi="Arial" w:cs="Arial"/>
          <w:b/>
          <w:bCs/>
          <w:lang w:val="en-GB"/>
        </w:rPr>
      </w:pPr>
      <w:r w:rsidRPr="00CE2B0C">
        <w:rPr>
          <w:rFonts w:ascii="Arial" w:hAnsi="Arial" w:cs="Arial"/>
          <w:b/>
          <w:bCs/>
          <w:lang w:val="en-GB"/>
        </w:rPr>
        <w:t>Capital rationing: best combination under a £100 million budget</w:t>
      </w:r>
    </w:p>
    <w:p w14:paraId="536ED4FA" w14:textId="6BA074C3" w:rsidR="00250B8E" w:rsidRPr="00CE2B0C" w:rsidRDefault="00A0653D" w:rsidP="007B08F1">
      <w:pPr>
        <w:spacing w:line="360" w:lineRule="auto"/>
        <w:jc w:val="both"/>
        <w:rPr>
          <w:rFonts w:ascii="Arial" w:hAnsi="Arial" w:cs="Arial"/>
          <w:lang w:val="en-GB"/>
        </w:rPr>
      </w:pPr>
      <w:r w:rsidRPr="00CE2B0C">
        <w:rPr>
          <w:rFonts w:ascii="Arial" w:hAnsi="Arial" w:cs="Arial"/>
          <w:lang w:val="en-GB"/>
        </w:rPr>
        <w:t>The maximum investment Volkswagen can make is £100 million</w:t>
      </w:r>
      <w:r w:rsidR="005228C6" w:rsidRPr="00CE2B0C">
        <w:rPr>
          <w:rFonts w:ascii="Arial" w:hAnsi="Arial" w:cs="Arial"/>
          <w:lang w:val="en-GB"/>
        </w:rPr>
        <w:t xml:space="preserve">. </w:t>
      </w:r>
      <w:r w:rsidRPr="00CE2B0C">
        <w:rPr>
          <w:rFonts w:ascii="Arial" w:hAnsi="Arial" w:cs="Arial"/>
          <w:lang w:val="en-GB"/>
        </w:rPr>
        <w:t xml:space="preserve"> </w:t>
      </w:r>
      <w:r w:rsidR="005228C6" w:rsidRPr="00CE2B0C">
        <w:rPr>
          <w:rFonts w:ascii="Arial" w:hAnsi="Arial" w:cs="Arial"/>
          <w:lang w:val="en-GB"/>
        </w:rPr>
        <w:t>Hence,</w:t>
      </w:r>
      <w:r w:rsidRPr="00CE2B0C">
        <w:rPr>
          <w:rFonts w:ascii="Arial" w:hAnsi="Arial" w:cs="Arial"/>
          <w:lang w:val="en-GB"/>
        </w:rPr>
        <w:t xml:space="preserve"> it can choose two out of the three projects of £50 million. The combinations are possible:</w:t>
      </w:r>
    </w:p>
    <w:p w14:paraId="2C8D7DED" w14:textId="3989ACD4" w:rsidR="00B52EA2" w:rsidRPr="00CE2B0C" w:rsidRDefault="00B52EA2" w:rsidP="007B08F1">
      <w:pPr>
        <w:pStyle w:val="Caption"/>
        <w:spacing w:line="360" w:lineRule="auto"/>
        <w:rPr>
          <w:rFonts w:ascii="Arial" w:hAnsi="Arial" w:cs="Arial"/>
          <w:b/>
          <w:bCs/>
          <w:sz w:val="24"/>
          <w:szCs w:val="24"/>
          <w:lang w:val="en-GB"/>
        </w:rPr>
      </w:pPr>
      <w:bookmarkStart w:id="22" w:name="_Toc227448975"/>
      <w:r w:rsidRPr="00CE2B0C">
        <w:rPr>
          <w:rFonts w:ascii="Arial" w:hAnsi="Arial" w:cs="Arial"/>
          <w:b/>
          <w:bCs/>
          <w:sz w:val="24"/>
          <w:szCs w:val="24"/>
          <w:lang w:val="en-GB"/>
        </w:rPr>
        <w:t xml:space="preserve">Table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Table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4</w:t>
      </w:r>
      <w:r w:rsidRPr="00CE2B0C">
        <w:rPr>
          <w:rFonts w:ascii="Arial" w:hAnsi="Arial" w:cs="Arial"/>
          <w:b/>
          <w:bCs/>
          <w:sz w:val="24"/>
          <w:szCs w:val="24"/>
          <w:lang w:val="en-GB"/>
        </w:rPr>
        <w:fldChar w:fldCharType="end"/>
      </w:r>
      <w:r w:rsidRPr="00CE2B0C">
        <w:rPr>
          <w:rFonts w:ascii="Arial" w:hAnsi="Arial" w:cs="Arial"/>
          <w:b/>
          <w:bCs/>
          <w:sz w:val="24"/>
          <w:szCs w:val="24"/>
          <w:lang w:val="en-GB"/>
        </w:rPr>
        <w:t>: Capital rationing</w:t>
      </w:r>
      <w:bookmarkEnd w:id="22"/>
    </w:p>
    <w:tbl>
      <w:tblPr>
        <w:tblStyle w:val="TableGrid"/>
        <w:tblW w:w="9425" w:type="dxa"/>
        <w:tblLook w:val="04A0" w:firstRow="1" w:lastRow="0" w:firstColumn="1" w:lastColumn="0" w:noHBand="0" w:noVBand="1"/>
      </w:tblPr>
      <w:tblGrid>
        <w:gridCol w:w="2764"/>
        <w:gridCol w:w="3459"/>
        <w:gridCol w:w="3202"/>
      </w:tblGrid>
      <w:tr w:rsidR="005B5F59" w:rsidRPr="00CE2B0C" w14:paraId="1982237B" w14:textId="77777777" w:rsidTr="005228C6">
        <w:trPr>
          <w:trHeight w:val="530"/>
        </w:trPr>
        <w:tc>
          <w:tcPr>
            <w:tcW w:w="0" w:type="auto"/>
            <w:hideMark/>
          </w:tcPr>
          <w:p w14:paraId="3F178047" w14:textId="77777777" w:rsidR="005B5F59" w:rsidRPr="00CE2B0C" w:rsidRDefault="005B5F59" w:rsidP="007B08F1">
            <w:pPr>
              <w:spacing w:after="160" w:line="360" w:lineRule="auto"/>
              <w:jc w:val="center"/>
              <w:rPr>
                <w:rFonts w:ascii="Arial" w:hAnsi="Arial" w:cs="Arial"/>
                <w:b/>
                <w:bCs/>
                <w:lang w:val="en-GB"/>
              </w:rPr>
            </w:pPr>
            <w:r w:rsidRPr="00CE2B0C">
              <w:rPr>
                <w:rFonts w:ascii="Arial" w:hAnsi="Arial" w:cs="Arial"/>
                <w:b/>
                <w:bCs/>
                <w:lang w:val="en-GB"/>
              </w:rPr>
              <w:t>Combination</w:t>
            </w:r>
          </w:p>
        </w:tc>
        <w:tc>
          <w:tcPr>
            <w:tcW w:w="0" w:type="auto"/>
            <w:hideMark/>
          </w:tcPr>
          <w:p w14:paraId="03A10594" w14:textId="77777777" w:rsidR="005B5F59" w:rsidRPr="00CE2B0C" w:rsidRDefault="005B5F59" w:rsidP="007B08F1">
            <w:pPr>
              <w:spacing w:after="160" w:line="360" w:lineRule="auto"/>
              <w:jc w:val="center"/>
              <w:rPr>
                <w:rFonts w:ascii="Arial" w:hAnsi="Arial" w:cs="Arial"/>
                <w:b/>
                <w:bCs/>
                <w:lang w:val="en-GB"/>
              </w:rPr>
            </w:pPr>
            <w:r w:rsidRPr="00CE2B0C">
              <w:rPr>
                <w:rFonts w:ascii="Arial" w:hAnsi="Arial" w:cs="Arial"/>
                <w:b/>
                <w:bCs/>
                <w:lang w:val="en-GB"/>
              </w:rPr>
              <w:t>Total Investment</w:t>
            </w:r>
          </w:p>
        </w:tc>
        <w:tc>
          <w:tcPr>
            <w:tcW w:w="0" w:type="auto"/>
            <w:hideMark/>
          </w:tcPr>
          <w:p w14:paraId="535FB3D0" w14:textId="77777777" w:rsidR="005B5F59" w:rsidRPr="00CE2B0C" w:rsidRDefault="005B5F59" w:rsidP="007B08F1">
            <w:pPr>
              <w:spacing w:after="160" w:line="360" w:lineRule="auto"/>
              <w:jc w:val="center"/>
              <w:rPr>
                <w:rFonts w:ascii="Arial" w:hAnsi="Arial" w:cs="Arial"/>
                <w:b/>
                <w:bCs/>
                <w:lang w:val="en-GB"/>
              </w:rPr>
            </w:pPr>
            <w:r w:rsidRPr="00CE2B0C">
              <w:rPr>
                <w:rFonts w:ascii="Arial" w:hAnsi="Arial" w:cs="Arial"/>
                <w:b/>
                <w:bCs/>
                <w:lang w:val="en-GB"/>
              </w:rPr>
              <w:t>Combined NPV</w:t>
            </w:r>
          </w:p>
        </w:tc>
      </w:tr>
      <w:tr w:rsidR="005B5F59" w:rsidRPr="00CE2B0C" w14:paraId="2860FD71" w14:textId="77777777" w:rsidTr="005228C6">
        <w:trPr>
          <w:trHeight w:val="530"/>
        </w:trPr>
        <w:tc>
          <w:tcPr>
            <w:tcW w:w="0" w:type="auto"/>
            <w:hideMark/>
          </w:tcPr>
          <w:p w14:paraId="3097F54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A + B</w:t>
            </w:r>
          </w:p>
        </w:tc>
        <w:tc>
          <w:tcPr>
            <w:tcW w:w="0" w:type="auto"/>
            <w:hideMark/>
          </w:tcPr>
          <w:p w14:paraId="50A8BB12"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£100m</w:t>
            </w:r>
          </w:p>
        </w:tc>
        <w:tc>
          <w:tcPr>
            <w:tcW w:w="0" w:type="auto"/>
            <w:hideMark/>
          </w:tcPr>
          <w:p w14:paraId="741D7010"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(£16.98m)</w:t>
            </w:r>
          </w:p>
        </w:tc>
      </w:tr>
      <w:tr w:rsidR="005B5F59" w:rsidRPr="00CE2B0C" w14:paraId="4F2B4336" w14:textId="77777777" w:rsidTr="005228C6">
        <w:trPr>
          <w:trHeight w:val="530"/>
        </w:trPr>
        <w:tc>
          <w:tcPr>
            <w:tcW w:w="0" w:type="auto"/>
            <w:hideMark/>
          </w:tcPr>
          <w:p w14:paraId="2BE7939F"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A + C</w:t>
            </w:r>
          </w:p>
        </w:tc>
        <w:tc>
          <w:tcPr>
            <w:tcW w:w="0" w:type="auto"/>
            <w:hideMark/>
          </w:tcPr>
          <w:p w14:paraId="6E16FDBF"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£100m</w:t>
            </w:r>
          </w:p>
        </w:tc>
        <w:tc>
          <w:tcPr>
            <w:tcW w:w="0" w:type="auto"/>
            <w:hideMark/>
          </w:tcPr>
          <w:p w14:paraId="03117111"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(£10.66m)</w:t>
            </w:r>
          </w:p>
        </w:tc>
      </w:tr>
      <w:tr w:rsidR="005B5F59" w:rsidRPr="00CE2B0C" w14:paraId="3A2C0FFA" w14:textId="77777777" w:rsidTr="005228C6">
        <w:trPr>
          <w:trHeight w:val="530"/>
        </w:trPr>
        <w:tc>
          <w:tcPr>
            <w:tcW w:w="0" w:type="auto"/>
            <w:hideMark/>
          </w:tcPr>
          <w:p w14:paraId="49BE44A3"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B + C</w:t>
            </w:r>
          </w:p>
        </w:tc>
        <w:tc>
          <w:tcPr>
            <w:tcW w:w="0" w:type="auto"/>
            <w:hideMark/>
          </w:tcPr>
          <w:p w14:paraId="235BFFC7"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£100m</w:t>
            </w:r>
          </w:p>
        </w:tc>
        <w:tc>
          <w:tcPr>
            <w:tcW w:w="0" w:type="auto"/>
            <w:hideMark/>
          </w:tcPr>
          <w:p w14:paraId="1B70319D" w14:textId="77777777" w:rsidR="005B5F59" w:rsidRPr="00CE2B0C" w:rsidRDefault="005B5F59" w:rsidP="007B08F1">
            <w:pPr>
              <w:spacing w:after="160" w:line="360" w:lineRule="auto"/>
              <w:jc w:val="center"/>
              <w:rPr>
                <w:rFonts w:ascii="Arial" w:hAnsi="Arial" w:cs="Arial"/>
                <w:lang w:val="en-GB"/>
              </w:rPr>
            </w:pPr>
            <w:r w:rsidRPr="00CE2B0C">
              <w:rPr>
                <w:rFonts w:ascii="Arial" w:hAnsi="Arial" w:cs="Arial"/>
                <w:lang w:val="en-GB"/>
              </w:rPr>
              <w:t>(£10.29m)</w:t>
            </w:r>
          </w:p>
        </w:tc>
      </w:tr>
    </w:tbl>
    <w:p w14:paraId="6E3A8534" w14:textId="77777777" w:rsidR="00330E8B" w:rsidRPr="00CE2B0C" w:rsidRDefault="00330E8B" w:rsidP="007B08F1">
      <w:pPr>
        <w:spacing w:line="360" w:lineRule="auto"/>
        <w:jc w:val="both"/>
        <w:rPr>
          <w:rFonts w:ascii="Arial" w:hAnsi="Arial" w:cs="Arial"/>
          <w:lang w:val="en-GB"/>
        </w:rPr>
      </w:pPr>
    </w:p>
    <w:p w14:paraId="22F920A7" w14:textId="3C976023" w:rsidR="00A0653D" w:rsidRPr="00CE2B0C" w:rsidRDefault="00A0653D" w:rsidP="007B08F1">
      <w:pPr>
        <w:spacing w:line="360" w:lineRule="auto"/>
        <w:jc w:val="both"/>
        <w:rPr>
          <w:rFonts w:ascii="Arial" w:hAnsi="Arial" w:cs="Arial"/>
          <w:lang w:val="en-GB"/>
        </w:rPr>
      </w:pPr>
      <w:r w:rsidRPr="00CE2B0C">
        <w:rPr>
          <w:rFonts w:ascii="Arial" w:hAnsi="Arial" w:cs="Arial"/>
          <w:lang w:val="en-GB"/>
        </w:rPr>
        <w:t>Project B+C is the optimal combination under capital rationing, since it achieves the highest total NPV</w:t>
      </w:r>
      <w:r w:rsidR="005228C6" w:rsidRPr="00CE2B0C">
        <w:rPr>
          <w:rFonts w:ascii="Arial" w:hAnsi="Arial" w:cs="Arial"/>
          <w:lang w:val="en-GB"/>
        </w:rPr>
        <w:t xml:space="preserve"> like</w:t>
      </w:r>
      <w:r w:rsidRPr="00CE2B0C">
        <w:rPr>
          <w:rFonts w:ascii="Arial" w:hAnsi="Arial" w:cs="Arial"/>
          <w:lang w:val="en-GB"/>
        </w:rPr>
        <w:t xml:space="preserve"> it kills the least value of the two-project portfolios available.</w:t>
      </w:r>
    </w:p>
    <w:p w14:paraId="4A66677B" w14:textId="29F88338" w:rsidR="00A0653D" w:rsidRPr="00CE2B0C" w:rsidRDefault="00A0653D" w:rsidP="007B08F1">
      <w:pPr>
        <w:spacing w:line="360" w:lineRule="auto"/>
        <w:jc w:val="both"/>
        <w:rPr>
          <w:rFonts w:ascii="Arial" w:hAnsi="Arial" w:cs="Arial"/>
          <w:lang w:val="en-GB"/>
        </w:rPr>
      </w:pPr>
      <w:r w:rsidRPr="00CE2B0C">
        <w:rPr>
          <w:rFonts w:ascii="Arial" w:hAnsi="Arial" w:cs="Arial"/>
          <w:lang w:val="en-GB"/>
        </w:rPr>
        <w:t xml:space="preserve">However, the same caution still applies: the combined NPV is still negative. Consequently, when there is no risk that Volkswagen will be compelled to invest the entire amount of the £100 million, </w:t>
      </w:r>
      <w:proofErr w:type="gramStart"/>
      <w:r w:rsidRPr="00CE2B0C">
        <w:rPr>
          <w:rFonts w:ascii="Arial" w:hAnsi="Arial" w:cs="Arial"/>
          <w:lang w:val="en-GB"/>
        </w:rPr>
        <w:t>then</w:t>
      </w:r>
      <w:proofErr w:type="gramEnd"/>
      <w:r w:rsidRPr="00CE2B0C">
        <w:rPr>
          <w:rFonts w:ascii="Arial" w:hAnsi="Arial" w:cs="Arial"/>
          <w:lang w:val="en-GB"/>
        </w:rPr>
        <w:t xml:space="preserve"> it is financially most advantageous to select none of the projects. In the scenario </w:t>
      </w:r>
      <w:r w:rsidR="005228C6" w:rsidRPr="00CE2B0C">
        <w:rPr>
          <w:rFonts w:ascii="Arial" w:hAnsi="Arial" w:cs="Arial"/>
          <w:lang w:val="en-GB"/>
        </w:rPr>
        <w:t>where</w:t>
      </w:r>
      <w:r w:rsidRPr="00CE2B0C">
        <w:rPr>
          <w:rFonts w:ascii="Arial" w:hAnsi="Arial" w:cs="Arial"/>
          <w:lang w:val="en-GB"/>
        </w:rPr>
        <w:t xml:space="preserve"> the management has to invest the entire capital budget based on strategic considerations, then Projects B and C are the ones to be chosen</w:t>
      </w:r>
      <w:r w:rsidR="00934AB3" w:rsidRPr="00CE2B0C">
        <w:rPr>
          <w:rFonts w:ascii="Arial" w:hAnsi="Arial" w:cs="Arial"/>
          <w:lang w:val="en-GB"/>
        </w:rPr>
        <w:t xml:space="preserve"> (Zhou, 2025)</w:t>
      </w:r>
      <w:r w:rsidRPr="00CE2B0C">
        <w:rPr>
          <w:rFonts w:ascii="Arial" w:hAnsi="Arial" w:cs="Arial"/>
          <w:lang w:val="en-GB"/>
        </w:rPr>
        <w:t>.</w:t>
      </w:r>
    </w:p>
    <w:p w14:paraId="20C113A2" w14:textId="2B72FF86" w:rsidR="00330E8B" w:rsidRPr="00CE2B0C" w:rsidRDefault="00A0653D" w:rsidP="002A7EF1">
      <w:pPr>
        <w:spacing w:line="360" w:lineRule="auto"/>
        <w:jc w:val="both"/>
        <w:rPr>
          <w:rFonts w:ascii="Arial" w:hAnsi="Arial" w:cs="Arial"/>
          <w:lang w:val="en-GB"/>
        </w:rPr>
      </w:pPr>
      <w:r w:rsidRPr="00CE2B0C">
        <w:rPr>
          <w:rFonts w:ascii="Arial" w:hAnsi="Arial" w:cs="Arial"/>
          <w:lang w:val="en-GB"/>
        </w:rPr>
        <w:t>PI can also be used to arrive at this conclusion. Project C has the first rank and Project B has the second rank</w:t>
      </w:r>
      <w:r w:rsidR="005228C6" w:rsidRPr="00CE2B0C">
        <w:rPr>
          <w:rFonts w:ascii="Arial" w:hAnsi="Arial" w:cs="Arial"/>
          <w:lang w:val="en-GB"/>
        </w:rPr>
        <w:t>. In</w:t>
      </w:r>
      <w:r w:rsidRPr="00CE2B0C">
        <w:rPr>
          <w:rFonts w:ascii="Arial" w:hAnsi="Arial" w:cs="Arial"/>
          <w:lang w:val="en-GB"/>
        </w:rPr>
        <w:t xml:space="preserve"> this case</w:t>
      </w:r>
      <w:r w:rsidR="005228C6" w:rsidRPr="00CE2B0C">
        <w:rPr>
          <w:rFonts w:ascii="Arial" w:hAnsi="Arial" w:cs="Arial"/>
          <w:lang w:val="en-GB"/>
        </w:rPr>
        <w:t>,</w:t>
      </w:r>
      <w:r w:rsidRPr="00CE2B0C">
        <w:rPr>
          <w:rFonts w:ascii="Arial" w:hAnsi="Arial" w:cs="Arial"/>
          <w:lang w:val="en-GB"/>
        </w:rPr>
        <w:t xml:space="preserve"> the PI ranking coincides with the NPV ranking.</w:t>
      </w:r>
    </w:p>
    <w:p w14:paraId="784F4576" w14:textId="7C55C9F5" w:rsidR="00A0653D" w:rsidRPr="00CE2B0C" w:rsidRDefault="00022456" w:rsidP="007B08F1">
      <w:pPr>
        <w:pStyle w:val="Heading1"/>
        <w:spacing w:line="360" w:lineRule="auto"/>
        <w:rPr>
          <w:rFonts w:cs="Arial"/>
          <w:szCs w:val="24"/>
          <w:lang w:val="en-GB"/>
        </w:rPr>
      </w:pPr>
      <w:bookmarkStart w:id="23" w:name="_Toc227812693"/>
      <w:r w:rsidRPr="00CE2B0C">
        <w:rPr>
          <w:rFonts w:cs="Arial"/>
          <w:szCs w:val="24"/>
          <w:lang w:val="en-GB"/>
        </w:rPr>
        <w:lastRenderedPageBreak/>
        <w:t>6</w:t>
      </w:r>
      <w:r w:rsidR="005228C6" w:rsidRPr="00CE2B0C">
        <w:rPr>
          <w:rFonts w:cs="Arial"/>
          <w:szCs w:val="24"/>
          <w:lang w:val="en-GB"/>
        </w:rPr>
        <w:t xml:space="preserve">. </w:t>
      </w:r>
      <w:r w:rsidR="00A0653D" w:rsidRPr="00CE2B0C">
        <w:rPr>
          <w:rFonts w:cs="Arial"/>
          <w:szCs w:val="24"/>
          <w:lang w:val="en-GB"/>
        </w:rPr>
        <w:t>Conclusion</w:t>
      </w:r>
      <w:bookmarkEnd w:id="23"/>
    </w:p>
    <w:p w14:paraId="38F38854" w14:textId="39D71469" w:rsidR="00A0653D" w:rsidRPr="00CE2B0C" w:rsidRDefault="000E5121" w:rsidP="007B08F1">
      <w:pPr>
        <w:spacing w:line="360" w:lineRule="auto"/>
        <w:jc w:val="both"/>
        <w:rPr>
          <w:rFonts w:ascii="Arial" w:hAnsi="Arial" w:cs="Arial"/>
          <w:lang w:val="en-GB"/>
        </w:rPr>
      </w:pPr>
      <w:r w:rsidRPr="00CE2B0C">
        <w:rPr>
          <w:rFonts w:ascii="Arial" w:hAnsi="Arial" w:cs="Arial"/>
          <w:lang w:val="en-GB"/>
        </w:rPr>
        <w:t>The Volkswagen Group continued to be a financially significant global car manufacturer in the period 202</w:t>
      </w:r>
      <w:r w:rsidR="00673843" w:rsidRPr="00CE2B0C">
        <w:rPr>
          <w:rFonts w:ascii="Arial" w:hAnsi="Arial" w:cs="Arial"/>
          <w:lang w:val="en-GB"/>
        </w:rPr>
        <w:t>0</w:t>
      </w:r>
      <w:r w:rsidRPr="00CE2B0C">
        <w:rPr>
          <w:rFonts w:ascii="Arial" w:hAnsi="Arial" w:cs="Arial"/>
          <w:lang w:val="en-GB"/>
        </w:rPr>
        <w:t>-202</w:t>
      </w:r>
      <w:r w:rsidR="00673843" w:rsidRPr="00CE2B0C">
        <w:rPr>
          <w:rFonts w:ascii="Arial" w:hAnsi="Arial" w:cs="Arial"/>
          <w:lang w:val="en-GB"/>
        </w:rPr>
        <w:t>4</w:t>
      </w:r>
      <w:r w:rsidRPr="00CE2B0C">
        <w:rPr>
          <w:rFonts w:ascii="Arial" w:hAnsi="Arial" w:cs="Arial"/>
          <w:lang w:val="en-GB"/>
        </w:rPr>
        <w:t xml:space="preserve">, but it grew weaker financially over the years. Although profitability decreased, liquidity became restricted, and leverage was still high </w:t>
      </w:r>
      <w:r w:rsidR="00673843" w:rsidRPr="00CE2B0C">
        <w:rPr>
          <w:rFonts w:ascii="Arial" w:hAnsi="Arial" w:cs="Arial"/>
          <w:lang w:val="en-GB"/>
        </w:rPr>
        <w:t>although</w:t>
      </w:r>
      <w:r w:rsidRPr="00CE2B0C">
        <w:rPr>
          <w:rFonts w:ascii="Arial" w:hAnsi="Arial" w:cs="Arial"/>
          <w:lang w:val="en-GB"/>
        </w:rPr>
        <w:t xml:space="preserve"> it retained its scale, asset base and positive net working capital. </w:t>
      </w:r>
      <w:r w:rsidR="00673843" w:rsidRPr="00CE2B0C">
        <w:rPr>
          <w:rFonts w:ascii="Arial" w:hAnsi="Arial" w:cs="Arial"/>
          <w:lang w:val="en-GB"/>
        </w:rPr>
        <w:t>High</w:t>
      </w:r>
      <w:r w:rsidRPr="00CE2B0C">
        <w:rPr>
          <w:rFonts w:ascii="Arial" w:hAnsi="Arial" w:cs="Arial"/>
          <w:lang w:val="en-GB"/>
        </w:rPr>
        <w:t xml:space="preserve"> inventories and negative free cash flow since 2023 </w:t>
      </w:r>
      <w:r w:rsidR="00673843" w:rsidRPr="00CE2B0C">
        <w:rPr>
          <w:rFonts w:ascii="Arial" w:hAnsi="Arial" w:cs="Arial"/>
          <w:lang w:val="en-GB"/>
        </w:rPr>
        <w:t xml:space="preserve">have </w:t>
      </w:r>
      <w:r w:rsidRPr="00CE2B0C">
        <w:rPr>
          <w:rFonts w:ascii="Arial" w:hAnsi="Arial" w:cs="Arial"/>
          <w:lang w:val="en-GB"/>
        </w:rPr>
        <w:t xml:space="preserve">also led to </w:t>
      </w:r>
      <w:r w:rsidR="00673843" w:rsidRPr="00CE2B0C">
        <w:rPr>
          <w:rFonts w:ascii="Arial" w:hAnsi="Arial" w:cs="Arial"/>
          <w:lang w:val="en-GB"/>
        </w:rPr>
        <w:t>a</w:t>
      </w:r>
      <w:r w:rsidRPr="00CE2B0C">
        <w:rPr>
          <w:rFonts w:ascii="Arial" w:hAnsi="Arial" w:cs="Arial"/>
          <w:lang w:val="en-GB"/>
        </w:rPr>
        <w:t xml:space="preserve"> long cash cycle in the company. To achieve this in a superior way, Volkswagen needs to reduce inventory days, </w:t>
      </w:r>
      <w:r w:rsidR="00673843" w:rsidRPr="00CE2B0C">
        <w:rPr>
          <w:rFonts w:ascii="Arial" w:hAnsi="Arial" w:cs="Arial"/>
          <w:lang w:val="en-GB"/>
        </w:rPr>
        <w:t>effectively manage</w:t>
      </w:r>
      <w:r w:rsidRPr="00CE2B0C">
        <w:rPr>
          <w:rFonts w:ascii="Arial" w:hAnsi="Arial" w:cs="Arial"/>
          <w:lang w:val="en-GB"/>
        </w:rPr>
        <w:t xml:space="preserve"> receivables and payables and improve financing strategies</w:t>
      </w:r>
      <w:r w:rsidR="007B08F1" w:rsidRPr="00CE2B0C">
        <w:rPr>
          <w:rFonts w:ascii="Arial" w:hAnsi="Arial" w:cs="Arial"/>
          <w:lang w:val="en-GB"/>
        </w:rPr>
        <w:t>, which are suggested to be</w:t>
      </w:r>
      <w:r w:rsidRPr="00CE2B0C">
        <w:rPr>
          <w:rFonts w:ascii="Arial" w:hAnsi="Arial" w:cs="Arial"/>
          <w:lang w:val="en-GB"/>
        </w:rPr>
        <w:t xml:space="preserve"> selective restructuring and debt refinancing. Although all the projects are below a 10</w:t>
      </w:r>
      <w:r w:rsidR="00673843" w:rsidRPr="00CE2B0C">
        <w:rPr>
          <w:rFonts w:ascii="Arial" w:hAnsi="Arial" w:cs="Arial"/>
          <w:lang w:val="en-GB"/>
        </w:rPr>
        <w:t>%</w:t>
      </w:r>
      <w:r w:rsidRPr="00CE2B0C">
        <w:rPr>
          <w:rFonts w:ascii="Arial" w:hAnsi="Arial" w:cs="Arial"/>
          <w:lang w:val="en-GB"/>
        </w:rPr>
        <w:t xml:space="preserve"> discount rate, Project C, or a combination of B and C provide the best strategic investment opportunity.</w:t>
      </w:r>
    </w:p>
    <w:p w14:paraId="357622A5" w14:textId="77777777" w:rsidR="00A0653D" w:rsidRPr="00CE2B0C" w:rsidRDefault="00A0653D" w:rsidP="002D1B85">
      <w:pPr>
        <w:spacing w:line="360" w:lineRule="auto"/>
        <w:rPr>
          <w:rFonts w:ascii="Arial" w:hAnsi="Arial" w:cs="Arial"/>
          <w:b/>
          <w:bCs/>
          <w:lang w:val="en-GB"/>
        </w:rPr>
      </w:pPr>
    </w:p>
    <w:p w14:paraId="247A978C" w14:textId="77777777" w:rsidR="00786425" w:rsidRPr="00CE2B0C" w:rsidRDefault="00786425" w:rsidP="002D1B85">
      <w:pPr>
        <w:spacing w:line="360" w:lineRule="auto"/>
        <w:rPr>
          <w:rFonts w:ascii="Arial" w:hAnsi="Arial" w:cs="Arial"/>
          <w:b/>
          <w:bCs/>
          <w:lang w:val="en-GB"/>
        </w:rPr>
      </w:pPr>
      <w:r w:rsidRPr="00CE2B0C">
        <w:rPr>
          <w:rFonts w:ascii="Arial" w:hAnsi="Arial" w:cs="Arial"/>
          <w:b/>
          <w:bCs/>
          <w:lang w:val="en-GB"/>
        </w:rPr>
        <w:br w:type="page"/>
      </w:r>
    </w:p>
    <w:p w14:paraId="4253F941" w14:textId="7AB3E73B" w:rsidR="00137DBB" w:rsidRPr="00CE2B0C" w:rsidRDefault="00022456" w:rsidP="002D1B85">
      <w:pPr>
        <w:pStyle w:val="Heading1"/>
        <w:spacing w:line="360" w:lineRule="auto"/>
        <w:rPr>
          <w:rFonts w:cs="Arial"/>
          <w:szCs w:val="24"/>
          <w:lang w:val="en-GB"/>
        </w:rPr>
      </w:pPr>
      <w:bookmarkStart w:id="24" w:name="_Toc227812694"/>
      <w:r w:rsidRPr="00CE2B0C">
        <w:rPr>
          <w:rFonts w:cs="Arial"/>
          <w:szCs w:val="24"/>
          <w:lang w:val="en-GB"/>
        </w:rPr>
        <w:lastRenderedPageBreak/>
        <w:t>7</w:t>
      </w:r>
      <w:r w:rsidR="00137DBB" w:rsidRPr="00CE2B0C">
        <w:rPr>
          <w:rFonts w:cs="Arial"/>
          <w:szCs w:val="24"/>
          <w:lang w:val="en-GB"/>
        </w:rPr>
        <w:t>. Reference</w:t>
      </w:r>
      <w:r w:rsidR="002A7EF1" w:rsidRPr="00CE2B0C">
        <w:rPr>
          <w:rFonts w:cs="Arial"/>
          <w:szCs w:val="24"/>
          <w:lang w:val="en-GB"/>
        </w:rPr>
        <w:t>s</w:t>
      </w:r>
      <w:bookmarkEnd w:id="24"/>
    </w:p>
    <w:p w14:paraId="3AE9A27F"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Arjunan</w:t>
      </w:r>
      <w:proofErr w:type="spellEnd"/>
      <w:r w:rsidRPr="00CE2B0C">
        <w:rPr>
          <w:rFonts w:ascii="Arial" w:hAnsi="Arial" w:cs="Arial"/>
          <w:lang w:val="en-GB"/>
        </w:rPr>
        <w:t>, K. (2022).</w:t>
      </w:r>
      <w:proofErr w:type="gramEnd"/>
      <w:r w:rsidRPr="00CE2B0C">
        <w:rPr>
          <w:rFonts w:ascii="Arial" w:hAnsi="Arial" w:cs="Arial"/>
          <w:lang w:val="en-GB"/>
        </w:rPr>
        <w:t xml:space="preserve"> </w:t>
      </w:r>
      <w:proofErr w:type="gramStart"/>
      <w:r w:rsidRPr="00CE2B0C">
        <w:rPr>
          <w:rFonts w:ascii="Arial" w:hAnsi="Arial" w:cs="Arial"/>
          <w:lang w:val="en-GB"/>
        </w:rPr>
        <w:t>A new method to estimate NPV and IRR from the capital amortization schedule and the advantages of the new method.</w:t>
      </w:r>
      <w:proofErr w:type="gramEnd"/>
      <w:r w:rsidRPr="00CE2B0C">
        <w:rPr>
          <w:rFonts w:ascii="Arial" w:hAnsi="Arial" w:cs="Arial"/>
          <w:lang w:val="en-GB"/>
        </w:rPr>
        <w:t> </w:t>
      </w:r>
      <w:proofErr w:type="gramStart"/>
      <w:r w:rsidRPr="00CE2B0C">
        <w:rPr>
          <w:rFonts w:ascii="Arial" w:hAnsi="Arial" w:cs="Arial"/>
          <w:i/>
          <w:iCs/>
          <w:lang w:val="en-GB"/>
        </w:rPr>
        <w:t>Australasian Accounting, Business and Finance Journal</w:t>
      </w:r>
      <w:r w:rsidRPr="00CE2B0C">
        <w:rPr>
          <w:rFonts w:ascii="Arial" w:hAnsi="Arial" w:cs="Arial"/>
          <w:lang w:val="en-GB"/>
        </w:rPr>
        <w:t>, </w:t>
      </w:r>
      <w:r w:rsidRPr="00CE2B0C">
        <w:rPr>
          <w:rFonts w:ascii="Arial" w:hAnsi="Arial" w:cs="Arial"/>
          <w:i/>
          <w:iCs/>
          <w:lang w:val="en-GB"/>
        </w:rPr>
        <w:t>16</w:t>
      </w:r>
      <w:r w:rsidRPr="00CE2B0C">
        <w:rPr>
          <w:rFonts w:ascii="Arial" w:hAnsi="Arial" w:cs="Arial"/>
          <w:lang w:val="en-GB"/>
        </w:rPr>
        <w:t>(6).</w:t>
      </w:r>
      <w:proofErr w:type="gramEnd"/>
    </w:p>
    <w:p w14:paraId="300BA98B"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Batiuk</w:t>
      </w:r>
      <w:proofErr w:type="spellEnd"/>
      <w:r w:rsidRPr="00CE2B0C">
        <w:rPr>
          <w:rFonts w:ascii="Arial" w:hAnsi="Arial" w:cs="Arial"/>
          <w:lang w:val="en-GB"/>
        </w:rPr>
        <w:t xml:space="preserve">, B. and </w:t>
      </w:r>
      <w:proofErr w:type="spellStart"/>
      <w:r w:rsidRPr="00CE2B0C">
        <w:rPr>
          <w:rFonts w:ascii="Arial" w:hAnsi="Arial" w:cs="Arial"/>
          <w:lang w:val="en-GB"/>
        </w:rPr>
        <w:t>Kuzyk</w:t>
      </w:r>
      <w:proofErr w:type="spellEnd"/>
      <w:r w:rsidRPr="00CE2B0C">
        <w:rPr>
          <w:rFonts w:ascii="Arial" w:hAnsi="Arial" w:cs="Arial"/>
          <w:lang w:val="en-GB"/>
        </w:rPr>
        <w:t>, Y. (2025).</w:t>
      </w:r>
      <w:proofErr w:type="gramEnd"/>
      <w:r w:rsidRPr="00CE2B0C">
        <w:rPr>
          <w:rFonts w:ascii="Arial" w:hAnsi="Arial" w:cs="Arial"/>
          <w:lang w:val="en-GB"/>
        </w:rPr>
        <w:t xml:space="preserve"> </w:t>
      </w:r>
      <w:proofErr w:type="gramStart"/>
      <w:r w:rsidRPr="00CE2B0C">
        <w:rPr>
          <w:rFonts w:ascii="Arial" w:hAnsi="Arial" w:cs="Arial"/>
          <w:lang w:val="en-GB"/>
        </w:rPr>
        <w:t>Strategy and tactics of making management decisions to ensure the financial and economic stability of the enterprise.</w:t>
      </w:r>
      <w:proofErr w:type="gramEnd"/>
      <w:r w:rsidRPr="00CE2B0C">
        <w:rPr>
          <w:rFonts w:ascii="Arial" w:hAnsi="Arial" w:cs="Arial"/>
          <w:lang w:val="en-GB"/>
        </w:rPr>
        <w:t> </w:t>
      </w:r>
      <w:proofErr w:type="gramStart"/>
      <w:r w:rsidRPr="00CE2B0C">
        <w:rPr>
          <w:rFonts w:ascii="Arial" w:hAnsi="Arial" w:cs="Arial"/>
          <w:i/>
          <w:iCs/>
          <w:lang w:val="en-GB"/>
        </w:rPr>
        <w:t>Publishing House “</w:t>
      </w:r>
      <w:proofErr w:type="spellStart"/>
      <w:r w:rsidRPr="00CE2B0C">
        <w:rPr>
          <w:rFonts w:ascii="Arial" w:hAnsi="Arial" w:cs="Arial"/>
          <w:i/>
          <w:iCs/>
          <w:lang w:val="en-GB"/>
        </w:rPr>
        <w:t>Baltija</w:t>
      </w:r>
      <w:proofErr w:type="spellEnd"/>
      <w:r w:rsidRPr="00CE2B0C">
        <w:rPr>
          <w:rFonts w:ascii="Arial" w:hAnsi="Arial" w:cs="Arial"/>
          <w:i/>
          <w:iCs/>
          <w:lang w:val="en-GB"/>
        </w:rPr>
        <w:t xml:space="preserve"> Publishing”</w:t>
      </w:r>
      <w:r w:rsidRPr="00CE2B0C">
        <w:rPr>
          <w:rFonts w:ascii="Arial" w:hAnsi="Arial" w:cs="Arial"/>
          <w:lang w:val="en-GB"/>
        </w:rPr>
        <w:t>.</w:t>
      </w:r>
      <w:proofErr w:type="gramEnd"/>
    </w:p>
    <w:p w14:paraId="4A74174E"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Bhattacheryay</w:t>
      </w:r>
      <w:proofErr w:type="spellEnd"/>
      <w:r w:rsidRPr="00CE2B0C">
        <w:rPr>
          <w:rFonts w:ascii="Arial" w:hAnsi="Arial" w:cs="Arial"/>
          <w:lang w:val="en-GB"/>
        </w:rPr>
        <w:t>, S. (2023).</w:t>
      </w:r>
      <w:proofErr w:type="gramEnd"/>
      <w:r w:rsidRPr="00CE2B0C">
        <w:rPr>
          <w:rFonts w:ascii="Arial" w:hAnsi="Arial" w:cs="Arial"/>
          <w:lang w:val="en-GB"/>
        </w:rPr>
        <w:t xml:space="preserve"> Distinguished competency and efficacy of working capital management ensuing firm survival, liquidity, solvency and profitability: a study on automotive industry. </w:t>
      </w:r>
      <w:r w:rsidRPr="00CE2B0C">
        <w:rPr>
          <w:rFonts w:ascii="Arial" w:hAnsi="Arial" w:cs="Arial"/>
          <w:i/>
          <w:iCs/>
          <w:lang w:val="en-GB"/>
        </w:rPr>
        <w:t>American Business Review</w:t>
      </w:r>
      <w:r w:rsidRPr="00CE2B0C">
        <w:rPr>
          <w:rFonts w:ascii="Arial" w:hAnsi="Arial" w:cs="Arial"/>
          <w:lang w:val="en-GB"/>
        </w:rPr>
        <w:t>, </w:t>
      </w:r>
      <w:r w:rsidRPr="00CE2B0C">
        <w:rPr>
          <w:rFonts w:ascii="Arial" w:hAnsi="Arial" w:cs="Arial"/>
          <w:i/>
          <w:iCs/>
          <w:lang w:val="en-GB"/>
        </w:rPr>
        <w:t>26</w:t>
      </w:r>
      <w:r w:rsidRPr="00CE2B0C">
        <w:rPr>
          <w:rFonts w:ascii="Arial" w:hAnsi="Arial" w:cs="Arial"/>
          <w:lang w:val="en-GB"/>
        </w:rPr>
        <w:t>(1), p.3.</w:t>
      </w:r>
    </w:p>
    <w:p w14:paraId="62AEF50F" w14:textId="77777777" w:rsidR="002A7EF1" w:rsidRPr="00CE2B0C" w:rsidRDefault="002A7EF1" w:rsidP="002A7EF1">
      <w:pPr>
        <w:spacing w:line="360" w:lineRule="auto"/>
        <w:jc w:val="both"/>
        <w:rPr>
          <w:rFonts w:ascii="Arial" w:hAnsi="Arial" w:cs="Arial"/>
          <w:lang w:val="en-GB"/>
        </w:rPr>
      </w:pPr>
      <w:proofErr w:type="gramStart"/>
      <w:r w:rsidRPr="00CE2B0C">
        <w:rPr>
          <w:rFonts w:ascii="Arial" w:hAnsi="Arial" w:cs="Arial"/>
          <w:lang w:val="en-GB"/>
        </w:rPr>
        <w:t>boerse-global.de</w:t>
      </w:r>
      <w:proofErr w:type="gramEnd"/>
      <w:r w:rsidRPr="00CE2B0C">
        <w:rPr>
          <w:rFonts w:ascii="Arial" w:hAnsi="Arial" w:cs="Arial"/>
          <w:lang w:val="en-GB"/>
        </w:rPr>
        <w:t xml:space="preserve"> (2026). Volkswagen's restructuring plan intensifies amid steep profit decline. Available at: </w:t>
      </w:r>
      <w:hyperlink r:id="rId10" w:tgtFrame="_new" w:history="1">
        <w:r w:rsidRPr="00CE2B0C">
          <w:rPr>
            <w:rStyle w:val="Hyperlink"/>
            <w:rFonts w:ascii="Arial" w:hAnsi="Arial" w:cs="Arial"/>
            <w:lang w:val="en-GB"/>
          </w:rPr>
          <w:t>https://www.ad-hoc-news.de/boerse/news/ueberblick/volkswagen-s-restructuring-plan-intensifies-amid-steep-profit-decline/68657651</w:t>
        </w:r>
      </w:hyperlink>
      <w:r w:rsidRPr="00CE2B0C">
        <w:rPr>
          <w:rStyle w:val="Hyperlink"/>
          <w:rFonts w:ascii="Arial" w:hAnsi="Arial" w:cs="Arial"/>
          <w:lang w:val="en-GB"/>
        </w:rPr>
        <w:t xml:space="preserve">. [Accessed: 17 </w:t>
      </w:r>
      <w:proofErr w:type="gramStart"/>
      <w:r w:rsidRPr="00CE2B0C">
        <w:rPr>
          <w:rStyle w:val="Hyperlink"/>
          <w:rFonts w:ascii="Arial" w:hAnsi="Arial" w:cs="Arial"/>
          <w:lang w:val="en-GB"/>
        </w:rPr>
        <w:t>April  2026</w:t>
      </w:r>
      <w:proofErr w:type="gramEnd"/>
      <w:r w:rsidRPr="00CE2B0C">
        <w:rPr>
          <w:rStyle w:val="Hyperlink"/>
          <w:rFonts w:ascii="Arial" w:hAnsi="Arial" w:cs="Arial"/>
          <w:lang w:val="en-GB"/>
        </w:rPr>
        <w:t>].</w:t>
      </w:r>
    </w:p>
    <w:p w14:paraId="6CFC259A"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Bostanci</w:t>
      </w:r>
      <w:proofErr w:type="spellEnd"/>
      <w:r w:rsidRPr="00CE2B0C">
        <w:rPr>
          <w:rFonts w:ascii="Arial" w:hAnsi="Arial" w:cs="Arial"/>
          <w:lang w:val="en-GB"/>
        </w:rPr>
        <w:t>, G. and Ordonez, G. (2024).</w:t>
      </w:r>
      <w:proofErr w:type="gramEnd"/>
      <w:r w:rsidRPr="00CE2B0C">
        <w:rPr>
          <w:rFonts w:ascii="Arial" w:hAnsi="Arial" w:cs="Arial"/>
          <w:lang w:val="en-GB"/>
        </w:rPr>
        <w:t> </w:t>
      </w:r>
      <w:proofErr w:type="gramStart"/>
      <w:r w:rsidRPr="00CE2B0C">
        <w:rPr>
          <w:rFonts w:ascii="Arial" w:hAnsi="Arial" w:cs="Arial"/>
          <w:i/>
          <w:iCs/>
          <w:lang w:val="en-GB"/>
        </w:rPr>
        <w:t>Business, liquidity, and information cycles</w:t>
      </w:r>
      <w:r w:rsidRPr="00CE2B0C">
        <w:rPr>
          <w:rFonts w:ascii="Arial" w:hAnsi="Arial" w:cs="Arial"/>
          <w:lang w:val="en-GB"/>
        </w:rPr>
        <w:t> (No. w32501).</w:t>
      </w:r>
      <w:proofErr w:type="gramEnd"/>
      <w:r w:rsidRPr="00CE2B0C">
        <w:rPr>
          <w:rFonts w:ascii="Arial" w:hAnsi="Arial" w:cs="Arial"/>
          <w:lang w:val="en-GB"/>
        </w:rPr>
        <w:t xml:space="preserve"> </w:t>
      </w:r>
      <w:proofErr w:type="gramStart"/>
      <w:r w:rsidRPr="00CE2B0C">
        <w:rPr>
          <w:rFonts w:ascii="Arial" w:hAnsi="Arial" w:cs="Arial"/>
          <w:lang w:val="en-GB"/>
        </w:rPr>
        <w:t>National Bureau of Economic Research.</w:t>
      </w:r>
      <w:proofErr w:type="gramEnd"/>
    </w:p>
    <w:p w14:paraId="203B6707" w14:textId="77777777" w:rsidR="002A7EF1" w:rsidRPr="00CE2B0C" w:rsidRDefault="002A7EF1" w:rsidP="002A7EF1">
      <w:pPr>
        <w:spacing w:line="360" w:lineRule="auto"/>
        <w:jc w:val="both"/>
        <w:rPr>
          <w:rFonts w:ascii="Arial" w:hAnsi="Arial" w:cs="Arial"/>
          <w:lang w:val="en-GB"/>
        </w:rPr>
      </w:pPr>
      <w:proofErr w:type="gramStart"/>
      <w:r w:rsidRPr="00CE2B0C">
        <w:rPr>
          <w:rFonts w:ascii="Arial" w:hAnsi="Arial" w:cs="Arial"/>
          <w:lang w:val="en-GB"/>
        </w:rPr>
        <w:t>Danielson, M.G., Hogan, K.M. and Olson, G.T. (2024).</w:t>
      </w:r>
      <w:proofErr w:type="gramEnd"/>
      <w:r w:rsidRPr="00CE2B0C">
        <w:rPr>
          <w:rFonts w:ascii="Arial" w:hAnsi="Arial" w:cs="Arial"/>
          <w:lang w:val="en-GB"/>
        </w:rPr>
        <w:t xml:space="preserve"> </w:t>
      </w:r>
      <w:proofErr w:type="gramStart"/>
      <w:r w:rsidRPr="00CE2B0C">
        <w:rPr>
          <w:rFonts w:ascii="Arial" w:hAnsi="Arial" w:cs="Arial"/>
          <w:lang w:val="en-GB"/>
        </w:rPr>
        <w:t>Shareholder theory, stakeholder theory, and the capital budgeting decision.</w:t>
      </w:r>
      <w:proofErr w:type="gramEnd"/>
      <w:r w:rsidRPr="00CE2B0C">
        <w:rPr>
          <w:rFonts w:ascii="Arial" w:hAnsi="Arial" w:cs="Arial"/>
          <w:lang w:val="en-GB"/>
        </w:rPr>
        <w:t> </w:t>
      </w:r>
      <w:proofErr w:type="gramStart"/>
      <w:r w:rsidRPr="00CE2B0C">
        <w:rPr>
          <w:rFonts w:ascii="Arial" w:hAnsi="Arial" w:cs="Arial"/>
          <w:i/>
          <w:iCs/>
          <w:lang w:val="en-GB"/>
        </w:rPr>
        <w:t>Corporate Ownership &amp; Control</w:t>
      </w:r>
      <w:r w:rsidRPr="00CE2B0C">
        <w:rPr>
          <w:rFonts w:ascii="Arial" w:hAnsi="Arial" w:cs="Arial"/>
          <w:lang w:val="en-GB"/>
        </w:rPr>
        <w:t>, </w:t>
      </w:r>
      <w:r w:rsidRPr="00CE2B0C">
        <w:rPr>
          <w:rFonts w:ascii="Arial" w:hAnsi="Arial" w:cs="Arial"/>
          <w:i/>
          <w:iCs/>
          <w:lang w:val="en-GB"/>
        </w:rPr>
        <w:t>21</w:t>
      </w:r>
      <w:r w:rsidRPr="00CE2B0C">
        <w:rPr>
          <w:rFonts w:ascii="Arial" w:hAnsi="Arial" w:cs="Arial"/>
          <w:lang w:val="en-GB"/>
        </w:rPr>
        <w:t>(2).</w:t>
      </w:r>
      <w:proofErr w:type="gramEnd"/>
    </w:p>
    <w:p w14:paraId="21EC488B"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Dordi</w:t>
      </w:r>
      <w:proofErr w:type="spellEnd"/>
      <w:r w:rsidRPr="00CE2B0C">
        <w:rPr>
          <w:rFonts w:ascii="Arial" w:hAnsi="Arial" w:cs="Arial"/>
          <w:lang w:val="en-GB"/>
        </w:rPr>
        <w:t>, T. and Weber, O. (2023).</w:t>
      </w:r>
      <w:proofErr w:type="gramEnd"/>
      <w:r w:rsidRPr="00CE2B0C">
        <w:rPr>
          <w:rFonts w:ascii="Arial" w:hAnsi="Arial" w:cs="Arial"/>
          <w:lang w:val="en-GB"/>
        </w:rPr>
        <w:t xml:space="preserve"> </w:t>
      </w:r>
      <w:proofErr w:type="gramStart"/>
      <w:r w:rsidRPr="00CE2B0C">
        <w:rPr>
          <w:rFonts w:ascii="Arial" w:hAnsi="Arial" w:cs="Arial"/>
          <w:lang w:val="en-GB"/>
        </w:rPr>
        <w:t>Ethical and Financial Aspects of Divesting.</w:t>
      </w:r>
      <w:proofErr w:type="gramEnd"/>
      <w:r w:rsidRPr="00CE2B0C">
        <w:rPr>
          <w:rFonts w:ascii="Arial" w:hAnsi="Arial" w:cs="Arial"/>
          <w:lang w:val="en-GB"/>
        </w:rPr>
        <w:t xml:space="preserve"> </w:t>
      </w:r>
      <w:proofErr w:type="gramStart"/>
      <w:r w:rsidRPr="00CE2B0C">
        <w:rPr>
          <w:rFonts w:ascii="Arial" w:hAnsi="Arial" w:cs="Arial"/>
          <w:lang w:val="en-GB"/>
        </w:rPr>
        <w:t>In </w:t>
      </w:r>
      <w:proofErr w:type="spellStart"/>
      <w:r w:rsidRPr="00CE2B0C">
        <w:rPr>
          <w:rFonts w:ascii="Arial" w:hAnsi="Arial" w:cs="Arial"/>
          <w:i/>
          <w:iCs/>
          <w:lang w:val="en-GB"/>
        </w:rPr>
        <w:t>Encyclopedia</w:t>
      </w:r>
      <w:proofErr w:type="spellEnd"/>
      <w:r w:rsidRPr="00CE2B0C">
        <w:rPr>
          <w:rFonts w:ascii="Arial" w:hAnsi="Arial" w:cs="Arial"/>
          <w:i/>
          <w:iCs/>
          <w:lang w:val="en-GB"/>
        </w:rPr>
        <w:t xml:space="preserve"> of Business and Professional Ethics</w:t>
      </w:r>
      <w:r w:rsidRPr="00CE2B0C">
        <w:rPr>
          <w:rFonts w:ascii="Arial" w:hAnsi="Arial" w:cs="Arial"/>
          <w:lang w:val="en-GB"/>
        </w:rPr>
        <w:t> (pp. 679-687).</w:t>
      </w:r>
      <w:proofErr w:type="gramEnd"/>
      <w:r w:rsidRPr="00CE2B0C">
        <w:rPr>
          <w:rFonts w:ascii="Arial" w:hAnsi="Arial" w:cs="Arial"/>
          <w:lang w:val="en-GB"/>
        </w:rPr>
        <w:t xml:space="preserve"> Cham: Springer International Publishing.</w:t>
      </w:r>
    </w:p>
    <w:p w14:paraId="00A7BD8A"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Ebikeiseye</w:t>
      </w:r>
      <w:proofErr w:type="spellEnd"/>
      <w:r w:rsidRPr="00CE2B0C">
        <w:rPr>
          <w:rFonts w:ascii="Arial" w:hAnsi="Arial" w:cs="Arial"/>
          <w:lang w:val="en-GB"/>
        </w:rPr>
        <w:t xml:space="preserve">, P. and </w:t>
      </w:r>
      <w:proofErr w:type="spellStart"/>
      <w:r w:rsidRPr="00CE2B0C">
        <w:rPr>
          <w:rFonts w:ascii="Arial" w:hAnsi="Arial" w:cs="Arial"/>
          <w:lang w:val="en-GB"/>
        </w:rPr>
        <w:t>Ebipre</w:t>
      </w:r>
      <w:proofErr w:type="spellEnd"/>
      <w:r w:rsidRPr="00CE2B0C">
        <w:rPr>
          <w:rFonts w:ascii="Arial" w:hAnsi="Arial" w:cs="Arial"/>
          <w:lang w:val="en-GB"/>
        </w:rPr>
        <w:t>, P. (2025).</w:t>
      </w:r>
      <w:proofErr w:type="gramEnd"/>
      <w:r w:rsidRPr="00CE2B0C">
        <w:rPr>
          <w:rFonts w:ascii="Arial" w:hAnsi="Arial" w:cs="Arial"/>
          <w:lang w:val="en-GB"/>
        </w:rPr>
        <w:t xml:space="preserve"> The Relationship </w:t>
      </w:r>
      <w:proofErr w:type="gramStart"/>
      <w:r w:rsidRPr="00CE2B0C">
        <w:rPr>
          <w:rFonts w:ascii="Arial" w:hAnsi="Arial" w:cs="Arial"/>
          <w:lang w:val="en-GB"/>
        </w:rPr>
        <w:t>Between</w:t>
      </w:r>
      <w:proofErr w:type="gramEnd"/>
      <w:r w:rsidRPr="00CE2B0C">
        <w:rPr>
          <w:rFonts w:ascii="Arial" w:hAnsi="Arial" w:cs="Arial"/>
          <w:lang w:val="en-GB"/>
        </w:rPr>
        <w:t xml:space="preserve"> Exchange Rate Fluctuations and Debt Recovery Efforts in Nigeria. </w:t>
      </w:r>
      <w:proofErr w:type="gramStart"/>
      <w:r w:rsidRPr="00CE2B0C">
        <w:rPr>
          <w:rFonts w:ascii="Arial" w:hAnsi="Arial" w:cs="Arial"/>
          <w:i/>
          <w:iCs/>
          <w:lang w:val="en-GB"/>
        </w:rPr>
        <w:t>International Journal of Finance and Business Management</w:t>
      </w:r>
      <w:r w:rsidRPr="00CE2B0C">
        <w:rPr>
          <w:rFonts w:ascii="Arial" w:hAnsi="Arial" w:cs="Arial"/>
          <w:lang w:val="en-GB"/>
        </w:rPr>
        <w:t>, </w:t>
      </w:r>
      <w:r w:rsidRPr="00CE2B0C">
        <w:rPr>
          <w:rFonts w:ascii="Arial" w:hAnsi="Arial" w:cs="Arial"/>
          <w:i/>
          <w:iCs/>
          <w:lang w:val="en-GB"/>
        </w:rPr>
        <w:t>3</w:t>
      </w:r>
      <w:r w:rsidRPr="00CE2B0C">
        <w:rPr>
          <w:rFonts w:ascii="Arial" w:hAnsi="Arial" w:cs="Arial"/>
          <w:lang w:val="en-GB"/>
        </w:rPr>
        <w:t>(2), pp.123-144.</w:t>
      </w:r>
      <w:proofErr w:type="gramEnd"/>
    </w:p>
    <w:p w14:paraId="3E1EFDB9" w14:textId="77777777" w:rsidR="002A7EF1" w:rsidRPr="00CE2B0C" w:rsidRDefault="002A7EF1" w:rsidP="002A7EF1">
      <w:pPr>
        <w:spacing w:line="360" w:lineRule="auto"/>
        <w:jc w:val="both"/>
        <w:rPr>
          <w:rFonts w:ascii="Arial" w:hAnsi="Arial" w:cs="Arial"/>
          <w:lang w:val="en-GB"/>
        </w:rPr>
      </w:pPr>
      <w:proofErr w:type="spellStart"/>
      <w:r w:rsidRPr="00CE2B0C">
        <w:rPr>
          <w:rFonts w:ascii="Arial" w:hAnsi="Arial" w:cs="Arial"/>
          <w:lang w:val="en-GB"/>
        </w:rPr>
        <w:t>Faloye</w:t>
      </w:r>
      <w:proofErr w:type="spellEnd"/>
      <w:r w:rsidRPr="00CE2B0C">
        <w:rPr>
          <w:rFonts w:ascii="Arial" w:hAnsi="Arial" w:cs="Arial"/>
          <w:lang w:val="en-GB"/>
        </w:rPr>
        <w:t>, A. (2024). </w:t>
      </w:r>
      <w:r w:rsidRPr="00CE2B0C">
        <w:rPr>
          <w:rFonts w:ascii="Arial" w:hAnsi="Arial" w:cs="Arial"/>
          <w:i/>
          <w:iCs/>
          <w:lang w:val="en-GB"/>
        </w:rPr>
        <w:t>PROJECT ANALYSIS AND EVALUATION: Concepts, Methods, and Applications</w:t>
      </w:r>
      <w:r w:rsidRPr="00CE2B0C">
        <w:rPr>
          <w:rFonts w:ascii="Arial" w:hAnsi="Arial" w:cs="Arial"/>
          <w:lang w:val="en-GB"/>
        </w:rPr>
        <w:t xml:space="preserve">. </w:t>
      </w:r>
      <w:proofErr w:type="spellStart"/>
      <w:proofErr w:type="gramStart"/>
      <w:r w:rsidRPr="00CE2B0C">
        <w:rPr>
          <w:rFonts w:ascii="Arial" w:hAnsi="Arial" w:cs="Arial"/>
          <w:lang w:val="en-GB"/>
        </w:rPr>
        <w:t>Faloye</w:t>
      </w:r>
      <w:proofErr w:type="spellEnd"/>
      <w:r w:rsidRPr="00CE2B0C">
        <w:rPr>
          <w:rFonts w:ascii="Arial" w:hAnsi="Arial" w:cs="Arial"/>
          <w:lang w:val="en-GB"/>
        </w:rPr>
        <w:t xml:space="preserve"> </w:t>
      </w:r>
      <w:proofErr w:type="spellStart"/>
      <w:r w:rsidRPr="00CE2B0C">
        <w:rPr>
          <w:rFonts w:ascii="Arial" w:hAnsi="Arial" w:cs="Arial"/>
          <w:lang w:val="en-GB"/>
        </w:rPr>
        <w:t>oyewale</w:t>
      </w:r>
      <w:proofErr w:type="spellEnd"/>
      <w:r w:rsidRPr="00CE2B0C">
        <w:rPr>
          <w:rFonts w:ascii="Arial" w:hAnsi="Arial" w:cs="Arial"/>
          <w:lang w:val="en-GB"/>
        </w:rPr>
        <w:t>.</w:t>
      </w:r>
      <w:proofErr w:type="gramEnd"/>
    </w:p>
    <w:p w14:paraId="45F86A97"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Freppert</w:t>
      </w:r>
      <w:proofErr w:type="spellEnd"/>
      <w:r w:rsidRPr="00CE2B0C">
        <w:rPr>
          <w:rFonts w:ascii="Arial" w:hAnsi="Arial" w:cs="Arial"/>
          <w:lang w:val="en-GB"/>
        </w:rPr>
        <w:t xml:space="preserve">, A., </w:t>
      </w:r>
      <w:proofErr w:type="spellStart"/>
      <w:r w:rsidRPr="00CE2B0C">
        <w:rPr>
          <w:rFonts w:ascii="Arial" w:hAnsi="Arial" w:cs="Arial"/>
          <w:lang w:val="en-GB"/>
        </w:rPr>
        <w:t>Mehn</w:t>
      </w:r>
      <w:proofErr w:type="spellEnd"/>
      <w:r w:rsidRPr="00CE2B0C">
        <w:rPr>
          <w:rFonts w:ascii="Arial" w:hAnsi="Arial" w:cs="Arial"/>
          <w:lang w:val="en-GB"/>
        </w:rPr>
        <w:t xml:space="preserve">, N., Pereira, A. and </w:t>
      </w:r>
      <w:proofErr w:type="spellStart"/>
      <w:r w:rsidRPr="00CE2B0C">
        <w:rPr>
          <w:rFonts w:ascii="Arial" w:hAnsi="Arial" w:cs="Arial"/>
          <w:lang w:val="en-GB"/>
        </w:rPr>
        <w:t>Teixeira</w:t>
      </w:r>
      <w:proofErr w:type="spellEnd"/>
      <w:r w:rsidRPr="00CE2B0C">
        <w:rPr>
          <w:rFonts w:ascii="Arial" w:hAnsi="Arial" w:cs="Arial"/>
          <w:lang w:val="en-GB"/>
        </w:rPr>
        <w:t>, T. (2024).</w:t>
      </w:r>
      <w:proofErr w:type="gramEnd"/>
      <w:r w:rsidRPr="00CE2B0C">
        <w:rPr>
          <w:rFonts w:ascii="Arial" w:hAnsi="Arial" w:cs="Arial"/>
          <w:lang w:val="en-GB"/>
        </w:rPr>
        <w:t xml:space="preserve"> Volkswagen: Organizational Evolution, Strategic Development and Leadership Dynamics. </w:t>
      </w:r>
      <w:proofErr w:type="gramStart"/>
      <w:r w:rsidRPr="00CE2B0C">
        <w:rPr>
          <w:rFonts w:ascii="Arial" w:hAnsi="Arial" w:cs="Arial"/>
          <w:i/>
          <w:iCs/>
          <w:lang w:val="en-GB"/>
        </w:rPr>
        <w:t>Educational Research (IJMCER)</w:t>
      </w:r>
      <w:r w:rsidRPr="00CE2B0C">
        <w:rPr>
          <w:rFonts w:ascii="Arial" w:hAnsi="Arial" w:cs="Arial"/>
          <w:lang w:val="en-GB"/>
        </w:rPr>
        <w:t>, </w:t>
      </w:r>
      <w:r w:rsidRPr="00CE2B0C">
        <w:rPr>
          <w:rFonts w:ascii="Arial" w:hAnsi="Arial" w:cs="Arial"/>
          <w:i/>
          <w:iCs/>
          <w:lang w:val="en-GB"/>
        </w:rPr>
        <w:t>6</w:t>
      </w:r>
      <w:r w:rsidRPr="00CE2B0C">
        <w:rPr>
          <w:rFonts w:ascii="Arial" w:hAnsi="Arial" w:cs="Arial"/>
          <w:lang w:val="en-GB"/>
        </w:rPr>
        <w:t>(2), pp.173-180.</w:t>
      </w:r>
      <w:proofErr w:type="gramEnd"/>
    </w:p>
    <w:p w14:paraId="661DF3A0"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lastRenderedPageBreak/>
        <w:t>Gatti</w:t>
      </w:r>
      <w:proofErr w:type="spellEnd"/>
      <w:r w:rsidRPr="00CE2B0C">
        <w:rPr>
          <w:rFonts w:ascii="Arial" w:hAnsi="Arial" w:cs="Arial"/>
          <w:lang w:val="en-GB"/>
        </w:rPr>
        <w:t>, S. (2023).</w:t>
      </w:r>
      <w:proofErr w:type="gramEnd"/>
      <w:r w:rsidRPr="00CE2B0C">
        <w:rPr>
          <w:rFonts w:ascii="Arial" w:hAnsi="Arial" w:cs="Arial"/>
          <w:lang w:val="en-GB"/>
        </w:rPr>
        <w:t> </w:t>
      </w:r>
      <w:r w:rsidRPr="00CE2B0C">
        <w:rPr>
          <w:rFonts w:ascii="Arial" w:hAnsi="Arial" w:cs="Arial"/>
          <w:i/>
          <w:iCs/>
          <w:lang w:val="en-GB"/>
        </w:rPr>
        <w:t>Project finance in theory and practice: designing, structuring, and financing private and public projects</w:t>
      </w:r>
      <w:r w:rsidRPr="00CE2B0C">
        <w:rPr>
          <w:rFonts w:ascii="Arial" w:hAnsi="Arial" w:cs="Arial"/>
          <w:lang w:val="en-GB"/>
        </w:rPr>
        <w:t xml:space="preserve">. </w:t>
      </w:r>
      <w:proofErr w:type="gramStart"/>
      <w:r w:rsidRPr="00CE2B0C">
        <w:rPr>
          <w:rFonts w:ascii="Arial" w:hAnsi="Arial" w:cs="Arial"/>
          <w:lang w:val="en-GB"/>
        </w:rPr>
        <w:t>Elsevier.</w:t>
      </w:r>
      <w:proofErr w:type="gramEnd"/>
    </w:p>
    <w:p w14:paraId="261839FC" w14:textId="77777777" w:rsidR="002A7EF1" w:rsidRPr="00CE2B0C" w:rsidRDefault="002A7EF1" w:rsidP="002A7EF1">
      <w:pPr>
        <w:spacing w:line="360" w:lineRule="auto"/>
        <w:jc w:val="both"/>
        <w:rPr>
          <w:rFonts w:ascii="Arial" w:hAnsi="Arial" w:cs="Arial"/>
          <w:lang w:val="en-GB"/>
        </w:rPr>
      </w:pPr>
      <w:proofErr w:type="spellStart"/>
      <w:r w:rsidRPr="00CE2B0C">
        <w:rPr>
          <w:rFonts w:ascii="Arial" w:hAnsi="Arial" w:cs="Arial"/>
          <w:lang w:val="en-GB"/>
        </w:rPr>
        <w:t>Goel</w:t>
      </w:r>
      <w:proofErr w:type="spellEnd"/>
      <w:r w:rsidRPr="00CE2B0C">
        <w:rPr>
          <w:rFonts w:ascii="Arial" w:hAnsi="Arial" w:cs="Arial"/>
          <w:lang w:val="en-GB"/>
        </w:rPr>
        <w:t xml:space="preserve">, G. (2024). </w:t>
      </w:r>
      <w:proofErr w:type="gramStart"/>
      <w:r w:rsidRPr="00CE2B0C">
        <w:rPr>
          <w:rFonts w:ascii="Arial" w:hAnsi="Arial" w:cs="Arial"/>
          <w:lang w:val="en-GB"/>
        </w:rPr>
        <w:t>Ethical and Social Responsibility in Procurement for Electric Vehicle Components.</w:t>
      </w:r>
      <w:proofErr w:type="gramEnd"/>
      <w:r w:rsidRPr="00CE2B0C">
        <w:rPr>
          <w:rFonts w:ascii="Arial" w:hAnsi="Arial" w:cs="Arial"/>
          <w:lang w:val="en-GB"/>
        </w:rPr>
        <w:t> </w:t>
      </w:r>
      <w:proofErr w:type="gramStart"/>
      <w:r w:rsidRPr="00CE2B0C">
        <w:rPr>
          <w:rFonts w:ascii="Arial" w:hAnsi="Arial" w:cs="Arial"/>
          <w:i/>
          <w:iCs/>
          <w:lang w:val="en-GB"/>
        </w:rPr>
        <w:t>International Journal of Sustainability and Innovation in Engineering</w:t>
      </w:r>
      <w:r w:rsidRPr="00CE2B0C">
        <w:rPr>
          <w:rFonts w:ascii="Arial" w:hAnsi="Arial" w:cs="Arial"/>
          <w:lang w:val="en-GB"/>
        </w:rPr>
        <w:t>, </w:t>
      </w:r>
      <w:r w:rsidRPr="00CE2B0C">
        <w:rPr>
          <w:rFonts w:ascii="Arial" w:hAnsi="Arial" w:cs="Arial"/>
          <w:i/>
          <w:iCs/>
          <w:lang w:val="en-GB"/>
        </w:rPr>
        <w:t>2</w:t>
      </w:r>
      <w:r w:rsidRPr="00CE2B0C">
        <w:rPr>
          <w:rFonts w:ascii="Arial" w:hAnsi="Arial" w:cs="Arial"/>
          <w:lang w:val="en-GB"/>
        </w:rPr>
        <w:t>(1).</w:t>
      </w:r>
      <w:proofErr w:type="gramEnd"/>
    </w:p>
    <w:p w14:paraId="0A7551DD" w14:textId="77777777" w:rsidR="002A7EF1" w:rsidRPr="00CE2B0C" w:rsidRDefault="002A7EF1" w:rsidP="002A7EF1">
      <w:pPr>
        <w:spacing w:line="360" w:lineRule="auto"/>
        <w:jc w:val="both"/>
        <w:rPr>
          <w:rFonts w:ascii="Arial" w:hAnsi="Arial" w:cs="Arial"/>
          <w:lang w:val="en-GB"/>
        </w:rPr>
      </w:pPr>
      <w:proofErr w:type="gramStart"/>
      <w:r w:rsidRPr="00CE2B0C">
        <w:rPr>
          <w:rFonts w:ascii="Arial" w:hAnsi="Arial" w:cs="Arial"/>
          <w:lang w:val="en-GB"/>
        </w:rPr>
        <w:t xml:space="preserve">Kovach, J.J., </w:t>
      </w:r>
      <w:proofErr w:type="spellStart"/>
      <w:r w:rsidRPr="00CE2B0C">
        <w:rPr>
          <w:rFonts w:ascii="Arial" w:hAnsi="Arial" w:cs="Arial"/>
          <w:lang w:val="en-GB"/>
        </w:rPr>
        <w:t>Swink</w:t>
      </w:r>
      <w:proofErr w:type="spellEnd"/>
      <w:r w:rsidRPr="00CE2B0C">
        <w:rPr>
          <w:rFonts w:ascii="Arial" w:hAnsi="Arial" w:cs="Arial"/>
          <w:lang w:val="en-GB"/>
        </w:rPr>
        <w:t>, M. and Rodriguez, M. (2023).</w:t>
      </w:r>
      <w:proofErr w:type="gramEnd"/>
      <w:r w:rsidRPr="00CE2B0C">
        <w:rPr>
          <w:rFonts w:ascii="Arial" w:hAnsi="Arial" w:cs="Arial"/>
          <w:lang w:val="en-GB"/>
        </w:rPr>
        <w:t xml:space="preserve"> </w:t>
      </w:r>
      <w:proofErr w:type="gramStart"/>
      <w:r w:rsidRPr="00CE2B0C">
        <w:rPr>
          <w:rFonts w:ascii="Arial" w:hAnsi="Arial" w:cs="Arial"/>
          <w:lang w:val="en-GB"/>
        </w:rPr>
        <w:t>Delaying supplier payments to increase buyer profits.</w:t>
      </w:r>
      <w:proofErr w:type="gramEnd"/>
      <w:r w:rsidRPr="00CE2B0C">
        <w:rPr>
          <w:rFonts w:ascii="Arial" w:hAnsi="Arial" w:cs="Arial"/>
          <w:lang w:val="en-GB"/>
        </w:rPr>
        <w:t> </w:t>
      </w:r>
      <w:proofErr w:type="gramStart"/>
      <w:r w:rsidRPr="00CE2B0C">
        <w:rPr>
          <w:rFonts w:ascii="Arial" w:hAnsi="Arial" w:cs="Arial"/>
          <w:i/>
          <w:iCs/>
          <w:lang w:val="en-GB"/>
        </w:rPr>
        <w:t>Journal of Supply Chain Management</w:t>
      </w:r>
      <w:r w:rsidRPr="00CE2B0C">
        <w:rPr>
          <w:rFonts w:ascii="Arial" w:hAnsi="Arial" w:cs="Arial"/>
          <w:lang w:val="en-GB"/>
        </w:rPr>
        <w:t>, </w:t>
      </w:r>
      <w:r w:rsidRPr="00CE2B0C">
        <w:rPr>
          <w:rFonts w:ascii="Arial" w:hAnsi="Arial" w:cs="Arial"/>
          <w:i/>
          <w:iCs/>
          <w:lang w:val="en-GB"/>
        </w:rPr>
        <w:t>59</w:t>
      </w:r>
      <w:r w:rsidRPr="00CE2B0C">
        <w:rPr>
          <w:rFonts w:ascii="Arial" w:hAnsi="Arial" w:cs="Arial"/>
          <w:lang w:val="en-GB"/>
        </w:rPr>
        <w:t>(1), pp.26-47.</w:t>
      </w:r>
      <w:proofErr w:type="gramEnd"/>
    </w:p>
    <w:p w14:paraId="51D2528B"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Lidvall</w:t>
      </w:r>
      <w:proofErr w:type="spellEnd"/>
      <w:r w:rsidRPr="00CE2B0C">
        <w:rPr>
          <w:rFonts w:ascii="Arial" w:hAnsi="Arial" w:cs="Arial"/>
          <w:lang w:val="en-GB"/>
        </w:rPr>
        <w:t xml:space="preserve">, L. and </w:t>
      </w:r>
      <w:proofErr w:type="spellStart"/>
      <w:r w:rsidRPr="00CE2B0C">
        <w:rPr>
          <w:rFonts w:ascii="Arial" w:hAnsi="Arial" w:cs="Arial"/>
          <w:lang w:val="en-GB"/>
        </w:rPr>
        <w:t>Rafstedt</w:t>
      </w:r>
      <w:proofErr w:type="spellEnd"/>
      <w:r w:rsidRPr="00CE2B0C">
        <w:rPr>
          <w:rFonts w:ascii="Arial" w:hAnsi="Arial" w:cs="Arial"/>
          <w:lang w:val="en-GB"/>
        </w:rPr>
        <w:t>, V. (2023).</w:t>
      </w:r>
      <w:proofErr w:type="gramEnd"/>
      <w:r w:rsidRPr="00CE2B0C">
        <w:rPr>
          <w:rFonts w:ascii="Arial" w:hAnsi="Arial" w:cs="Arial"/>
          <w:lang w:val="en-GB"/>
        </w:rPr>
        <w:t xml:space="preserve"> In Pursuit of Legitimacy: A Decade of Non-Financial Reporting in the European Automotive Industry.</w:t>
      </w:r>
    </w:p>
    <w:p w14:paraId="0CB56E60"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Mensah</w:t>
      </w:r>
      <w:proofErr w:type="spellEnd"/>
      <w:r w:rsidRPr="00CE2B0C">
        <w:rPr>
          <w:rFonts w:ascii="Arial" w:hAnsi="Arial" w:cs="Arial"/>
          <w:lang w:val="en-GB"/>
        </w:rPr>
        <w:t xml:space="preserve">, L., </w:t>
      </w:r>
      <w:proofErr w:type="spellStart"/>
      <w:r w:rsidRPr="00CE2B0C">
        <w:rPr>
          <w:rFonts w:ascii="Arial" w:hAnsi="Arial" w:cs="Arial"/>
          <w:lang w:val="en-GB"/>
        </w:rPr>
        <w:t>Arhinful</w:t>
      </w:r>
      <w:proofErr w:type="spellEnd"/>
      <w:r w:rsidRPr="00CE2B0C">
        <w:rPr>
          <w:rFonts w:ascii="Arial" w:hAnsi="Arial" w:cs="Arial"/>
          <w:lang w:val="en-GB"/>
        </w:rPr>
        <w:t xml:space="preserve">, R. and </w:t>
      </w:r>
      <w:proofErr w:type="spellStart"/>
      <w:r w:rsidRPr="00CE2B0C">
        <w:rPr>
          <w:rFonts w:ascii="Arial" w:hAnsi="Arial" w:cs="Arial"/>
          <w:lang w:val="en-GB"/>
        </w:rPr>
        <w:t>Owusu-Sarfo</w:t>
      </w:r>
      <w:proofErr w:type="spellEnd"/>
      <w:r w:rsidRPr="00CE2B0C">
        <w:rPr>
          <w:rFonts w:ascii="Arial" w:hAnsi="Arial" w:cs="Arial"/>
          <w:lang w:val="en-GB"/>
        </w:rPr>
        <w:t>, J.S. (2025).</w:t>
      </w:r>
      <w:proofErr w:type="gramEnd"/>
      <w:r w:rsidRPr="00CE2B0C">
        <w:rPr>
          <w:rFonts w:ascii="Arial" w:hAnsi="Arial" w:cs="Arial"/>
          <w:lang w:val="en-GB"/>
        </w:rPr>
        <w:t xml:space="preserve"> </w:t>
      </w:r>
      <w:proofErr w:type="gramStart"/>
      <w:r w:rsidRPr="00CE2B0C">
        <w:rPr>
          <w:rFonts w:ascii="Arial" w:hAnsi="Arial" w:cs="Arial"/>
          <w:lang w:val="en-GB"/>
        </w:rPr>
        <w:t>Enhancing cash flow management in Ghanaian financial institutions through effective corporate governance practices.</w:t>
      </w:r>
      <w:proofErr w:type="gramEnd"/>
      <w:r w:rsidRPr="00CE2B0C">
        <w:rPr>
          <w:rFonts w:ascii="Arial" w:hAnsi="Arial" w:cs="Arial"/>
          <w:lang w:val="en-GB"/>
        </w:rPr>
        <w:t> </w:t>
      </w:r>
      <w:r w:rsidRPr="00CE2B0C">
        <w:rPr>
          <w:rFonts w:ascii="Arial" w:hAnsi="Arial" w:cs="Arial"/>
          <w:i/>
          <w:iCs/>
          <w:lang w:val="en-GB"/>
        </w:rPr>
        <w:t>Corporate Governance: The International Journal of Business in Society</w:t>
      </w:r>
      <w:r w:rsidRPr="00CE2B0C">
        <w:rPr>
          <w:rFonts w:ascii="Arial" w:hAnsi="Arial" w:cs="Arial"/>
          <w:lang w:val="en-GB"/>
        </w:rPr>
        <w:t>, </w:t>
      </w:r>
      <w:r w:rsidRPr="00CE2B0C">
        <w:rPr>
          <w:rFonts w:ascii="Arial" w:hAnsi="Arial" w:cs="Arial"/>
          <w:i/>
          <w:iCs/>
          <w:lang w:val="en-GB"/>
        </w:rPr>
        <w:t>25</w:t>
      </w:r>
      <w:r w:rsidRPr="00CE2B0C">
        <w:rPr>
          <w:rFonts w:ascii="Arial" w:hAnsi="Arial" w:cs="Arial"/>
          <w:lang w:val="en-GB"/>
        </w:rPr>
        <w:t>(4), pp.707-734.</w:t>
      </w:r>
    </w:p>
    <w:p w14:paraId="2757FE1E"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Potharla</w:t>
      </w:r>
      <w:proofErr w:type="spellEnd"/>
      <w:r w:rsidRPr="00CE2B0C">
        <w:rPr>
          <w:rFonts w:ascii="Arial" w:hAnsi="Arial" w:cs="Arial"/>
          <w:lang w:val="en-GB"/>
        </w:rPr>
        <w:t>, S. (2025).</w:t>
      </w:r>
      <w:proofErr w:type="gramEnd"/>
      <w:r w:rsidRPr="00CE2B0C">
        <w:rPr>
          <w:rFonts w:ascii="Arial" w:hAnsi="Arial" w:cs="Arial"/>
          <w:lang w:val="en-GB"/>
        </w:rPr>
        <w:t xml:space="preserve"> From Debt to Divestiture: How Indian and Global Firms Reshaped through Corporate Restructuring. </w:t>
      </w:r>
      <w:proofErr w:type="gramStart"/>
      <w:r w:rsidRPr="00CE2B0C">
        <w:rPr>
          <w:rFonts w:ascii="Arial" w:hAnsi="Arial" w:cs="Arial"/>
          <w:i/>
          <w:iCs/>
          <w:lang w:val="en-GB"/>
        </w:rPr>
        <w:t>Available at SSRN 5348941</w:t>
      </w:r>
      <w:r w:rsidRPr="00CE2B0C">
        <w:rPr>
          <w:rFonts w:ascii="Arial" w:hAnsi="Arial" w:cs="Arial"/>
          <w:lang w:val="en-GB"/>
        </w:rPr>
        <w:t>.</w:t>
      </w:r>
      <w:proofErr w:type="gramEnd"/>
    </w:p>
    <w:p w14:paraId="75BC82F0" w14:textId="77777777" w:rsidR="002A7EF1" w:rsidRPr="00CE2B0C" w:rsidRDefault="002A7EF1" w:rsidP="002A7EF1">
      <w:pPr>
        <w:spacing w:line="360" w:lineRule="auto"/>
        <w:jc w:val="both"/>
        <w:rPr>
          <w:rFonts w:ascii="Arial" w:hAnsi="Arial" w:cs="Arial"/>
          <w:lang w:val="en-GB"/>
        </w:rPr>
      </w:pPr>
      <w:proofErr w:type="spellStart"/>
      <w:r w:rsidRPr="00CE2B0C">
        <w:rPr>
          <w:rFonts w:ascii="Arial" w:hAnsi="Arial" w:cs="Arial"/>
          <w:lang w:val="en-GB"/>
        </w:rPr>
        <w:t>Preckel</w:t>
      </w:r>
      <w:proofErr w:type="spellEnd"/>
      <w:r w:rsidRPr="00CE2B0C">
        <w:rPr>
          <w:rFonts w:ascii="Arial" w:hAnsi="Arial" w:cs="Arial"/>
          <w:lang w:val="en-GB"/>
        </w:rPr>
        <w:t>, O. (2021). </w:t>
      </w:r>
      <w:r w:rsidRPr="00CE2B0C">
        <w:rPr>
          <w:rFonts w:ascii="Arial" w:hAnsi="Arial" w:cs="Arial"/>
          <w:i/>
          <w:iCs/>
          <w:lang w:val="en-GB"/>
        </w:rPr>
        <w:t>How can Companies Increase their Profitability by Effectively Managing their Working Capital?-Evidence from the Automobile Manufacturing Industry</w:t>
      </w:r>
      <w:r w:rsidRPr="00CE2B0C">
        <w:rPr>
          <w:rFonts w:ascii="Arial" w:hAnsi="Arial" w:cs="Arial"/>
          <w:lang w:val="en-GB"/>
        </w:rPr>
        <w:t xml:space="preserve"> (Master's thesis, </w:t>
      </w:r>
      <w:proofErr w:type="spellStart"/>
      <w:r w:rsidRPr="00CE2B0C">
        <w:rPr>
          <w:rFonts w:ascii="Arial" w:hAnsi="Arial" w:cs="Arial"/>
          <w:lang w:val="en-GB"/>
        </w:rPr>
        <w:t>Universidade</w:t>
      </w:r>
      <w:proofErr w:type="spellEnd"/>
      <w:r w:rsidRPr="00CE2B0C">
        <w:rPr>
          <w:rFonts w:ascii="Arial" w:hAnsi="Arial" w:cs="Arial"/>
          <w:lang w:val="en-GB"/>
        </w:rPr>
        <w:t xml:space="preserve"> NOVA de </w:t>
      </w:r>
      <w:proofErr w:type="spellStart"/>
      <w:r w:rsidRPr="00CE2B0C">
        <w:rPr>
          <w:rFonts w:ascii="Arial" w:hAnsi="Arial" w:cs="Arial"/>
          <w:lang w:val="en-GB"/>
        </w:rPr>
        <w:t>Lisboa</w:t>
      </w:r>
      <w:proofErr w:type="spellEnd"/>
      <w:r w:rsidRPr="00CE2B0C">
        <w:rPr>
          <w:rFonts w:ascii="Arial" w:hAnsi="Arial" w:cs="Arial"/>
          <w:lang w:val="en-GB"/>
        </w:rPr>
        <w:t xml:space="preserve"> (Portugal)).</w:t>
      </w:r>
    </w:p>
    <w:p w14:paraId="5BF81A4F"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Qureshi</w:t>
      </w:r>
      <w:proofErr w:type="spellEnd"/>
      <w:r w:rsidRPr="00CE2B0C">
        <w:rPr>
          <w:rFonts w:ascii="Arial" w:hAnsi="Arial" w:cs="Arial"/>
          <w:lang w:val="en-GB"/>
        </w:rPr>
        <w:t>, A.M. and Khan, M.K. (2025).</w:t>
      </w:r>
      <w:proofErr w:type="gramEnd"/>
      <w:r w:rsidRPr="00CE2B0C">
        <w:rPr>
          <w:rFonts w:ascii="Arial" w:hAnsi="Arial" w:cs="Arial"/>
          <w:lang w:val="en-GB"/>
        </w:rPr>
        <w:t xml:space="preserve"> The Price of Misconduct: Volkswagen's Financial Health and Responsible Business Practices. </w:t>
      </w:r>
      <w:proofErr w:type="gramStart"/>
      <w:r w:rsidRPr="00CE2B0C">
        <w:rPr>
          <w:rFonts w:ascii="Arial" w:hAnsi="Arial" w:cs="Arial"/>
          <w:i/>
          <w:iCs/>
          <w:lang w:val="en-GB"/>
        </w:rPr>
        <w:t>International Journal of Experiential Learning &amp; Case Studies</w:t>
      </w:r>
      <w:r w:rsidRPr="00CE2B0C">
        <w:rPr>
          <w:rFonts w:ascii="Arial" w:hAnsi="Arial" w:cs="Arial"/>
          <w:lang w:val="en-GB"/>
        </w:rPr>
        <w:t>, </w:t>
      </w:r>
      <w:r w:rsidRPr="00CE2B0C">
        <w:rPr>
          <w:rFonts w:ascii="Arial" w:hAnsi="Arial" w:cs="Arial"/>
          <w:i/>
          <w:iCs/>
          <w:lang w:val="en-GB"/>
        </w:rPr>
        <w:t>10</w:t>
      </w:r>
      <w:r w:rsidRPr="00CE2B0C">
        <w:rPr>
          <w:rFonts w:ascii="Arial" w:hAnsi="Arial" w:cs="Arial"/>
          <w:lang w:val="en-GB"/>
        </w:rPr>
        <w:t>(2), pp.198-221.</w:t>
      </w:r>
      <w:proofErr w:type="gramEnd"/>
    </w:p>
    <w:p w14:paraId="581642E8" w14:textId="77777777" w:rsidR="002A7EF1" w:rsidRPr="00CE2B0C" w:rsidRDefault="002A7EF1" w:rsidP="002A7EF1">
      <w:pPr>
        <w:spacing w:line="360" w:lineRule="auto"/>
        <w:jc w:val="both"/>
        <w:rPr>
          <w:rFonts w:ascii="Arial" w:hAnsi="Arial" w:cs="Arial"/>
          <w:lang w:val="en-GB"/>
        </w:rPr>
      </w:pPr>
      <w:r w:rsidRPr="00CE2B0C">
        <w:rPr>
          <w:rFonts w:ascii="Arial" w:hAnsi="Arial" w:cs="Arial"/>
          <w:lang w:val="en-GB"/>
        </w:rPr>
        <w:t>Ray, K.G. (2022). </w:t>
      </w:r>
      <w:r w:rsidRPr="00CE2B0C">
        <w:rPr>
          <w:rFonts w:ascii="Arial" w:hAnsi="Arial" w:cs="Arial"/>
          <w:i/>
          <w:iCs/>
          <w:lang w:val="en-GB"/>
        </w:rPr>
        <w:t>Mergers and acquisitions: Strategy, valuation and integration</w:t>
      </w:r>
      <w:r w:rsidRPr="00CE2B0C">
        <w:rPr>
          <w:rFonts w:ascii="Arial" w:hAnsi="Arial" w:cs="Arial"/>
          <w:lang w:val="en-GB"/>
        </w:rPr>
        <w:t xml:space="preserve">. PHI Learning </w:t>
      </w:r>
      <w:proofErr w:type="spellStart"/>
      <w:r w:rsidRPr="00CE2B0C">
        <w:rPr>
          <w:rFonts w:ascii="Arial" w:hAnsi="Arial" w:cs="Arial"/>
          <w:lang w:val="en-GB"/>
        </w:rPr>
        <w:t>Pvt.</w:t>
      </w:r>
      <w:proofErr w:type="spellEnd"/>
      <w:r w:rsidRPr="00CE2B0C">
        <w:rPr>
          <w:rFonts w:ascii="Arial" w:hAnsi="Arial" w:cs="Arial"/>
          <w:lang w:val="en-GB"/>
        </w:rPr>
        <w:t xml:space="preserve"> </w:t>
      </w:r>
      <w:proofErr w:type="gramStart"/>
      <w:r w:rsidRPr="00CE2B0C">
        <w:rPr>
          <w:rFonts w:ascii="Arial" w:hAnsi="Arial" w:cs="Arial"/>
          <w:lang w:val="en-GB"/>
        </w:rPr>
        <w:t>Ltd..</w:t>
      </w:r>
      <w:proofErr w:type="gramEnd"/>
    </w:p>
    <w:p w14:paraId="6911A1EF"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Rekker</w:t>
      </w:r>
      <w:proofErr w:type="spellEnd"/>
      <w:r w:rsidRPr="00CE2B0C">
        <w:rPr>
          <w:rFonts w:ascii="Arial" w:hAnsi="Arial" w:cs="Arial"/>
          <w:lang w:val="en-GB"/>
        </w:rPr>
        <w:t>, S. (2024).</w:t>
      </w:r>
      <w:proofErr w:type="gramEnd"/>
      <w:r w:rsidRPr="00CE2B0C">
        <w:rPr>
          <w:rFonts w:ascii="Arial" w:hAnsi="Arial" w:cs="Arial"/>
          <w:lang w:val="en-GB"/>
        </w:rPr>
        <w:t xml:space="preserve"> </w:t>
      </w:r>
      <w:proofErr w:type="gramStart"/>
      <w:r w:rsidRPr="00CE2B0C">
        <w:rPr>
          <w:rFonts w:ascii="Arial" w:hAnsi="Arial" w:cs="Arial"/>
          <w:lang w:val="en-GB"/>
        </w:rPr>
        <w:t>NPV–Relevant Cash Flows.</w:t>
      </w:r>
      <w:proofErr w:type="gramEnd"/>
      <w:r w:rsidRPr="00CE2B0C">
        <w:rPr>
          <w:rFonts w:ascii="Arial" w:hAnsi="Arial" w:cs="Arial"/>
          <w:lang w:val="en-GB"/>
        </w:rPr>
        <w:t> </w:t>
      </w:r>
      <w:r w:rsidRPr="00CE2B0C">
        <w:rPr>
          <w:rFonts w:ascii="Arial" w:hAnsi="Arial" w:cs="Arial"/>
          <w:i/>
          <w:iCs/>
          <w:lang w:val="en-GB"/>
        </w:rPr>
        <w:t>Introduction to Financial Management: A Contemporary Approach</w:t>
      </w:r>
      <w:r w:rsidRPr="00CE2B0C">
        <w:rPr>
          <w:rFonts w:ascii="Arial" w:hAnsi="Arial" w:cs="Arial"/>
          <w:lang w:val="en-GB"/>
        </w:rPr>
        <w:t>.</w:t>
      </w:r>
    </w:p>
    <w:p w14:paraId="647E3DFD" w14:textId="77777777" w:rsidR="002A7EF1" w:rsidRPr="00CE2B0C" w:rsidRDefault="002A7EF1" w:rsidP="002A7EF1">
      <w:pPr>
        <w:spacing w:line="360" w:lineRule="auto"/>
        <w:jc w:val="both"/>
        <w:rPr>
          <w:rFonts w:ascii="Arial" w:hAnsi="Arial" w:cs="Arial"/>
          <w:lang w:val="en-GB"/>
        </w:rPr>
      </w:pPr>
      <w:proofErr w:type="spellStart"/>
      <w:r w:rsidRPr="00CE2B0C">
        <w:rPr>
          <w:rFonts w:ascii="Arial" w:hAnsi="Arial" w:cs="Arial"/>
          <w:lang w:val="en-GB"/>
        </w:rPr>
        <w:t>Rusdiyanto</w:t>
      </w:r>
      <w:proofErr w:type="spellEnd"/>
      <w:r w:rsidRPr="00CE2B0C">
        <w:rPr>
          <w:rFonts w:ascii="Arial" w:hAnsi="Arial" w:cs="Arial"/>
          <w:lang w:val="en-GB"/>
        </w:rPr>
        <w:t xml:space="preserve">; </w:t>
      </w:r>
      <w:proofErr w:type="spellStart"/>
      <w:r w:rsidRPr="00CE2B0C">
        <w:rPr>
          <w:rFonts w:ascii="Arial" w:hAnsi="Arial" w:cs="Arial"/>
          <w:lang w:val="en-GB"/>
        </w:rPr>
        <w:t>Hidayat</w:t>
      </w:r>
      <w:proofErr w:type="spellEnd"/>
      <w:r w:rsidRPr="00CE2B0C">
        <w:rPr>
          <w:rFonts w:ascii="Arial" w:hAnsi="Arial" w:cs="Arial"/>
          <w:lang w:val="en-GB"/>
        </w:rPr>
        <w:t xml:space="preserve">, </w:t>
      </w:r>
      <w:proofErr w:type="spellStart"/>
      <w:r w:rsidRPr="00CE2B0C">
        <w:rPr>
          <w:rFonts w:ascii="Arial" w:hAnsi="Arial" w:cs="Arial"/>
          <w:lang w:val="en-GB"/>
        </w:rPr>
        <w:t>Widi</w:t>
      </w:r>
      <w:proofErr w:type="spellEnd"/>
      <w:r w:rsidRPr="00CE2B0C">
        <w:rPr>
          <w:rFonts w:ascii="Arial" w:hAnsi="Arial" w:cs="Arial"/>
          <w:lang w:val="en-GB"/>
        </w:rPr>
        <w:t xml:space="preserve">; </w:t>
      </w:r>
      <w:proofErr w:type="spellStart"/>
      <w:r w:rsidRPr="00CE2B0C">
        <w:rPr>
          <w:rFonts w:ascii="Arial" w:hAnsi="Arial" w:cs="Arial"/>
          <w:lang w:val="en-GB"/>
        </w:rPr>
        <w:t>Bahari</w:t>
      </w:r>
      <w:proofErr w:type="spellEnd"/>
      <w:r w:rsidRPr="00CE2B0C">
        <w:rPr>
          <w:rFonts w:ascii="Arial" w:hAnsi="Arial" w:cs="Arial"/>
          <w:lang w:val="en-GB"/>
        </w:rPr>
        <w:t xml:space="preserve">, </w:t>
      </w:r>
      <w:proofErr w:type="spellStart"/>
      <w:r w:rsidRPr="00CE2B0C">
        <w:rPr>
          <w:rFonts w:ascii="Arial" w:hAnsi="Arial" w:cs="Arial"/>
          <w:lang w:val="en-GB"/>
        </w:rPr>
        <w:t>Chabib</w:t>
      </w:r>
      <w:proofErr w:type="spellEnd"/>
      <w:r w:rsidRPr="00CE2B0C">
        <w:rPr>
          <w:rFonts w:ascii="Arial" w:hAnsi="Arial" w:cs="Arial"/>
          <w:lang w:val="en-GB"/>
        </w:rPr>
        <w:t xml:space="preserve">; </w:t>
      </w:r>
      <w:proofErr w:type="spellStart"/>
      <w:r w:rsidRPr="00CE2B0C">
        <w:rPr>
          <w:rFonts w:ascii="Arial" w:hAnsi="Arial" w:cs="Arial"/>
          <w:lang w:val="en-GB"/>
        </w:rPr>
        <w:t>Susetyorini</w:t>
      </w:r>
      <w:proofErr w:type="spellEnd"/>
      <w:r w:rsidRPr="00CE2B0C">
        <w:rPr>
          <w:rFonts w:ascii="Arial" w:hAnsi="Arial" w:cs="Arial"/>
          <w:lang w:val="en-GB"/>
        </w:rPr>
        <w:t xml:space="preserve">; </w:t>
      </w:r>
      <w:proofErr w:type="spellStart"/>
      <w:r w:rsidRPr="00CE2B0C">
        <w:rPr>
          <w:rFonts w:ascii="Arial" w:hAnsi="Arial" w:cs="Arial"/>
          <w:lang w:val="en-GB"/>
        </w:rPr>
        <w:t>Elan</w:t>
      </w:r>
      <w:proofErr w:type="spellEnd"/>
      <w:r w:rsidRPr="00CE2B0C">
        <w:rPr>
          <w:rFonts w:ascii="Arial" w:hAnsi="Arial" w:cs="Arial"/>
          <w:lang w:val="en-GB"/>
        </w:rPr>
        <w:t xml:space="preserve">, </w:t>
      </w:r>
      <w:proofErr w:type="spellStart"/>
      <w:r w:rsidRPr="00CE2B0C">
        <w:rPr>
          <w:rFonts w:ascii="Arial" w:hAnsi="Arial" w:cs="Arial"/>
          <w:lang w:val="en-GB"/>
        </w:rPr>
        <w:t>Umi</w:t>
      </w:r>
      <w:proofErr w:type="spellEnd"/>
      <w:r w:rsidRPr="00CE2B0C">
        <w:rPr>
          <w:rFonts w:ascii="Arial" w:hAnsi="Arial" w:cs="Arial"/>
          <w:lang w:val="en-GB"/>
        </w:rPr>
        <w:t xml:space="preserve">; </w:t>
      </w:r>
      <w:proofErr w:type="spellStart"/>
      <w:r w:rsidRPr="00CE2B0C">
        <w:rPr>
          <w:rFonts w:ascii="Arial" w:hAnsi="Arial" w:cs="Arial"/>
          <w:lang w:val="en-GB"/>
        </w:rPr>
        <w:t>Indrawati</w:t>
      </w:r>
      <w:proofErr w:type="spellEnd"/>
      <w:r w:rsidRPr="00CE2B0C">
        <w:rPr>
          <w:rFonts w:ascii="Arial" w:hAnsi="Arial" w:cs="Arial"/>
          <w:lang w:val="en-GB"/>
        </w:rPr>
        <w:t xml:space="preserve">, Mei; </w:t>
      </w:r>
      <w:proofErr w:type="spellStart"/>
      <w:r w:rsidRPr="00CE2B0C">
        <w:rPr>
          <w:rFonts w:ascii="Arial" w:hAnsi="Arial" w:cs="Arial"/>
          <w:lang w:val="en-GB"/>
        </w:rPr>
        <w:t>Panglipursari</w:t>
      </w:r>
      <w:proofErr w:type="spellEnd"/>
      <w:r w:rsidRPr="00CE2B0C">
        <w:rPr>
          <w:rFonts w:ascii="Arial" w:hAnsi="Arial" w:cs="Arial"/>
          <w:lang w:val="en-GB"/>
        </w:rPr>
        <w:t xml:space="preserve">, </w:t>
      </w:r>
      <w:proofErr w:type="spellStart"/>
      <w:r w:rsidRPr="00CE2B0C">
        <w:rPr>
          <w:rFonts w:ascii="Arial" w:hAnsi="Arial" w:cs="Arial"/>
          <w:lang w:val="en-GB"/>
        </w:rPr>
        <w:t>Dwi</w:t>
      </w:r>
      <w:proofErr w:type="spellEnd"/>
      <w:r w:rsidRPr="00CE2B0C">
        <w:rPr>
          <w:rFonts w:ascii="Arial" w:hAnsi="Arial" w:cs="Arial"/>
          <w:lang w:val="en-GB"/>
        </w:rPr>
        <w:t xml:space="preserve"> </w:t>
      </w:r>
      <w:proofErr w:type="spellStart"/>
      <w:r w:rsidRPr="00CE2B0C">
        <w:rPr>
          <w:rFonts w:ascii="Arial" w:hAnsi="Arial" w:cs="Arial"/>
          <w:lang w:val="en-GB"/>
        </w:rPr>
        <w:t>Lesno</w:t>
      </w:r>
      <w:proofErr w:type="spellEnd"/>
      <w:r w:rsidRPr="00CE2B0C">
        <w:rPr>
          <w:rFonts w:ascii="Arial" w:hAnsi="Arial" w:cs="Arial"/>
          <w:lang w:val="en-GB"/>
        </w:rPr>
        <w:t xml:space="preserve">; </w:t>
      </w:r>
      <w:proofErr w:type="spellStart"/>
      <w:r w:rsidRPr="00CE2B0C">
        <w:rPr>
          <w:rFonts w:ascii="Arial" w:hAnsi="Arial" w:cs="Arial"/>
          <w:lang w:val="en-GB"/>
        </w:rPr>
        <w:t>Aminatuzzuhro</w:t>
      </w:r>
      <w:proofErr w:type="spellEnd"/>
      <w:r w:rsidRPr="00CE2B0C">
        <w:rPr>
          <w:rFonts w:ascii="Arial" w:hAnsi="Arial" w:cs="Arial"/>
          <w:lang w:val="en-GB"/>
        </w:rPr>
        <w:t xml:space="preserve">; </w:t>
      </w:r>
      <w:proofErr w:type="spellStart"/>
      <w:r w:rsidRPr="00CE2B0C">
        <w:rPr>
          <w:rFonts w:ascii="Arial" w:hAnsi="Arial" w:cs="Arial"/>
          <w:lang w:val="en-GB"/>
        </w:rPr>
        <w:t>Gazali</w:t>
      </w:r>
      <w:proofErr w:type="spellEnd"/>
      <w:r w:rsidRPr="00CE2B0C">
        <w:rPr>
          <w:rFonts w:ascii="Arial" w:hAnsi="Arial" w:cs="Arial"/>
          <w:lang w:val="en-GB"/>
        </w:rPr>
        <w:t xml:space="preserve"> (2021). Company profitability is influenced by sales and administration &amp; general costs: Evidence from Indonesia. </w:t>
      </w:r>
      <w:r w:rsidRPr="00CE2B0C">
        <w:rPr>
          <w:rFonts w:ascii="Arial" w:hAnsi="Arial" w:cs="Arial"/>
          <w:i/>
          <w:iCs/>
          <w:lang w:val="en-GB"/>
        </w:rPr>
        <w:t xml:space="preserve">J. Legal Ethical &amp; </w:t>
      </w:r>
      <w:proofErr w:type="spellStart"/>
      <w:r w:rsidRPr="00CE2B0C">
        <w:rPr>
          <w:rFonts w:ascii="Arial" w:hAnsi="Arial" w:cs="Arial"/>
          <w:i/>
          <w:iCs/>
          <w:lang w:val="en-GB"/>
        </w:rPr>
        <w:t>Regul</w:t>
      </w:r>
      <w:proofErr w:type="spellEnd"/>
      <w:r w:rsidRPr="00CE2B0C">
        <w:rPr>
          <w:rFonts w:ascii="Arial" w:hAnsi="Arial" w:cs="Arial"/>
          <w:i/>
          <w:iCs/>
          <w:lang w:val="en-GB"/>
        </w:rPr>
        <w:t xml:space="preserve">. </w:t>
      </w:r>
      <w:proofErr w:type="spellStart"/>
      <w:proofErr w:type="gramStart"/>
      <w:r w:rsidRPr="00CE2B0C">
        <w:rPr>
          <w:rFonts w:ascii="Arial" w:hAnsi="Arial" w:cs="Arial"/>
          <w:i/>
          <w:iCs/>
          <w:lang w:val="en-GB"/>
        </w:rPr>
        <w:t>Isses</w:t>
      </w:r>
      <w:proofErr w:type="spellEnd"/>
      <w:r w:rsidRPr="00CE2B0C">
        <w:rPr>
          <w:rFonts w:ascii="Arial" w:hAnsi="Arial" w:cs="Arial"/>
          <w:lang w:val="en-GB"/>
        </w:rPr>
        <w:t>, </w:t>
      </w:r>
      <w:r w:rsidRPr="00CE2B0C">
        <w:rPr>
          <w:rFonts w:ascii="Arial" w:hAnsi="Arial" w:cs="Arial"/>
          <w:i/>
          <w:iCs/>
          <w:lang w:val="en-GB"/>
        </w:rPr>
        <w:t>24</w:t>
      </w:r>
      <w:r w:rsidRPr="00CE2B0C">
        <w:rPr>
          <w:rFonts w:ascii="Arial" w:hAnsi="Arial" w:cs="Arial"/>
          <w:lang w:val="en-GB"/>
        </w:rPr>
        <w:t>, p.1.</w:t>
      </w:r>
      <w:proofErr w:type="gramEnd"/>
    </w:p>
    <w:p w14:paraId="5A1D0FE4"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lastRenderedPageBreak/>
        <w:t>Schoenmaker</w:t>
      </w:r>
      <w:proofErr w:type="spellEnd"/>
      <w:r w:rsidRPr="00CE2B0C">
        <w:rPr>
          <w:rFonts w:ascii="Arial" w:hAnsi="Arial" w:cs="Arial"/>
          <w:lang w:val="en-GB"/>
        </w:rPr>
        <w:t xml:space="preserve">, D. and </w:t>
      </w:r>
      <w:proofErr w:type="spellStart"/>
      <w:r w:rsidRPr="00CE2B0C">
        <w:rPr>
          <w:rFonts w:ascii="Arial" w:hAnsi="Arial" w:cs="Arial"/>
          <w:lang w:val="en-GB"/>
        </w:rPr>
        <w:t>Schramade</w:t>
      </w:r>
      <w:proofErr w:type="spellEnd"/>
      <w:r w:rsidRPr="00CE2B0C">
        <w:rPr>
          <w:rFonts w:ascii="Arial" w:hAnsi="Arial" w:cs="Arial"/>
          <w:lang w:val="en-GB"/>
        </w:rPr>
        <w:t>, W. (2023).</w:t>
      </w:r>
      <w:proofErr w:type="gramEnd"/>
      <w:r w:rsidRPr="00CE2B0C">
        <w:rPr>
          <w:rFonts w:ascii="Arial" w:hAnsi="Arial" w:cs="Arial"/>
          <w:lang w:val="en-GB"/>
        </w:rPr>
        <w:t> </w:t>
      </w:r>
      <w:proofErr w:type="gramStart"/>
      <w:r w:rsidRPr="00CE2B0C">
        <w:rPr>
          <w:rFonts w:ascii="Arial" w:hAnsi="Arial" w:cs="Arial"/>
          <w:i/>
          <w:iCs/>
          <w:lang w:val="en-GB"/>
        </w:rPr>
        <w:t>Corporate finance for long-term value</w:t>
      </w:r>
      <w:r w:rsidRPr="00CE2B0C">
        <w:rPr>
          <w:rFonts w:ascii="Arial" w:hAnsi="Arial" w:cs="Arial"/>
          <w:lang w:val="en-GB"/>
        </w:rPr>
        <w:t>.</w:t>
      </w:r>
      <w:proofErr w:type="gramEnd"/>
    </w:p>
    <w:p w14:paraId="27F776C5"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Seretidou</w:t>
      </w:r>
      <w:proofErr w:type="spellEnd"/>
      <w:r w:rsidRPr="00CE2B0C">
        <w:rPr>
          <w:rFonts w:ascii="Arial" w:hAnsi="Arial" w:cs="Arial"/>
          <w:lang w:val="en-GB"/>
        </w:rPr>
        <w:t xml:space="preserve">, D., </w:t>
      </w:r>
      <w:proofErr w:type="spellStart"/>
      <w:r w:rsidRPr="00CE2B0C">
        <w:rPr>
          <w:rFonts w:ascii="Arial" w:hAnsi="Arial" w:cs="Arial"/>
          <w:lang w:val="en-GB"/>
        </w:rPr>
        <w:t>Billios</w:t>
      </w:r>
      <w:proofErr w:type="spellEnd"/>
      <w:r w:rsidRPr="00CE2B0C">
        <w:rPr>
          <w:rFonts w:ascii="Arial" w:hAnsi="Arial" w:cs="Arial"/>
          <w:lang w:val="en-GB"/>
        </w:rPr>
        <w:t>, D. and Stavropoulos, A. (2025).</w:t>
      </w:r>
      <w:proofErr w:type="gramEnd"/>
      <w:r w:rsidRPr="00CE2B0C">
        <w:rPr>
          <w:rFonts w:ascii="Arial" w:hAnsi="Arial" w:cs="Arial"/>
          <w:lang w:val="en-GB"/>
        </w:rPr>
        <w:t xml:space="preserve"> Integrative analysis of traditional and cash flow financial ratios: Insights from a systematic comparative review. </w:t>
      </w:r>
      <w:proofErr w:type="gramStart"/>
      <w:r w:rsidRPr="00CE2B0C">
        <w:rPr>
          <w:rFonts w:ascii="Arial" w:hAnsi="Arial" w:cs="Arial"/>
          <w:i/>
          <w:iCs/>
          <w:lang w:val="en-GB"/>
        </w:rPr>
        <w:t>Risks</w:t>
      </w:r>
      <w:r w:rsidRPr="00CE2B0C">
        <w:rPr>
          <w:rFonts w:ascii="Arial" w:hAnsi="Arial" w:cs="Arial"/>
          <w:lang w:val="en-GB"/>
        </w:rPr>
        <w:t>, </w:t>
      </w:r>
      <w:r w:rsidRPr="00CE2B0C">
        <w:rPr>
          <w:rFonts w:ascii="Arial" w:hAnsi="Arial" w:cs="Arial"/>
          <w:i/>
          <w:iCs/>
          <w:lang w:val="en-GB"/>
        </w:rPr>
        <w:t>13</w:t>
      </w:r>
      <w:r w:rsidRPr="00CE2B0C">
        <w:rPr>
          <w:rFonts w:ascii="Arial" w:hAnsi="Arial" w:cs="Arial"/>
          <w:lang w:val="en-GB"/>
        </w:rPr>
        <w:t>(4), p.62.</w:t>
      </w:r>
      <w:proofErr w:type="gramEnd"/>
    </w:p>
    <w:p w14:paraId="5B942E58" w14:textId="77777777" w:rsidR="002A7EF1" w:rsidRPr="00CE2B0C" w:rsidRDefault="002A7EF1" w:rsidP="002A7EF1">
      <w:pPr>
        <w:spacing w:line="360" w:lineRule="auto"/>
        <w:jc w:val="both"/>
        <w:rPr>
          <w:rFonts w:ascii="Arial" w:hAnsi="Arial" w:cs="Arial"/>
          <w:lang w:val="en-GB"/>
        </w:rPr>
      </w:pPr>
      <w:proofErr w:type="spellStart"/>
      <w:proofErr w:type="gramStart"/>
      <w:r w:rsidRPr="00CE2B0C">
        <w:rPr>
          <w:rFonts w:ascii="Arial" w:hAnsi="Arial" w:cs="Arial"/>
          <w:lang w:val="en-GB"/>
        </w:rPr>
        <w:t>Sinaga</w:t>
      </w:r>
      <w:proofErr w:type="spellEnd"/>
      <w:r w:rsidRPr="00CE2B0C">
        <w:rPr>
          <w:rFonts w:ascii="Arial" w:hAnsi="Arial" w:cs="Arial"/>
          <w:lang w:val="en-GB"/>
        </w:rPr>
        <w:t xml:space="preserve">, A.S., Sari, M.M., </w:t>
      </w:r>
      <w:proofErr w:type="spellStart"/>
      <w:r w:rsidRPr="00CE2B0C">
        <w:rPr>
          <w:rFonts w:ascii="Arial" w:hAnsi="Arial" w:cs="Arial"/>
          <w:lang w:val="en-GB"/>
        </w:rPr>
        <w:t>Hutasuhut</w:t>
      </w:r>
      <w:proofErr w:type="spellEnd"/>
      <w:r w:rsidRPr="00CE2B0C">
        <w:rPr>
          <w:rFonts w:ascii="Arial" w:hAnsi="Arial" w:cs="Arial"/>
          <w:lang w:val="en-GB"/>
        </w:rPr>
        <w:t xml:space="preserve">, A.A., </w:t>
      </w:r>
      <w:proofErr w:type="spellStart"/>
      <w:r w:rsidRPr="00CE2B0C">
        <w:rPr>
          <w:rFonts w:ascii="Arial" w:hAnsi="Arial" w:cs="Arial"/>
          <w:lang w:val="en-GB"/>
        </w:rPr>
        <w:t>Zahara</w:t>
      </w:r>
      <w:proofErr w:type="spellEnd"/>
      <w:r w:rsidRPr="00CE2B0C">
        <w:rPr>
          <w:rFonts w:ascii="Arial" w:hAnsi="Arial" w:cs="Arial"/>
          <w:lang w:val="en-GB"/>
        </w:rPr>
        <w:t xml:space="preserve">, S.T., Amanda, A., </w:t>
      </w:r>
      <w:proofErr w:type="spellStart"/>
      <w:r w:rsidRPr="00CE2B0C">
        <w:rPr>
          <w:rFonts w:ascii="Arial" w:hAnsi="Arial" w:cs="Arial"/>
          <w:lang w:val="en-GB"/>
        </w:rPr>
        <w:t>Fitri</w:t>
      </w:r>
      <w:proofErr w:type="spellEnd"/>
      <w:r w:rsidRPr="00CE2B0C">
        <w:rPr>
          <w:rFonts w:ascii="Arial" w:hAnsi="Arial" w:cs="Arial"/>
          <w:lang w:val="en-GB"/>
        </w:rPr>
        <w:t xml:space="preserve">, A. and </w:t>
      </w:r>
      <w:proofErr w:type="spellStart"/>
      <w:r w:rsidRPr="00CE2B0C">
        <w:rPr>
          <w:rFonts w:ascii="Arial" w:hAnsi="Arial" w:cs="Arial"/>
          <w:lang w:val="en-GB"/>
        </w:rPr>
        <w:t>Caesario</w:t>
      </w:r>
      <w:proofErr w:type="spellEnd"/>
      <w:r w:rsidRPr="00CE2B0C">
        <w:rPr>
          <w:rFonts w:ascii="Arial" w:hAnsi="Arial" w:cs="Arial"/>
          <w:lang w:val="en-GB"/>
        </w:rPr>
        <w:t>, M.A. (2023).</w:t>
      </w:r>
      <w:proofErr w:type="gramEnd"/>
      <w:r w:rsidRPr="00CE2B0C">
        <w:rPr>
          <w:rFonts w:ascii="Arial" w:hAnsi="Arial" w:cs="Arial"/>
          <w:lang w:val="en-GB"/>
        </w:rPr>
        <w:t xml:space="preserve"> Comparison of capital budgeting methods: NPV, IRR, PAYBACK PERIOD. </w:t>
      </w:r>
      <w:proofErr w:type="gramStart"/>
      <w:r w:rsidRPr="00CE2B0C">
        <w:rPr>
          <w:rFonts w:ascii="Arial" w:hAnsi="Arial" w:cs="Arial"/>
          <w:i/>
          <w:iCs/>
          <w:lang w:val="en-GB"/>
        </w:rPr>
        <w:t>World Journal of Advanced Research and Reviews</w:t>
      </w:r>
      <w:r w:rsidRPr="00CE2B0C">
        <w:rPr>
          <w:rFonts w:ascii="Arial" w:hAnsi="Arial" w:cs="Arial"/>
          <w:lang w:val="en-GB"/>
        </w:rPr>
        <w:t>, </w:t>
      </w:r>
      <w:r w:rsidRPr="00CE2B0C">
        <w:rPr>
          <w:rFonts w:ascii="Arial" w:hAnsi="Arial" w:cs="Arial"/>
          <w:i/>
          <w:iCs/>
          <w:lang w:val="en-GB"/>
        </w:rPr>
        <w:t>19</w:t>
      </w:r>
      <w:r w:rsidRPr="00CE2B0C">
        <w:rPr>
          <w:rFonts w:ascii="Arial" w:hAnsi="Arial" w:cs="Arial"/>
          <w:lang w:val="en-GB"/>
        </w:rPr>
        <w:t>(2), pp.1078-1081.</w:t>
      </w:r>
      <w:proofErr w:type="gramEnd"/>
    </w:p>
    <w:p w14:paraId="5EC2CA72" w14:textId="77777777" w:rsidR="002A7EF1" w:rsidRPr="00CE2B0C" w:rsidRDefault="002A7EF1" w:rsidP="002A7EF1">
      <w:pPr>
        <w:spacing w:line="360" w:lineRule="auto"/>
        <w:jc w:val="both"/>
        <w:rPr>
          <w:rFonts w:ascii="Arial" w:hAnsi="Arial" w:cs="Arial"/>
          <w:lang w:val="en-GB"/>
        </w:rPr>
      </w:pPr>
      <w:r w:rsidRPr="00CE2B0C">
        <w:rPr>
          <w:rFonts w:ascii="Arial" w:hAnsi="Arial" w:cs="Arial"/>
          <w:lang w:val="en-GB"/>
        </w:rPr>
        <w:t xml:space="preserve">Volkswagen AG (2024). </w:t>
      </w:r>
      <w:proofErr w:type="gramStart"/>
      <w:r w:rsidRPr="00CE2B0C">
        <w:rPr>
          <w:rFonts w:ascii="Arial" w:hAnsi="Arial" w:cs="Arial"/>
          <w:lang w:val="en-GB"/>
        </w:rPr>
        <w:t>The Group Strategy – Mobility for Generations.</w:t>
      </w:r>
      <w:proofErr w:type="gramEnd"/>
      <w:r w:rsidRPr="00CE2B0C">
        <w:rPr>
          <w:rFonts w:ascii="Arial" w:hAnsi="Arial" w:cs="Arial"/>
          <w:lang w:val="en-GB"/>
        </w:rPr>
        <w:t xml:space="preserve"> Available at: </w:t>
      </w:r>
      <w:hyperlink r:id="rId11" w:tgtFrame="_new" w:history="1">
        <w:r w:rsidRPr="00CE2B0C">
          <w:rPr>
            <w:rStyle w:val="Hyperlink"/>
            <w:rFonts w:ascii="Arial" w:hAnsi="Arial" w:cs="Arial"/>
            <w:lang w:val="en-GB"/>
          </w:rPr>
          <w:t>https://www.volkswagen-group.com/en/the-group-strategy-15955</w:t>
        </w:r>
      </w:hyperlink>
      <w:r w:rsidRPr="00CE2B0C">
        <w:rPr>
          <w:rStyle w:val="Hyperlink"/>
          <w:rFonts w:ascii="Arial" w:hAnsi="Arial" w:cs="Arial"/>
          <w:lang w:val="en-GB"/>
        </w:rPr>
        <w:t xml:space="preserve">. [Accessed: 17 </w:t>
      </w:r>
      <w:proofErr w:type="gramStart"/>
      <w:r w:rsidRPr="00CE2B0C">
        <w:rPr>
          <w:rStyle w:val="Hyperlink"/>
          <w:rFonts w:ascii="Arial" w:hAnsi="Arial" w:cs="Arial"/>
          <w:lang w:val="en-GB"/>
        </w:rPr>
        <w:t>April  2026</w:t>
      </w:r>
      <w:proofErr w:type="gramEnd"/>
      <w:r w:rsidRPr="00CE2B0C">
        <w:rPr>
          <w:rStyle w:val="Hyperlink"/>
          <w:rFonts w:ascii="Arial" w:hAnsi="Arial" w:cs="Arial"/>
          <w:lang w:val="en-GB"/>
        </w:rPr>
        <w:t>].</w:t>
      </w:r>
    </w:p>
    <w:p w14:paraId="71DD6781" w14:textId="77777777" w:rsidR="002A7EF1" w:rsidRPr="00CE2B0C" w:rsidRDefault="002A7EF1" w:rsidP="002A7EF1">
      <w:pPr>
        <w:spacing w:line="360" w:lineRule="auto"/>
        <w:jc w:val="both"/>
        <w:rPr>
          <w:rFonts w:ascii="Arial" w:hAnsi="Arial" w:cs="Arial"/>
          <w:lang w:val="en-GB"/>
        </w:rPr>
      </w:pPr>
      <w:r w:rsidRPr="00CE2B0C">
        <w:rPr>
          <w:rFonts w:ascii="Arial" w:hAnsi="Arial" w:cs="Arial"/>
          <w:lang w:val="en-GB"/>
        </w:rPr>
        <w:t xml:space="preserve">Volkswagen AG (2026). </w:t>
      </w:r>
      <w:proofErr w:type="gramStart"/>
      <w:r w:rsidRPr="00CE2B0C">
        <w:rPr>
          <w:rFonts w:ascii="Arial" w:hAnsi="Arial" w:cs="Arial"/>
          <w:lang w:val="en-GB"/>
        </w:rPr>
        <w:t>Preliminary key figures for net cash flow and net liquidity in the Automotive Division for the 2025 fiscal year.</w:t>
      </w:r>
      <w:proofErr w:type="gramEnd"/>
      <w:r w:rsidRPr="00CE2B0C">
        <w:rPr>
          <w:rFonts w:ascii="Arial" w:hAnsi="Arial" w:cs="Arial"/>
          <w:lang w:val="en-GB"/>
        </w:rPr>
        <w:t xml:space="preserve"> Available at: </w:t>
      </w:r>
      <w:hyperlink r:id="rId12" w:tgtFrame="_new" w:history="1">
        <w:r w:rsidRPr="00CE2B0C">
          <w:rPr>
            <w:rStyle w:val="Hyperlink"/>
            <w:rFonts w:ascii="Arial" w:hAnsi="Arial" w:cs="Arial"/>
            <w:lang w:val="en-GB"/>
          </w:rPr>
          <w:t>https://www.volkswagen-group.com/en/ad-hoc/preliminary-key-figures-for-net-cash-flow-and-net-liquidity-in-the-automotive-division-for-the-2025-fiscal-year-20101</w:t>
        </w:r>
      </w:hyperlink>
      <w:r w:rsidRPr="00CE2B0C">
        <w:rPr>
          <w:rFonts w:ascii="Arial" w:hAnsi="Arial" w:cs="Arial"/>
          <w:lang w:val="en-GB"/>
        </w:rPr>
        <w:t>.</w:t>
      </w:r>
      <w:r w:rsidRPr="00CE2B0C">
        <w:rPr>
          <w:rStyle w:val="Hyperlink"/>
          <w:rFonts w:ascii="Arial" w:hAnsi="Arial" w:cs="Arial"/>
          <w:lang w:val="en-GB"/>
        </w:rPr>
        <w:t xml:space="preserve"> [Accessed: 17 </w:t>
      </w:r>
      <w:proofErr w:type="gramStart"/>
      <w:r w:rsidRPr="00CE2B0C">
        <w:rPr>
          <w:rStyle w:val="Hyperlink"/>
          <w:rFonts w:ascii="Arial" w:hAnsi="Arial" w:cs="Arial"/>
          <w:lang w:val="en-GB"/>
        </w:rPr>
        <w:t>April  2026</w:t>
      </w:r>
      <w:proofErr w:type="gramEnd"/>
      <w:r w:rsidRPr="00CE2B0C">
        <w:rPr>
          <w:rStyle w:val="Hyperlink"/>
          <w:rFonts w:ascii="Arial" w:hAnsi="Arial" w:cs="Arial"/>
          <w:lang w:val="en-GB"/>
        </w:rPr>
        <w:t>].</w:t>
      </w:r>
    </w:p>
    <w:p w14:paraId="55D8B5E0" w14:textId="77777777" w:rsidR="002A7EF1" w:rsidRPr="00CE2B0C" w:rsidRDefault="002A7EF1" w:rsidP="002A7EF1">
      <w:pPr>
        <w:spacing w:line="360" w:lineRule="auto"/>
        <w:jc w:val="both"/>
        <w:rPr>
          <w:rFonts w:ascii="Arial" w:hAnsi="Arial" w:cs="Arial"/>
          <w:lang w:val="en-GB"/>
        </w:rPr>
      </w:pPr>
      <w:r w:rsidRPr="00CE2B0C">
        <w:rPr>
          <w:rFonts w:ascii="Arial" w:hAnsi="Arial" w:cs="Arial"/>
          <w:lang w:val="en-GB"/>
        </w:rPr>
        <w:t>Zhang, Y. (2023). </w:t>
      </w:r>
      <w:r w:rsidRPr="00CE2B0C">
        <w:rPr>
          <w:rFonts w:ascii="Arial" w:hAnsi="Arial" w:cs="Arial"/>
          <w:i/>
          <w:iCs/>
          <w:lang w:val="en-GB"/>
        </w:rPr>
        <w:t xml:space="preserve">How to Reduce Logistics and Inventory Costs </w:t>
      </w:r>
      <w:proofErr w:type="gramStart"/>
      <w:r w:rsidRPr="00CE2B0C">
        <w:rPr>
          <w:rFonts w:ascii="Arial" w:hAnsi="Arial" w:cs="Arial"/>
          <w:i/>
          <w:iCs/>
          <w:lang w:val="en-GB"/>
        </w:rPr>
        <w:t>Through</w:t>
      </w:r>
      <w:proofErr w:type="gramEnd"/>
      <w:r w:rsidRPr="00CE2B0C">
        <w:rPr>
          <w:rFonts w:ascii="Arial" w:hAnsi="Arial" w:cs="Arial"/>
          <w:i/>
          <w:iCs/>
          <w:lang w:val="en-GB"/>
        </w:rPr>
        <w:t xml:space="preserve"> Lean Manufacturing and Business Process </w:t>
      </w:r>
      <w:proofErr w:type="spellStart"/>
      <w:r w:rsidRPr="00CE2B0C">
        <w:rPr>
          <w:rFonts w:ascii="Arial" w:hAnsi="Arial" w:cs="Arial"/>
          <w:i/>
          <w:iCs/>
          <w:lang w:val="en-GB"/>
        </w:rPr>
        <w:t>Managemen</w:t>
      </w:r>
      <w:proofErr w:type="spellEnd"/>
      <w:r w:rsidRPr="00CE2B0C">
        <w:rPr>
          <w:rFonts w:ascii="Arial" w:hAnsi="Arial" w:cs="Arial"/>
          <w:lang w:val="en-GB"/>
        </w:rPr>
        <w:t> (Master's thesis, ISCTE-</w:t>
      </w:r>
      <w:proofErr w:type="spellStart"/>
      <w:r w:rsidRPr="00CE2B0C">
        <w:rPr>
          <w:rFonts w:ascii="Arial" w:hAnsi="Arial" w:cs="Arial"/>
          <w:lang w:val="en-GB"/>
        </w:rPr>
        <w:t>Instituto</w:t>
      </w:r>
      <w:proofErr w:type="spellEnd"/>
      <w:r w:rsidRPr="00CE2B0C">
        <w:rPr>
          <w:rFonts w:ascii="Arial" w:hAnsi="Arial" w:cs="Arial"/>
          <w:lang w:val="en-GB"/>
        </w:rPr>
        <w:t xml:space="preserve"> </w:t>
      </w:r>
      <w:proofErr w:type="spellStart"/>
      <w:r w:rsidRPr="00CE2B0C">
        <w:rPr>
          <w:rFonts w:ascii="Arial" w:hAnsi="Arial" w:cs="Arial"/>
          <w:lang w:val="en-GB"/>
        </w:rPr>
        <w:t>Universitario</w:t>
      </w:r>
      <w:proofErr w:type="spellEnd"/>
      <w:r w:rsidRPr="00CE2B0C">
        <w:rPr>
          <w:rFonts w:ascii="Arial" w:hAnsi="Arial" w:cs="Arial"/>
          <w:lang w:val="en-GB"/>
        </w:rPr>
        <w:t xml:space="preserve"> de </w:t>
      </w:r>
      <w:proofErr w:type="spellStart"/>
      <w:r w:rsidRPr="00CE2B0C">
        <w:rPr>
          <w:rFonts w:ascii="Arial" w:hAnsi="Arial" w:cs="Arial"/>
          <w:lang w:val="en-GB"/>
        </w:rPr>
        <w:t>Lisboa</w:t>
      </w:r>
      <w:proofErr w:type="spellEnd"/>
      <w:r w:rsidRPr="00CE2B0C">
        <w:rPr>
          <w:rFonts w:ascii="Arial" w:hAnsi="Arial" w:cs="Arial"/>
          <w:lang w:val="en-GB"/>
        </w:rPr>
        <w:t xml:space="preserve"> (Portugal)).</w:t>
      </w:r>
    </w:p>
    <w:p w14:paraId="75C62F82" w14:textId="77777777" w:rsidR="002A7EF1" w:rsidRPr="00CE2B0C" w:rsidRDefault="002A7EF1" w:rsidP="002A7EF1">
      <w:pPr>
        <w:spacing w:line="360" w:lineRule="auto"/>
        <w:jc w:val="both"/>
        <w:rPr>
          <w:rFonts w:ascii="Arial" w:hAnsi="Arial" w:cs="Arial"/>
          <w:lang w:val="en-GB"/>
        </w:rPr>
      </w:pPr>
      <w:r w:rsidRPr="00CE2B0C">
        <w:rPr>
          <w:rFonts w:ascii="Arial" w:hAnsi="Arial" w:cs="Arial"/>
          <w:lang w:val="en-GB"/>
        </w:rPr>
        <w:t xml:space="preserve">Zhou, C. (2025). </w:t>
      </w:r>
      <w:proofErr w:type="gramStart"/>
      <w:r w:rsidRPr="00CE2B0C">
        <w:rPr>
          <w:rFonts w:ascii="Arial" w:hAnsi="Arial" w:cs="Arial"/>
          <w:lang w:val="en-GB"/>
        </w:rPr>
        <w:t>Investment suggestion of Volkswagen AG.</w:t>
      </w:r>
      <w:proofErr w:type="gramEnd"/>
      <w:r w:rsidRPr="00CE2B0C">
        <w:rPr>
          <w:rFonts w:ascii="Arial" w:hAnsi="Arial" w:cs="Arial"/>
          <w:lang w:val="en-GB"/>
        </w:rPr>
        <w:t xml:space="preserve"> </w:t>
      </w:r>
      <w:proofErr w:type="gramStart"/>
      <w:r w:rsidRPr="00CE2B0C">
        <w:rPr>
          <w:rFonts w:ascii="Arial" w:hAnsi="Arial" w:cs="Arial"/>
          <w:lang w:val="en-GB"/>
        </w:rPr>
        <w:t>In </w:t>
      </w:r>
      <w:r w:rsidRPr="00CE2B0C">
        <w:rPr>
          <w:rFonts w:ascii="Arial" w:hAnsi="Arial" w:cs="Arial"/>
          <w:i/>
          <w:iCs/>
          <w:lang w:val="en-GB"/>
        </w:rPr>
        <w:t>Proceedings of the 2025 10th International Conference on Financial Innovation and Economic Development (ICFIED 2025)</w:t>
      </w:r>
      <w:r w:rsidRPr="00CE2B0C">
        <w:rPr>
          <w:rFonts w:ascii="Arial" w:hAnsi="Arial" w:cs="Arial"/>
          <w:lang w:val="en-GB"/>
        </w:rPr>
        <w:t> (p. 445).</w:t>
      </w:r>
      <w:proofErr w:type="gramEnd"/>
      <w:r w:rsidRPr="00CE2B0C">
        <w:rPr>
          <w:rFonts w:ascii="Arial" w:hAnsi="Arial" w:cs="Arial"/>
          <w:lang w:val="en-GB"/>
        </w:rPr>
        <w:t xml:space="preserve"> </w:t>
      </w:r>
      <w:proofErr w:type="gramStart"/>
      <w:r w:rsidRPr="00CE2B0C">
        <w:rPr>
          <w:rFonts w:ascii="Arial" w:hAnsi="Arial" w:cs="Arial"/>
          <w:lang w:val="en-GB"/>
        </w:rPr>
        <w:t>Springer Nature.</w:t>
      </w:r>
      <w:proofErr w:type="gramEnd"/>
    </w:p>
    <w:p w14:paraId="0F1BBC7D" w14:textId="77777777" w:rsidR="00431092" w:rsidRPr="00CE2B0C" w:rsidRDefault="00431092" w:rsidP="002D1B85">
      <w:pPr>
        <w:spacing w:line="360" w:lineRule="auto"/>
        <w:rPr>
          <w:rFonts w:ascii="Arial" w:hAnsi="Arial" w:cs="Arial"/>
          <w:lang w:val="en-GB"/>
        </w:rPr>
      </w:pPr>
    </w:p>
    <w:p w14:paraId="3B13018B" w14:textId="77777777" w:rsidR="00431092" w:rsidRPr="00CE2B0C" w:rsidRDefault="00431092" w:rsidP="002D1B85">
      <w:pPr>
        <w:spacing w:line="360" w:lineRule="auto"/>
        <w:rPr>
          <w:rFonts w:ascii="Arial" w:hAnsi="Arial" w:cs="Arial"/>
          <w:lang w:val="en-GB"/>
        </w:rPr>
      </w:pPr>
      <w:r w:rsidRPr="00CE2B0C">
        <w:rPr>
          <w:rFonts w:ascii="Arial" w:hAnsi="Arial" w:cs="Arial"/>
          <w:lang w:val="en-GB"/>
        </w:rPr>
        <w:br w:type="page"/>
      </w:r>
    </w:p>
    <w:p w14:paraId="09DD4AC9" w14:textId="3672B116" w:rsidR="00137DBB" w:rsidRPr="00CE2B0C" w:rsidRDefault="00022456" w:rsidP="002D1B85">
      <w:pPr>
        <w:pStyle w:val="Heading1"/>
        <w:spacing w:line="360" w:lineRule="auto"/>
        <w:rPr>
          <w:rFonts w:cs="Arial"/>
          <w:szCs w:val="24"/>
          <w:lang w:val="en-GB"/>
        </w:rPr>
      </w:pPr>
      <w:bookmarkStart w:id="25" w:name="_Toc227812695"/>
      <w:r w:rsidRPr="00CE2B0C">
        <w:rPr>
          <w:rFonts w:cs="Arial"/>
          <w:szCs w:val="24"/>
          <w:lang w:val="en-GB"/>
        </w:rPr>
        <w:lastRenderedPageBreak/>
        <w:t>8</w:t>
      </w:r>
      <w:r w:rsidR="00137DBB" w:rsidRPr="00CE2B0C">
        <w:rPr>
          <w:rFonts w:cs="Arial"/>
          <w:szCs w:val="24"/>
          <w:lang w:val="en-GB"/>
        </w:rPr>
        <w:t>. Appendices</w:t>
      </w:r>
      <w:bookmarkEnd w:id="25"/>
    </w:p>
    <w:p w14:paraId="098AC609" w14:textId="77777777" w:rsidR="00137DBB" w:rsidRPr="00CE2B0C" w:rsidRDefault="00137DBB" w:rsidP="002D1B85">
      <w:pPr>
        <w:pStyle w:val="Heading2"/>
        <w:spacing w:line="360" w:lineRule="auto"/>
        <w:rPr>
          <w:rFonts w:cs="Arial"/>
          <w:b w:val="0"/>
          <w:szCs w:val="24"/>
          <w:lang w:val="en-GB"/>
        </w:rPr>
      </w:pPr>
      <w:bookmarkStart w:id="26" w:name="_Toc227812696"/>
      <w:r w:rsidRPr="00CE2B0C">
        <w:rPr>
          <w:rFonts w:cs="Arial"/>
          <w:szCs w:val="24"/>
          <w:lang w:val="en-GB"/>
        </w:rPr>
        <w:t>Appendix 1: Financial Statement Extracts</w:t>
      </w:r>
      <w:bookmarkEnd w:id="26"/>
    </w:p>
    <w:p w14:paraId="0E71F0B2" w14:textId="0B8D0725" w:rsidR="0022672C" w:rsidRPr="00CE2B0C" w:rsidRDefault="00B52EA2" w:rsidP="002D1B85">
      <w:pPr>
        <w:pStyle w:val="Caption"/>
        <w:spacing w:line="360" w:lineRule="auto"/>
        <w:rPr>
          <w:rFonts w:ascii="Arial" w:eastAsia="Arial" w:hAnsi="Arial" w:cs="Arial"/>
          <w:i w:val="0"/>
          <w:iCs w:val="0"/>
          <w:color w:val="444444"/>
          <w:sz w:val="24"/>
          <w:szCs w:val="24"/>
          <w:lang w:val="en-GB"/>
        </w:rPr>
      </w:pPr>
      <w:bookmarkStart w:id="27" w:name="_Toc227448976"/>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5</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00995993" w:rsidRPr="00CE2B0C">
        <w:rPr>
          <w:rFonts w:ascii="Arial" w:eastAsia="Arial" w:hAnsi="Arial" w:cs="Arial"/>
          <w:color w:val="444444"/>
          <w:sz w:val="24"/>
          <w:szCs w:val="24"/>
          <w:lang w:val="en-GB"/>
        </w:rPr>
        <w:t>Volkswagen Group — Five-Year Financial Summary (€ million).</w:t>
      </w:r>
      <w:bookmarkEnd w:id="27"/>
      <w:r w:rsidR="00995993" w:rsidRPr="00CE2B0C">
        <w:rPr>
          <w:rFonts w:ascii="Arial" w:eastAsia="Arial" w:hAnsi="Arial" w:cs="Arial"/>
          <w:color w:val="444444"/>
          <w:sz w:val="24"/>
          <w:szCs w:val="24"/>
          <w:lang w:val="en-GB"/>
        </w:rPr>
        <w:t xml:space="preserve"> </w:t>
      </w:r>
    </w:p>
    <w:p w14:paraId="48975465" w14:textId="0C11DF5F" w:rsidR="00995993" w:rsidRPr="00CE2B0C" w:rsidRDefault="00995993" w:rsidP="002D1B85">
      <w:pPr>
        <w:spacing w:before="80" w:after="40" w:line="360" w:lineRule="auto"/>
        <w:rPr>
          <w:rFonts w:ascii="Arial" w:hAnsi="Arial" w:cs="Arial"/>
          <w:lang w:val="en-GB"/>
        </w:rPr>
      </w:pPr>
      <w:r w:rsidRPr="00CE2B0C">
        <w:rPr>
          <w:rFonts w:ascii="Arial" w:eastAsia="Arial" w:hAnsi="Arial" w:cs="Arial"/>
          <w:i/>
          <w:iCs/>
          <w:color w:val="444444"/>
          <w:lang w:val="en-GB"/>
        </w:rPr>
        <w:t>Source: VW Group Annual Reports (2021–202</w:t>
      </w:r>
      <w:r w:rsidR="00673843" w:rsidRPr="00CE2B0C">
        <w:rPr>
          <w:rFonts w:ascii="Arial" w:eastAsia="Arial" w:hAnsi="Arial" w:cs="Arial"/>
          <w:i/>
          <w:iCs/>
          <w:color w:val="444444"/>
          <w:lang w:val="en-GB"/>
        </w:rPr>
        <w:t>4</w:t>
      </w:r>
      <w:r w:rsidRPr="00CE2B0C">
        <w:rPr>
          <w:rFonts w:ascii="Arial" w:eastAsia="Arial" w:hAnsi="Arial" w:cs="Arial"/>
          <w:i/>
          <w:iCs/>
          <w:color w:val="444444"/>
          <w:lang w:val="en-GB"/>
        </w:rPr>
        <w:t>).</w:t>
      </w:r>
    </w:p>
    <w:p w14:paraId="4F008DEA" w14:textId="21E2AFBE" w:rsidR="00995993" w:rsidRPr="00CE2B0C" w:rsidRDefault="003B115A" w:rsidP="002D1B85">
      <w:pPr>
        <w:spacing w:line="360" w:lineRule="auto"/>
        <w:rPr>
          <w:rFonts w:ascii="Arial" w:hAnsi="Arial" w:cs="Arial"/>
          <w:b/>
          <w:bCs/>
          <w:lang w:val="en-GB"/>
        </w:rPr>
      </w:pPr>
      <w:r w:rsidRPr="00CE2B0C">
        <w:rPr>
          <w:noProof/>
          <w:lang w:val="en-GB" w:eastAsia="en-GB"/>
        </w:rPr>
        <w:drawing>
          <wp:inline distT="0" distB="0" distL="0" distR="0" wp14:anchorId="156407D8" wp14:editId="1BF64A36">
            <wp:extent cx="5732145" cy="3369310"/>
            <wp:effectExtent l="0" t="0" r="1905" b="2540"/>
            <wp:docPr id="1171773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2145" cy="3369310"/>
                    </a:xfrm>
                    <a:prstGeom prst="rect">
                      <a:avLst/>
                    </a:prstGeom>
                    <a:noFill/>
                    <a:ln>
                      <a:noFill/>
                    </a:ln>
                  </pic:spPr>
                </pic:pic>
              </a:graphicData>
            </a:graphic>
          </wp:inline>
        </w:drawing>
      </w:r>
    </w:p>
    <w:p w14:paraId="0643C916" w14:textId="0F33FAF4" w:rsidR="003B115A" w:rsidRPr="00CE2B0C" w:rsidRDefault="003B115A" w:rsidP="002D1B85">
      <w:pPr>
        <w:spacing w:line="360" w:lineRule="auto"/>
        <w:rPr>
          <w:rFonts w:ascii="Arial" w:hAnsi="Arial" w:cs="Arial"/>
          <w:b/>
          <w:bCs/>
          <w:lang w:val="en-GB"/>
        </w:rPr>
      </w:pPr>
      <w:r w:rsidRPr="00CE2B0C">
        <w:rPr>
          <w:noProof/>
          <w:lang w:val="en-GB" w:eastAsia="en-GB"/>
        </w:rPr>
        <w:lastRenderedPageBreak/>
        <w:drawing>
          <wp:inline distT="0" distB="0" distL="0" distR="0" wp14:anchorId="32554886" wp14:editId="6F294930">
            <wp:extent cx="5732145" cy="5563870"/>
            <wp:effectExtent l="0" t="0" r="1905" b="0"/>
            <wp:docPr id="18175712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2145" cy="5563870"/>
                    </a:xfrm>
                    <a:prstGeom prst="rect">
                      <a:avLst/>
                    </a:prstGeom>
                    <a:noFill/>
                    <a:ln>
                      <a:noFill/>
                    </a:ln>
                  </pic:spPr>
                </pic:pic>
              </a:graphicData>
            </a:graphic>
          </wp:inline>
        </w:drawing>
      </w:r>
    </w:p>
    <w:p w14:paraId="2924CDEE" w14:textId="23590C40" w:rsidR="003B115A" w:rsidRPr="00CE2B0C" w:rsidRDefault="003B115A" w:rsidP="002D1B85">
      <w:pPr>
        <w:spacing w:line="360" w:lineRule="auto"/>
        <w:rPr>
          <w:rFonts w:ascii="Arial" w:hAnsi="Arial" w:cs="Arial"/>
          <w:b/>
          <w:bCs/>
          <w:lang w:val="en-GB"/>
        </w:rPr>
      </w:pPr>
      <w:r w:rsidRPr="00CE2B0C">
        <w:rPr>
          <w:noProof/>
          <w:lang w:val="en-GB" w:eastAsia="en-GB"/>
        </w:rPr>
        <w:drawing>
          <wp:inline distT="0" distB="0" distL="0" distR="0" wp14:anchorId="291DF472" wp14:editId="1DD36253">
            <wp:extent cx="5732145" cy="1483360"/>
            <wp:effectExtent l="0" t="0" r="1905" b="2540"/>
            <wp:docPr id="19223507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2145" cy="1483360"/>
                    </a:xfrm>
                    <a:prstGeom prst="rect">
                      <a:avLst/>
                    </a:prstGeom>
                    <a:noFill/>
                    <a:ln>
                      <a:noFill/>
                    </a:ln>
                  </pic:spPr>
                </pic:pic>
              </a:graphicData>
            </a:graphic>
          </wp:inline>
        </w:drawing>
      </w:r>
    </w:p>
    <w:p w14:paraId="1C013461" w14:textId="24B2FF47" w:rsidR="00431092" w:rsidRPr="00CE2B0C" w:rsidRDefault="00431092" w:rsidP="002D1B85">
      <w:pPr>
        <w:spacing w:line="360" w:lineRule="auto"/>
        <w:rPr>
          <w:rFonts w:ascii="Arial" w:hAnsi="Arial" w:cs="Arial"/>
          <w:lang w:val="en-GB"/>
        </w:rPr>
      </w:pPr>
    </w:p>
    <w:p w14:paraId="523625E0" w14:textId="2498F497" w:rsidR="00D00DE4" w:rsidRPr="00CE2B0C" w:rsidRDefault="00D00DE4" w:rsidP="002D1B85">
      <w:pPr>
        <w:spacing w:line="360" w:lineRule="auto"/>
        <w:rPr>
          <w:rFonts w:ascii="Arial" w:hAnsi="Arial" w:cs="Arial"/>
          <w:lang w:val="en-GB"/>
        </w:rPr>
      </w:pPr>
    </w:p>
    <w:p w14:paraId="191DC1CD" w14:textId="77777777" w:rsidR="003B115A" w:rsidRPr="00CE2B0C" w:rsidRDefault="003B115A" w:rsidP="002D1B85">
      <w:pPr>
        <w:spacing w:line="360" w:lineRule="auto"/>
        <w:rPr>
          <w:rFonts w:ascii="Arial" w:hAnsi="Arial" w:cs="Arial"/>
          <w:lang w:val="en-GB"/>
        </w:rPr>
      </w:pPr>
    </w:p>
    <w:p w14:paraId="308DEE51" w14:textId="632EF887" w:rsidR="00137DBB" w:rsidRPr="00CE2B0C" w:rsidRDefault="00137DBB" w:rsidP="002D1B85">
      <w:pPr>
        <w:pStyle w:val="Heading2"/>
        <w:spacing w:line="360" w:lineRule="auto"/>
        <w:rPr>
          <w:rFonts w:cs="Arial"/>
          <w:szCs w:val="24"/>
          <w:lang w:val="en-GB"/>
        </w:rPr>
      </w:pPr>
      <w:bookmarkStart w:id="28" w:name="_Appendix_2:_Ratio"/>
      <w:bookmarkStart w:id="29" w:name="_Toc227812697"/>
      <w:bookmarkEnd w:id="28"/>
      <w:r w:rsidRPr="00CE2B0C">
        <w:rPr>
          <w:rFonts w:cs="Arial"/>
          <w:szCs w:val="24"/>
          <w:lang w:val="en-GB"/>
        </w:rPr>
        <w:lastRenderedPageBreak/>
        <w:t>Appendix 2: Ratio Calculation Tables</w:t>
      </w:r>
      <w:bookmarkEnd w:id="29"/>
    </w:p>
    <w:p w14:paraId="66216F17" w14:textId="78B16A8E" w:rsidR="0022672C" w:rsidRPr="00CE2B0C" w:rsidRDefault="00B52EA2" w:rsidP="002D1B85">
      <w:pPr>
        <w:pStyle w:val="Caption"/>
        <w:spacing w:line="360" w:lineRule="auto"/>
        <w:rPr>
          <w:rFonts w:ascii="Arial" w:eastAsia="Arial" w:hAnsi="Arial" w:cs="Arial"/>
          <w:i w:val="0"/>
          <w:iCs w:val="0"/>
          <w:color w:val="444444"/>
          <w:sz w:val="24"/>
          <w:szCs w:val="24"/>
          <w:lang w:val="en-GB"/>
        </w:rPr>
      </w:pPr>
      <w:bookmarkStart w:id="30" w:name="_Toc227448977"/>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6</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00995993" w:rsidRPr="00CE2B0C">
        <w:rPr>
          <w:rFonts w:ascii="Arial" w:eastAsia="Arial" w:hAnsi="Arial" w:cs="Arial"/>
          <w:color w:val="444444"/>
          <w:sz w:val="24"/>
          <w:szCs w:val="24"/>
          <w:lang w:val="en-GB"/>
        </w:rPr>
        <w:t>Volkswagen Group — Full Ratio Analysis (202</w:t>
      </w:r>
      <w:r w:rsidR="003B115A" w:rsidRPr="00CE2B0C">
        <w:rPr>
          <w:rFonts w:ascii="Arial" w:eastAsia="Arial" w:hAnsi="Arial" w:cs="Arial"/>
          <w:color w:val="444444"/>
          <w:sz w:val="24"/>
          <w:szCs w:val="24"/>
          <w:lang w:val="en-GB"/>
        </w:rPr>
        <w:t>0</w:t>
      </w:r>
      <w:r w:rsidR="00995993" w:rsidRPr="00CE2B0C">
        <w:rPr>
          <w:rFonts w:ascii="Arial" w:eastAsia="Arial" w:hAnsi="Arial" w:cs="Arial"/>
          <w:color w:val="444444"/>
          <w:sz w:val="24"/>
          <w:szCs w:val="24"/>
          <w:lang w:val="en-GB"/>
        </w:rPr>
        <w:t>–202</w:t>
      </w:r>
      <w:r w:rsidR="003B115A" w:rsidRPr="00CE2B0C">
        <w:rPr>
          <w:rFonts w:ascii="Arial" w:eastAsia="Arial" w:hAnsi="Arial" w:cs="Arial"/>
          <w:color w:val="444444"/>
          <w:sz w:val="24"/>
          <w:szCs w:val="24"/>
          <w:lang w:val="en-GB"/>
        </w:rPr>
        <w:t>4</w:t>
      </w:r>
      <w:r w:rsidR="00995993" w:rsidRPr="00CE2B0C">
        <w:rPr>
          <w:rFonts w:ascii="Arial" w:eastAsia="Arial" w:hAnsi="Arial" w:cs="Arial"/>
          <w:color w:val="444444"/>
          <w:sz w:val="24"/>
          <w:szCs w:val="24"/>
          <w:lang w:val="en-GB"/>
        </w:rPr>
        <w:t>).</w:t>
      </w:r>
      <w:bookmarkEnd w:id="30"/>
      <w:r w:rsidR="00995993" w:rsidRPr="00CE2B0C">
        <w:rPr>
          <w:rFonts w:ascii="Arial" w:eastAsia="Arial" w:hAnsi="Arial" w:cs="Arial"/>
          <w:color w:val="444444"/>
          <w:sz w:val="24"/>
          <w:szCs w:val="24"/>
          <w:lang w:val="en-GB"/>
        </w:rPr>
        <w:t xml:space="preserve"> </w:t>
      </w:r>
    </w:p>
    <w:p w14:paraId="1B35EF88" w14:textId="48E72273" w:rsidR="00995993" w:rsidRPr="00CE2B0C" w:rsidRDefault="00995993" w:rsidP="002D1B85">
      <w:pPr>
        <w:spacing w:before="80" w:after="40" w:line="360" w:lineRule="auto"/>
        <w:rPr>
          <w:rFonts w:ascii="Arial" w:hAnsi="Arial" w:cs="Arial"/>
          <w:lang w:val="en-GB"/>
        </w:rPr>
      </w:pPr>
      <w:r w:rsidRPr="00CE2B0C">
        <w:rPr>
          <w:rFonts w:ascii="Arial" w:eastAsia="Arial" w:hAnsi="Arial" w:cs="Arial"/>
          <w:i/>
          <w:iCs/>
          <w:color w:val="444444"/>
          <w:lang w:val="en-GB"/>
        </w:rPr>
        <w:t>Source: Calculated from VW Group Annual Reports.</w:t>
      </w:r>
    </w:p>
    <w:tbl>
      <w:tblPr>
        <w:tblW w:w="8513" w:type="dxa"/>
        <w:tblInd w:w="108" w:type="dxa"/>
        <w:tblLook w:val="04A0" w:firstRow="1" w:lastRow="0" w:firstColumn="1" w:lastColumn="0" w:noHBand="0" w:noVBand="1"/>
      </w:tblPr>
      <w:tblGrid>
        <w:gridCol w:w="2151"/>
        <w:gridCol w:w="2469"/>
        <w:gridCol w:w="903"/>
        <w:gridCol w:w="903"/>
        <w:gridCol w:w="903"/>
        <w:gridCol w:w="903"/>
        <w:gridCol w:w="903"/>
      </w:tblGrid>
      <w:tr w:rsidR="004327A5" w:rsidRPr="00CE2B0C" w14:paraId="2509B5DC" w14:textId="77777777" w:rsidTr="00673843">
        <w:trPr>
          <w:trHeight w:val="900"/>
        </w:trPr>
        <w:tc>
          <w:tcPr>
            <w:tcW w:w="8513" w:type="dxa"/>
            <w:gridSpan w:val="7"/>
            <w:tcBorders>
              <w:top w:val="nil"/>
              <w:left w:val="nil"/>
              <w:bottom w:val="nil"/>
              <w:right w:val="nil"/>
            </w:tcBorders>
            <w:shd w:val="clear" w:color="333399" w:fill="1F3864"/>
            <w:vAlign w:val="center"/>
            <w:hideMark/>
          </w:tcPr>
          <w:p w14:paraId="17B20F82" w14:textId="77777777" w:rsidR="004327A5" w:rsidRPr="00CE2B0C" w:rsidRDefault="004327A5" w:rsidP="004327A5">
            <w:pPr>
              <w:spacing w:after="0" w:line="240" w:lineRule="auto"/>
              <w:jc w:val="center"/>
              <w:rPr>
                <w:rFonts w:ascii="Arial" w:eastAsia="Times New Roman" w:hAnsi="Arial" w:cs="Arial"/>
                <w:b/>
                <w:bCs/>
                <w:color w:val="FFFFFF"/>
                <w:kern w:val="0"/>
                <w:sz w:val="26"/>
                <w:szCs w:val="26"/>
                <w:lang w:val="en-GB"/>
                <w14:ligatures w14:val="none"/>
              </w:rPr>
            </w:pPr>
            <w:r w:rsidRPr="00CE2B0C">
              <w:rPr>
                <w:rFonts w:ascii="Arial" w:eastAsia="Times New Roman" w:hAnsi="Arial" w:cs="Arial"/>
                <w:b/>
                <w:bCs/>
                <w:color w:val="FFFFFF"/>
                <w:kern w:val="0"/>
                <w:sz w:val="26"/>
                <w:szCs w:val="26"/>
                <w:lang w:val="en-GB"/>
                <w14:ligatures w14:val="none"/>
              </w:rPr>
              <w:t>VOLKSWAGEN GROUP — COMPREHENSIVE RATIO ANALYSIS (2020–2024)</w:t>
            </w:r>
          </w:p>
        </w:tc>
      </w:tr>
      <w:tr w:rsidR="004327A5" w:rsidRPr="00CE2B0C" w14:paraId="2E88A928" w14:textId="77777777" w:rsidTr="004327A5">
        <w:trPr>
          <w:trHeight w:val="272"/>
        </w:trPr>
        <w:tc>
          <w:tcPr>
            <w:tcW w:w="2254" w:type="dxa"/>
            <w:tcBorders>
              <w:top w:val="nil"/>
              <w:left w:val="nil"/>
              <w:bottom w:val="nil"/>
              <w:right w:val="nil"/>
            </w:tcBorders>
            <w:shd w:val="clear" w:color="333399" w:fill="2E5DA6"/>
            <w:vAlign w:val="center"/>
            <w:hideMark/>
          </w:tcPr>
          <w:p w14:paraId="00928547"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Ratio</w:t>
            </w:r>
          </w:p>
        </w:tc>
        <w:tc>
          <w:tcPr>
            <w:tcW w:w="2589" w:type="dxa"/>
            <w:tcBorders>
              <w:top w:val="nil"/>
              <w:left w:val="nil"/>
              <w:bottom w:val="nil"/>
              <w:right w:val="nil"/>
            </w:tcBorders>
            <w:shd w:val="clear" w:color="333399" w:fill="2E5DA6"/>
            <w:vAlign w:val="center"/>
            <w:hideMark/>
          </w:tcPr>
          <w:p w14:paraId="100FABCB"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 xml:space="preserve">Formula </w:t>
            </w:r>
          </w:p>
        </w:tc>
        <w:tc>
          <w:tcPr>
            <w:tcW w:w="733" w:type="dxa"/>
            <w:tcBorders>
              <w:top w:val="nil"/>
              <w:left w:val="nil"/>
              <w:bottom w:val="nil"/>
              <w:right w:val="nil"/>
            </w:tcBorders>
            <w:shd w:val="clear" w:color="333399" w:fill="2E5DA6"/>
            <w:vAlign w:val="center"/>
            <w:hideMark/>
          </w:tcPr>
          <w:p w14:paraId="443E4AA9"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2020</w:t>
            </w:r>
          </w:p>
        </w:tc>
        <w:tc>
          <w:tcPr>
            <w:tcW w:w="733" w:type="dxa"/>
            <w:tcBorders>
              <w:top w:val="nil"/>
              <w:left w:val="nil"/>
              <w:bottom w:val="nil"/>
              <w:right w:val="nil"/>
            </w:tcBorders>
            <w:shd w:val="clear" w:color="333399" w:fill="2E5DA6"/>
            <w:vAlign w:val="center"/>
            <w:hideMark/>
          </w:tcPr>
          <w:p w14:paraId="24C3186A"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2021</w:t>
            </w:r>
          </w:p>
        </w:tc>
        <w:tc>
          <w:tcPr>
            <w:tcW w:w="733" w:type="dxa"/>
            <w:tcBorders>
              <w:top w:val="nil"/>
              <w:left w:val="nil"/>
              <w:bottom w:val="nil"/>
              <w:right w:val="nil"/>
            </w:tcBorders>
            <w:shd w:val="clear" w:color="333399" w:fill="2E5DA6"/>
            <w:vAlign w:val="center"/>
            <w:hideMark/>
          </w:tcPr>
          <w:p w14:paraId="6B8C6296"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2022</w:t>
            </w:r>
          </w:p>
        </w:tc>
        <w:tc>
          <w:tcPr>
            <w:tcW w:w="733" w:type="dxa"/>
            <w:tcBorders>
              <w:top w:val="nil"/>
              <w:left w:val="nil"/>
              <w:bottom w:val="nil"/>
              <w:right w:val="nil"/>
            </w:tcBorders>
            <w:shd w:val="clear" w:color="333399" w:fill="2E5DA6"/>
            <w:vAlign w:val="center"/>
            <w:hideMark/>
          </w:tcPr>
          <w:p w14:paraId="03AF0AA8"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2023</w:t>
            </w:r>
          </w:p>
        </w:tc>
        <w:tc>
          <w:tcPr>
            <w:tcW w:w="733" w:type="dxa"/>
            <w:tcBorders>
              <w:top w:val="nil"/>
              <w:left w:val="nil"/>
              <w:bottom w:val="nil"/>
              <w:right w:val="nil"/>
            </w:tcBorders>
            <w:shd w:val="clear" w:color="333399" w:fill="2E5DA6"/>
            <w:vAlign w:val="center"/>
            <w:hideMark/>
          </w:tcPr>
          <w:p w14:paraId="6D3893BD" w14:textId="77777777" w:rsidR="004327A5" w:rsidRPr="00CE2B0C" w:rsidRDefault="004327A5" w:rsidP="004327A5">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2024</w:t>
            </w:r>
          </w:p>
        </w:tc>
      </w:tr>
      <w:tr w:rsidR="004327A5" w:rsidRPr="00CE2B0C" w14:paraId="3DF366C7"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4BCE21CC"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PROFITABILITY RATIOS</w:t>
            </w:r>
          </w:p>
        </w:tc>
      </w:tr>
      <w:tr w:rsidR="004327A5" w:rsidRPr="00CE2B0C" w14:paraId="6BA1C51C"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noWrap/>
            <w:vAlign w:val="center"/>
            <w:hideMark/>
          </w:tcPr>
          <w:p w14:paraId="3DBAA7B3"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Gross Profit Margin (%)</w:t>
            </w:r>
          </w:p>
        </w:tc>
        <w:tc>
          <w:tcPr>
            <w:tcW w:w="2589" w:type="dxa"/>
            <w:tcBorders>
              <w:top w:val="single" w:sz="4" w:space="0" w:color="BFBFBF"/>
              <w:left w:val="nil"/>
              <w:bottom w:val="single" w:sz="4" w:space="0" w:color="BFBFBF"/>
              <w:right w:val="single" w:sz="4" w:space="0" w:color="BFBFBF"/>
            </w:tcBorders>
            <w:noWrap/>
            <w:vAlign w:val="bottom"/>
            <w:hideMark/>
          </w:tcPr>
          <w:p w14:paraId="3CC05BD7"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Gross Profit ÷ Sales Revenue</w:t>
            </w:r>
          </w:p>
        </w:tc>
        <w:tc>
          <w:tcPr>
            <w:tcW w:w="733" w:type="dxa"/>
            <w:tcBorders>
              <w:top w:val="single" w:sz="4" w:space="0" w:color="BFBFBF"/>
              <w:left w:val="nil"/>
              <w:bottom w:val="single" w:sz="4" w:space="0" w:color="BFBFBF"/>
              <w:right w:val="single" w:sz="4" w:space="0" w:color="BFBFBF"/>
            </w:tcBorders>
            <w:noWrap/>
            <w:vAlign w:val="center"/>
            <w:hideMark/>
          </w:tcPr>
          <w:p w14:paraId="3A900A77"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17.5%</w:t>
            </w:r>
          </w:p>
        </w:tc>
        <w:tc>
          <w:tcPr>
            <w:tcW w:w="733" w:type="dxa"/>
            <w:tcBorders>
              <w:top w:val="single" w:sz="4" w:space="0" w:color="BFBFBF"/>
              <w:left w:val="nil"/>
              <w:bottom w:val="single" w:sz="4" w:space="0" w:color="BFBFBF"/>
              <w:right w:val="single" w:sz="4" w:space="0" w:color="BFBFBF"/>
            </w:tcBorders>
            <w:noWrap/>
            <w:vAlign w:val="center"/>
            <w:hideMark/>
          </w:tcPr>
          <w:p w14:paraId="42EE5C6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18.9%</w:t>
            </w:r>
          </w:p>
        </w:tc>
        <w:tc>
          <w:tcPr>
            <w:tcW w:w="733" w:type="dxa"/>
            <w:tcBorders>
              <w:top w:val="single" w:sz="4" w:space="0" w:color="BFBFBF"/>
              <w:left w:val="nil"/>
              <w:bottom w:val="single" w:sz="4" w:space="0" w:color="BFBFBF"/>
              <w:right w:val="single" w:sz="4" w:space="0" w:color="BFBFBF"/>
            </w:tcBorders>
            <w:noWrap/>
            <w:vAlign w:val="center"/>
            <w:hideMark/>
          </w:tcPr>
          <w:p w14:paraId="4D5AFDA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18.7%</w:t>
            </w:r>
          </w:p>
        </w:tc>
        <w:tc>
          <w:tcPr>
            <w:tcW w:w="733" w:type="dxa"/>
            <w:tcBorders>
              <w:top w:val="single" w:sz="4" w:space="0" w:color="BFBFBF"/>
              <w:left w:val="nil"/>
              <w:bottom w:val="single" w:sz="4" w:space="0" w:color="BFBFBF"/>
              <w:right w:val="single" w:sz="4" w:space="0" w:color="BFBFBF"/>
            </w:tcBorders>
            <w:noWrap/>
            <w:vAlign w:val="center"/>
            <w:hideMark/>
          </w:tcPr>
          <w:p w14:paraId="36C2F37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18.9%</w:t>
            </w:r>
          </w:p>
        </w:tc>
        <w:tc>
          <w:tcPr>
            <w:tcW w:w="733" w:type="dxa"/>
            <w:tcBorders>
              <w:top w:val="single" w:sz="4" w:space="0" w:color="BFBFBF"/>
              <w:left w:val="nil"/>
              <w:bottom w:val="single" w:sz="4" w:space="0" w:color="BFBFBF"/>
              <w:right w:val="single" w:sz="4" w:space="0" w:color="BFBFBF"/>
            </w:tcBorders>
            <w:noWrap/>
            <w:vAlign w:val="center"/>
            <w:hideMark/>
          </w:tcPr>
          <w:p w14:paraId="70042F9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18.3%</w:t>
            </w:r>
          </w:p>
        </w:tc>
      </w:tr>
      <w:tr w:rsidR="004327A5" w:rsidRPr="00CE2B0C" w14:paraId="68C77AC9"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3813B1B1"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EBIT Margin (%)</w:t>
            </w:r>
          </w:p>
        </w:tc>
        <w:tc>
          <w:tcPr>
            <w:tcW w:w="2589" w:type="dxa"/>
            <w:tcBorders>
              <w:top w:val="nil"/>
              <w:left w:val="nil"/>
              <w:bottom w:val="single" w:sz="4" w:space="0" w:color="BFBFBF"/>
              <w:right w:val="single" w:sz="4" w:space="0" w:color="BFBFBF"/>
            </w:tcBorders>
            <w:shd w:val="clear" w:color="F9F9F9" w:fill="F7F9FC"/>
            <w:noWrap/>
            <w:vAlign w:val="bottom"/>
            <w:hideMark/>
          </w:tcPr>
          <w:p w14:paraId="6694AA24"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EBIT ÷ Sales Revenue</w:t>
            </w:r>
          </w:p>
        </w:tc>
        <w:tc>
          <w:tcPr>
            <w:tcW w:w="733" w:type="dxa"/>
            <w:tcBorders>
              <w:top w:val="nil"/>
              <w:left w:val="nil"/>
              <w:bottom w:val="single" w:sz="4" w:space="0" w:color="BFBFBF"/>
              <w:right w:val="single" w:sz="4" w:space="0" w:color="BFBFBF"/>
            </w:tcBorders>
            <w:shd w:val="clear" w:color="F9F9F9" w:fill="F7F9FC"/>
            <w:noWrap/>
            <w:vAlign w:val="center"/>
            <w:hideMark/>
          </w:tcPr>
          <w:p w14:paraId="705014E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4.3%</w:t>
            </w:r>
          </w:p>
        </w:tc>
        <w:tc>
          <w:tcPr>
            <w:tcW w:w="733" w:type="dxa"/>
            <w:tcBorders>
              <w:top w:val="nil"/>
              <w:left w:val="nil"/>
              <w:bottom w:val="single" w:sz="4" w:space="0" w:color="BFBFBF"/>
              <w:right w:val="single" w:sz="4" w:space="0" w:color="BFBFBF"/>
            </w:tcBorders>
            <w:shd w:val="clear" w:color="F9F9F9" w:fill="F7F9FC"/>
            <w:noWrap/>
            <w:vAlign w:val="center"/>
            <w:hideMark/>
          </w:tcPr>
          <w:p w14:paraId="4B3F868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7.7%</w:t>
            </w:r>
          </w:p>
        </w:tc>
        <w:tc>
          <w:tcPr>
            <w:tcW w:w="733" w:type="dxa"/>
            <w:tcBorders>
              <w:top w:val="nil"/>
              <w:left w:val="nil"/>
              <w:bottom w:val="single" w:sz="4" w:space="0" w:color="BFBFBF"/>
              <w:right w:val="single" w:sz="4" w:space="0" w:color="BFBFBF"/>
            </w:tcBorders>
            <w:shd w:val="clear" w:color="F9F9F9" w:fill="F7F9FC"/>
            <w:noWrap/>
            <w:vAlign w:val="center"/>
            <w:hideMark/>
          </w:tcPr>
          <w:p w14:paraId="5F18354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7.9%</w:t>
            </w:r>
          </w:p>
        </w:tc>
        <w:tc>
          <w:tcPr>
            <w:tcW w:w="733" w:type="dxa"/>
            <w:tcBorders>
              <w:top w:val="nil"/>
              <w:left w:val="nil"/>
              <w:bottom w:val="single" w:sz="4" w:space="0" w:color="BFBFBF"/>
              <w:right w:val="single" w:sz="4" w:space="0" w:color="BFBFBF"/>
            </w:tcBorders>
            <w:shd w:val="clear" w:color="F9F9F9" w:fill="F7F9FC"/>
            <w:noWrap/>
            <w:vAlign w:val="center"/>
            <w:hideMark/>
          </w:tcPr>
          <w:p w14:paraId="3EC05E3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7.0%</w:t>
            </w:r>
          </w:p>
        </w:tc>
        <w:tc>
          <w:tcPr>
            <w:tcW w:w="733" w:type="dxa"/>
            <w:tcBorders>
              <w:top w:val="nil"/>
              <w:left w:val="nil"/>
              <w:bottom w:val="single" w:sz="4" w:space="0" w:color="BFBFBF"/>
              <w:right w:val="single" w:sz="4" w:space="0" w:color="BFBFBF"/>
            </w:tcBorders>
            <w:shd w:val="clear" w:color="F9F9F9" w:fill="F7F9FC"/>
            <w:noWrap/>
            <w:vAlign w:val="center"/>
            <w:hideMark/>
          </w:tcPr>
          <w:p w14:paraId="74EAA4F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5.9%</w:t>
            </w:r>
          </w:p>
        </w:tc>
      </w:tr>
      <w:tr w:rsidR="004327A5" w:rsidRPr="00CE2B0C" w14:paraId="1673DB8B"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47BE4FF4"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Net Profit Margin (%)</w:t>
            </w:r>
          </w:p>
        </w:tc>
        <w:tc>
          <w:tcPr>
            <w:tcW w:w="2589" w:type="dxa"/>
            <w:tcBorders>
              <w:top w:val="nil"/>
              <w:left w:val="nil"/>
              <w:bottom w:val="single" w:sz="4" w:space="0" w:color="BFBFBF"/>
              <w:right w:val="single" w:sz="4" w:space="0" w:color="BFBFBF"/>
            </w:tcBorders>
            <w:noWrap/>
            <w:vAlign w:val="bottom"/>
            <w:hideMark/>
          </w:tcPr>
          <w:p w14:paraId="6B0E22C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Net Income ÷ Sales Revenue</w:t>
            </w:r>
          </w:p>
        </w:tc>
        <w:tc>
          <w:tcPr>
            <w:tcW w:w="733" w:type="dxa"/>
            <w:tcBorders>
              <w:top w:val="nil"/>
              <w:left w:val="nil"/>
              <w:bottom w:val="single" w:sz="4" w:space="0" w:color="BFBFBF"/>
              <w:right w:val="single" w:sz="4" w:space="0" w:color="BFBFBF"/>
            </w:tcBorders>
            <w:noWrap/>
            <w:vAlign w:val="center"/>
            <w:hideMark/>
          </w:tcPr>
          <w:p w14:paraId="1859E02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4.0%</w:t>
            </w:r>
          </w:p>
        </w:tc>
        <w:tc>
          <w:tcPr>
            <w:tcW w:w="733" w:type="dxa"/>
            <w:tcBorders>
              <w:top w:val="nil"/>
              <w:left w:val="nil"/>
              <w:bottom w:val="single" w:sz="4" w:space="0" w:color="BFBFBF"/>
              <w:right w:val="single" w:sz="4" w:space="0" w:color="BFBFBF"/>
            </w:tcBorders>
            <w:noWrap/>
            <w:vAlign w:val="center"/>
            <w:hideMark/>
          </w:tcPr>
          <w:p w14:paraId="4AF9DFC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6.2%</w:t>
            </w:r>
          </w:p>
        </w:tc>
        <w:tc>
          <w:tcPr>
            <w:tcW w:w="733" w:type="dxa"/>
            <w:tcBorders>
              <w:top w:val="nil"/>
              <w:left w:val="nil"/>
              <w:bottom w:val="single" w:sz="4" w:space="0" w:color="BFBFBF"/>
              <w:right w:val="single" w:sz="4" w:space="0" w:color="BFBFBF"/>
            </w:tcBorders>
            <w:noWrap/>
            <w:vAlign w:val="center"/>
            <w:hideMark/>
          </w:tcPr>
          <w:p w14:paraId="6F0A054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5.7%</w:t>
            </w:r>
          </w:p>
        </w:tc>
        <w:tc>
          <w:tcPr>
            <w:tcW w:w="733" w:type="dxa"/>
            <w:tcBorders>
              <w:top w:val="nil"/>
              <w:left w:val="nil"/>
              <w:bottom w:val="single" w:sz="4" w:space="0" w:color="BFBFBF"/>
              <w:right w:val="single" w:sz="4" w:space="0" w:color="BFBFBF"/>
            </w:tcBorders>
            <w:noWrap/>
            <w:vAlign w:val="center"/>
            <w:hideMark/>
          </w:tcPr>
          <w:p w14:paraId="6E79023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5.6%</w:t>
            </w:r>
          </w:p>
        </w:tc>
        <w:tc>
          <w:tcPr>
            <w:tcW w:w="733" w:type="dxa"/>
            <w:tcBorders>
              <w:top w:val="nil"/>
              <w:left w:val="nil"/>
              <w:bottom w:val="single" w:sz="4" w:space="0" w:color="BFBFBF"/>
              <w:right w:val="single" w:sz="4" w:space="0" w:color="BFBFBF"/>
            </w:tcBorders>
            <w:noWrap/>
            <w:vAlign w:val="center"/>
            <w:hideMark/>
          </w:tcPr>
          <w:p w14:paraId="3356728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3.8%</w:t>
            </w:r>
          </w:p>
        </w:tc>
      </w:tr>
      <w:tr w:rsidR="004327A5" w:rsidRPr="00CE2B0C" w14:paraId="2AE17B91"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75BA0FB3"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Return on Assets - ROA (%)</w:t>
            </w:r>
          </w:p>
        </w:tc>
        <w:tc>
          <w:tcPr>
            <w:tcW w:w="2589" w:type="dxa"/>
            <w:tcBorders>
              <w:top w:val="nil"/>
              <w:left w:val="nil"/>
              <w:bottom w:val="single" w:sz="4" w:space="0" w:color="BFBFBF"/>
              <w:right w:val="single" w:sz="4" w:space="0" w:color="BFBFBF"/>
            </w:tcBorders>
            <w:shd w:val="clear" w:color="F9F9F9" w:fill="F7F9FC"/>
            <w:noWrap/>
            <w:vAlign w:val="bottom"/>
            <w:hideMark/>
          </w:tcPr>
          <w:p w14:paraId="7DF94CA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Net Income ÷ Total Assets</w:t>
            </w:r>
          </w:p>
        </w:tc>
        <w:tc>
          <w:tcPr>
            <w:tcW w:w="733" w:type="dxa"/>
            <w:tcBorders>
              <w:top w:val="nil"/>
              <w:left w:val="nil"/>
              <w:bottom w:val="single" w:sz="4" w:space="0" w:color="BFBFBF"/>
              <w:right w:val="single" w:sz="4" w:space="0" w:color="BFBFBF"/>
            </w:tcBorders>
            <w:shd w:val="clear" w:color="F9F9F9" w:fill="F7F9FC"/>
            <w:noWrap/>
            <w:vAlign w:val="center"/>
            <w:hideMark/>
          </w:tcPr>
          <w:p w14:paraId="5FFF4C0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w:t>
            </w:r>
          </w:p>
        </w:tc>
        <w:tc>
          <w:tcPr>
            <w:tcW w:w="733" w:type="dxa"/>
            <w:tcBorders>
              <w:top w:val="nil"/>
              <w:left w:val="nil"/>
              <w:bottom w:val="single" w:sz="4" w:space="0" w:color="BFBFBF"/>
              <w:right w:val="single" w:sz="4" w:space="0" w:color="BFBFBF"/>
            </w:tcBorders>
            <w:shd w:val="clear" w:color="F9F9F9" w:fill="F7F9FC"/>
            <w:noWrap/>
            <w:vAlign w:val="center"/>
            <w:hideMark/>
          </w:tcPr>
          <w:p w14:paraId="6015B2B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w:t>
            </w:r>
          </w:p>
        </w:tc>
        <w:tc>
          <w:tcPr>
            <w:tcW w:w="733" w:type="dxa"/>
            <w:tcBorders>
              <w:top w:val="nil"/>
              <w:left w:val="nil"/>
              <w:bottom w:val="single" w:sz="4" w:space="0" w:color="BFBFBF"/>
              <w:right w:val="single" w:sz="4" w:space="0" w:color="BFBFBF"/>
            </w:tcBorders>
            <w:shd w:val="clear" w:color="F9F9F9" w:fill="F7F9FC"/>
            <w:noWrap/>
            <w:vAlign w:val="center"/>
            <w:hideMark/>
          </w:tcPr>
          <w:p w14:paraId="3B76EDF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w:t>
            </w:r>
          </w:p>
        </w:tc>
        <w:tc>
          <w:tcPr>
            <w:tcW w:w="733" w:type="dxa"/>
            <w:tcBorders>
              <w:top w:val="nil"/>
              <w:left w:val="nil"/>
              <w:bottom w:val="single" w:sz="4" w:space="0" w:color="BFBFBF"/>
              <w:right w:val="single" w:sz="4" w:space="0" w:color="BFBFBF"/>
            </w:tcBorders>
            <w:shd w:val="clear" w:color="F9F9F9" w:fill="F7F9FC"/>
            <w:noWrap/>
            <w:vAlign w:val="center"/>
            <w:hideMark/>
          </w:tcPr>
          <w:p w14:paraId="5C9375B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3.0%</w:t>
            </w:r>
          </w:p>
        </w:tc>
        <w:tc>
          <w:tcPr>
            <w:tcW w:w="733" w:type="dxa"/>
            <w:tcBorders>
              <w:top w:val="nil"/>
              <w:left w:val="nil"/>
              <w:bottom w:val="single" w:sz="4" w:space="0" w:color="BFBFBF"/>
              <w:right w:val="single" w:sz="4" w:space="0" w:color="BFBFBF"/>
            </w:tcBorders>
            <w:shd w:val="clear" w:color="F9F9F9" w:fill="F7F9FC"/>
            <w:noWrap/>
            <w:vAlign w:val="center"/>
            <w:hideMark/>
          </w:tcPr>
          <w:p w14:paraId="2016EF27"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2.0%</w:t>
            </w:r>
          </w:p>
        </w:tc>
      </w:tr>
      <w:tr w:rsidR="004327A5" w:rsidRPr="00CE2B0C" w14:paraId="2AE948DC"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274E3FB2"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Return on Equity - ROE (%)</w:t>
            </w:r>
          </w:p>
        </w:tc>
        <w:tc>
          <w:tcPr>
            <w:tcW w:w="2589" w:type="dxa"/>
            <w:tcBorders>
              <w:top w:val="nil"/>
              <w:left w:val="nil"/>
              <w:bottom w:val="single" w:sz="4" w:space="0" w:color="BFBFBF"/>
              <w:right w:val="single" w:sz="4" w:space="0" w:color="BFBFBF"/>
            </w:tcBorders>
            <w:noWrap/>
            <w:vAlign w:val="bottom"/>
            <w:hideMark/>
          </w:tcPr>
          <w:p w14:paraId="7FEE5738"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Net Income ÷ Total Equity</w:t>
            </w:r>
          </w:p>
        </w:tc>
        <w:tc>
          <w:tcPr>
            <w:tcW w:w="733" w:type="dxa"/>
            <w:tcBorders>
              <w:top w:val="nil"/>
              <w:left w:val="nil"/>
              <w:bottom w:val="single" w:sz="4" w:space="0" w:color="BFBFBF"/>
              <w:right w:val="single" w:sz="4" w:space="0" w:color="BFBFBF"/>
            </w:tcBorders>
            <w:noWrap/>
            <w:vAlign w:val="center"/>
            <w:hideMark/>
          </w:tcPr>
          <w:p w14:paraId="7594EB1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6.9%</w:t>
            </w:r>
          </w:p>
        </w:tc>
        <w:tc>
          <w:tcPr>
            <w:tcW w:w="733" w:type="dxa"/>
            <w:tcBorders>
              <w:top w:val="nil"/>
              <w:left w:val="nil"/>
              <w:bottom w:val="single" w:sz="4" w:space="0" w:color="BFBFBF"/>
              <w:right w:val="single" w:sz="4" w:space="0" w:color="BFBFBF"/>
            </w:tcBorders>
            <w:noWrap/>
            <w:vAlign w:val="center"/>
            <w:hideMark/>
          </w:tcPr>
          <w:p w14:paraId="6D0BB2F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10.6%</w:t>
            </w:r>
          </w:p>
        </w:tc>
        <w:tc>
          <w:tcPr>
            <w:tcW w:w="733" w:type="dxa"/>
            <w:tcBorders>
              <w:top w:val="nil"/>
              <w:left w:val="nil"/>
              <w:bottom w:val="single" w:sz="4" w:space="0" w:color="BFBFBF"/>
              <w:right w:val="single" w:sz="4" w:space="0" w:color="BFBFBF"/>
            </w:tcBorders>
            <w:noWrap/>
            <w:vAlign w:val="center"/>
            <w:hideMark/>
          </w:tcPr>
          <w:p w14:paraId="74DE617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8.9%</w:t>
            </w:r>
          </w:p>
        </w:tc>
        <w:tc>
          <w:tcPr>
            <w:tcW w:w="733" w:type="dxa"/>
            <w:tcBorders>
              <w:top w:val="nil"/>
              <w:left w:val="nil"/>
              <w:bottom w:val="single" w:sz="4" w:space="0" w:color="BFBFBF"/>
              <w:right w:val="single" w:sz="4" w:space="0" w:color="BFBFBF"/>
            </w:tcBorders>
            <w:noWrap/>
            <w:vAlign w:val="center"/>
            <w:hideMark/>
          </w:tcPr>
          <w:p w14:paraId="124DC5B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9.4%</w:t>
            </w:r>
          </w:p>
        </w:tc>
        <w:tc>
          <w:tcPr>
            <w:tcW w:w="733" w:type="dxa"/>
            <w:tcBorders>
              <w:top w:val="nil"/>
              <w:left w:val="nil"/>
              <w:bottom w:val="single" w:sz="4" w:space="0" w:color="BFBFBF"/>
              <w:right w:val="single" w:sz="4" w:space="0" w:color="BFBFBF"/>
            </w:tcBorders>
            <w:noWrap/>
            <w:vAlign w:val="center"/>
            <w:hideMark/>
          </w:tcPr>
          <w:p w14:paraId="4CA68280"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6.3%</w:t>
            </w:r>
          </w:p>
        </w:tc>
      </w:tr>
      <w:tr w:rsidR="004327A5" w:rsidRPr="00CE2B0C" w14:paraId="1B87FD8E"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529CEA06"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Return on Capital Employed - ROCE (%)</w:t>
            </w:r>
          </w:p>
        </w:tc>
        <w:tc>
          <w:tcPr>
            <w:tcW w:w="2589" w:type="dxa"/>
            <w:tcBorders>
              <w:top w:val="nil"/>
              <w:left w:val="nil"/>
              <w:bottom w:val="single" w:sz="4" w:space="0" w:color="BFBFBF"/>
              <w:right w:val="single" w:sz="4" w:space="0" w:color="BFBFBF"/>
            </w:tcBorders>
            <w:shd w:val="clear" w:color="F9F9F9" w:fill="F7F9FC"/>
            <w:noWrap/>
            <w:vAlign w:val="bottom"/>
            <w:hideMark/>
          </w:tcPr>
          <w:p w14:paraId="68CADAAB" w14:textId="516FC0ED"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EBIT ÷ (Total Assets − Current Liabilities) [Capital Employed]</w:t>
            </w:r>
          </w:p>
        </w:tc>
        <w:tc>
          <w:tcPr>
            <w:tcW w:w="733" w:type="dxa"/>
            <w:tcBorders>
              <w:top w:val="nil"/>
              <w:left w:val="nil"/>
              <w:bottom w:val="single" w:sz="4" w:space="0" w:color="BFBFBF"/>
              <w:right w:val="single" w:sz="4" w:space="0" w:color="BFBFBF"/>
            </w:tcBorders>
            <w:shd w:val="clear" w:color="F9F9F9" w:fill="F7F9FC"/>
            <w:noWrap/>
            <w:vAlign w:val="center"/>
            <w:hideMark/>
          </w:tcPr>
          <w:p w14:paraId="4933C0F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w:t>
            </w:r>
          </w:p>
        </w:tc>
        <w:tc>
          <w:tcPr>
            <w:tcW w:w="733" w:type="dxa"/>
            <w:tcBorders>
              <w:top w:val="nil"/>
              <w:left w:val="nil"/>
              <w:bottom w:val="single" w:sz="4" w:space="0" w:color="BFBFBF"/>
              <w:right w:val="single" w:sz="4" w:space="0" w:color="BFBFBF"/>
            </w:tcBorders>
            <w:shd w:val="clear" w:color="F9F9F9" w:fill="F7F9FC"/>
            <w:noWrap/>
            <w:vAlign w:val="center"/>
            <w:hideMark/>
          </w:tcPr>
          <w:p w14:paraId="617DA9D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5.3%</w:t>
            </w:r>
          </w:p>
        </w:tc>
        <w:tc>
          <w:tcPr>
            <w:tcW w:w="733" w:type="dxa"/>
            <w:tcBorders>
              <w:top w:val="nil"/>
              <w:left w:val="nil"/>
              <w:bottom w:val="single" w:sz="4" w:space="0" w:color="BFBFBF"/>
              <w:right w:val="single" w:sz="4" w:space="0" w:color="BFBFBF"/>
            </w:tcBorders>
            <w:shd w:val="clear" w:color="F9F9F9" w:fill="F7F9FC"/>
            <w:noWrap/>
            <w:vAlign w:val="center"/>
            <w:hideMark/>
          </w:tcPr>
          <w:p w14:paraId="2CE9006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5.8%</w:t>
            </w:r>
          </w:p>
        </w:tc>
        <w:tc>
          <w:tcPr>
            <w:tcW w:w="733" w:type="dxa"/>
            <w:tcBorders>
              <w:top w:val="nil"/>
              <w:left w:val="nil"/>
              <w:bottom w:val="single" w:sz="4" w:space="0" w:color="BFBFBF"/>
              <w:right w:val="single" w:sz="4" w:space="0" w:color="BFBFBF"/>
            </w:tcBorders>
            <w:shd w:val="clear" w:color="F9F9F9" w:fill="F7F9FC"/>
            <w:noWrap/>
            <w:vAlign w:val="center"/>
            <w:hideMark/>
          </w:tcPr>
          <w:p w14:paraId="01C1802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5.7%</w:t>
            </w:r>
          </w:p>
        </w:tc>
        <w:tc>
          <w:tcPr>
            <w:tcW w:w="733" w:type="dxa"/>
            <w:tcBorders>
              <w:top w:val="nil"/>
              <w:left w:val="nil"/>
              <w:bottom w:val="single" w:sz="4" w:space="0" w:color="BFBFBF"/>
              <w:right w:val="single" w:sz="4" w:space="0" w:color="BFBFBF"/>
            </w:tcBorders>
            <w:shd w:val="clear" w:color="F9F9F9" w:fill="F7F9FC"/>
            <w:noWrap/>
            <w:vAlign w:val="center"/>
            <w:hideMark/>
          </w:tcPr>
          <w:p w14:paraId="775F3BD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4.6%</w:t>
            </w:r>
          </w:p>
        </w:tc>
      </w:tr>
      <w:tr w:rsidR="004327A5" w:rsidRPr="00CE2B0C" w14:paraId="3C64ED2C"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4B16F598"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EBITDA Margin (%) [EBIT+D&amp;A/Revenue]</w:t>
            </w:r>
          </w:p>
        </w:tc>
        <w:tc>
          <w:tcPr>
            <w:tcW w:w="2589" w:type="dxa"/>
            <w:tcBorders>
              <w:top w:val="nil"/>
              <w:left w:val="nil"/>
              <w:bottom w:val="single" w:sz="4" w:space="0" w:color="BFBFBF"/>
              <w:right w:val="single" w:sz="4" w:space="0" w:color="BFBFBF"/>
            </w:tcBorders>
            <w:noWrap/>
            <w:vAlign w:val="bottom"/>
            <w:hideMark/>
          </w:tcPr>
          <w:p w14:paraId="4AD8AD39"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(EBIT + D&amp;A) ÷ Sales Revenue</w:t>
            </w:r>
          </w:p>
        </w:tc>
        <w:tc>
          <w:tcPr>
            <w:tcW w:w="733" w:type="dxa"/>
            <w:tcBorders>
              <w:top w:val="nil"/>
              <w:left w:val="nil"/>
              <w:bottom w:val="single" w:sz="4" w:space="0" w:color="BFBFBF"/>
              <w:right w:val="single" w:sz="4" w:space="0" w:color="BFBFBF"/>
            </w:tcBorders>
            <w:noWrap/>
            <w:vAlign w:val="center"/>
            <w:hideMark/>
          </w:tcPr>
          <w:p w14:paraId="757A37D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12.1%</w:t>
            </w:r>
          </w:p>
        </w:tc>
        <w:tc>
          <w:tcPr>
            <w:tcW w:w="733" w:type="dxa"/>
            <w:tcBorders>
              <w:top w:val="nil"/>
              <w:left w:val="nil"/>
              <w:bottom w:val="single" w:sz="4" w:space="0" w:color="BFBFBF"/>
              <w:right w:val="single" w:sz="4" w:space="0" w:color="BFBFBF"/>
            </w:tcBorders>
            <w:noWrap/>
            <w:vAlign w:val="center"/>
            <w:hideMark/>
          </w:tcPr>
          <w:p w14:paraId="6CBD7F5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15.0%</w:t>
            </w:r>
          </w:p>
        </w:tc>
        <w:tc>
          <w:tcPr>
            <w:tcW w:w="733" w:type="dxa"/>
            <w:tcBorders>
              <w:top w:val="nil"/>
              <w:left w:val="nil"/>
              <w:bottom w:val="single" w:sz="4" w:space="0" w:color="BFBFBF"/>
              <w:right w:val="single" w:sz="4" w:space="0" w:color="BFBFBF"/>
            </w:tcBorders>
            <w:noWrap/>
            <w:vAlign w:val="center"/>
            <w:hideMark/>
          </w:tcPr>
          <w:p w14:paraId="3CCBCC4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14.6%</w:t>
            </w:r>
          </w:p>
        </w:tc>
        <w:tc>
          <w:tcPr>
            <w:tcW w:w="733" w:type="dxa"/>
            <w:tcBorders>
              <w:top w:val="nil"/>
              <w:left w:val="nil"/>
              <w:bottom w:val="single" w:sz="4" w:space="0" w:color="BFBFBF"/>
              <w:right w:val="single" w:sz="4" w:space="0" w:color="BFBFBF"/>
            </w:tcBorders>
            <w:noWrap/>
            <w:vAlign w:val="center"/>
            <w:hideMark/>
          </w:tcPr>
          <w:p w14:paraId="7167BFB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13.1%</w:t>
            </w:r>
          </w:p>
        </w:tc>
        <w:tc>
          <w:tcPr>
            <w:tcW w:w="733" w:type="dxa"/>
            <w:tcBorders>
              <w:top w:val="nil"/>
              <w:left w:val="nil"/>
              <w:bottom w:val="single" w:sz="4" w:space="0" w:color="BFBFBF"/>
              <w:right w:val="single" w:sz="4" w:space="0" w:color="BFBFBF"/>
            </w:tcBorders>
            <w:noWrap/>
            <w:vAlign w:val="center"/>
            <w:hideMark/>
          </w:tcPr>
          <w:p w14:paraId="3433A59B"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12.4%</w:t>
            </w:r>
          </w:p>
        </w:tc>
      </w:tr>
      <w:tr w:rsidR="004327A5" w:rsidRPr="00CE2B0C" w14:paraId="1601D205" w14:textId="77777777" w:rsidTr="004327A5">
        <w:trPr>
          <w:trHeight w:val="275"/>
        </w:trPr>
        <w:tc>
          <w:tcPr>
            <w:tcW w:w="2254" w:type="dxa"/>
            <w:tcBorders>
              <w:top w:val="nil"/>
              <w:left w:val="nil"/>
              <w:bottom w:val="nil"/>
              <w:right w:val="nil"/>
            </w:tcBorders>
            <w:noWrap/>
            <w:vAlign w:val="bottom"/>
            <w:hideMark/>
          </w:tcPr>
          <w:p w14:paraId="06EB7DD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p>
        </w:tc>
        <w:tc>
          <w:tcPr>
            <w:tcW w:w="2589" w:type="dxa"/>
            <w:tcBorders>
              <w:top w:val="nil"/>
              <w:left w:val="nil"/>
              <w:bottom w:val="nil"/>
              <w:right w:val="nil"/>
            </w:tcBorders>
            <w:noWrap/>
            <w:vAlign w:val="bottom"/>
            <w:hideMark/>
          </w:tcPr>
          <w:p w14:paraId="134848B3"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5719C475"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129296A5"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1CA9FF20"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40AD3788"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50382C21"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r>
      <w:tr w:rsidR="004327A5" w:rsidRPr="00CE2B0C" w14:paraId="3E563775"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5EE2D019"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LIQUIDITY RATIOS</w:t>
            </w:r>
          </w:p>
        </w:tc>
      </w:tr>
      <w:tr w:rsidR="004327A5" w:rsidRPr="00CE2B0C" w14:paraId="1936A580"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shd w:val="clear" w:color="F9F9F9" w:fill="F7F9FC"/>
            <w:noWrap/>
            <w:vAlign w:val="center"/>
            <w:hideMark/>
          </w:tcPr>
          <w:p w14:paraId="0C9A5E52"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Current Ratio (x)</w:t>
            </w:r>
          </w:p>
        </w:tc>
        <w:tc>
          <w:tcPr>
            <w:tcW w:w="2589" w:type="dxa"/>
            <w:tcBorders>
              <w:top w:val="single" w:sz="4" w:space="0" w:color="BFBFBF"/>
              <w:left w:val="nil"/>
              <w:bottom w:val="single" w:sz="4" w:space="0" w:color="BFBFBF"/>
              <w:right w:val="single" w:sz="4" w:space="0" w:color="BFBFBF"/>
            </w:tcBorders>
            <w:shd w:val="clear" w:color="F9F9F9" w:fill="F7F9FC"/>
            <w:noWrap/>
            <w:vAlign w:val="bottom"/>
            <w:hideMark/>
          </w:tcPr>
          <w:p w14:paraId="192128F6"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Current Assets ÷ Current Liabilities</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282D2F8C" w14:textId="424A075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1.18</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885E0F4" w14:textId="114E93CC"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1.22</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7313DB56" w14:textId="07F0E2CA"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1.23</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5BD26541" w14:textId="303EE14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1.16</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318367EC" w14:textId="7D7C3B4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1.13</w:t>
            </w:r>
          </w:p>
        </w:tc>
      </w:tr>
      <w:tr w:rsidR="004327A5" w:rsidRPr="00CE2B0C" w14:paraId="7175E45B"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6077CE07"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Quick Ratio / Acid Test (x)</w:t>
            </w:r>
          </w:p>
        </w:tc>
        <w:tc>
          <w:tcPr>
            <w:tcW w:w="2589" w:type="dxa"/>
            <w:tcBorders>
              <w:top w:val="nil"/>
              <w:left w:val="nil"/>
              <w:bottom w:val="single" w:sz="4" w:space="0" w:color="BFBFBF"/>
              <w:right w:val="single" w:sz="4" w:space="0" w:color="BFBFBF"/>
            </w:tcBorders>
            <w:noWrap/>
            <w:vAlign w:val="bottom"/>
            <w:hideMark/>
          </w:tcPr>
          <w:p w14:paraId="6F27DB06"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(Current Assets − Inventories) ÷ Current Liabilities</w:t>
            </w:r>
          </w:p>
        </w:tc>
        <w:tc>
          <w:tcPr>
            <w:tcW w:w="733" w:type="dxa"/>
            <w:tcBorders>
              <w:top w:val="nil"/>
              <w:left w:val="nil"/>
              <w:bottom w:val="single" w:sz="4" w:space="0" w:color="BFBFBF"/>
              <w:right w:val="single" w:sz="4" w:space="0" w:color="BFBFBF"/>
            </w:tcBorders>
            <w:noWrap/>
            <w:vAlign w:val="center"/>
            <w:hideMark/>
          </w:tcPr>
          <w:p w14:paraId="670A7861" w14:textId="2D08396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0.91</w:t>
            </w:r>
          </w:p>
        </w:tc>
        <w:tc>
          <w:tcPr>
            <w:tcW w:w="733" w:type="dxa"/>
            <w:tcBorders>
              <w:top w:val="nil"/>
              <w:left w:val="nil"/>
              <w:bottom w:val="single" w:sz="4" w:space="0" w:color="BFBFBF"/>
              <w:right w:val="single" w:sz="4" w:space="0" w:color="BFBFBF"/>
            </w:tcBorders>
            <w:noWrap/>
            <w:vAlign w:val="center"/>
            <w:hideMark/>
          </w:tcPr>
          <w:p w14:paraId="17B8FD2E" w14:textId="0E88A44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0.95</w:t>
            </w:r>
          </w:p>
        </w:tc>
        <w:tc>
          <w:tcPr>
            <w:tcW w:w="733" w:type="dxa"/>
            <w:tcBorders>
              <w:top w:val="nil"/>
              <w:left w:val="nil"/>
              <w:bottom w:val="single" w:sz="4" w:space="0" w:color="BFBFBF"/>
              <w:right w:val="single" w:sz="4" w:space="0" w:color="BFBFBF"/>
            </w:tcBorders>
            <w:noWrap/>
            <w:vAlign w:val="center"/>
            <w:hideMark/>
          </w:tcPr>
          <w:p w14:paraId="2ED57C51" w14:textId="3F39040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0.94</w:t>
            </w:r>
          </w:p>
        </w:tc>
        <w:tc>
          <w:tcPr>
            <w:tcW w:w="733" w:type="dxa"/>
            <w:tcBorders>
              <w:top w:val="nil"/>
              <w:left w:val="nil"/>
              <w:bottom w:val="single" w:sz="4" w:space="0" w:color="BFBFBF"/>
              <w:right w:val="single" w:sz="4" w:space="0" w:color="BFBFBF"/>
            </w:tcBorders>
            <w:noWrap/>
            <w:vAlign w:val="center"/>
            <w:hideMark/>
          </w:tcPr>
          <w:p w14:paraId="4F0F0884" w14:textId="775471BF"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0.90</w:t>
            </w:r>
          </w:p>
        </w:tc>
        <w:tc>
          <w:tcPr>
            <w:tcW w:w="733" w:type="dxa"/>
            <w:tcBorders>
              <w:top w:val="nil"/>
              <w:left w:val="nil"/>
              <w:bottom w:val="single" w:sz="4" w:space="0" w:color="BFBFBF"/>
              <w:right w:val="single" w:sz="4" w:space="0" w:color="BFBFBF"/>
            </w:tcBorders>
            <w:noWrap/>
            <w:vAlign w:val="center"/>
            <w:hideMark/>
          </w:tcPr>
          <w:p w14:paraId="0EC688AC" w14:textId="21FAE118"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0.87</w:t>
            </w:r>
          </w:p>
        </w:tc>
      </w:tr>
      <w:tr w:rsidR="004327A5" w:rsidRPr="00CE2B0C" w14:paraId="1A21A9FA"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52C667E6"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Cash Ratio (x)</w:t>
            </w:r>
          </w:p>
        </w:tc>
        <w:tc>
          <w:tcPr>
            <w:tcW w:w="2589" w:type="dxa"/>
            <w:tcBorders>
              <w:top w:val="nil"/>
              <w:left w:val="nil"/>
              <w:bottom w:val="single" w:sz="4" w:space="0" w:color="BFBFBF"/>
              <w:right w:val="single" w:sz="4" w:space="0" w:color="BFBFBF"/>
            </w:tcBorders>
            <w:shd w:val="clear" w:color="F9F9F9" w:fill="F7F9FC"/>
            <w:noWrap/>
            <w:vAlign w:val="bottom"/>
            <w:hideMark/>
          </w:tcPr>
          <w:p w14:paraId="208CD1AD"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Cash &amp; Equivalents ÷ Current Liabilities</w:t>
            </w:r>
          </w:p>
        </w:tc>
        <w:tc>
          <w:tcPr>
            <w:tcW w:w="733" w:type="dxa"/>
            <w:tcBorders>
              <w:top w:val="nil"/>
              <w:left w:val="nil"/>
              <w:bottom w:val="single" w:sz="4" w:space="0" w:color="BFBFBF"/>
              <w:right w:val="single" w:sz="4" w:space="0" w:color="BFBFBF"/>
            </w:tcBorders>
            <w:shd w:val="clear" w:color="F9F9F9" w:fill="F7F9FC"/>
            <w:noWrap/>
            <w:vAlign w:val="center"/>
            <w:hideMark/>
          </w:tcPr>
          <w:p w14:paraId="55549BA2" w14:textId="2F8EB8A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0.20</w:t>
            </w:r>
          </w:p>
        </w:tc>
        <w:tc>
          <w:tcPr>
            <w:tcW w:w="733" w:type="dxa"/>
            <w:tcBorders>
              <w:top w:val="nil"/>
              <w:left w:val="nil"/>
              <w:bottom w:val="single" w:sz="4" w:space="0" w:color="BFBFBF"/>
              <w:right w:val="single" w:sz="4" w:space="0" w:color="BFBFBF"/>
            </w:tcBorders>
            <w:shd w:val="clear" w:color="F9F9F9" w:fill="F7F9FC"/>
            <w:noWrap/>
            <w:vAlign w:val="center"/>
            <w:hideMark/>
          </w:tcPr>
          <w:p w14:paraId="29E38220" w14:textId="2B12B68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0.24</w:t>
            </w:r>
          </w:p>
        </w:tc>
        <w:tc>
          <w:tcPr>
            <w:tcW w:w="733" w:type="dxa"/>
            <w:tcBorders>
              <w:top w:val="nil"/>
              <w:left w:val="nil"/>
              <w:bottom w:val="single" w:sz="4" w:space="0" w:color="BFBFBF"/>
              <w:right w:val="single" w:sz="4" w:space="0" w:color="BFBFBF"/>
            </w:tcBorders>
            <w:shd w:val="clear" w:color="F9F9F9" w:fill="F7F9FC"/>
            <w:noWrap/>
            <w:vAlign w:val="center"/>
            <w:hideMark/>
          </w:tcPr>
          <w:p w14:paraId="1803CB29" w14:textId="095C2D34"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0.16</w:t>
            </w:r>
          </w:p>
        </w:tc>
        <w:tc>
          <w:tcPr>
            <w:tcW w:w="733" w:type="dxa"/>
            <w:tcBorders>
              <w:top w:val="nil"/>
              <w:left w:val="nil"/>
              <w:bottom w:val="single" w:sz="4" w:space="0" w:color="BFBFBF"/>
              <w:right w:val="single" w:sz="4" w:space="0" w:color="BFBFBF"/>
            </w:tcBorders>
            <w:shd w:val="clear" w:color="F9F9F9" w:fill="F7F9FC"/>
            <w:noWrap/>
            <w:vAlign w:val="center"/>
            <w:hideMark/>
          </w:tcPr>
          <w:p w14:paraId="6495ACF3" w14:textId="7D9CA53E"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0.21</w:t>
            </w:r>
          </w:p>
        </w:tc>
        <w:tc>
          <w:tcPr>
            <w:tcW w:w="733" w:type="dxa"/>
            <w:tcBorders>
              <w:top w:val="nil"/>
              <w:left w:val="nil"/>
              <w:bottom w:val="single" w:sz="4" w:space="0" w:color="BFBFBF"/>
              <w:right w:val="single" w:sz="4" w:space="0" w:color="BFBFBF"/>
            </w:tcBorders>
            <w:shd w:val="clear" w:color="F9F9F9" w:fill="F7F9FC"/>
            <w:noWrap/>
            <w:vAlign w:val="center"/>
            <w:hideMark/>
          </w:tcPr>
          <w:p w14:paraId="5D18C3F0" w14:textId="309A2884"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0.19</w:t>
            </w:r>
          </w:p>
        </w:tc>
      </w:tr>
      <w:tr w:rsidR="004327A5" w:rsidRPr="00CE2B0C" w14:paraId="7FD9AFB7"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1882A2DB"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Net Working Capital (€m)</w:t>
            </w:r>
          </w:p>
        </w:tc>
        <w:tc>
          <w:tcPr>
            <w:tcW w:w="2589" w:type="dxa"/>
            <w:tcBorders>
              <w:top w:val="nil"/>
              <w:left w:val="nil"/>
              <w:bottom w:val="single" w:sz="4" w:space="0" w:color="BFBFBF"/>
              <w:right w:val="single" w:sz="4" w:space="0" w:color="BFBFBF"/>
            </w:tcBorders>
            <w:noWrap/>
            <w:vAlign w:val="bottom"/>
            <w:hideMark/>
          </w:tcPr>
          <w:p w14:paraId="66AE6686"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Current Assets − Current Liabilities</w:t>
            </w:r>
          </w:p>
        </w:tc>
        <w:tc>
          <w:tcPr>
            <w:tcW w:w="733" w:type="dxa"/>
            <w:tcBorders>
              <w:top w:val="nil"/>
              <w:left w:val="nil"/>
              <w:bottom w:val="single" w:sz="4" w:space="0" w:color="BFBFBF"/>
              <w:right w:val="single" w:sz="4" w:space="0" w:color="BFBFBF"/>
            </w:tcBorders>
            <w:noWrap/>
            <w:vAlign w:val="center"/>
            <w:hideMark/>
          </w:tcPr>
          <w:p w14:paraId="4BA0210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29,534</w:t>
            </w:r>
          </w:p>
        </w:tc>
        <w:tc>
          <w:tcPr>
            <w:tcW w:w="733" w:type="dxa"/>
            <w:tcBorders>
              <w:top w:val="nil"/>
              <w:left w:val="nil"/>
              <w:bottom w:val="single" w:sz="4" w:space="0" w:color="BFBFBF"/>
              <w:right w:val="single" w:sz="4" w:space="0" w:color="BFBFBF"/>
            </w:tcBorders>
            <w:noWrap/>
            <w:vAlign w:val="center"/>
            <w:hideMark/>
          </w:tcPr>
          <w:p w14:paraId="591F2D0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35,954</w:t>
            </w:r>
          </w:p>
        </w:tc>
        <w:tc>
          <w:tcPr>
            <w:tcW w:w="733" w:type="dxa"/>
            <w:tcBorders>
              <w:top w:val="nil"/>
              <w:left w:val="nil"/>
              <w:bottom w:val="single" w:sz="4" w:space="0" w:color="BFBFBF"/>
              <w:right w:val="single" w:sz="4" w:space="0" w:color="BFBFBF"/>
            </w:tcBorders>
            <w:noWrap/>
            <w:vAlign w:val="center"/>
            <w:hideMark/>
          </w:tcPr>
          <w:p w14:paraId="1C0E730E"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41,436</w:t>
            </w:r>
          </w:p>
        </w:tc>
        <w:tc>
          <w:tcPr>
            <w:tcW w:w="733" w:type="dxa"/>
            <w:tcBorders>
              <w:top w:val="nil"/>
              <w:left w:val="nil"/>
              <w:bottom w:val="single" w:sz="4" w:space="0" w:color="BFBFBF"/>
              <w:right w:val="single" w:sz="4" w:space="0" w:color="BFBFBF"/>
            </w:tcBorders>
            <w:noWrap/>
            <w:vAlign w:val="center"/>
            <w:hideMark/>
          </w:tcPr>
          <w:p w14:paraId="7160A4F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33,770</w:t>
            </w:r>
          </w:p>
        </w:tc>
        <w:tc>
          <w:tcPr>
            <w:tcW w:w="733" w:type="dxa"/>
            <w:tcBorders>
              <w:top w:val="nil"/>
              <w:left w:val="nil"/>
              <w:bottom w:val="single" w:sz="4" w:space="0" w:color="BFBFBF"/>
              <w:right w:val="single" w:sz="4" w:space="0" w:color="BFBFBF"/>
            </w:tcBorders>
            <w:noWrap/>
            <w:vAlign w:val="center"/>
            <w:hideMark/>
          </w:tcPr>
          <w:p w14:paraId="23A4AEF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28,192</w:t>
            </w:r>
          </w:p>
        </w:tc>
      </w:tr>
      <w:tr w:rsidR="004327A5" w:rsidRPr="00CE2B0C" w14:paraId="443D763B" w14:textId="77777777" w:rsidTr="004327A5">
        <w:trPr>
          <w:trHeight w:val="275"/>
        </w:trPr>
        <w:tc>
          <w:tcPr>
            <w:tcW w:w="2254" w:type="dxa"/>
            <w:tcBorders>
              <w:top w:val="nil"/>
              <w:left w:val="nil"/>
              <w:bottom w:val="nil"/>
              <w:right w:val="nil"/>
            </w:tcBorders>
            <w:noWrap/>
            <w:vAlign w:val="bottom"/>
            <w:hideMark/>
          </w:tcPr>
          <w:p w14:paraId="5D370C3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p>
        </w:tc>
        <w:tc>
          <w:tcPr>
            <w:tcW w:w="2589" w:type="dxa"/>
            <w:tcBorders>
              <w:top w:val="nil"/>
              <w:left w:val="nil"/>
              <w:bottom w:val="nil"/>
              <w:right w:val="nil"/>
            </w:tcBorders>
            <w:noWrap/>
            <w:vAlign w:val="bottom"/>
            <w:hideMark/>
          </w:tcPr>
          <w:p w14:paraId="23DBB8CD"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3F4D53C2"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149317AA"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69FF9498"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0CF48222"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1B310FF2"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r>
      <w:tr w:rsidR="004327A5" w:rsidRPr="00CE2B0C" w14:paraId="25AA441E"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04ED7B92"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EFFICIENCY RATIOS</w:t>
            </w:r>
          </w:p>
        </w:tc>
      </w:tr>
      <w:tr w:rsidR="004327A5" w:rsidRPr="00CE2B0C" w14:paraId="30C98A17"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shd w:val="clear" w:color="F9F9F9" w:fill="F7F9FC"/>
            <w:noWrap/>
            <w:vAlign w:val="center"/>
            <w:hideMark/>
          </w:tcPr>
          <w:p w14:paraId="1003EF98"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Asset Turnover (x)</w:t>
            </w:r>
          </w:p>
        </w:tc>
        <w:tc>
          <w:tcPr>
            <w:tcW w:w="2589" w:type="dxa"/>
            <w:tcBorders>
              <w:top w:val="single" w:sz="4" w:space="0" w:color="BFBFBF"/>
              <w:left w:val="nil"/>
              <w:bottom w:val="single" w:sz="4" w:space="0" w:color="BFBFBF"/>
              <w:right w:val="single" w:sz="4" w:space="0" w:color="BFBFBF"/>
            </w:tcBorders>
            <w:shd w:val="clear" w:color="F9F9F9" w:fill="F7F9FC"/>
            <w:noWrap/>
            <w:vAlign w:val="bottom"/>
            <w:hideMark/>
          </w:tcPr>
          <w:p w14:paraId="020B52A5"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Sales Revenue ÷ Total Assets</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076E2ECE" w14:textId="5394352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0.45</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2906446B" w14:textId="77C738E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0.47</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707B9473" w14:textId="452012B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0.50</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4FFAFDB2" w14:textId="7A7A948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0.54</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AE365E9" w14:textId="71075B64"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0.51</w:t>
            </w:r>
          </w:p>
        </w:tc>
      </w:tr>
      <w:tr w:rsidR="004327A5" w:rsidRPr="00CE2B0C" w14:paraId="35E47BA9"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3EC3644E"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Inventory Turnover (x)</w:t>
            </w:r>
          </w:p>
        </w:tc>
        <w:tc>
          <w:tcPr>
            <w:tcW w:w="2589" w:type="dxa"/>
            <w:tcBorders>
              <w:top w:val="nil"/>
              <w:left w:val="nil"/>
              <w:bottom w:val="single" w:sz="4" w:space="0" w:color="BFBFBF"/>
              <w:right w:val="single" w:sz="4" w:space="0" w:color="BFBFBF"/>
            </w:tcBorders>
            <w:noWrap/>
            <w:vAlign w:val="bottom"/>
            <w:hideMark/>
          </w:tcPr>
          <w:p w14:paraId="68EBD6E8"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Cost of Sales ÷ Inventories</w:t>
            </w:r>
          </w:p>
        </w:tc>
        <w:tc>
          <w:tcPr>
            <w:tcW w:w="733" w:type="dxa"/>
            <w:tcBorders>
              <w:top w:val="nil"/>
              <w:left w:val="nil"/>
              <w:bottom w:val="single" w:sz="4" w:space="0" w:color="BFBFBF"/>
              <w:right w:val="single" w:sz="4" w:space="0" w:color="BFBFBF"/>
            </w:tcBorders>
            <w:noWrap/>
            <w:vAlign w:val="center"/>
            <w:hideMark/>
          </w:tcPr>
          <w:p w14:paraId="3AA06291" w14:textId="6A943A79"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4.20</w:t>
            </w:r>
          </w:p>
        </w:tc>
        <w:tc>
          <w:tcPr>
            <w:tcW w:w="733" w:type="dxa"/>
            <w:tcBorders>
              <w:top w:val="nil"/>
              <w:left w:val="nil"/>
              <w:bottom w:val="single" w:sz="4" w:space="0" w:color="BFBFBF"/>
              <w:right w:val="single" w:sz="4" w:space="0" w:color="BFBFBF"/>
            </w:tcBorders>
            <w:noWrap/>
            <w:vAlign w:val="center"/>
            <w:hideMark/>
          </w:tcPr>
          <w:p w14:paraId="35F217D0" w14:textId="30DE26A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4.64</w:t>
            </w:r>
          </w:p>
        </w:tc>
        <w:tc>
          <w:tcPr>
            <w:tcW w:w="733" w:type="dxa"/>
            <w:tcBorders>
              <w:top w:val="nil"/>
              <w:left w:val="nil"/>
              <w:bottom w:val="single" w:sz="4" w:space="0" w:color="BFBFBF"/>
              <w:right w:val="single" w:sz="4" w:space="0" w:color="BFBFBF"/>
            </w:tcBorders>
            <w:noWrap/>
            <w:vAlign w:val="center"/>
            <w:hideMark/>
          </w:tcPr>
          <w:p w14:paraId="238856D0" w14:textId="557D5B30"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4.34</w:t>
            </w:r>
          </w:p>
        </w:tc>
        <w:tc>
          <w:tcPr>
            <w:tcW w:w="733" w:type="dxa"/>
            <w:tcBorders>
              <w:top w:val="nil"/>
              <w:left w:val="nil"/>
              <w:bottom w:val="single" w:sz="4" w:space="0" w:color="BFBFBF"/>
              <w:right w:val="single" w:sz="4" w:space="0" w:color="BFBFBF"/>
            </w:tcBorders>
            <w:noWrap/>
            <w:vAlign w:val="center"/>
            <w:hideMark/>
          </w:tcPr>
          <w:p w14:paraId="407731A5" w14:textId="4BA0D2AA"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4.87</w:t>
            </w:r>
          </w:p>
        </w:tc>
        <w:tc>
          <w:tcPr>
            <w:tcW w:w="733" w:type="dxa"/>
            <w:tcBorders>
              <w:top w:val="nil"/>
              <w:left w:val="nil"/>
              <w:bottom w:val="single" w:sz="4" w:space="0" w:color="BFBFBF"/>
              <w:right w:val="single" w:sz="4" w:space="0" w:color="BFBFBF"/>
            </w:tcBorders>
            <w:noWrap/>
            <w:vAlign w:val="center"/>
            <w:hideMark/>
          </w:tcPr>
          <w:p w14:paraId="37B856BE" w14:textId="73BE9281"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4.68</w:t>
            </w:r>
          </w:p>
        </w:tc>
      </w:tr>
      <w:tr w:rsidR="004327A5" w:rsidRPr="00CE2B0C" w14:paraId="5E274EB3"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1968C48F"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Inventory Days (days)</w:t>
            </w:r>
          </w:p>
        </w:tc>
        <w:tc>
          <w:tcPr>
            <w:tcW w:w="2589" w:type="dxa"/>
            <w:tcBorders>
              <w:top w:val="nil"/>
              <w:left w:val="nil"/>
              <w:bottom w:val="single" w:sz="4" w:space="0" w:color="BFBFBF"/>
              <w:right w:val="single" w:sz="4" w:space="0" w:color="BFBFBF"/>
            </w:tcBorders>
            <w:shd w:val="clear" w:color="F9F9F9" w:fill="F7F9FC"/>
            <w:noWrap/>
            <w:vAlign w:val="bottom"/>
            <w:hideMark/>
          </w:tcPr>
          <w:p w14:paraId="63496455"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(Inventories ÷ Cost of Sales) × 365</w:t>
            </w:r>
          </w:p>
        </w:tc>
        <w:tc>
          <w:tcPr>
            <w:tcW w:w="733" w:type="dxa"/>
            <w:tcBorders>
              <w:top w:val="nil"/>
              <w:left w:val="nil"/>
              <w:bottom w:val="single" w:sz="4" w:space="0" w:color="BFBFBF"/>
              <w:right w:val="single" w:sz="4" w:space="0" w:color="BFBFBF"/>
            </w:tcBorders>
            <w:shd w:val="clear" w:color="F9F9F9" w:fill="F7F9FC"/>
            <w:noWrap/>
            <w:vAlign w:val="center"/>
            <w:hideMark/>
          </w:tcPr>
          <w:p w14:paraId="119B0E8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87.0</w:t>
            </w:r>
          </w:p>
        </w:tc>
        <w:tc>
          <w:tcPr>
            <w:tcW w:w="733" w:type="dxa"/>
            <w:tcBorders>
              <w:top w:val="nil"/>
              <w:left w:val="nil"/>
              <w:bottom w:val="single" w:sz="4" w:space="0" w:color="BFBFBF"/>
              <w:right w:val="single" w:sz="4" w:space="0" w:color="BFBFBF"/>
            </w:tcBorders>
            <w:shd w:val="clear" w:color="F9F9F9" w:fill="F7F9FC"/>
            <w:noWrap/>
            <w:vAlign w:val="center"/>
            <w:hideMark/>
          </w:tcPr>
          <w:p w14:paraId="048968B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78.6</w:t>
            </w:r>
          </w:p>
        </w:tc>
        <w:tc>
          <w:tcPr>
            <w:tcW w:w="733" w:type="dxa"/>
            <w:tcBorders>
              <w:top w:val="nil"/>
              <w:left w:val="nil"/>
              <w:bottom w:val="single" w:sz="4" w:space="0" w:color="BFBFBF"/>
              <w:right w:val="single" w:sz="4" w:space="0" w:color="BFBFBF"/>
            </w:tcBorders>
            <w:shd w:val="clear" w:color="F9F9F9" w:fill="F7F9FC"/>
            <w:noWrap/>
            <w:vAlign w:val="center"/>
            <w:hideMark/>
          </w:tcPr>
          <w:p w14:paraId="2682671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84.1</w:t>
            </w:r>
          </w:p>
        </w:tc>
        <w:tc>
          <w:tcPr>
            <w:tcW w:w="733" w:type="dxa"/>
            <w:tcBorders>
              <w:top w:val="nil"/>
              <w:left w:val="nil"/>
              <w:bottom w:val="single" w:sz="4" w:space="0" w:color="BFBFBF"/>
              <w:right w:val="single" w:sz="4" w:space="0" w:color="BFBFBF"/>
            </w:tcBorders>
            <w:shd w:val="clear" w:color="F9F9F9" w:fill="F7F9FC"/>
            <w:noWrap/>
            <w:vAlign w:val="center"/>
            <w:hideMark/>
          </w:tcPr>
          <w:p w14:paraId="73B9521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74.9</w:t>
            </w:r>
          </w:p>
        </w:tc>
        <w:tc>
          <w:tcPr>
            <w:tcW w:w="733" w:type="dxa"/>
            <w:tcBorders>
              <w:top w:val="nil"/>
              <w:left w:val="nil"/>
              <w:bottom w:val="single" w:sz="4" w:space="0" w:color="BFBFBF"/>
              <w:right w:val="single" w:sz="4" w:space="0" w:color="BFBFBF"/>
            </w:tcBorders>
            <w:shd w:val="clear" w:color="F9F9F9" w:fill="F7F9FC"/>
            <w:noWrap/>
            <w:vAlign w:val="center"/>
            <w:hideMark/>
          </w:tcPr>
          <w:p w14:paraId="2790194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78.1</w:t>
            </w:r>
          </w:p>
        </w:tc>
      </w:tr>
      <w:tr w:rsidR="004327A5" w:rsidRPr="00CE2B0C" w14:paraId="272CD053"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25031DEB"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Receivable Days (days)</w:t>
            </w:r>
          </w:p>
        </w:tc>
        <w:tc>
          <w:tcPr>
            <w:tcW w:w="2589" w:type="dxa"/>
            <w:tcBorders>
              <w:top w:val="nil"/>
              <w:left w:val="nil"/>
              <w:bottom w:val="single" w:sz="4" w:space="0" w:color="BFBFBF"/>
              <w:right w:val="single" w:sz="4" w:space="0" w:color="BFBFBF"/>
            </w:tcBorders>
            <w:noWrap/>
            <w:vAlign w:val="bottom"/>
            <w:hideMark/>
          </w:tcPr>
          <w:p w14:paraId="039F81A3"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(Trade Receivables ÷ Sales Revenue) × 365</w:t>
            </w:r>
          </w:p>
        </w:tc>
        <w:tc>
          <w:tcPr>
            <w:tcW w:w="733" w:type="dxa"/>
            <w:tcBorders>
              <w:top w:val="nil"/>
              <w:left w:val="nil"/>
              <w:bottom w:val="single" w:sz="4" w:space="0" w:color="BFBFBF"/>
              <w:right w:val="single" w:sz="4" w:space="0" w:color="BFBFBF"/>
            </w:tcBorders>
            <w:noWrap/>
            <w:vAlign w:val="center"/>
            <w:hideMark/>
          </w:tcPr>
          <w:p w14:paraId="193D05B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26.6</w:t>
            </w:r>
          </w:p>
        </w:tc>
        <w:tc>
          <w:tcPr>
            <w:tcW w:w="733" w:type="dxa"/>
            <w:tcBorders>
              <w:top w:val="nil"/>
              <w:left w:val="nil"/>
              <w:bottom w:val="single" w:sz="4" w:space="0" w:color="BFBFBF"/>
              <w:right w:val="single" w:sz="4" w:space="0" w:color="BFBFBF"/>
            </w:tcBorders>
            <w:noWrap/>
            <w:vAlign w:val="center"/>
            <w:hideMark/>
          </w:tcPr>
          <w:p w14:paraId="5510D32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22.6</w:t>
            </w:r>
          </w:p>
        </w:tc>
        <w:tc>
          <w:tcPr>
            <w:tcW w:w="733" w:type="dxa"/>
            <w:tcBorders>
              <w:top w:val="nil"/>
              <w:left w:val="nil"/>
              <w:bottom w:val="single" w:sz="4" w:space="0" w:color="BFBFBF"/>
              <w:right w:val="single" w:sz="4" w:space="0" w:color="BFBFBF"/>
            </w:tcBorders>
            <w:noWrap/>
            <w:vAlign w:val="center"/>
            <w:hideMark/>
          </w:tcPr>
          <w:p w14:paraId="0180AC27"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24.3</w:t>
            </w:r>
          </w:p>
        </w:tc>
        <w:tc>
          <w:tcPr>
            <w:tcW w:w="733" w:type="dxa"/>
            <w:tcBorders>
              <w:top w:val="nil"/>
              <w:left w:val="nil"/>
              <w:bottom w:val="single" w:sz="4" w:space="0" w:color="BFBFBF"/>
              <w:right w:val="single" w:sz="4" w:space="0" w:color="BFBFBF"/>
            </w:tcBorders>
            <w:noWrap/>
            <w:vAlign w:val="center"/>
            <w:hideMark/>
          </w:tcPr>
          <w:p w14:paraId="4058FDC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24.7</w:t>
            </w:r>
          </w:p>
        </w:tc>
        <w:tc>
          <w:tcPr>
            <w:tcW w:w="733" w:type="dxa"/>
            <w:tcBorders>
              <w:top w:val="nil"/>
              <w:left w:val="nil"/>
              <w:bottom w:val="single" w:sz="4" w:space="0" w:color="BFBFBF"/>
              <w:right w:val="single" w:sz="4" w:space="0" w:color="BFBFBF"/>
            </w:tcBorders>
            <w:noWrap/>
            <w:vAlign w:val="center"/>
            <w:hideMark/>
          </w:tcPr>
          <w:p w14:paraId="310BA7B0"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23.8</w:t>
            </w:r>
          </w:p>
        </w:tc>
      </w:tr>
      <w:tr w:rsidR="004327A5" w:rsidRPr="00CE2B0C" w14:paraId="196C7EC6"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7D40BB44"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Payable Days (days)</w:t>
            </w:r>
          </w:p>
        </w:tc>
        <w:tc>
          <w:tcPr>
            <w:tcW w:w="2589" w:type="dxa"/>
            <w:tcBorders>
              <w:top w:val="nil"/>
              <w:left w:val="nil"/>
              <w:bottom w:val="single" w:sz="4" w:space="0" w:color="BFBFBF"/>
              <w:right w:val="single" w:sz="4" w:space="0" w:color="BFBFBF"/>
            </w:tcBorders>
            <w:shd w:val="clear" w:color="F9F9F9" w:fill="F7F9FC"/>
            <w:noWrap/>
            <w:vAlign w:val="bottom"/>
            <w:hideMark/>
          </w:tcPr>
          <w:p w14:paraId="375D2BF8"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(Trade Payables ÷ Cost of Sales) × 365</w:t>
            </w:r>
          </w:p>
        </w:tc>
        <w:tc>
          <w:tcPr>
            <w:tcW w:w="733" w:type="dxa"/>
            <w:tcBorders>
              <w:top w:val="nil"/>
              <w:left w:val="nil"/>
              <w:bottom w:val="single" w:sz="4" w:space="0" w:color="BFBFBF"/>
              <w:right w:val="single" w:sz="4" w:space="0" w:color="BFBFBF"/>
            </w:tcBorders>
            <w:shd w:val="clear" w:color="F9F9F9" w:fill="F7F9FC"/>
            <w:noWrap/>
            <w:vAlign w:val="center"/>
            <w:hideMark/>
          </w:tcPr>
          <w:p w14:paraId="0C6CA42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45.0</w:t>
            </w:r>
          </w:p>
        </w:tc>
        <w:tc>
          <w:tcPr>
            <w:tcW w:w="733" w:type="dxa"/>
            <w:tcBorders>
              <w:top w:val="nil"/>
              <w:left w:val="nil"/>
              <w:bottom w:val="single" w:sz="4" w:space="0" w:color="BFBFBF"/>
              <w:right w:val="single" w:sz="4" w:space="0" w:color="BFBFBF"/>
            </w:tcBorders>
            <w:shd w:val="clear" w:color="F9F9F9" w:fill="F7F9FC"/>
            <w:noWrap/>
            <w:vAlign w:val="center"/>
            <w:hideMark/>
          </w:tcPr>
          <w:p w14:paraId="3EE17A6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42.5</w:t>
            </w:r>
          </w:p>
        </w:tc>
        <w:tc>
          <w:tcPr>
            <w:tcW w:w="733" w:type="dxa"/>
            <w:tcBorders>
              <w:top w:val="nil"/>
              <w:left w:val="nil"/>
              <w:bottom w:val="single" w:sz="4" w:space="0" w:color="BFBFBF"/>
              <w:right w:val="single" w:sz="4" w:space="0" w:color="BFBFBF"/>
            </w:tcBorders>
            <w:shd w:val="clear" w:color="F9F9F9" w:fill="F7F9FC"/>
            <w:noWrap/>
            <w:vAlign w:val="center"/>
            <w:hideMark/>
          </w:tcPr>
          <w:p w14:paraId="6B228BC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46.2</w:t>
            </w:r>
          </w:p>
        </w:tc>
        <w:tc>
          <w:tcPr>
            <w:tcW w:w="733" w:type="dxa"/>
            <w:tcBorders>
              <w:top w:val="nil"/>
              <w:left w:val="nil"/>
              <w:bottom w:val="single" w:sz="4" w:space="0" w:color="BFBFBF"/>
              <w:right w:val="single" w:sz="4" w:space="0" w:color="BFBFBF"/>
            </w:tcBorders>
            <w:shd w:val="clear" w:color="F9F9F9" w:fill="F7F9FC"/>
            <w:noWrap/>
            <w:vAlign w:val="center"/>
            <w:hideMark/>
          </w:tcPr>
          <w:p w14:paraId="2759258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43.2</w:t>
            </w:r>
          </w:p>
        </w:tc>
        <w:tc>
          <w:tcPr>
            <w:tcW w:w="733" w:type="dxa"/>
            <w:tcBorders>
              <w:top w:val="nil"/>
              <w:left w:val="nil"/>
              <w:bottom w:val="single" w:sz="4" w:space="0" w:color="BFBFBF"/>
              <w:right w:val="single" w:sz="4" w:space="0" w:color="BFBFBF"/>
            </w:tcBorders>
            <w:shd w:val="clear" w:color="F9F9F9" w:fill="F7F9FC"/>
            <w:noWrap/>
            <w:vAlign w:val="center"/>
            <w:hideMark/>
          </w:tcPr>
          <w:p w14:paraId="2200F2B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41.0</w:t>
            </w:r>
          </w:p>
        </w:tc>
      </w:tr>
      <w:tr w:rsidR="004327A5" w:rsidRPr="00CE2B0C" w14:paraId="124C2E53"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7248240E"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Cash Operating Cycle (days)</w:t>
            </w:r>
          </w:p>
        </w:tc>
        <w:tc>
          <w:tcPr>
            <w:tcW w:w="2589" w:type="dxa"/>
            <w:tcBorders>
              <w:top w:val="nil"/>
              <w:left w:val="nil"/>
              <w:bottom w:val="single" w:sz="4" w:space="0" w:color="BFBFBF"/>
              <w:right w:val="single" w:sz="4" w:space="0" w:color="BFBFBF"/>
            </w:tcBorders>
            <w:noWrap/>
            <w:vAlign w:val="bottom"/>
            <w:hideMark/>
          </w:tcPr>
          <w:p w14:paraId="549C1AC8"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DIO + DSO − DPO</w:t>
            </w:r>
          </w:p>
        </w:tc>
        <w:tc>
          <w:tcPr>
            <w:tcW w:w="733" w:type="dxa"/>
            <w:tcBorders>
              <w:top w:val="nil"/>
              <w:left w:val="nil"/>
              <w:bottom w:val="single" w:sz="4" w:space="0" w:color="BFBFBF"/>
              <w:right w:val="single" w:sz="4" w:space="0" w:color="BFBFBF"/>
            </w:tcBorders>
            <w:noWrap/>
            <w:vAlign w:val="center"/>
            <w:hideMark/>
          </w:tcPr>
          <w:p w14:paraId="03BC418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68.6</w:t>
            </w:r>
          </w:p>
        </w:tc>
        <w:tc>
          <w:tcPr>
            <w:tcW w:w="733" w:type="dxa"/>
            <w:tcBorders>
              <w:top w:val="nil"/>
              <w:left w:val="nil"/>
              <w:bottom w:val="single" w:sz="4" w:space="0" w:color="BFBFBF"/>
              <w:right w:val="single" w:sz="4" w:space="0" w:color="BFBFBF"/>
            </w:tcBorders>
            <w:noWrap/>
            <w:vAlign w:val="center"/>
            <w:hideMark/>
          </w:tcPr>
          <w:p w14:paraId="682992FB"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58.8</w:t>
            </w:r>
          </w:p>
        </w:tc>
        <w:tc>
          <w:tcPr>
            <w:tcW w:w="733" w:type="dxa"/>
            <w:tcBorders>
              <w:top w:val="nil"/>
              <w:left w:val="nil"/>
              <w:bottom w:val="single" w:sz="4" w:space="0" w:color="BFBFBF"/>
              <w:right w:val="single" w:sz="4" w:space="0" w:color="BFBFBF"/>
            </w:tcBorders>
            <w:noWrap/>
            <w:vAlign w:val="center"/>
            <w:hideMark/>
          </w:tcPr>
          <w:p w14:paraId="1DF88BF7"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62.1</w:t>
            </w:r>
          </w:p>
        </w:tc>
        <w:tc>
          <w:tcPr>
            <w:tcW w:w="733" w:type="dxa"/>
            <w:tcBorders>
              <w:top w:val="nil"/>
              <w:left w:val="nil"/>
              <w:bottom w:val="single" w:sz="4" w:space="0" w:color="BFBFBF"/>
              <w:right w:val="single" w:sz="4" w:space="0" w:color="BFBFBF"/>
            </w:tcBorders>
            <w:noWrap/>
            <w:vAlign w:val="center"/>
            <w:hideMark/>
          </w:tcPr>
          <w:p w14:paraId="631E41F8"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56.5</w:t>
            </w:r>
          </w:p>
        </w:tc>
        <w:tc>
          <w:tcPr>
            <w:tcW w:w="733" w:type="dxa"/>
            <w:tcBorders>
              <w:top w:val="nil"/>
              <w:left w:val="nil"/>
              <w:bottom w:val="single" w:sz="4" w:space="0" w:color="BFBFBF"/>
              <w:right w:val="single" w:sz="4" w:space="0" w:color="BFBFBF"/>
            </w:tcBorders>
            <w:noWrap/>
            <w:vAlign w:val="center"/>
            <w:hideMark/>
          </w:tcPr>
          <w:p w14:paraId="1AD5ACA0"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60.8</w:t>
            </w:r>
          </w:p>
        </w:tc>
      </w:tr>
      <w:tr w:rsidR="004327A5" w:rsidRPr="00CE2B0C" w14:paraId="4E716B9D" w14:textId="77777777" w:rsidTr="004327A5">
        <w:trPr>
          <w:trHeight w:val="275"/>
        </w:trPr>
        <w:tc>
          <w:tcPr>
            <w:tcW w:w="2254" w:type="dxa"/>
            <w:tcBorders>
              <w:top w:val="nil"/>
              <w:left w:val="nil"/>
              <w:bottom w:val="nil"/>
              <w:right w:val="nil"/>
            </w:tcBorders>
            <w:noWrap/>
            <w:vAlign w:val="bottom"/>
            <w:hideMark/>
          </w:tcPr>
          <w:p w14:paraId="0F99E27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p>
        </w:tc>
        <w:tc>
          <w:tcPr>
            <w:tcW w:w="2589" w:type="dxa"/>
            <w:tcBorders>
              <w:top w:val="nil"/>
              <w:left w:val="nil"/>
              <w:bottom w:val="nil"/>
              <w:right w:val="nil"/>
            </w:tcBorders>
            <w:noWrap/>
            <w:vAlign w:val="bottom"/>
            <w:hideMark/>
          </w:tcPr>
          <w:p w14:paraId="1D91F7E7"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03E01863"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47143BAC"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6E4207AE"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762D8203"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4AE1AB32"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r>
      <w:tr w:rsidR="004327A5" w:rsidRPr="00CE2B0C" w14:paraId="06B6DA48"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703A46B1"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GEARING / LEVERAGE RATIOS</w:t>
            </w:r>
          </w:p>
        </w:tc>
      </w:tr>
      <w:tr w:rsidR="004327A5" w:rsidRPr="00CE2B0C" w14:paraId="214DE13D"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shd w:val="clear" w:color="F9F9F9" w:fill="F7F9FC"/>
            <w:noWrap/>
            <w:vAlign w:val="center"/>
            <w:hideMark/>
          </w:tcPr>
          <w:p w14:paraId="2FE0B7E0"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lastRenderedPageBreak/>
              <w:t>Debt-to-Equity Ratio (x)</w:t>
            </w:r>
          </w:p>
        </w:tc>
        <w:tc>
          <w:tcPr>
            <w:tcW w:w="2589" w:type="dxa"/>
            <w:tcBorders>
              <w:top w:val="single" w:sz="4" w:space="0" w:color="BFBFBF"/>
              <w:left w:val="nil"/>
              <w:bottom w:val="single" w:sz="4" w:space="0" w:color="BFBFBF"/>
              <w:right w:val="single" w:sz="4" w:space="0" w:color="BFBFBF"/>
            </w:tcBorders>
            <w:shd w:val="clear" w:color="F9F9F9" w:fill="F7F9FC"/>
            <w:noWrap/>
            <w:vAlign w:val="bottom"/>
            <w:hideMark/>
          </w:tcPr>
          <w:p w14:paraId="5AFADD4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(NC Financial Liabilities + C Financial Liabilities) ÷ Total Equity</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5088D0A" w14:textId="14CBB299"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1.58</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1417B012" w14:textId="658F607C"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1.44</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BCA6A8B" w14:textId="48756B2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1.15</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4F6645B0" w14:textId="5B9BDB61"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1.23</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218C600F" w14:textId="053C04E3"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1.29</w:t>
            </w:r>
          </w:p>
        </w:tc>
      </w:tr>
      <w:tr w:rsidR="004327A5" w:rsidRPr="00CE2B0C" w14:paraId="3EA8D6F0"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43C6A711"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Total Debt-to-Assets (%)</w:t>
            </w:r>
          </w:p>
        </w:tc>
        <w:tc>
          <w:tcPr>
            <w:tcW w:w="2589" w:type="dxa"/>
            <w:tcBorders>
              <w:top w:val="nil"/>
              <w:left w:val="nil"/>
              <w:bottom w:val="single" w:sz="4" w:space="0" w:color="BFBFBF"/>
              <w:right w:val="single" w:sz="4" w:space="0" w:color="BFBFBF"/>
            </w:tcBorders>
            <w:noWrap/>
            <w:vAlign w:val="bottom"/>
            <w:hideMark/>
          </w:tcPr>
          <w:p w14:paraId="37042313"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(NC Financial Liabilities + C Financial Liabilities) ÷ Total Assets</w:t>
            </w:r>
          </w:p>
        </w:tc>
        <w:tc>
          <w:tcPr>
            <w:tcW w:w="733" w:type="dxa"/>
            <w:tcBorders>
              <w:top w:val="nil"/>
              <w:left w:val="nil"/>
              <w:bottom w:val="single" w:sz="4" w:space="0" w:color="BFBFBF"/>
              <w:right w:val="single" w:sz="4" w:space="0" w:color="BFBFBF"/>
            </w:tcBorders>
            <w:noWrap/>
            <w:vAlign w:val="center"/>
            <w:hideMark/>
          </w:tcPr>
          <w:p w14:paraId="34C258F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40.9%</w:t>
            </w:r>
          </w:p>
        </w:tc>
        <w:tc>
          <w:tcPr>
            <w:tcW w:w="733" w:type="dxa"/>
            <w:tcBorders>
              <w:top w:val="nil"/>
              <w:left w:val="nil"/>
              <w:bottom w:val="single" w:sz="4" w:space="0" w:color="BFBFBF"/>
              <w:right w:val="single" w:sz="4" w:space="0" w:color="BFBFBF"/>
            </w:tcBorders>
            <w:noWrap/>
            <w:vAlign w:val="center"/>
            <w:hideMark/>
          </w:tcPr>
          <w:p w14:paraId="1EDB8CAB"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39.8%</w:t>
            </w:r>
          </w:p>
        </w:tc>
        <w:tc>
          <w:tcPr>
            <w:tcW w:w="733" w:type="dxa"/>
            <w:tcBorders>
              <w:top w:val="nil"/>
              <w:left w:val="nil"/>
              <w:bottom w:val="single" w:sz="4" w:space="0" w:color="BFBFBF"/>
              <w:right w:val="single" w:sz="4" w:space="0" w:color="BFBFBF"/>
            </w:tcBorders>
            <w:noWrap/>
            <w:vAlign w:val="center"/>
            <w:hideMark/>
          </w:tcPr>
          <w:p w14:paraId="67B0318B"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36.4%</w:t>
            </w:r>
          </w:p>
        </w:tc>
        <w:tc>
          <w:tcPr>
            <w:tcW w:w="733" w:type="dxa"/>
            <w:tcBorders>
              <w:top w:val="nil"/>
              <w:left w:val="nil"/>
              <w:bottom w:val="single" w:sz="4" w:space="0" w:color="BFBFBF"/>
              <w:right w:val="single" w:sz="4" w:space="0" w:color="BFBFBF"/>
            </w:tcBorders>
            <w:noWrap/>
            <w:vAlign w:val="center"/>
            <w:hideMark/>
          </w:tcPr>
          <w:p w14:paraId="6D698EE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38.8%</w:t>
            </w:r>
          </w:p>
        </w:tc>
        <w:tc>
          <w:tcPr>
            <w:tcW w:w="733" w:type="dxa"/>
            <w:tcBorders>
              <w:top w:val="nil"/>
              <w:left w:val="nil"/>
              <w:bottom w:val="single" w:sz="4" w:space="0" w:color="BFBFBF"/>
              <w:right w:val="single" w:sz="4" w:space="0" w:color="BFBFBF"/>
            </w:tcBorders>
            <w:noWrap/>
            <w:vAlign w:val="center"/>
            <w:hideMark/>
          </w:tcPr>
          <w:p w14:paraId="059BA22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40.1%</w:t>
            </w:r>
          </w:p>
        </w:tc>
      </w:tr>
      <w:tr w:rsidR="004327A5" w:rsidRPr="00CE2B0C" w14:paraId="6A266A6A"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6E4A7912"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Equity Ratio (%)</w:t>
            </w:r>
          </w:p>
        </w:tc>
        <w:tc>
          <w:tcPr>
            <w:tcW w:w="2589" w:type="dxa"/>
            <w:tcBorders>
              <w:top w:val="nil"/>
              <w:left w:val="nil"/>
              <w:bottom w:val="single" w:sz="4" w:space="0" w:color="BFBFBF"/>
              <w:right w:val="single" w:sz="4" w:space="0" w:color="BFBFBF"/>
            </w:tcBorders>
            <w:shd w:val="clear" w:color="F9F9F9" w:fill="F7F9FC"/>
            <w:noWrap/>
            <w:vAlign w:val="bottom"/>
            <w:hideMark/>
          </w:tcPr>
          <w:p w14:paraId="3A13971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Total Equity ÷ Total Assets</w:t>
            </w:r>
          </w:p>
        </w:tc>
        <w:tc>
          <w:tcPr>
            <w:tcW w:w="733" w:type="dxa"/>
            <w:tcBorders>
              <w:top w:val="nil"/>
              <w:left w:val="nil"/>
              <w:bottom w:val="single" w:sz="4" w:space="0" w:color="BFBFBF"/>
              <w:right w:val="single" w:sz="4" w:space="0" w:color="BFBFBF"/>
            </w:tcBorders>
            <w:shd w:val="clear" w:color="F9F9F9" w:fill="F7F9FC"/>
            <w:noWrap/>
            <w:vAlign w:val="center"/>
            <w:hideMark/>
          </w:tcPr>
          <w:p w14:paraId="1C98D27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25.9%</w:t>
            </w:r>
          </w:p>
        </w:tc>
        <w:tc>
          <w:tcPr>
            <w:tcW w:w="733" w:type="dxa"/>
            <w:tcBorders>
              <w:top w:val="nil"/>
              <w:left w:val="nil"/>
              <w:bottom w:val="single" w:sz="4" w:space="0" w:color="BFBFBF"/>
              <w:right w:val="single" w:sz="4" w:space="0" w:color="BFBFBF"/>
            </w:tcBorders>
            <w:shd w:val="clear" w:color="F9F9F9" w:fill="F7F9FC"/>
            <w:noWrap/>
            <w:vAlign w:val="center"/>
            <w:hideMark/>
          </w:tcPr>
          <w:p w14:paraId="2DCF933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27.6%</w:t>
            </w:r>
          </w:p>
        </w:tc>
        <w:tc>
          <w:tcPr>
            <w:tcW w:w="733" w:type="dxa"/>
            <w:tcBorders>
              <w:top w:val="nil"/>
              <w:left w:val="nil"/>
              <w:bottom w:val="single" w:sz="4" w:space="0" w:color="BFBFBF"/>
              <w:right w:val="single" w:sz="4" w:space="0" w:color="BFBFBF"/>
            </w:tcBorders>
            <w:shd w:val="clear" w:color="F9F9F9" w:fill="F7F9FC"/>
            <w:noWrap/>
            <w:vAlign w:val="center"/>
            <w:hideMark/>
          </w:tcPr>
          <w:p w14:paraId="0F4ECF3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31.6%</w:t>
            </w:r>
          </w:p>
        </w:tc>
        <w:tc>
          <w:tcPr>
            <w:tcW w:w="733" w:type="dxa"/>
            <w:tcBorders>
              <w:top w:val="nil"/>
              <w:left w:val="nil"/>
              <w:bottom w:val="single" w:sz="4" w:space="0" w:color="BFBFBF"/>
              <w:right w:val="single" w:sz="4" w:space="0" w:color="BFBFBF"/>
            </w:tcBorders>
            <w:shd w:val="clear" w:color="F9F9F9" w:fill="F7F9FC"/>
            <w:noWrap/>
            <w:vAlign w:val="center"/>
            <w:hideMark/>
          </w:tcPr>
          <w:p w14:paraId="5D6F3F1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31.6%</w:t>
            </w:r>
          </w:p>
        </w:tc>
        <w:tc>
          <w:tcPr>
            <w:tcW w:w="733" w:type="dxa"/>
            <w:tcBorders>
              <w:top w:val="nil"/>
              <w:left w:val="nil"/>
              <w:bottom w:val="single" w:sz="4" w:space="0" w:color="BFBFBF"/>
              <w:right w:val="single" w:sz="4" w:space="0" w:color="BFBFBF"/>
            </w:tcBorders>
            <w:shd w:val="clear" w:color="F9F9F9" w:fill="F7F9FC"/>
            <w:noWrap/>
            <w:vAlign w:val="center"/>
            <w:hideMark/>
          </w:tcPr>
          <w:p w14:paraId="0FD49A0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31.1%</w:t>
            </w:r>
          </w:p>
        </w:tc>
      </w:tr>
      <w:tr w:rsidR="004327A5" w:rsidRPr="00CE2B0C" w14:paraId="31BE0E07"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5ECD5D37"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Interest Coverage Ratio (x) [EBIT/</w:t>
            </w:r>
            <w:proofErr w:type="spellStart"/>
            <w:r w:rsidRPr="00CE2B0C">
              <w:rPr>
                <w:rFonts w:ascii="Arial" w:eastAsia="Times New Roman" w:hAnsi="Arial" w:cs="Arial"/>
                <w:color w:val="000000"/>
                <w:kern w:val="0"/>
                <w:sz w:val="20"/>
                <w:szCs w:val="20"/>
                <w:lang w:val="en-GB"/>
                <w14:ligatures w14:val="none"/>
              </w:rPr>
              <w:t>Int.Exp</w:t>
            </w:r>
            <w:proofErr w:type="spellEnd"/>
            <w:r w:rsidRPr="00CE2B0C">
              <w:rPr>
                <w:rFonts w:ascii="Arial" w:eastAsia="Times New Roman" w:hAnsi="Arial" w:cs="Arial"/>
                <w:color w:val="000000"/>
                <w:kern w:val="0"/>
                <w:sz w:val="20"/>
                <w:szCs w:val="20"/>
                <w:lang w:val="en-GB"/>
                <w14:ligatures w14:val="none"/>
              </w:rPr>
              <w:t>]</w:t>
            </w:r>
          </w:p>
        </w:tc>
        <w:tc>
          <w:tcPr>
            <w:tcW w:w="2589" w:type="dxa"/>
            <w:tcBorders>
              <w:top w:val="nil"/>
              <w:left w:val="nil"/>
              <w:bottom w:val="single" w:sz="4" w:space="0" w:color="BFBFBF"/>
              <w:right w:val="single" w:sz="4" w:space="0" w:color="BFBFBF"/>
            </w:tcBorders>
            <w:noWrap/>
            <w:vAlign w:val="bottom"/>
            <w:hideMark/>
          </w:tcPr>
          <w:p w14:paraId="077DF8BA"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EBIT ÷ Interest Expenses</w:t>
            </w:r>
          </w:p>
        </w:tc>
        <w:tc>
          <w:tcPr>
            <w:tcW w:w="733" w:type="dxa"/>
            <w:tcBorders>
              <w:top w:val="nil"/>
              <w:left w:val="nil"/>
              <w:bottom w:val="single" w:sz="4" w:space="0" w:color="BFBFBF"/>
              <w:right w:val="single" w:sz="4" w:space="0" w:color="BFBFBF"/>
            </w:tcBorders>
            <w:noWrap/>
            <w:vAlign w:val="center"/>
            <w:hideMark/>
          </w:tcPr>
          <w:p w14:paraId="06BBA0B6" w14:textId="252D4DE9"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4.22</w:t>
            </w:r>
          </w:p>
        </w:tc>
        <w:tc>
          <w:tcPr>
            <w:tcW w:w="733" w:type="dxa"/>
            <w:tcBorders>
              <w:top w:val="nil"/>
              <w:left w:val="nil"/>
              <w:bottom w:val="single" w:sz="4" w:space="0" w:color="BFBFBF"/>
              <w:right w:val="single" w:sz="4" w:space="0" w:color="BFBFBF"/>
            </w:tcBorders>
            <w:noWrap/>
            <w:vAlign w:val="center"/>
            <w:hideMark/>
          </w:tcPr>
          <w:p w14:paraId="67110EE0" w14:textId="56129F5D"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10.60</w:t>
            </w:r>
          </w:p>
        </w:tc>
        <w:tc>
          <w:tcPr>
            <w:tcW w:w="733" w:type="dxa"/>
            <w:tcBorders>
              <w:top w:val="nil"/>
              <w:left w:val="nil"/>
              <w:bottom w:val="single" w:sz="4" w:space="0" w:color="BFBFBF"/>
              <w:right w:val="single" w:sz="4" w:space="0" w:color="BFBFBF"/>
            </w:tcBorders>
            <w:noWrap/>
            <w:vAlign w:val="center"/>
            <w:hideMark/>
          </w:tcPr>
          <w:p w14:paraId="1474A063" w14:textId="237883B6"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50.05</w:t>
            </w:r>
          </w:p>
        </w:tc>
        <w:tc>
          <w:tcPr>
            <w:tcW w:w="733" w:type="dxa"/>
            <w:tcBorders>
              <w:top w:val="nil"/>
              <w:left w:val="nil"/>
              <w:bottom w:val="single" w:sz="4" w:space="0" w:color="BFBFBF"/>
              <w:right w:val="single" w:sz="4" w:space="0" w:color="BFBFBF"/>
            </w:tcBorders>
            <w:noWrap/>
            <w:vAlign w:val="center"/>
            <w:hideMark/>
          </w:tcPr>
          <w:p w14:paraId="5939B6DA" w14:textId="6161972F"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6.29</w:t>
            </w:r>
          </w:p>
        </w:tc>
        <w:tc>
          <w:tcPr>
            <w:tcW w:w="733" w:type="dxa"/>
            <w:tcBorders>
              <w:top w:val="nil"/>
              <w:left w:val="nil"/>
              <w:bottom w:val="single" w:sz="4" w:space="0" w:color="BFBFBF"/>
              <w:right w:val="single" w:sz="4" w:space="0" w:color="BFBFBF"/>
            </w:tcBorders>
            <w:noWrap/>
            <w:vAlign w:val="center"/>
            <w:hideMark/>
          </w:tcPr>
          <w:p w14:paraId="1628AE93" w14:textId="77F1DD8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5.53</w:t>
            </w:r>
          </w:p>
        </w:tc>
      </w:tr>
      <w:tr w:rsidR="004327A5" w:rsidRPr="00CE2B0C" w14:paraId="7C1F4948"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632CE71A"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Net Debt (€m)</w:t>
            </w:r>
          </w:p>
        </w:tc>
        <w:tc>
          <w:tcPr>
            <w:tcW w:w="2589" w:type="dxa"/>
            <w:tcBorders>
              <w:top w:val="nil"/>
              <w:left w:val="nil"/>
              <w:bottom w:val="single" w:sz="4" w:space="0" w:color="BFBFBF"/>
              <w:right w:val="single" w:sz="4" w:space="0" w:color="BFBFBF"/>
            </w:tcBorders>
            <w:shd w:val="clear" w:color="F9F9F9" w:fill="F7F9FC"/>
            <w:noWrap/>
            <w:vAlign w:val="bottom"/>
            <w:hideMark/>
          </w:tcPr>
          <w:p w14:paraId="4CAAB200"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(NC Fin. Liabilities + C Fin. Liabilities) − Cash &amp; Equivalents</w:t>
            </w:r>
          </w:p>
        </w:tc>
        <w:tc>
          <w:tcPr>
            <w:tcW w:w="733" w:type="dxa"/>
            <w:tcBorders>
              <w:top w:val="nil"/>
              <w:left w:val="nil"/>
              <w:bottom w:val="single" w:sz="4" w:space="0" w:color="BFBFBF"/>
              <w:right w:val="single" w:sz="4" w:space="0" w:color="BFBFBF"/>
            </w:tcBorders>
            <w:shd w:val="clear" w:color="F9F9F9" w:fill="F7F9FC"/>
            <w:noWrap/>
            <w:vAlign w:val="center"/>
            <w:hideMark/>
          </w:tcPr>
          <w:p w14:paraId="4B7B96D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169,548</w:t>
            </w:r>
          </w:p>
        </w:tc>
        <w:tc>
          <w:tcPr>
            <w:tcW w:w="733" w:type="dxa"/>
            <w:tcBorders>
              <w:top w:val="nil"/>
              <w:left w:val="nil"/>
              <w:bottom w:val="single" w:sz="4" w:space="0" w:color="BFBFBF"/>
              <w:right w:val="single" w:sz="4" w:space="0" w:color="BFBFBF"/>
            </w:tcBorders>
            <w:shd w:val="clear" w:color="F9F9F9" w:fill="F7F9FC"/>
            <w:noWrap/>
            <w:vAlign w:val="center"/>
            <w:hideMark/>
          </w:tcPr>
          <w:p w14:paraId="5F57BFE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170,479</w:t>
            </w:r>
          </w:p>
        </w:tc>
        <w:tc>
          <w:tcPr>
            <w:tcW w:w="733" w:type="dxa"/>
            <w:tcBorders>
              <w:top w:val="nil"/>
              <w:left w:val="nil"/>
              <w:bottom w:val="single" w:sz="4" w:space="0" w:color="BFBFBF"/>
              <w:right w:val="single" w:sz="4" w:space="0" w:color="BFBFBF"/>
            </w:tcBorders>
            <w:shd w:val="clear" w:color="F9F9F9" w:fill="F7F9FC"/>
            <w:noWrap/>
            <w:vAlign w:val="center"/>
            <w:hideMark/>
          </w:tcPr>
          <w:p w14:paraId="446ADBE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176,013</w:t>
            </w:r>
          </w:p>
        </w:tc>
        <w:tc>
          <w:tcPr>
            <w:tcW w:w="733" w:type="dxa"/>
            <w:tcBorders>
              <w:top w:val="nil"/>
              <w:left w:val="nil"/>
              <w:bottom w:val="single" w:sz="4" w:space="0" w:color="BFBFBF"/>
              <w:right w:val="single" w:sz="4" w:space="0" w:color="BFBFBF"/>
            </w:tcBorders>
            <w:shd w:val="clear" w:color="F9F9F9" w:fill="F7F9FC"/>
            <w:noWrap/>
            <w:vAlign w:val="center"/>
            <w:hideMark/>
          </w:tcPr>
          <w:p w14:paraId="52835A4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189,350</w:t>
            </w:r>
          </w:p>
        </w:tc>
        <w:tc>
          <w:tcPr>
            <w:tcW w:w="733" w:type="dxa"/>
            <w:tcBorders>
              <w:top w:val="nil"/>
              <w:left w:val="nil"/>
              <w:bottom w:val="single" w:sz="4" w:space="0" w:color="BFBFBF"/>
              <w:right w:val="single" w:sz="4" w:space="0" w:color="BFBFBF"/>
            </w:tcBorders>
            <w:shd w:val="clear" w:color="F9F9F9" w:fill="F7F9FC"/>
            <w:noWrap/>
            <w:vAlign w:val="center"/>
            <w:hideMark/>
          </w:tcPr>
          <w:p w14:paraId="142C21F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213,785</w:t>
            </w:r>
          </w:p>
        </w:tc>
      </w:tr>
      <w:tr w:rsidR="004327A5" w:rsidRPr="00CE2B0C" w14:paraId="09F92F06"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574B3F79"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Gearing Ratio - Net Debt/Equity (%)</w:t>
            </w:r>
          </w:p>
        </w:tc>
        <w:tc>
          <w:tcPr>
            <w:tcW w:w="2589" w:type="dxa"/>
            <w:tcBorders>
              <w:top w:val="nil"/>
              <w:left w:val="nil"/>
              <w:bottom w:val="single" w:sz="4" w:space="0" w:color="BFBFBF"/>
              <w:right w:val="single" w:sz="4" w:space="0" w:color="BFBFBF"/>
            </w:tcBorders>
            <w:noWrap/>
            <w:vAlign w:val="bottom"/>
            <w:hideMark/>
          </w:tcPr>
          <w:p w14:paraId="7CCEE995"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Net Debt ÷ Total Equity</w:t>
            </w:r>
          </w:p>
        </w:tc>
        <w:tc>
          <w:tcPr>
            <w:tcW w:w="733" w:type="dxa"/>
            <w:tcBorders>
              <w:top w:val="nil"/>
              <w:left w:val="nil"/>
              <w:bottom w:val="single" w:sz="4" w:space="0" w:color="BFBFBF"/>
              <w:right w:val="single" w:sz="4" w:space="0" w:color="BFBFBF"/>
            </w:tcBorders>
            <w:noWrap/>
            <w:vAlign w:val="center"/>
            <w:hideMark/>
          </w:tcPr>
          <w:p w14:paraId="28E3F729"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131.7%</w:t>
            </w:r>
          </w:p>
        </w:tc>
        <w:tc>
          <w:tcPr>
            <w:tcW w:w="733" w:type="dxa"/>
            <w:tcBorders>
              <w:top w:val="nil"/>
              <w:left w:val="nil"/>
              <w:bottom w:val="single" w:sz="4" w:space="0" w:color="BFBFBF"/>
              <w:right w:val="single" w:sz="4" w:space="0" w:color="BFBFBF"/>
            </w:tcBorders>
            <w:noWrap/>
            <w:vAlign w:val="center"/>
            <w:hideMark/>
          </w:tcPr>
          <w:p w14:paraId="4C8DA773"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116.6%</w:t>
            </w:r>
          </w:p>
        </w:tc>
        <w:tc>
          <w:tcPr>
            <w:tcW w:w="733" w:type="dxa"/>
            <w:tcBorders>
              <w:top w:val="nil"/>
              <w:left w:val="nil"/>
              <w:bottom w:val="single" w:sz="4" w:space="0" w:color="BFBFBF"/>
              <w:right w:val="single" w:sz="4" w:space="0" w:color="BFBFBF"/>
            </w:tcBorders>
            <w:noWrap/>
            <w:vAlign w:val="center"/>
            <w:hideMark/>
          </w:tcPr>
          <w:p w14:paraId="715DD28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98.7%</w:t>
            </w:r>
          </w:p>
        </w:tc>
        <w:tc>
          <w:tcPr>
            <w:tcW w:w="733" w:type="dxa"/>
            <w:tcBorders>
              <w:top w:val="nil"/>
              <w:left w:val="nil"/>
              <w:bottom w:val="single" w:sz="4" w:space="0" w:color="BFBFBF"/>
              <w:right w:val="single" w:sz="4" w:space="0" w:color="BFBFBF"/>
            </w:tcBorders>
            <w:noWrap/>
            <w:vAlign w:val="center"/>
            <w:hideMark/>
          </w:tcPr>
          <w:p w14:paraId="3762402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99.7%</w:t>
            </w:r>
          </w:p>
        </w:tc>
        <w:tc>
          <w:tcPr>
            <w:tcW w:w="733" w:type="dxa"/>
            <w:tcBorders>
              <w:top w:val="nil"/>
              <w:left w:val="nil"/>
              <w:bottom w:val="single" w:sz="4" w:space="0" w:color="BFBFBF"/>
              <w:right w:val="single" w:sz="4" w:space="0" w:color="BFBFBF"/>
            </w:tcBorders>
            <w:noWrap/>
            <w:vAlign w:val="center"/>
            <w:hideMark/>
          </w:tcPr>
          <w:p w14:paraId="4F444AD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108.7%</w:t>
            </w:r>
          </w:p>
        </w:tc>
      </w:tr>
      <w:tr w:rsidR="004327A5" w:rsidRPr="00CE2B0C" w14:paraId="33DBFB7E" w14:textId="77777777" w:rsidTr="004327A5">
        <w:trPr>
          <w:trHeight w:val="275"/>
        </w:trPr>
        <w:tc>
          <w:tcPr>
            <w:tcW w:w="2254" w:type="dxa"/>
            <w:tcBorders>
              <w:top w:val="nil"/>
              <w:left w:val="nil"/>
              <w:bottom w:val="nil"/>
              <w:right w:val="nil"/>
            </w:tcBorders>
            <w:noWrap/>
            <w:vAlign w:val="bottom"/>
            <w:hideMark/>
          </w:tcPr>
          <w:p w14:paraId="378D9CC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p>
        </w:tc>
        <w:tc>
          <w:tcPr>
            <w:tcW w:w="2589" w:type="dxa"/>
            <w:tcBorders>
              <w:top w:val="nil"/>
              <w:left w:val="nil"/>
              <w:bottom w:val="nil"/>
              <w:right w:val="nil"/>
            </w:tcBorders>
            <w:noWrap/>
            <w:vAlign w:val="bottom"/>
            <w:hideMark/>
          </w:tcPr>
          <w:p w14:paraId="4EC4161F"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539173F5"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0E1A6FE6"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274381A1"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63D0C45E"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5B0A43E8"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r>
      <w:tr w:rsidR="004327A5" w:rsidRPr="00CE2B0C" w14:paraId="0C020DEC"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194BCCF2"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INVESTMENT RATIOS</w:t>
            </w:r>
          </w:p>
        </w:tc>
      </w:tr>
      <w:tr w:rsidR="004327A5" w:rsidRPr="00CE2B0C" w14:paraId="299A2F39"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shd w:val="clear" w:color="F9F9F9" w:fill="F7F9FC"/>
            <w:noWrap/>
            <w:vAlign w:val="center"/>
            <w:hideMark/>
          </w:tcPr>
          <w:p w14:paraId="45DCDE71"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Earnings Per Share — EPS (approx. €)</w:t>
            </w:r>
          </w:p>
        </w:tc>
        <w:tc>
          <w:tcPr>
            <w:tcW w:w="2589" w:type="dxa"/>
            <w:tcBorders>
              <w:top w:val="single" w:sz="4" w:space="0" w:color="BFBFBF"/>
              <w:left w:val="nil"/>
              <w:bottom w:val="single" w:sz="4" w:space="0" w:color="BFBFBF"/>
              <w:right w:val="single" w:sz="4" w:space="0" w:color="BFBFBF"/>
            </w:tcBorders>
            <w:shd w:val="clear" w:color="F9F9F9" w:fill="F7F9FC"/>
            <w:noWrap/>
            <w:vAlign w:val="bottom"/>
            <w:hideMark/>
          </w:tcPr>
          <w:p w14:paraId="454E685F"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 xml:space="preserve">Profit </w:t>
            </w:r>
            <w:proofErr w:type="spellStart"/>
            <w:r w:rsidRPr="00CE2B0C">
              <w:rPr>
                <w:rFonts w:ascii="Arial" w:eastAsia="Times New Roman" w:hAnsi="Arial" w:cs="Arial"/>
                <w:i/>
                <w:iCs/>
                <w:color w:val="595959"/>
                <w:kern w:val="0"/>
                <w:sz w:val="18"/>
                <w:szCs w:val="18"/>
                <w:lang w:val="en-GB"/>
                <w14:ligatures w14:val="none"/>
              </w:rPr>
              <w:t>Attr</w:t>
            </w:r>
            <w:proofErr w:type="spellEnd"/>
            <w:r w:rsidRPr="00CE2B0C">
              <w:rPr>
                <w:rFonts w:ascii="Arial" w:eastAsia="Times New Roman" w:hAnsi="Arial" w:cs="Arial"/>
                <w:i/>
                <w:iCs/>
                <w:color w:val="595959"/>
                <w:kern w:val="0"/>
                <w:sz w:val="18"/>
                <w:szCs w:val="18"/>
                <w:lang w:val="en-GB"/>
                <w14:ligatures w14:val="none"/>
              </w:rPr>
              <w:t>. to Shareholders ÷ Approx. Shares (501.3m)</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C06DDC0"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16.62</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5E75F56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29.61</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6E54448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29.66</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31D7217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31.94</w:t>
            </w:r>
          </w:p>
        </w:tc>
        <w:tc>
          <w:tcPr>
            <w:tcW w:w="733" w:type="dxa"/>
            <w:tcBorders>
              <w:top w:val="single" w:sz="4" w:space="0" w:color="BFBFBF"/>
              <w:left w:val="nil"/>
              <w:bottom w:val="single" w:sz="4" w:space="0" w:color="BFBFBF"/>
              <w:right w:val="single" w:sz="4" w:space="0" w:color="BFBFBF"/>
            </w:tcBorders>
            <w:shd w:val="clear" w:color="F9F9F9" w:fill="F7F9FC"/>
            <w:noWrap/>
            <w:vAlign w:val="center"/>
            <w:hideMark/>
          </w:tcPr>
          <w:p w14:paraId="252C2528"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21.39</w:t>
            </w:r>
          </w:p>
        </w:tc>
      </w:tr>
      <w:tr w:rsidR="004327A5" w:rsidRPr="00CE2B0C" w14:paraId="125CC9BB"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1B126052"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Dividend Per Share (approx. €)</w:t>
            </w:r>
          </w:p>
        </w:tc>
        <w:tc>
          <w:tcPr>
            <w:tcW w:w="2589" w:type="dxa"/>
            <w:tcBorders>
              <w:top w:val="nil"/>
              <w:left w:val="nil"/>
              <w:bottom w:val="single" w:sz="4" w:space="0" w:color="BFBFBF"/>
              <w:right w:val="single" w:sz="4" w:space="0" w:color="BFBFBF"/>
            </w:tcBorders>
            <w:noWrap/>
            <w:vAlign w:val="bottom"/>
            <w:hideMark/>
          </w:tcPr>
          <w:p w14:paraId="2B05EFA0"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Published VW Annual Report (actual dividend paid)</w:t>
            </w:r>
          </w:p>
        </w:tc>
        <w:tc>
          <w:tcPr>
            <w:tcW w:w="733" w:type="dxa"/>
            <w:tcBorders>
              <w:top w:val="nil"/>
              <w:left w:val="nil"/>
              <w:bottom w:val="single" w:sz="4" w:space="0" w:color="BFBFBF"/>
              <w:right w:val="single" w:sz="4" w:space="0" w:color="BFBFBF"/>
            </w:tcBorders>
            <w:noWrap/>
            <w:vAlign w:val="center"/>
            <w:hideMark/>
          </w:tcPr>
          <w:p w14:paraId="1DC68BB1"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4.8</w:t>
            </w:r>
          </w:p>
        </w:tc>
        <w:tc>
          <w:tcPr>
            <w:tcW w:w="733" w:type="dxa"/>
            <w:tcBorders>
              <w:top w:val="nil"/>
              <w:left w:val="nil"/>
              <w:bottom w:val="single" w:sz="4" w:space="0" w:color="BFBFBF"/>
              <w:right w:val="single" w:sz="4" w:space="0" w:color="BFBFBF"/>
            </w:tcBorders>
            <w:noWrap/>
            <w:vAlign w:val="center"/>
            <w:hideMark/>
          </w:tcPr>
          <w:p w14:paraId="64E9D27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9.00</w:t>
            </w:r>
          </w:p>
        </w:tc>
        <w:tc>
          <w:tcPr>
            <w:tcW w:w="733" w:type="dxa"/>
            <w:tcBorders>
              <w:top w:val="nil"/>
              <w:left w:val="nil"/>
              <w:bottom w:val="single" w:sz="4" w:space="0" w:color="BFBFBF"/>
              <w:right w:val="single" w:sz="4" w:space="0" w:color="BFBFBF"/>
            </w:tcBorders>
            <w:noWrap/>
            <w:vAlign w:val="center"/>
            <w:hideMark/>
          </w:tcPr>
          <w:p w14:paraId="793C6F9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8.70</w:t>
            </w:r>
          </w:p>
        </w:tc>
        <w:tc>
          <w:tcPr>
            <w:tcW w:w="733" w:type="dxa"/>
            <w:tcBorders>
              <w:top w:val="nil"/>
              <w:left w:val="nil"/>
              <w:bottom w:val="single" w:sz="4" w:space="0" w:color="BFBFBF"/>
              <w:right w:val="single" w:sz="4" w:space="0" w:color="BFBFBF"/>
            </w:tcBorders>
            <w:noWrap/>
            <w:vAlign w:val="center"/>
            <w:hideMark/>
          </w:tcPr>
          <w:p w14:paraId="1E926C9F"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9.00</w:t>
            </w:r>
          </w:p>
        </w:tc>
        <w:tc>
          <w:tcPr>
            <w:tcW w:w="733" w:type="dxa"/>
            <w:tcBorders>
              <w:top w:val="nil"/>
              <w:left w:val="nil"/>
              <w:bottom w:val="single" w:sz="4" w:space="0" w:color="BFBFBF"/>
              <w:right w:val="single" w:sz="4" w:space="0" w:color="BFBFBF"/>
            </w:tcBorders>
            <w:noWrap/>
            <w:vAlign w:val="center"/>
            <w:hideMark/>
          </w:tcPr>
          <w:p w14:paraId="725DC508"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6.00</w:t>
            </w:r>
          </w:p>
        </w:tc>
      </w:tr>
      <w:tr w:rsidR="004327A5" w:rsidRPr="00CE2B0C" w14:paraId="0AEC66B8"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0CB3CE4C"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 xml:space="preserve">Dividend </w:t>
            </w:r>
            <w:proofErr w:type="spellStart"/>
            <w:r w:rsidRPr="00CE2B0C">
              <w:rPr>
                <w:rFonts w:ascii="Arial" w:eastAsia="Times New Roman" w:hAnsi="Arial" w:cs="Arial"/>
                <w:color w:val="000000"/>
                <w:kern w:val="0"/>
                <w:sz w:val="20"/>
                <w:szCs w:val="20"/>
                <w:lang w:val="en-GB"/>
                <w14:ligatures w14:val="none"/>
              </w:rPr>
              <w:t>Payout</w:t>
            </w:r>
            <w:proofErr w:type="spellEnd"/>
            <w:r w:rsidRPr="00CE2B0C">
              <w:rPr>
                <w:rFonts w:ascii="Arial" w:eastAsia="Times New Roman" w:hAnsi="Arial" w:cs="Arial"/>
                <w:color w:val="000000"/>
                <w:kern w:val="0"/>
                <w:sz w:val="20"/>
                <w:szCs w:val="20"/>
                <w:lang w:val="en-GB"/>
                <w14:ligatures w14:val="none"/>
              </w:rPr>
              <w:t xml:space="preserve"> Ratio (%)</w:t>
            </w:r>
          </w:p>
        </w:tc>
        <w:tc>
          <w:tcPr>
            <w:tcW w:w="2589" w:type="dxa"/>
            <w:tcBorders>
              <w:top w:val="nil"/>
              <w:left w:val="nil"/>
              <w:bottom w:val="single" w:sz="4" w:space="0" w:color="BFBFBF"/>
              <w:right w:val="single" w:sz="4" w:space="0" w:color="BFBFBF"/>
            </w:tcBorders>
            <w:shd w:val="clear" w:color="F9F9F9" w:fill="F7F9FC"/>
            <w:noWrap/>
            <w:vAlign w:val="bottom"/>
            <w:hideMark/>
          </w:tcPr>
          <w:p w14:paraId="68FDF866"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Dividend Per Share ÷ Earnings Per Share</w:t>
            </w:r>
          </w:p>
        </w:tc>
        <w:tc>
          <w:tcPr>
            <w:tcW w:w="733" w:type="dxa"/>
            <w:tcBorders>
              <w:top w:val="nil"/>
              <w:left w:val="nil"/>
              <w:bottom w:val="single" w:sz="4" w:space="0" w:color="BFBFBF"/>
              <w:right w:val="single" w:sz="4" w:space="0" w:color="BFBFBF"/>
            </w:tcBorders>
            <w:shd w:val="clear" w:color="F9F9F9" w:fill="F7F9FC"/>
            <w:noWrap/>
            <w:vAlign w:val="center"/>
            <w:hideMark/>
          </w:tcPr>
          <w:p w14:paraId="722F4322"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28.9%</w:t>
            </w:r>
          </w:p>
        </w:tc>
        <w:tc>
          <w:tcPr>
            <w:tcW w:w="733" w:type="dxa"/>
            <w:tcBorders>
              <w:top w:val="nil"/>
              <w:left w:val="nil"/>
              <w:bottom w:val="single" w:sz="4" w:space="0" w:color="BFBFBF"/>
              <w:right w:val="single" w:sz="4" w:space="0" w:color="BFBFBF"/>
            </w:tcBorders>
            <w:shd w:val="clear" w:color="F9F9F9" w:fill="F7F9FC"/>
            <w:noWrap/>
            <w:vAlign w:val="center"/>
            <w:hideMark/>
          </w:tcPr>
          <w:p w14:paraId="1A2F66A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30.4%</w:t>
            </w:r>
          </w:p>
        </w:tc>
        <w:tc>
          <w:tcPr>
            <w:tcW w:w="733" w:type="dxa"/>
            <w:tcBorders>
              <w:top w:val="nil"/>
              <w:left w:val="nil"/>
              <w:bottom w:val="single" w:sz="4" w:space="0" w:color="BFBFBF"/>
              <w:right w:val="single" w:sz="4" w:space="0" w:color="BFBFBF"/>
            </w:tcBorders>
            <w:shd w:val="clear" w:color="F9F9F9" w:fill="F7F9FC"/>
            <w:noWrap/>
            <w:vAlign w:val="center"/>
            <w:hideMark/>
          </w:tcPr>
          <w:p w14:paraId="27815BA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29.3%</w:t>
            </w:r>
          </w:p>
        </w:tc>
        <w:tc>
          <w:tcPr>
            <w:tcW w:w="733" w:type="dxa"/>
            <w:tcBorders>
              <w:top w:val="nil"/>
              <w:left w:val="nil"/>
              <w:bottom w:val="single" w:sz="4" w:space="0" w:color="BFBFBF"/>
              <w:right w:val="single" w:sz="4" w:space="0" w:color="BFBFBF"/>
            </w:tcBorders>
            <w:shd w:val="clear" w:color="F9F9F9" w:fill="F7F9FC"/>
            <w:noWrap/>
            <w:vAlign w:val="center"/>
            <w:hideMark/>
          </w:tcPr>
          <w:p w14:paraId="28A5C06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28.2%</w:t>
            </w:r>
          </w:p>
        </w:tc>
        <w:tc>
          <w:tcPr>
            <w:tcW w:w="733" w:type="dxa"/>
            <w:tcBorders>
              <w:top w:val="nil"/>
              <w:left w:val="nil"/>
              <w:bottom w:val="single" w:sz="4" w:space="0" w:color="BFBFBF"/>
              <w:right w:val="single" w:sz="4" w:space="0" w:color="BFBFBF"/>
            </w:tcBorders>
            <w:shd w:val="clear" w:color="F9F9F9" w:fill="F7F9FC"/>
            <w:noWrap/>
            <w:vAlign w:val="center"/>
            <w:hideMark/>
          </w:tcPr>
          <w:p w14:paraId="79D2113E"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28.1%</w:t>
            </w:r>
          </w:p>
        </w:tc>
      </w:tr>
      <w:tr w:rsidR="004327A5" w:rsidRPr="00CE2B0C" w14:paraId="5D113C4B"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2A2D699A"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Price-to-Earnings Ratio P/E (x)</w:t>
            </w:r>
          </w:p>
        </w:tc>
        <w:tc>
          <w:tcPr>
            <w:tcW w:w="2589" w:type="dxa"/>
            <w:tcBorders>
              <w:top w:val="nil"/>
              <w:left w:val="nil"/>
              <w:bottom w:val="single" w:sz="4" w:space="0" w:color="BFBFBF"/>
              <w:right w:val="single" w:sz="4" w:space="0" w:color="BFBFBF"/>
            </w:tcBorders>
            <w:noWrap/>
            <w:vAlign w:val="bottom"/>
            <w:hideMark/>
          </w:tcPr>
          <w:p w14:paraId="2B38FAB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Market Price Per Share ÷ EPS  (market data required)</w:t>
            </w:r>
          </w:p>
        </w:tc>
        <w:tc>
          <w:tcPr>
            <w:tcW w:w="733" w:type="dxa"/>
            <w:tcBorders>
              <w:top w:val="nil"/>
              <w:left w:val="nil"/>
              <w:bottom w:val="single" w:sz="4" w:space="0" w:color="BFBFBF"/>
              <w:right w:val="single" w:sz="4" w:space="0" w:color="BFBFBF"/>
            </w:tcBorders>
            <w:noWrap/>
            <w:vAlign w:val="center"/>
            <w:hideMark/>
          </w:tcPr>
          <w:p w14:paraId="43F7C43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N/A</w:t>
            </w:r>
          </w:p>
        </w:tc>
        <w:tc>
          <w:tcPr>
            <w:tcW w:w="733" w:type="dxa"/>
            <w:tcBorders>
              <w:top w:val="nil"/>
              <w:left w:val="nil"/>
              <w:bottom w:val="single" w:sz="4" w:space="0" w:color="BFBFBF"/>
              <w:right w:val="single" w:sz="4" w:space="0" w:color="BFBFBF"/>
            </w:tcBorders>
            <w:noWrap/>
            <w:vAlign w:val="center"/>
            <w:hideMark/>
          </w:tcPr>
          <w:p w14:paraId="132EEAC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N/A</w:t>
            </w:r>
          </w:p>
        </w:tc>
        <w:tc>
          <w:tcPr>
            <w:tcW w:w="733" w:type="dxa"/>
            <w:tcBorders>
              <w:top w:val="nil"/>
              <w:left w:val="nil"/>
              <w:bottom w:val="single" w:sz="4" w:space="0" w:color="BFBFBF"/>
              <w:right w:val="single" w:sz="4" w:space="0" w:color="BFBFBF"/>
            </w:tcBorders>
            <w:noWrap/>
            <w:vAlign w:val="center"/>
            <w:hideMark/>
          </w:tcPr>
          <w:p w14:paraId="09F21071"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N/A</w:t>
            </w:r>
          </w:p>
        </w:tc>
        <w:tc>
          <w:tcPr>
            <w:tcW w:w="733" w:type="dxa"/>
            <w:tcBorders>
              <w:top w:val="nil"/>
              <w:left w:val="nil"/>
              <w:bottom w:val="single" w:sz="4" w:space="0" w:color="BFBFBF"/>
              <w:right w:val="single" w:sz="4" w:space="0" w:color="BFBFBF"/>
            </w:tcBorders>
            <w:noWrap/>
            <w:vAlign w:val="center"/>
            <w:hideMark/>
          </w:tcPr>
          <w:p w14:paraId="266D765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N/A</w:t>
            </w:r>
          </w:p>
        </w:tc>
        <w:tc>
          <w:tcPr>
            <w:tcW w:w="733" w:type="dxa"/>
            <w:tcBorders>
              <w:top w:val="nil"/>
              <w:left w:val="nil"/>
              <w:bottom w:val="single" w:sz="4" w:space="0" w:color="BFBFBF"/>
              <w:right w:val="single" w:sz="4" w:space="0" w:color="BFBFBF"/>
            </w:tcBorders>
            <w:noWrap/>
            <w:vAlign w:val="center"/>
            <w:hideMark/>
          </w:tcPr>
          <w:p w14:paraId="5062101E"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N/A</w:t>
            </w:r>
          </w:p>
        </w:tc>
      </w:tr>
      <w:tr w:rsidR="004327A5" w:rsidRPr="00CE2B0C" w14:paraId="52B5F42B"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7942EA93"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Capital Expenditure / Revenue (%)</w:t>
            </w:r>
          </w:p>
        </w:tc>
        <w:tc>
          <w:tcPr>
            <w:tcW w:w="2589" w:type="dxa"/>
            <w:tcBorders>
              <w:top w:val="nil"/>
              <w:left w:val="nil"/>
              <w:bottom w:val="single" w:sz="4" w:space="0" w:color="BFBFBF"/>
              <w:right w:val="single" w:sz="4" w:space="0" w:color="BFBFBF"/>
            </w:tcBorders>
            <w:shd w:val="clear" w:color="F9F9F9" w:fill="F7F9FC"/>
            <w:noWrap/>
            <w:vAlign w:val="bottom"/>
            <w:hideMark/>
          </w:tcPr>
          <w:p w14:paraId="172E07B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Capital Expenditure ÷ Sales Revenue</w:t>
            </w:r>
          </w:p>
        </w:tc>
        <w:tc>
          <w:tcPr>
            <w:tcW w:w="733" w:type="dxa"/>
            <w:tcBorders>
              <w:top w:val="nil"/>
              <w:left w:val="nil"/>
              <w:bottom w:val="single" w:sz="4" w:space="0" w:color="BFBFBF"/>
              <w:right w:val="single" w:sz="4" w:space="0" w:color="BFBFBF"/>
            </w:tcBorders>
            <w:shd w:val="clear" w:color="F9F9F9" w:fill="F7F9FC"/>
            <w:noWrap/>
            <w:vAlign w:val="center"/>
            <w:hideMark/>
          </w:tcPr>
          <w:p w14:paraId="5BEB745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8.0%</w:t>
            </w:r>
          </w:p>
        </w:tc>
        <w:tc>
          <w:tcPr>
            <w:tcW w:w="733" w:type="dxa"/>
            <w:tcBorders>
              <w:top w:val="nil"/>
              <w:left w:val="nil"/>
              <w:bottom w:val="single" w:sz="4" w:space="0" w:color="BFBFBF"/>
              <w:right w:val="single" w:sz="4" w:space="0" w:color="BFBFBF"/>
            </w:tcBorders>
            <w:shd w:val="clear" w:color="F9F9F9" w:fill="F7F9FC"/>
            <w:noWrap/>
            <w:vAlign w:val="center"/>
            <w:hideMark/>
          </w:tcPr>
          <w:p w14:paraId="72DBEF0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7.4%</w:t>
            </w:r>
          </w:p>
        </w:tc>
        <w:tc>
          <w:tcPr>
            <w:tcW w:w="733" w:type="dxa"/>
            <w:tcBorders>
              <w:top w:val="nil"/>
              <w:left w:val="nil"/>
              <w:bottom w:val="single" w:sz="4" w:space="0" w:color="BFBFBF"/>
              <w:right w:val="single" w:sz="4" w:space="0" w:color="BFBFBF"/>
            </w:tcBorders>
            <w:shd w:val="clear" w:color="F9F9F9" w:fill="F7F9FC"/>
            <w:noWrap/>
            <w:vAlign w:val="center"/>
            <w:hideMark/>
          </w:tcPr>
          <w:p w14:paraId="7A6E825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8.1%</w:t>
            </w:r>
          </w:p>
        </w:tc>
        <w:tc>
          <w:tcPr>
            <w:tcW w:w="733" w:type="dxa"/>
            <w:tcBorders>
              <w:top w:val="nil"/>
              <w:left w:val="nil"/>
              <w:bottom w:val="single" w:sz="4" w:space="0" w:color="BFBFBF"/>
              <w:right w:val="single" w:sz="4" w:space="0" w:color="BFBFBF"/>
            </w:tcBorders>
            <w:shd w:val="clear" w:color="F9F9F9" w:fill="F7F9FC"/>
            <w:noWrap/>
            <w:vAlign w:val="center"/>
            <w:hideMark/>
          </w:tcPr>
          <w:p w14:paraId="7C8B1B7E"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8.0%</w:t>
            </w:r>
          </w:p>
        </w:tc>
        <w:tc>
          <w:tcPr>
            <w:tcW w:w="733" w:type="dxa"/>
            <w:tcBorders>
              <w:top w:val="nil"/>
              <w:left w:val="nil"/>
              <w:bottom w:val="single" w:sz="4" w:space="0" w:color="BFBFBF"/>
              <w:right w:val="single" w:sz="4" w:space="0" w:color="BFBFBF"/>
            </w:tcBorders>
            <w:shd w:val="clear" w:color="F9F9F9" w:fill="F7F9FC"/>
            <w:noWrap/>
            <w:vAlign w:val="center"/>
            <w:hideMark/>
          </w:tcPr>
          <w:p w14:paraId="7FAAB38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8.5%</w:t>
            </w:r>
          </w:p>
        </w:tc>
      </w:tr>
      <w:tr w:rsidR="004327A5" w:rsidRPr="00CE2B0C" w14:paraId="0466E9A3" w14:textId="77777777" w:rsidTr="004327A5">
        <w:trPr>
          <w:trHeight w:val="275"/>
        </w:trPr>
        <w:tc>
          <w:tcPr>
            <w:tcW w:w="2254" w:type="dxa"/>
            <w:tcBorders>
              <w:top w:val="nil"/>
              <w:left w:val="nil"/>
              <w:bottom w:val="nil"/>
              <w:right w:val="nil"/>
            </w:tcBorders>
            <w:noWrap/>
            <w:vAlign w:val="bottom"/>
            <w:hideMark/>
          </w:tcPr>
          <w:p w14:paraId="2965036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p>
        </w:tc>
        <w:tc>
          <w:tcPr>
            <w:tcW w:w="2589" w:type="dxa"/>
            <w:tcBorders>
              <w:top w:val="nil"/>
              <w:left w:val="nil"/>
              <w:bottom w:val="nil"/>
              <w:right w:val="nil"/>
            </w:tcBorders>
            <w:noWrap/>
            <w:vAlign w:val="bottom"/>
            <w:hideMark/>
          </w:tcPr>
          <w:p w14:paraId="233FF124"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6712B570"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53C76ED7"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24F41030"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421DD25C"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c>
          <w:tcPr>
            <w:tcW w:w="733" w:type="dxa"/>
            <w:tcBorders>
              <w:top w:val="nil"/>
              <w:left w:val="nil"/>
              <w:bottom w:val="nil"/>
              <w:right w:val="nil"/>
            </w:tcBorders>
            <w:noWrap/>
            <w:vAlign w:val="bottom"/>
            <w:hideMark/>
          </w:tcPr>
          <w:p w14:paraId="0D1BF3DC" w14:textId="77777777" w:rsidR="004327A5" w:rsidRPr="00CE2B0C" w:rsidRDefault="004327A5" w:rsidP="004327A5">
            <w:pPr>
              <w:spacing w:after="0" w:line="240" w:lineRule="auto"/>
              <w:rPr>
                <w:rFonts w:ascii="Times New Roman" w:eastAsia="Times New Roman" w:hAnsi="Times New Roman" w:cs="Times New Roman"/>
                <w:kern w:val="0"/>
                <w:sz w:val="20"/>
                <w:szCs w:val="20"/>
                <w:lang w:val="en-GB"/>
                <w14:ligatures w14:val="none"/>
              </w:rPr>
            </w:pPr>
          </w:p>
        </w:tc>
      </w:tr>
      <w:tr w:rsidR="004327A5" w:rsidRPr="00CE2B0C" w14:paraId="3D89C7C1" w14:textId="77777777" w:rsidTr="004327A5">
        <w:trPr>
          <w:trHeight w:val="372"/>
        </w:trPr>
        <w:tc>
          <w:tcPr>
            <w:tcW w:w="8513" w:type="dxa"/>
            <w:gridSpan w:val="7"/>
            <w:tcBorders>
              <w:top w:val="nil"/>
              <w:left w:val="nil"/>
              <w:bottom w:val="nil"/>
              <w:right w:val="nil"/>
            </w:tcBorders>
            <w:shd w:val="clear" w:color="333399" w:fill="2E5DA6"/>
            <w:noWrap/>
            <w:vAlign w:val="center"/>
            <w:hideMark/>
          </w:tcPr>
          <w:p w14:paraId="7B1DB3DB" w14:textId="77777777" w:rsidR="004327A5" w:rsidRPr="00CE2B0C" w:rsidRDefault="004327A5" w:rsidP="004327A5">
            <w:pPr>
              <w:spacing w:after="0" w:line="240" w:lineRule="auto"/>
              <w:rPr>
                <w:rFonts w:ascii="Arial" w:eastAsia="Times New Roman" w:hAnsi="Arial" w:cs="Arial"/>
                <w:b/>
                <w:bCs/>
                <w:color w:val="FFFFFF"/>
                <w:kern w:val="0"/>
                <w:sz w:val="20"/>
                <w:szCs w:val="20"/>
                <w:lang w:val="en-GB"/>
                <w14:ligatures w14:val="none"/>
              </w:rPr>
            </w:pPr>
            <w:r w:rsidRPr="00CE2B0C">
              <w:rPr>
                <w:rFonts w:ascii="Arial" w:eastAsia="Times New Roman" w:hAnsi="Arial" w:cs="Arial"/>
                <w:b/>
                <w:bCs/>
                <w:color w:val="FFFFFF"/>
                <w:kern w:val="0"/>
                <w:sz w:val="20"/>
                <w:szCs w:val="20"/>
                <w:lang w:val="en-GB"/>
                <w14:ligatures w14:val="none"/>
              </w:rPr>
              <w:t>CASH FLOW RATIOS</w:t>
            </w:r>
          </w:p>
        </w:tc>
      </w:tr>
      <w:tr w:rsidR="004327A5" w:rsidRPr="00CE2B0C" w14:paraId="4F0BDAF4" w14:textId="77777777" w:rsidTr="004327A5">
        <w:trPr>
          <w:trHeight w:val="343"/>
        </w:trPr>
        <w:tc>
          <w:tcPr>
            <w:tcW w:w="2254" w:type="dxa"/>
            <w:tcBorders>
              <w:top w:val="single" w:sz="4" w:space="0" w:color="BFBFBF"/>
              <w:left w:val="single" w:sz="4" w:space="0" w:color="BFBFBF"/>
              <w:bottom w:val="single" w:sz="4" w:space="0" w:color="BFBFBF"/>
              <w:right w:val="single" w:sz="4" w:space="0" w:color="BFBFBF"/>
            </w:tcBorders>
            <w:noWrap/>
            <w:vAlign w:val="center"/>
            <w:hideMark/>
          </w:tcPr>
          <w:p w14:paraId="69C0FFDE"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Operating Cash Flow Ratio (x)</w:t>
            </w:r>
          </w:p>
        </w:tc>
        <w:tc>
          <w:tcPr>
            <w:tcW w:w="2589" w:type="dxa"/>
            <w:tcBorders>
              <w:top w:val="single" w:sz="4" w:space="0" w:color="BFBFBF"/>
              <w:left w:val="nil"/>
              <w:bottom w:val="single" w:sz="4" w:space="0" w:color="BFBFBF"/>
              <w:right w:val="single" w:sz="4" w:space="0" w:color="BFBFBF"/>
            </w:tcBorders>
            <w:noWrap/>
            <w:vAlign w:val="bottom"/>
            <w:hideMark/>
          </w:tcPr>
          <w:p w14:paraId="2C24CFCD"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Operating Cash Flow ÷ Current Liabilities</w:t>
            </w:r>
          </w:p>
        </w:tc>
        <w:tc>
          <w:tcPr>
            <w:tcW w:w="733" w:type="dxa"/>
            <w:tcBorders>
              <w:top w:val="single" w:sz="4" w:space="0" w:color="BFBFBF"/>
              <w:left w:val="nil"/>
              <w:bottom w:val="single" w:sz="4" w:space="0" w:color="BFBFBF"/>
              <w:right w:val="single" w:sz="4" w:space="0" w:color="BFBFBF"/>
            </w:tcBorders>
            <w:noWrap/>
            <w:vAlign w:val="center"/>
            <w:hideMark/>
          </w:tcPr>
          <w:p w14:paraId="1B44B162" w14:textId="3347ED00"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0.15</w:t>
            </w:r>
          </w:p>
        </w:tc>
        <w:tc>
          <w:tcPr>
            <w:tcW w:w="733" w:type="dxa"/>
            <w:tcBorders>
              <w:top w:val="single" w:sz="4" w:space="0" w:color="BFBFBF"/>
              <w:left w:val="nil"/>
              <w:bottom w:val="single" w:sz="4" w:space="0" w:color="BFBFBF"/>
              <w:right w:val="single" w:sz="4" w:space="0" w:color="BFBFBF"/>
            </w:tcBorders>
            <w:noWrap/>
            <w:vAlign w:val="center"/>
            <w:hideMark/>
          </w:tcPr>
          <w:p w14:paraId="3555C223" w14:textId="695BDE1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0.24</w:t>
            </w:r>
          </w:p>
        </w:tc>
        <w:tc>
          <w:tcPr>
            <w:tcW w:w="733" w:type="dxa"/>
            <w:tcBorders>
              <w:top w:val="single" w:sz="4" w:space="0" w:color="BFBFBF"/>
              <w:left w:val="nil"/>
              <w:bottom w:val="single" w:sz="4" w:space="0" w:color="BFBFBF"/>
              <w:right w:val="single" w:sz="4" w:space="0" w:color="BFBFBF"/>
            </w:tcBorders>
            <w:noWrap/>
            <w:vAlign w:val="center"/>
            <w:hideMark/>
          </w:tcPr>
          <w:p w14:paraId="360581C5" w14:textId="0463B79B"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0.16</w:t>
            </w:r>
          </w:p>
        </w:tc>
        <w:tc>
          <w:tcPr>
            <w:tcW w:w="733" w:type="dxa"/>
            <w:tcBorders>
              <w:top w:val="single" w:sz="4" w:space="0" w:color="BFBFBF"/>
              <w:left w:val="nil"/>
              <w:bottom w:val="single" w:sz="4" w:space="0" w:color="BFBFBF"/>
              <w:right w:val="single" w:sz="4" w:space="0" w:color="BFBFBF"/>
            </w:tcBorders>
            <w:noWrap/>
            <w:vAlign w:val="center"/>
            <w:hideMark/>
          </w:tcPr>
          <w:p w14:paraId="0C50403B" w14:textId="00875EF9"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0.09</w:t>
            </w:r>
          </w:p>
        </w:tc>
        <w:tc>
          <w:tcPr>
            <w:tcW w:w="733" w:type="dxa"/>
            <w:tcBorders>
              <w:top w:val="single" w:sz="4" w:space="0" w:color="BFBFBF"/>
              <w:left w:val="nil"/>
              <w:bottom w:val="single" w:sz="4" w:space="0" w:color="BFBFBF"/>
              <w:right w:val="single" w:sz="4" w:space="0" w:color="BFBFBF"/>
            </w:tcBorders>
            <w:noWrap/>
            <w:vAlign w:val="center"/>
            <w:hideMark/>
          </w:tcPr>
          <w:p w14:paraId="7DBCCCDB" w14:textId="645329A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0.08</w:t>
            </w:r>
          </w:p>
        </w:tc>
      </w:tr>
      <w:tr w:rsidR="004327A5" w:rsidRPr="00CE2B0C" w14:paraId="17E3448D"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14DBA3FA"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OCF to Net Income (x)</w:t>
            </w:r>
          </w:p>
        </w:tc>
        <w:tc>
          <w:tcPr>
            <w:tcW w:w="2589" w:type="dxa"/>
            <w:tcBorders>
              <w:top w:val="nil"/>
              <w:left w:val="nil"/>
              <w:bottom w:val="single" w:sz="4" w:space="0" w:color="BFBFBF"/>
              <w:right w:val="single" w:sz="4" w:space="0" w:color="BFBFBF"/>
            </w:tcBorders>
            <w:shd w:val="clear" w:color="F9F9F9" w:fill="F7F9FC"/>
            <w:noWrap/>
            <w:vAlign w:val="bottom"/>
            <w:hideMark/>
          </w:tcPr>
          <w:p w14:paraId="492E5F6C"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Operating Cash Flow ÷ Net Income</w:t>
            </w:r>
          </w:p>
        </w:tc>
        <w:tc>
          <w:tcPr>
            <w:tcW w:w="733" w:type="dxa"/>
            <w:tcBorders>
              <w:top w:val="nil"/>
              <w:left w:val="nil"/>
              <w:bottom w:val="single" w:sz="4" w:space="0" w:color="BFBFBF"/>
              <w:right w:val="single" w:sz="4" w:space="0" w:color="BFBFBF"/>
            </w:tcBorders>
            <w:shd w:val="clear" w:color="F9F9F9" w:fill="F7F9FC"/>
            <w:noWrap/>
            <w:vAlign w:val="center"/>
            <w:hideMark/>
          </w:tcPr>
          <w:p w14:paraId="130F9584" w14:textId="65710803"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2.82</w:t>
            </w:r>
          </w:p>
        </w:tc>
        <w:tc>
          <w:tcPr>
            <w:tcW w:w="733" w:type="dxa"/>
            <w:tcBorders>
              <w:top w:val="nil"/>
              <w:left w:val="nil"/>
              <w:bottom w:val="single" w:sz="4" w:space="0" w:color="BFBFBF"/>
              <w:right w:val="single" w:sz="4" w:space="0" w:color="BFBFBF"/>
            </w:tcBorders>
            <w:shd w:val="clear" w:color="F9F9F9" w:fill="F7F9FC"/>
            <w:noWrap/>
            <w:vAlign w:val="center"/>
            <w:hideMark/>
          </w:tcPr>
          <w:p w14:paraId="57E7B647" w14:textId="3C4D506E"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2.50</w:t>
            </w:r>
          </w:p>
        </w:tc>
        <w:tc>
          <w:tcPr>
            <w:tcW w:w="733" w:type="dxa"/>
            <w:tcBorders>
              <w:top w:val="nil"/>
              <w:left w:val="nil"/>
              <w:bottom w:val="single" w:sz="4" w:space="0" w:color="BFBFBF"/>
              <w:right w:val="single" w:sz="4" w:space="0" w:color="BFBFBF"/>
            </w:tcBorders>
            <w:shd w:val="clear" w:color="F9F9F9" w:fill="F7F9FC"/>
            <w:noWrap/>
            <w:vAlign w:val="center"/>
            <w:hideMark/>
          </w:tcPr>
          <w:p w14:paraId="6F48AD03" w14:textId="7D1350AB"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1.80</w:t>
            </w:r>
          </w:p>
        </w:tc>
        <w:tc>
          <w:tcPr>
            <w:tcW w:w="733" w:type="dxa"/>
            <w:tcBorders>
              <w:top w:val="nil"/>
              <w:left w:val="nil"/>
              <w:bottom w:val="single" w:sz="4" w:space="0" w:color="BFBFBF"/>
              <w:right w:val="single" w:sz="4" w:space="0" w:color="BFBFBF"/>
            </w:tcBorders>
            <w:shd w:val="clear" w:color="F9F9F9" w:fill="F7F9FC"/>
            <w:noWrap/>
            <w:vAlign w:val="center"/>
            <w:hideMark/>
          </w:tcPr>
          <w:p w14:paraId="52224985" w14:textId="690A9F9D"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1.08</w:t>
            </w:r>
          </w:p>
        </w:tc>
        <w:tc>
          <w:tcPr>
            <w:tcW w:w="733" w:type="dxa"/>
            <w:tcBorders>
              <w:top w:val="nil"/>
              <w:left w:val="nil"/>
              <w:bottom w:val="single" w:sz="4" w:space="0" w:color="BFBFBF"/>
              <w:right w:val="single" w:sz="4" w:space="0" w:color="BFBFBF"/>
            </w:tcBorders>
            <w:shd w:val="clear" w:color="F9F9F9" w:fill="F7F9FC"/>
            <w:noWrap/>
            <w:vAlign w:val="center"/>
            <w:hideMark/>
          </w:tcPr>
          <w:p w14:paraId="086B4FDB" w14:textId="579A2EAA"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1.38</w:t>
            </w:r>
          </w:p>
        </w:tc>
      </w:tr>
      <w:tr w:rsidR="004327A5" w:rsidRPr="00CE2B0C" w14:paraId="21F38253"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04C98D59"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Free Cash Flow (€m)</w:t>
            </w:r>
          </w:p>
        </w:tc>
        <w:tc>
          <w:tcPr>
            <w:tcW w:w="2589" w:type="dxa"/>
            <w:tcBorders>
              <w:top w:val="nil"/>
              <w:left w:val="nil"/>
              <w:bottom w:val="single" w:sz="4" w:space="0" w:color="BFBFBF"/>
              <w:right w:val="single" w:sz="4" w:space="0" w:color="BFBFBF"/>
            </w:tcBorders>
            <w:noWrap/>
            <w:vAlign w:val="bottom"/>
            <w:hideMark/>
          </w:tcPr>
          <w:p w14:paraId="434044AE"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Operating Cash Flow − Capital Expenditure</w:t>
            </w:r>
          </w:p>
        </w:tc>
        <w:tc>
          <w:tcPr>
            <w:tcW w:w="733" w:type="dxa"/>
            <w:tcBorders>
              <w:top w:val="nil"/>
              <w:left w:val="nil"/>
              <w:bottom w:val="single" w:sz="4" w:space="0" w:color="BFBFBF"/>
              <w:right w:val="single" w:sz="4" w:space="0" w:color="BFBFBF"/>
            </w:tcBorders>
            <w:noWrap/>
            <w:vAlign w:val="center"/>
            <w:hideMark/>
          </w:tcPr>
          <w:p w14:paraId="1397ADA4"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7,155</w:t>
            </w:r>
          </w:p>
        </w:tc>
        <w:tc>
          <w:tcPr>
            <w:tcW w:w="733" w:type="dxa"/>
            <w:tcBorders>
              <w:top w:val="nil"/>
              <w:left w:val="nil"/>
              <w:bottom w:val="single" w:sz="4" w:space="0" w:color="BFBFBF"/>
              <w:right w:val="single" w:sz="4" w:space="0" w:color="BFBFBF"/>
            </w:tcBorders>
            <w:noWrap/>
            <w:vAlign w:val="center"/>
            <w:hideMark/>
          </w:tcPr>
          <w:p w14:paraId="3CED2BAB"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20,135</w:t>
            </w:r>
          </w:p>
        </w:tc>
        <w:tc>
          <w:tcPr>
            <w:tcW w:w="733" w:type="dxa"/>
            <w:tcBorders>
              <w:top w:val="nil"/>
              <w:left w:val="nil"/>
              <w:bottom w:val="single" w:sz="4" w:space="0" w:color="BFBFBF"/>
              <w:right w:val="single" w:sz="4" w:space="0" w:color="BFBFBF"/>
            </w:tcBorders>
            <w:noWrap/>
            <w:vAlign w:val="center"/>
            <w:hideMark/>
          </w:tcPr>
          <w:p w14:paraId="71B116B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5,825</w:t>
            </w:r>
          </w:p>
        </w:tc>
        <w:tc>
          <w:tcPr>
            <w:tcW w:w="733" w:type="dxa"/>
            <w:tcBorders>
              <w:top w:val="nil"/>
              <w:left w:val="nil"/>
              <w:bottom w:val="single" w:sz="4" w:space="0" w:color="BFBFBF"/>
              <w:right w:val="single" w:sz="4" w:space="0" w:color="BFBFBF"/>
            </w:tcBorders>
            <w:noWrap/>
            <w:vAlign w:val="center"/>
            <w:hideMark/>
          </w:tcPr>
          <w:p w14:paraId="31C12AE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-6,439</w:t>
            </w:r>
          </w:p>
        </w:tc>
        <w:tc>
          <w:tcPr>
            <w:tcW w:w="733" w:type="dxa"/>
            <w:tcBorders>
              <w:top w:val="nil"/>
              <w:left w:val="nil"/>
              <w:bottom w:val="single" w:sz="4" w:space="0" w:color="BFBFBF"/>
              <w:right w:val="single" w:sz="4" w:space="0" w:color="BFBFBF"/>
            </w:tcBorders>
            <w:noWrap/>
            <w:vAlign w:val="center"/>
            <w:hideMark/>
          </w:tcPr>
          <w:p w14:paraId="5A985B4D"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-10,295</w:t>
            </w:r>
          </w:p>
        </w:tc>
      </w:tr>
      <w:tr w:rsidR="004327A5" w:rsidRPr="00CE2B0C" w14:paraId="7E734962" w14:textId="77777777" w:rsidTr="004327A5">
        <w:trPr>
          <w:trHeight w:val="343"/>
        </w:trPr>
        <w:tc>
          <w:tcPr>
            <w:tcW w:w="2254" w:type="dxa"/>
            <w:tcBorders>
              <w:top w:val="nil"/>
              <w:left w:val="single" w:sz="4" w:space="0" w:color="BFBFBF"/>
              <w:bottom w:val="single" w:sz="4" w:space="0" w:color="BFBFBF"/>
              <w:right w:val="single" w:sz="4" w:space="0" w:color="BFBFBF"/>
            </w:tcBorders>
            <w:shd w:val="clear" w:color="F9F9F9" w:fill="F7F9FC"/>
            <w:noWrap/>
            <w:vAlign w:val="center"/>
            <w:hideMark/>
          </w:tcPr>
          <w:p w14:paraId="15DB6C77"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proofErr w:type="spellStart"/>
            <w:r w:rsidRPr="00CE2B0C">
              <w:rPr>
                <w:rFonts w:ascii="Arial" w:eastAsia="Times New Roman" w:hAnsi="Arial" w:cs="Arial"/>
                <w:color w:val="000000"/>
                <w:kern w:val="0"/>
                <w:sz w:val="20"/>
                <w:szCs w:val="20"/>
                <w:lang w:val="en-GB"/>
                <w14:ligatures w14:val="none"/>
              </w:rPr>
              <w:t>Capex</w:t>
            </w:r>
            <w:proofErr w:type="spellEnd"/>
            <w:r w:rsidRPr="00CE2B0C">
              <w:rPr>
                <w:rFonts w:ascii="Arial" w:eastAsia="Times New Roman" w:hAnsi="Arial" w:cs="Arial"/>
                <w:color w:val="000000"/>
                <w:kern w:val="0"/>
                <w:sz w:val="20"/>
                <w:szCs w:val="20"/>
                <w:lang w:val="en-GB"/>
                <w14:ligatures w14:val="none"/>
              </w:rPr>
              <w:t xml:space="preserve"> Coverage (OCF/</w:t>
            </w:r>
            <w:proofErr w:type="spellStart"/>
            <w:r w:rsidRPr="00CE2B0C">
              <w:rPr>
                <w:rFonts w:ascii="Arial" w:eastAsia="Times New Roman" w:hAnsi="Arial" w:cs="Arial"/>
                <w:color w:val="000000"/>
                <w:kern w:val="0"/>
                <w:sz w:val="20"/>
                <w:szCs w:val="20"/>
                <w:lang w:val="en-GB"/>
                <w14:ligatures w14:val="none"/>
              </w:rPr>
              <w:t>Capex</w:t>
            </w:r>
            <w:proofErr w:type="spellEnd"/>
            <w:r w:rsidRPr="00CE2B0C">
              <w:rPr>
                <w:rFonts w:ascii="Arial" w:eastAsia="Times New Roman" w:hAnsi="Arial" w:cs="Arial"/>
                <w:color w:val="000000"/>
                <w:kern w:val="0"/>
                <w:sz w:val="20"/>
                <w:szCs w:val="20"/>
                <w:lang w:val="en-GB"/>
                <w14:ligatures w14:val="none"/>
              </w:rPr>
              <w:t>) (x)</w:t>
            </w:r>
          </w:p>
        </w:tc>
        <w:tc>
          <w:tcPr>
            <w:tcW w:w="2589" w:type="dxa"/>
            <w:tcBorders>
              <w:top w:val="nil"/>
              <w:left w:val="nil"/>
              <w:bottom w:val="single" w:sz="4" w:space="0" w:color="BFBFBF"/>
              <w:right w:val="single" w:sz="4" w:space="0" w:color="BFBFBF"/>
            </w:tcBorders>
            <w:shd w:val="clear" w:color="F9F9F9" w:fill="F7F9FC"/>
            <w:noWrap/>
            <w:vAlign w:val="bottom"/>
            <w:hideMark/>
          </w:tcPr>
          <w:p w14:paraId="1DDCE18E"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Operating Cash Flow ÷ Capital Expenditure</w:t>
            </w:r>
          </w:p>
        </w:tc>
        <w:tc>
          <w:tcPr>
            <w:tcW w:w="733" w:type="dxa"/>
            <w:tcBorders>
              <w:top w:val="nil"/>
              <w:left w:val="nil"/>
              <w:bottom w:val="single" w:sz="4" w:space="0" w:color="BFBFBF"/>
              <w:right w:val="single" w:sz="4" w:space="0" w:color="BFBFBF"/>
            </w:tcBorders>
            <w:shd w:val="clear" w:color="F9F9F9" w:fill="F7F9FC"/>
            <w:noWrap/>
            <w:vAlign w:val="center"/>
            <w:hideMark/>
          </w:tcPr>
          <w:p w14:paraId="3DC5D3A3" w14:textId="50FD076C"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1.40</w:t>
            </w:r>
          </w:p>
        </w:tc>
        <w:tc>
          <w:tcPr>
            <w:tcW w:w="733" w:type="dxa"/>
            <w:tcBorders>
              <w:top w:val="nil"/>
              <w:left w:val="nil"/>
              <w:bottom w:val="single" w:sz="4" w:space="0" w:color="BFBFBF"/>
              <w:right w:val="single" w:sz="4" w:space="0" w:color="BFBFBF"/>
            </w:tcBorders>
            <w:shd w:val="clear" w:color="F9F9F9" w:fill="F7F9FC"/>
            <w:noWrap/>
            <w:vAlign w:val="center"/>
            <w:hideMark/>
          </w:tcPr>
          <w:p w14:paraId="6954DFE4" w14:textId="1612A802"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2.09</w:t>
            </w:r>
          </w:p>
        </w:tc>
        <w:tc>
          <w:tcPr>
            <w:tcW w:w="733" w:type="dxa"/>
            <w:tcBorders>
              <w:top w:val="nil"/>
              <w:left w:val="nil"/>
              <w:bottom w:val="single" w:sz="4" w:space="0" w:color="BFBFBF"/>
              <w:right w:val="single" w:sz="4" w:space="0" w:color="BFBFBF"/>
            </w:tcBorders>
            <w:shd w:val="clear" w:color="F9F9F9" w:fill="F7F9FC"/>
            <w:noWrap/>
            <w:vAlign w:val="center"/>
            <w:hideMark/>
          </w:tcPr>
          <w:p w14:paraId="781E1933" w14:textId="64C40C2C"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1.26</w:t>
            </w:r>
          </w:p>
        </w:tc>
        <w:tc>
          <w:tcPr>
            <w:tcW w:w="733" w:type="dxa"/>
            <w:tcBorders>
              <w:top w:val="nil"/>
              <w:left w:val="nil"/>
              <w:bottom w:val="single" w:sz="4" w:space="0" w:color="BFBFBF"/>
              <w:right w:val="single" w:sz="4" w:space="0" w:color="BFBFBF"/>
            </w:tcBorders>
            <w:shd w:val="clear" w:color="F9F9F9" w:fill="F7F9FC"/>
            <w:noWrap/>
            <w:vAlign w:val="center"/>
            <w:hideMark/>
          </w:tcPr>
          <w:p w14:paraId="35B99E88"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0.75x</w:t>
            </w:r>
          </w:p>
        </w:tc>
        <w:tc>
          <w:tcPr>
            <w:tcW w:w="733" w:type="dxa"/>
            <w:tcBorders>
              <w:top w:val="nil"/>
              <w:left w:val="nil"/>
              <w:bottom w:val="single" w:sz="4" w:space="0" w:color="BFBFBF"/>
              <w:right w:val="single" w:sz="4" w:space="0" w:color="BFBFBF"/>
            </w:tcBorders>
            <w:shd w:val="clear" w:color="F9F9F9" w:fill="F7F9FC"/>
            <w:noWrap/>
            <w:vAlign w:val="center"/>
            <w:hideMark/>
          </w:tcPr>
          <w:p w14:paraId="2D039B8D" w14:textId="5013DDB5"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0.62</w:t>
            </w:r>
          </w:p>
        </w:tc>
      </w:tr>
      <w:tr w:rsidR="004327A5" w:rsidRPr="00CE2B0C" w14:paraId="0A6D6456" w14:textId="77777777" w:rsidTr="004327A5">
        <w:trPr>
          <w:trHeight w:val="343"/>
        </w:trPr>
        <w:tc>
          <w:tcPr>
            <w:tcW w:w="2254" w:type="dxa"/>
            <w:tcBorders>
              <w:top w:val="nil"/>
              <w:left w:val="single" w:sz="4" w:space="0" w:color="BFBFBF"/>
              <w:bottom w:val="single" w:sz="4" w:space="0" w:color="BFBFBF"/>
              <w:right w:val="single" w:sz="4" w:space="0" w:color="BFBFBF"/>
            </w:tcBorders>
            <w:noWrap/>
            <w:vAlign w:val="center"/>
            <w:hideMark/>
          </w:tcPr>
          <w:p w14:paraId="27D33AA6" w14:textId="77777777" w:rsidR="004327A5" w:rsidRPr="00CE2B0C" w:rsidRDefault="004327A5" w:rsidP="004327A5">
            <w:pPr>
              <w:spacing w:after="0" w:line="240" w:lineRule="auto"/>
              <w:ind w:firstLineChars="100" w:firstLine="200"/>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Cash Return on Assets (%)</w:t>
            </w:r>
          </w:p>
        </w:tc>
        <w:tc>
          <w:tcPr>
            <w:tcW w:w="2589" w:type="dxa"/>
            <w:tcBorders>
              <w:top w:val="nil"/>
              <w:left w:val="nil"/>
              <w:bottom w:val="single" w:sz="4" w:space="0" w:color="BFBFBF"/>
              <w:right w:val="single" w:sz="4" w:space="0" w:color="BFBFBF"/>
            </w:tcBorders>
            <w:noWrap/>
            <w:vAlign w:val="bottom"/>
            <w:hideMark/>
          </w:tcPr>
          <w:p w14:paraId="6D7DCA7E" w14:textId="77777777" w:rsidR="004327A5" w:rsidRPr="00CE2B0C" w:rsidRDefault="004327A5" w:rsidP="004327A5">
            <w:pPr>
              <w:spacing w:after="0" w:line="240" w:lineRule="auto"/>
              <w:rPr>
                <w:rFonts w:ascii="Arial" w:eastAsia="Times New Roman" w:hAnsi="Arial" w:cs="Arial"/>
                <w:i/>
                <w:iCs/>
                <w:color w:val="595959"/>
                <w:kern w:val="0"/>
                <w:sz w:val="18"/>
                <w:szCs w:val="18"/>
                <w:lang w:val="en-GB"/>
                <w14:ligatures w14:val="none"/>
              </w:rPr>
            </w:pPr>
            <w:r w:rsidRPr="00CE2B0C">
              <w:rPr>
                <w:rFonts w:ascii="Arial" w:eastAsia="Times New Roman" w:hAnsi="Arial" w:cs="Arial"/>
                <w:i/>
                <w:iCs/>
                <w:color w:val="595959"/>
                <w:kern w:val="0"/>
                <w:sz w:val="18"/>
                <w:szCs w:val="18"/>
                <w:lang w:val="en-GB"/>
                <w14:ligatures w14:val="none"/>
              </w:rPr>
              <w:t>Operating Cash Flow ÷ Total Assets</w:t>
            </w:r>
          </w:p>
        </w:tc>
        <w:tc>
          <w:tcPr>
            <w:tcW w:w="733" w:type="dxa"/>
            <w:tcBorders>
              <w:top w:val="nil"/>
              <w:left w:val="nil"/>
              <w:bottom w:val="single" w:sz="4" w:space="0" w:color="BFBFBF"/>
              <w:right w:val="single" w:sz="4" w:space="0" w:color="BFBFBF"/>
            </w:tcBorders>
            <w:noWrap/>
            <w:vAlign w:val="center"/>
            <w:hideMark/>
          </w:tcPr>
          <w:p w14:paraId="0DCE3BF6"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5.0%</w:t>
            </w:r>
          </w:p>
        </w:tc>
        <w:tc>
          <w:tcPr>
            <w:tcW w:w="733" w:type="dxa"/>
            <w:tcBorders>
              <w:top w:val="nil"/>
              <w:left w:val="nil"/>
              <w:bottom w:val="single" w:sz="4" w:space="0" w:color="BFBFBF"/>
              <w:right w:val="single" w:sz="4" w:space="0" w:color="BFBFBF"/>
            </w:tcBorders>
            <w:noWrap/>
            <w:vAlign w:val="center"/>
            <w:hideMark/>
          </w:tcPr>
          <w:p w14:paraId="3BDF0D5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7.3%</w:t>
            </w:r>
          </w:p>
        </w:tc>
        <w:tc>
          <w:tcPr>
            <w:tcW w:w="733" w:type="dxa"/>
            <w:tcBorders>
              <w:top w:val="nil"/>
              <w:left w:val="nil"/>
              <w:bottom w:val="single" w:sz="4" w:space="0" w:color="BFBFBF"/>
              <w:right w:val="single" w:sz="4" w:space="0" w:color="BFBFBF"/>
            </w:tcBorders>
            <w:noWrap/>
            <w:vAlign w:val="center"/>
            <w:hideMark/>
          </w:tcPr>
          <w:p w14:paraId="770F3BDC"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5.1%</w:t>
            </w:r>
          </w:p>
        </w:tc>
        <w:tc>
          <w:tcPr>
            <w:tcW w:w="733" w:type="dxa"/>
            <w:tcBorders>
              <w:top w:val="nil"/>
              <w:left w:val="nil"/>
              <w:bottom w:val="single" w:sz="4" w:space="0" w:color="BFBFBF"/>
              <w:right w:val="single" w:sz="4" w:space="0" w:color="BFBFBF"/>
            </w:tcBorders>
            <w:noWrap/>
            <w:vAlign w:val="center"/>
            <w:hideMark/>
          </w:tcPr>
          <w:p w14:paraId="1E7859CA"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3.2%</w:t>
            </w:r>
          </w:p>
        </w:tc>
        <w:tc>
          <w:tcPr>
            <w:tcW w:w="733" w:type="dxa"/>
            <w:tcBorders>
              <w:top w:val="nil"/>
              <w:left w:val="nil"/>
              <w:bottom w:val="single" w:sz="4" w:space="0" w:color="BFBFBF"/>
              <w:right w:val="single" w:sz="4" w:space="0" w:color="BFBFBF"/>
            </w:tcBorders>
            <w:noWrap/>
            <w:vAlign w:val="center"/>
            <w:hideMark/>
          </w:tcPr>
          <w:p w14:paraId="0A195F65" w14:textId="77777777" w:rsidR="004327A5" w:rsidRPr="00CE2B0C" w:rsidRDefault="004327A5" w:rsidP="004327A5">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2.7%</w:t>
            </w:r>
          </w:p>
        </w:tc>
      </w:tr>
    </w:tbl>
    <w:p w14:paraId="5FE15BE4" w14:textId="77777777" w:rsidR="00431092" w:rsidRPr="00CE2B0C" w:rsidRDefault="00431092" w:rsidP="002D1B85">
      <w:pPr>
        <w:spacing w:line="360" w:lineRule="auto"/>
        <w:rPr>
          <w:rFonts w:ascii="Arial" w:hAnsi="Arial" w:cs="Arial"/>
          <w:lang w:val="en-GB"/>
        </w:rPr>
      </w:pPr>
    </w:p>
    <w:p w14:paraId="71139926" w14:textId="06FB4735" w:rsidR="00B52EA2" w:rsidRPr="00CE2B0C" w:rsidRDefault="00B52EA2" w:rsidP="002D1B85">
      <w:pPr>
        <w:pStyle w:val="Caption"/>
        <w:spacing w:line="360" w:lineRule="auto"/>
        <w:rPr>
          <w:rFonts w:ascii="Arial" w:eastAsia="Arial" w:hAnsi="Arial" w:cs="Arial"/>
          <w:color w:val="444444"/>
          <w:sz w:val="24"/>
          <w:szCs w:val="24"/>
          <w:lang w:val="en-GB"/>
        </w:rPr>
      </w:pPr>
      <w:bookmarkStart w:id="31" w:name="_Toc227448978"/>
      <w:proofErr w:type="gramStart"/>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7</w:t>
      </w:r>
      <w:r w:rsidRPr="00CE2B0C">
        <w:rPr>
          <w:rFonts w:ascii="Arial" w:hAnsi="Arial" w:cs="Arial"/>
          <w:sz w:val="24"/>
          <w:szCs w:val="24"/>
          <w:lang w:val="en-GB"/>
        </w:rPr>
        <w:fldChar w:fldCharType="end"/>
      </w:r>
      <w:r w:rsidR="0067230A" w:rsidRPr="00CE2B0C">
        <w:rPr>
          <w:rFonts w:ascii="Arial" w:eastAsia="Arial" w:hAnsi="Arial" w:cs="Arial"/>
          <w:color w:val="444444"/>
          <w:sz w:val="24"/>
          <w:szCs w:val="24"/>
          <w:lang w:val="en-GB"/>
        </w:rPr>
        <w:t>.</w:t>
      </w:r>
      <w:proofErr w:type="gramEnd"/>
      <w:r w:rsidR="0067230A" w:rsidRPr="00CE2B0C">
        <w:rPr>
          <w:rFonts w:ascii="Arial" w:eastAsia="Arial" w:hAnsi="Arial" w:cs="Arial"/>
          <w:color w:val="444444"/>
          <w:sz w:val="24"/>
          <w:szCs w:val="24"/>
          <w:lang w:val="en-GB"/>
        </w:rPr>
        <w:t xml:space="preserve"> </w:t>
      </w:r>
      <w:proofErr w:type="gramStart"/>
      <w:r w:rsidR="0067230A" w:rsidRPr="00CE2B0C">
        <w:rPr>
          <w:rFonts w:ascii="Arial" w:eastAsia="Arial" w:hAnsi="Arial" w:cs="Arial"/>
          <w:color w:val="444444"/>
          <w:sz w:val="24"/>
          <w:szCs w:val="24"/>
          <w:lang w:val="en-GB"/>
        </w:rPr>
        <w:t>Cash Operating Cycle Components (202</w:t>
      </w:r>
      <w:r w:rsidR="00673843" w:rsidRPr="00CE2B0C">
        <w:rPr>
          <w:rFonts w:ascii="Arial" w:eastAsia="Arial" w:hAnsi="Arial" w:cs="Arial"/>
          <w:color w:val="444444"/>
          <w:sz w:val="24"/>
          <w:szCs w:val="24"/>
          <w:lang w:val="en-GB"/>
        </w:rPr>
        <w:t>0</w:t>
      </w:r>
      <w:r w:rsidR="0067230A" w:rsidRPr="00CE2B0C">
        <w:rPr>
          <w:rFonts w:ascii="Arial" w:eastAsia="Arial" w:hAnsi="Arial" w:cs="Arial"/>
          <w:color w:val="444444"/>
          <w:sz w:val="24"/>
          <w:szCs w:val="24"/>
          <w:lang w:val="en-GB"/>
        </w:rPr>
        <w:t>–202</w:t>
      </w:r>
      <w:r w:rsidR="00673843" w:rsidRPr="00CE2B0C">
        <w:rPr>
          <w:rFonts w:ascii="Arial" w:eastAsia="Arial" w:hAnsi="Arial" w:cs="Arial"/>
          <w:color w:val="444444"/>
          <w:sz w:val="24"/>
          <w:szCs w:val="24"/>
          <w:lang w:val="en-GB"/>
        </w:rPr>
        <w:t>4</w:t>
      </w:r>
      <w:r w:rsidR="0067230A" w:rsidRPr="00CE2B0C">
        <w:rPr>
          <w:rFonts w:ascii="Arial" w:eastAsia="Arial" w:hAnsi="Arial" w:cs="Arial"/>
          <w:color w:val="444444"/>
          <w:sz w:val="24"/>
          <w:szCs w:val="24"/>
          <w:lang w:val="en-GB"/>
        </w:rPr>
        <w:t>).</w:t>
      </w:r>
      <w:bookmarkEnd w:id="31"/>
      <w:proofErr w:type="gramEnd"/>
      <w:r w:rsidR="0067230A" w:rsidRPr="00CE2B0C">
        <w:rPr>
          <w:rFonts w:ascii="Arial" w:eastAsia="Arial" w:hAnsi="Arial" w:cs="Arial"/>
          <w:color w:val="444444"/>
          <w:sz w:val="24"/>
          <w:szCs w:val="24"/>
          <w:lang w:val="en-GB"/>
        </w:rPr>
        <w:t xml:space="preserve"> </w:t>
      </w:r>
    </w:p>
    <w:p w14:paraId="19198EE0" w14:textId="4994EB4C" w:rsidR="0067230A" w:rsidRPr="00CE2B0C" w:rsidRDefault="0067230A" w:rsidP="002D1B85">
      <w:pPr>
        <w:pStyle w:val="Caption"/>
        <w:spacing w:line="360" w:lineRule="auto"/>
        <w:rPr>
          <w:rFonts w:ascii="Arial" w:hAnsi="Arial" w:cs="Arial"/>
          <w:sz w:val="24"/>
          <w:szCs w:val="24"/>
          <w:lang w:val="en-GB"/>
        </w:rPr>
      </w:pPr>
      <w:r w:rsidRPr="00CE2B0C">
        <w:rPr>
          <w:rFonts w:ascii="Arial" w:eastAsia="Arial" w:hAnsi="Arial" w:cs="Arial"/>
          <w:color w:val="444444"/>
          <w:sz w:val="24"/>
          <w:szCs w:val="24"/>
          <w:lang w:val="en-GB"/>
        </w:rPr>
        <w:t>Source: Calculated from VW Group Annual Reports.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00"/>
        <w:gridCol w:w="1312"/>
        <w:gridCol w:w="1312"/>
        <w:gridCol w:w="1312"/>
        <w:gridCol w:w="1312"/>
        <w:gridCol w:w="1312"/>
      </w:tblGrid>
      <w:tr w:rsidR="0067230A" w:rsidRPr="00CE2B0C" w14:paraId="6CCA4C73" w14:textId="77777777" w:rsidTr="00250B8E">
        <w:tc>
          <w:tcPr>
            <w:tcW w:w="28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048AF78D"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1F3864"/>
                <w:lang w:val="en-GB"/>
              </w:rPr>
              <w:t>Component (days)</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62479D55"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2021</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706BC029"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2022</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70B7CF8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2023</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56A0E713"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2024</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75CDA1EF"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2025</w:t>
            </w:r>
          </w:p>
        </w:tc>
      </w:tr>
      <w:tr w:rsidR="0067230A" w:rsidRPr="00CE2B0C" w14:paraId="6D6350CF" w14:textId="77777777" w:rsidTr="00250B8E">
        <w:tc>
          <w:tcPr>
            <w:tcW w:w="28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7E3D715"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Days Inventory Outstanding (DIO)</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6ABF0B7B"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78.6</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E285922"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84.1</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CF032F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74.9</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15DFD765"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78.1</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4756F0DE"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75.6</w:t>
            </w:r>
          </w:p>
        </w:tc>
      </w:tr>
      <w:tr w:rsidR="0067230A" w:rsidRPr="00CE2B0C" w14:paraId="1E8CDC7B" w14:textId="77777777" w:rsidTr="00250B8E">
        <w:tc>
          <w:tcPr>
            <w:tcW w:w="28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161FFF13"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lastRenderedPageBreak/>
              <w:t>Days Sales Outstanding (DSO)</w:t>
            </w:r>
          </w:p>
        </w:tc>
        <w:tc>
          <w:tcPr>
            <w:tcW w:w="1312"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48948B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22.6</w:t>
            </w:r>
          </w:p>
        </w:tc>
        <w:tc>
          <w:tcPr>
            <w:tcW w:w="1312"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01B7023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24.3</w:t>
            </w:r>
          </w:p>
        </w:tc>
        <w:tc>
          <w:tcPr>
            <w:tcW w:w="1312"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4DC2C1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24.7</w:t>
            </w:r>
          </w:p>
        </w:tc>
        <w:tc>
          <w:tcPr>
            <w:tcW w:w="1312"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D93D508"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23.8</w:t>
            </w:r>
          </w:p>
        </w:tc>
        <w:tc>
          <w:tcPr>
            <w:tcW w:w="1312"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5B60759D"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23.5</w:t>
            </w:r>
          </w:p>
        </w:tc>
      </w:tr>
      <w:tr w:rsidR="0067230A" w:rsidRPr="00CE2B0C" w14:paraId="08CA3252" w14:textId="77777777" w:rsidTr="00250B8E">
        <w:tc>
          <w:tcPr>
            <w:tcW w:w="28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1CF3295C"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Less: Days Payable Outstanding (DPO)</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7867D9F"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(42.5)</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D8E1660"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(46.2)</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0EFD4402"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(43.2)</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526C01E"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(41.0)</w:t>
            </w:r>
          </w:p>
        </w:tc>
        <w:tc>
          <w:tcPr>
            <w:tcW w:w="1312"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5AA50C00"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(41.1)</w:t>
            </w:r>
          </w:p>
        </w:tc>
      </w:tr>
      <w:tr w:rsidR="0067230A" w:rsidRPr="00CE2B0C" w14:paraId="0BC331A9" w14:textId="77777777" w:rsidTr="00250B8E">
        <w:tc>
          <w:tcPr>
            <w:tcW w:w="28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4FF930DB"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 Cash Operating Cycle</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25D41CD3"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000000"/>
                <w:lang w:val="en-GB"/>
              </w:rPr>
              <w:t>58.8</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55628745"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000000"/>
                <w:lang w:val="en-GB"/>
              </w:rPr>
              <w:t>62.1</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3FEC39E2"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000000"/>
                <w:lang w:val="en-GB"/>
              </w:rPr>
              <w:t>56.5</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64756871"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000000"/>
                <w:lang w:val="en-GB"/>
              </w:rPr>
              <w:t>60.8</w:t>
            </w:r>
          </w:p>
        </w:tc>
        <w:tc>
          <w:tcPr>
            <w:tcW w:w="1312"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0734B2FC"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000000"/>
                <w:lang w:val="en-GB"/>
              </w:rPr>
              <w:t>58.0</w:t>
            </w:r>
          </w:p>
        </w:tc>
      </w:tr>
    </w:tbl>
    <w:p w14:paraId="5A54D824" w14:textId="77777777" w:rsidR="0067230A" w:rsidRPr="00CE2B0C" w:rsidRDefault="0067230A" w:rsidP="002D1B85">
      <w:pPr>
        <w:spacing w:before="80" w:after="40" w:line="360" w:lineRule="auto"/>
        <w:jc w:val="center"/>
        <w:rPr>
          <w:rFonts w:ascii="Arial" w:eastAsia="Arial" w:hAnsi="Arial" w:cs="Arial"/>
          <w:i/>
          <w:iCs/>
          <w:color w:val="444444"/>
          <w:lang w:val="en-GB"/>
        </w:rPr>
      </w:pPr>
    </w:p>
    <w:p w14:paraId="237A18AB" w14:textId="6AC1026C" w:rsidR="00B52EA2" w:rsidRPr="00CE2B0C" w:rsidRDefault="00B52EA2" w:rsidP="002D1B85">
      <w:pPr>
        <w:pStyle w:val="Caption"/>
        <w:spacing w:line="360" w:lineRule="auto"/>
        <w:rPr>
          <w:rFonts w:ascii="Arial" w:eastAsia="Arial" w:hAnsi="Arial" w:cs="Arial"/>
          <w:i w:val="0"/>
          <w:iCs w:val="0"/>
          <w:color w:val="444444"/>
          <w:sz w:val="24"/>
          <w:szCs w:val="24"/>
          <w:lang w:val="en-GB"/>
        </w:rPr>
      </w:pPr>
      <w:bookmarkStart w:id="32" w:name="_Toc227448979"/>
      <w:proofErr w:type="gramStart"/>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8</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0067230A" w:rsidRPr="00CE2B0C">
        <w:rPr>
          <w:rFonts w:ascii="Arial" w:eastAsia="Arial" w:hAnsi="Arial" w:cs="Arial"/>
          <w:color w:val="444444"/>
          <w:sz w:val="24"/>
          <w:szCs w:val="24"/>
          <w:lang w:val="en-GB"/>
        </w:rPr>
        <w:t xml:space="preserve">Short-Term </w:t>
      </w:r>
      <w:proofErr w:type="spellStart"/>
      <w:r w:rsidR="0067230A" w:rsidRPr="00CE2B0C">
        <w:rPr>
          <w:rFonts w:ascii="Arial" w:eastAsia="Arial" w:hAnsi="Arial" w:cs="Arial"/>
          <w:color w:val="444444"/>
          <w:sz w:val="24"/>
          <w:szCs w:val="24"/>
          <w:lang w:val="en-GB"/>
        </w:rPr>
        <w:t>vs</w:t>
      </w:r>
      <w:proofErr w:type="spellEnd"/>
      <w:r w:rsidR="0067230A" w:rsidRPr="00CE2B0C">
        <w:rPr>
          <w:rFonts w:ascii="Arial" w:eastAsia="Arial" w:hAnsi="Arial" w:cs="Arial"/>
          <w:color w:val="444444"/>
          <w:sz w:val="24"/>
          <w:szCs w:val="24"/>
          <w:lang w:val="en-GB"/>
        </w:rPr>
        <w:t xml:space="preserve"> Long-Term Financing Comparison.</w:t>
      </w:r>
      <w:bookmarkEnd w:id="32"/>
      <w:proofErr w:type="gramEnd"/>
      <w:r w:rsidR="0067230A" w:rsidRPr="00CE2B0C">
        <w:rPr>
          <w:rFonts w:ascii="Arial" w:eastAsia="Arial" w:hAnsi="Arial" w:cs="Arial"/>
          <w:color w:val="444444"/>
          <w:sz w:val="24"/>
          <w:szCs w:val="24"/>
          <w:lang w:val="en-GB"/>
        </w:rPr>
        <w:t xml:space="preserve"> </w:t>
      </w:r>
    </w:p>
    <w:p w14:paraId="03F4BC51" w14:textId="1D6E1721" w:rsidR="0067230A" w:rsidRPr="00CE2B0C" w:rsidRDefault="0067230A" w:rsidP="002D1B85">
      <w:pPr>
        <w:spacing w:before="80" w:after="40" w:line="360" w:lineRule="auto"/>
        <w:rPr>
          <w:rFonts w:ascii="Arial" w:hAnsi="Arial" w:cs="Arial"/>
          <w:lang w:val="en-GB"/>
        </w:rPr>
      </w:pPr>
      <w:r w:rsidRPr="00CE2B0C">
        <w:rPr>
          <w:rFonts w:ascii="Arial" w:eastAsia="Arial" w:hAnsi="Arial" w:cs="Arial"/>
          <w:i/>
          <w:iCs/>
          <w:color w:val="444444"/>
          <w:lang w:val="en-GB"/>
        </w:rPr>
        <w:t>Source: VW Annual Reports and market data.</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838"/>
        <w:gridCol w:w="1366"/>
        <w:gridCol w:w="1347"/>
        <w:gridCol w:w="1254"/>
        <w:gridCol w:w="1301"/>
        <w:gridCol w:w="2254"/>
      </w:tblGrid>
      <w:tr w:rsidR="0067230A" w:rsidRPr="00CE2B0C" w14:paraId="665E5625"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5EE91DBB"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1F3864"/>
                <w:lang w:val="en-GB"/>
              </w:rPr>
              <w:t>Instrument</w:t>
            </w:r>
          </w:p>
        </w:tc>
        <w:tc>
          <w:tcPr>
            <w:tcW w:w="156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3026728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Cost (Approx.)</w:t>
            </w:r>
          </w:p>
        </w:tc>
        <w:tc>
          <w:tcPr>
            <w:tcW w:w="12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4E03F4CA"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Flexibility</w:t>
            </w:r>
          </w:p>
        </w:tc>
        <w:tc>
          <w:tcPr>
            <w:tcW w:w="12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08D2C420"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Risk</w:t>
            </w:r>
          </w:p>
        </w:tc>
        <w:tc>
          <w:tcPr>
            <w:tcW w:w="15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18BAB1D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VW Use (€m)</w:t>
            </w:r>
          </w:p>
        </w:tc>
        <w:tc>
          <w:tcPr>
            <w:tcW w:w="1500" w:type="dxa"/>
            <w:tcBorders>
              <w:top w:val="single" w:sz="6" w:space="0" w:color="BBBBBB"/>
              <w:left w:val="single" w:sz="6" w:space="0" w:color="BBBBBB"/>
              <w:bottom w:val="single" w:sz="6" w:space="0" w:color="BBBBBB"/>
              <w:right w:val="single" w:sz="6" w:space="0" w:color="BBBBBB"/>
            </w:tcBorders>
            <w:shd w:val="clear" w:color="auto" w:fill="D9E1F2"/>
            <w:tcMar>
              <w:top w:w="60" w:type="dxa"/>
              <w:left w:w="120" w:type="dxa"/>
              <w:bottom w:w="60" w:type="dxa"/>
              <w:right w:w="120" w:type="dxa"/>
            </w:tcMar>
            <w:vAlign w:val="center"/>
          </w:tcPr>
          <w:p w14:paraId="4D44E051"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b/>
                <w:bCs/>
                <w:color w:val="1F3864"/>
                <w:lang w:val="en-GB"/>
              </w:rPr>
              <w:t>Recommendation</w:t>
            </w:r>
          </w:p>
        </w:tc>
      </w:tr>
      <w:tr w:rsidR="0067230A" w:rsidRPr="00CE2B0C" w14:paraId="09A4A44B"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4C1BB7A9"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Trade Credit (Extended DPO)</w:t>
            </w:r>
          </w:p>
        </w:tc>
        <w:tc>
          <w:tcPr>
            <w:tcW w:w="156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5E61AFA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0% (no discount)</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649C6AAA"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High</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5FB4E328"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97B68D9"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~30,490</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4E72153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 xml:space="preserve"> Extend to 60 days</w:t>
            </w:r>
          </w:p>
        </w:tc>
      </w:tr>
      <w:tr w:rsidR="0067230A" w:rsidRPr="00CE2B0C" w14:paraId="344DB01C"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0C3F8566"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Revolving Credit Facility</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7BED5DB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EURIBOR +0.5–1.5%</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5C31102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Very High</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1452D30"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Low-Med</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35E36ACC"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Included in C-</w:t>
            </w:r>
            <w:proofErr w:type="spellStart"/>
            <w:r w:rsidRPr="00CE2B0C">
              <w:rPr>
                <w:rFonts w:ascii="Arial" w:eastAsia="Arial" w:hAnsi="Arial" w:cs="Arial"/>
                <w:color w:val="000000"/>
                <w:lang w:val="en-GB"/>
              </w:rPr>
              <w:t>Liab</w:t>
            </w:r>
            <w:proofErr w:type="spellEnd"/>
            <w:r w:rsidRPr="00CE2B0C">
              <w:rPr>
                <w:rFonts w:ascii="Arial" w:eastAsia="Arial" w:hAnsi="Arial" w:cs="Arial"/>
                <w:color w:val="000000"/>
                <w:lang w:val="en-GB"/>
              </w:rPr>
              <w:t>.</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7084DE3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 xml:space="preserve"> Retain</w:t>
            </w:r>
          </w:p>
        </w:tc>
      </w:tr>
      <w:tr w:rsidR="0067230A" w:rsidRPr="00CE2B0C" w14:paraId="04AFF0DC"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369EAA1"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Commercial Paper</w:t>
            </w:r>
          </w:p>
        </w:tc>
        <w:tc>
          <w:tcPr>
            <w:tcW w:w="156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15AEEC4"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~3.5–4.5%</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0886AB99"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Moderate</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171D09E"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Moderate</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765D1489"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~30,417</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6BE9D57C"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Use selectively</w:t>
            </w:r>
          </w:p>
        </w:tc>
      </w:tr>
      <w:tr w:rsidR="0067230A" w:rsidRPr="00CE2B0C" w14:paraId="554AED15"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CB7D04E"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Long-Term Bonds/Green Bonds</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2BF3CDD"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~3–4.5%</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5D8EE64A"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4E259653"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1304C825"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137,214</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397EECB0"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 xml:space="preserve"> Core funding</w:t>
            </w:r>
          </w:p>
        </w:tc>
      </w:tr>
      <w:tr w:rsidR="0067230A" w:rsidRPr="00CE2B0C" w14:paraId="289ACE8B"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367633F8"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EIB Green Bonds</w:t>
            </w:r>
          </w:p>
        </w:tc>
        <w:tc>
          <w:tcPr>
            <w:tcW w:w="156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6FB475CD"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~2.5–3.5%</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791828F6"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w:t>
            </w:r>
          </w:p>
        </w:tc>
        <w:tc>
          <w:tcPr>
            <w:tcW w:w="12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EE8705C"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Very Low</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262B512A"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Emerging</w:t>
            </w:r>
          </w:p>
        </w:tc>
        <w:tc>
          <w:tcPr>
            <w:tcW w:w="1500" w:type="dxa"/>
            <w:tcBorders>
              <w:top w:val="single" w:sz="6" w:space="0" w:color="BBBBBB"/>
              <w:left w:val="single" w:sz="6" w:space="0" w:color="BBBBBB"/>
              <w:bottom w:val="single" w:sz="6" w:space="0" w:color="BBBBBB"/>
              <w:right w:val="single" w:sz="6" w:space="0" w:color="BBBBBB"/>
            </w:tcBorders>
            <w:shd w:val="clear" w:color="auto" w:fill="F2F2F2"/>
            <w:tcMar>
              <w:top w:w="60" w:type="dxa"/>
              <w:left w:w="120" w:type="dxa"/>
              <w:bottom w:w="60" w:type="dxa"/>
              <w:right w:w="120" w:type="dxa"/>
            </w:tcMar>
            <w:vAlign w:val="center"/>
          </w:tcPr>
          <w:p w14:paraId="66D586A1"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 xml:space="preserve"> Increase — ESG aligned</w:t>
            </w:r>
          </w:p>
        </w:tc>
      </w:tr>
      <w:tr w:rsidR="0067230A" w:rsidRPr="00CE2B0C" w14:paraId="0FCC6715" w14:textId="77777777" w:rsidTr="00250B8E">
        <w:tc>
          <w:tcPr>
            <w:tcW w:w="24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55F26E3B" w14:textId="77777777" w:rsidR="0067230A" w:rsidRPr="00CE2B0C" w:rsidRDefault="0067230A" w:rsidP="002D1B85">
            <w:pPr>
              <w:spacing w:line="360" w:lineRule="auto"/>
              <w:rPr>
                <w:rFonts w:ascii="Arial" w:hAnsi="Arial" w:cs="Arial"/>
                <w:lang w:val="en-GB"/>
              </w:rPr>
            </w:pPr>
            <w:r w:rsidRPr="00CE2B0C">
              <w:rPr>
                <w:rFonts w:ascii="Arial" w:eastAsia="Arial" w:hAnsi="Arial" w:cs="Arial"/>
                <w:b/>
                <w:bCs/>
                <w:color w:val="000000"/>
                <w:lang w:val="en-GB"/>
              </w:rPr>
              <w:t xml:space="preserve">Equity / </w:t>
            </w:r>
            <w:r w:rsidRPr="00CE2B0C">
              <w:rPr>
                <w:rFonts w:ascii="Arial" w:eastAsia="Arial" w:hAnsi="Arial" w:cs="Arial"/>
                <w:b/>
                <w:bCs/>
                <w:color w:val="000000"/>
                <w:lang w:val="en-GB"/>
              </w:rPr>
              <w:lastRenderedPageBreak/>
              <w:t>Rights Issue</w:t>
            </w:r>
          </w:p>
        </w:tc>
        <w:tc>
          <w:tcPr>
            <w:tcW w:w="156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507BAF11"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lastRenderedPageBreak/>
              <w:t xml:space="preserve">Dilutive </w:t>
            </w:r>
            <w:r w:rsidRPr="00CE2B0C">
              <w:rPr>
                <w:rFonts w:ascii="Arial" w:eastAsia="Arial" w:hAnsi="Arial" w:cs="Arial"/>
                <w:color w:val="000000"/>
                <w:lang w:val="en-GB"/>
              </w:rPr>
              <w:lastRenderedPageBreak/>
              <w:t>~8–10%</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33F7ECA7"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lastRenderedPageBreak/>
              <w:t>Low</w:t>
            </w:r>
          </w:p>
        </w:tc>
        <w:tc>
          <w:tcPr>
            <w:tcW w:w="12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493E9577"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Low</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00F8C50F"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t xml:space="preserve">203,054 </w:t>
            </w:r>
            <w:r w:rsidRPr="00CE2B0C">
              <w:rPr>
                <w:rFonts w:ascii="Arial" w:eastAsia="Arial" w:hAnsi="Arial" w:cs="Arial"/>
                <w:color w:val="000000"/>
                <w:lang w:val="en-GB"/>
              </w:rPr>
              <w:lastRenderedPageBreak/>
              <w:t>(Equity)</w:t>
            </w:r>
          </w:p>
        </w:tc>
        <w:tc>
          <w:tcPr>
            <w:tcW w:w="1500" w:type="dxa"/>
            <w:tcBorders>
              <w:top w:val="single" w:sz="6" w:space="0" w:color="BBBBBB"/>
              <w:left w:val="single" w:sz="6" w:space="0" w:color="BBBBBB"/>
              <w:bottom w:val="single" w:sz="6" w:space="0" w:color="BBBBBB"/>
              <w:right w:val="single" w:sz="6" w:space="0" w:color="BBBBBB"/>
            </w:tcBorders>
            <w:shd w:val="clear" w:color="auto" w:fill="FFFFFF"/>
            <w:tcMar>
              <w:top w:w="60" w:type="dxa"/>
              <w:left w:w="120" w:type="dxa"/>
              <w:bottom w:w="60" w:type="dxa"/>
              <w:right w:w="120" w:type="dxa"/>
            </w:tcMar>
            <w:vAlign w:val="center"/>
          </w:tcPr>
          <w:p w14:paraId="62AC8738" w14:textId="77777777" w:rsidR="0067230A" w:rsidRPr="00CE2B0C" w:rsidRDefault="0067230A" w:rsidP="002D1B85">
            <w:pPr>
              <w:spacing w:line="360" w:lineRule="auto"/>
              <w:jc w:val="center"/>
              <w:rPr>
                <w:rFonts w:ascii="Arial" w:hAnsi="Arial" w:cs="Arial"/>
                <w:lang w:val="en-GB"/>
              </w:rPr>
            </w:pPr>
            <w:r w:rsidRPr="00CE2B0C">
              <w:rPr>
                <w:rFonts w:ascii="Arial" w:eastAsia="Arial" w:hAnsi="Arial" w:cs="Arial"/>
                <w:color w:val="000000"/>
                <w:lang w:val="en-GB"/>
              </w:rPr>
              <w:lastRenderedPageBreak/>
              <w:t xml:space="preserve"> Last resort only</w:t>
            </w:r>
          </w:p>
        </w:tc>
      </w:tr>
    </w:tbl>
    <w:p w14:paraId="5B8CCFF0" w14:textId="77777777" w:rsidR="00484B68" w:rsidRPr="00CE2B0C" w:rsidRDefault="00484B68" w:rsidP="002D1B85">
      <w:pPr>
        <w:spacing w:line="360" w:lineRule="auto"/>
        <w:rPr>
          <w:rFonts w:ascii="Arial" w:hAnsi="Arial" w:cs="Arial"/>
          <w:lang w:val="en-GB"/>
        </w:rPr>
      </w:pPr>
    </w:p>
    <w:p w14:paraId="1CE03290" w14:textId="6AE44C80" w:rsidR="0067230A" w:rsidRPr="00CE2B0C" w:rsidRDefault="00137DBB" w:rsidP="002D1B85">
      <w:pPr>
        <w:pStyle w:val="Heading2"/>
        <w:spacing w:line="360" w:lineRule="auto"/>
        <w:rPr>
          <w:rFonts w:cs="Arial"/>
          <w:szCs w:val="24"/>
          <w:lang w:val="en-GB"/>
        </w:rPr>
      </w:pPr>
      <w:bookmarkStart w:id="33" w:name="_Toc227812698"/>
      <w:r w:rsidRPr="00CE2B0C">
        <w:rPr>
          <w:rFonts w:cs="Arial"/>
          <w:szCs w:val="24"/>
          <w:lang w:val="en-GB"/>
        </w:rPr>
        <w:t>Appendix 3: Graphs and Trend Charts</w:t>
      </w:r>
      <w:bookmarkEnd w:id="33"/>
    </w:p>
    <w:p w14:paraId="20A48B1E" w14:textId="5357CDD9" w:rsidR="0067230A" w:rsidRPr="00CE2B0C" w:rsidRDefault="0067230A" w:rsidP="002D1B85">
      <w:pPr>
        <w:spacing w:line="360" w:lineRule="auto"/>
        <w:rPr>
          <w:rFonts w:ascii="Arial" w:hAnsi="Arial" w:cs="Arial"/>
          <w:b/>
          <w:bCs/>
          <w:lang w:val="en-GB"/>
        </w:rPr>
      </w:pPr>
      <w:r w:rsidRPr="00CE2B0C">
        <w:rPr>
          <w:rFonts w:ascii="Arial" w:hAnsi="Arial" w:cs="Arial"/>
          <w:b/>
          <w:bCs/>
          <w:lang w:val="en-GB"/>
        </w:rPr>
        <w:t>Revenue, Gross Profit &amp; EBIT (€m)</w:t>
      </w:r>
    </w:p>
    <w:p w14:paraId="59E31D1B" w14:textId="09C57B7C" w:rsidR="0022672C" w:rsidRPr="00CE2B0C" w:rsidRDefault="003B115A" w:rsidP="003B115A">
      <w:pPr>
        <w:spacing w:line="360" w:lineRule="auto"/>
        <w:jc w:val="center"/>
        <w:rPr>
          <w:rFonts w:ascii="Arial" w:hAnsi="Arial" w:cs="Arial"/>
          <w:b/>
          <w:bCs/>
          <w:lang w:val="en-GB"/>
        </w:rPr>
      </w:pPr>
      <w:r w:rsidRPr="00CE2B0C">
        <w:rPr>
          <w:noProof/>
          <w:lang w:val="en-GB" w:eastAsia="en-GB"/>
        </w:rPr>
        <w:drawing>
          <wp:inline distT="0" distB="0" distL="0" distR="0" wp14:anchorId="781EFA24" wp14:editId="776FD30D">
            <wp:extent cx="4572000" cy="2743200"/>
            <wp:effectExtent l="0" t="0" r="0" b="0"/>
            <wp:docPr id="1638660435"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C0427D5-A2A6-6275-03C5-D5552E4C48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1F1C080F" w14:textId="70E764F0" w:rsidR="00484B68" w:rsidRPr="00CE2B0C" w:rsidRDefault="00B52EA2" w:rsidP="00673843">
      <w:pPr>
        <w:pStyle w:val="Caption"/>
        <w:spacing w:line="360" w:lineRule="auto"/>
        <w:jc w:val="center"/>
        <w:rPr>
          <w:rFonts w:ascii="Arial" w:hAnsi="Arial" w:cs="Arial"/>
          <w:b/>
          <w:bCs/>
          <w:sz w:val="24"/>
          <w:szCs w:val="24"/>
          <w:lang w:val="en-GB"/>
        </w:rPr>
      </w:pPr>
      <w:bookmarkStart w:id="34" w:name="_Toc227448949"/>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2</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Revenue, Gross Profit &amp; EBIT (€m)</w:t>
      </w:r>
      <w:bookmarkEnd w:id="34"/>
    </w:p>
    <w:p w14:paraId="00CB576F" w14:textId="34F2C30A" w:rsidR="0067230A" w:rsidRPr="00CE2B0C" w:rsidRDefault="0067230A" w:rsidP="002D1B85">
      <w:pPr>
        <w:spacing w:line="360" w:lineRule="auto"/>
        <w:rPr>
          <w:rFonts w:ascii="Arial" w:hAnsi="Arial" w:cs="Arial"/>
          <w:lang w:val="en-GB"/>
        </w:rPr>
      </w:pPr>
      <w:r w:rsidRPr="00CE2B0C">
        <w:rPr>
          <w:rFonts w:ascii="Arial" w:hAnsi="Arial" w:cs="Arial"/>
          <w:b/>
          <w:bCs/>
          <w:lang w:val="en-GB"/>
        </w:rPr>
        <w:t>Operating &amp; Free Cash Flow (€m)</w:t>
      </w:r>
    </w:p>
    <w:p w14:paraId="6E45D77A" w14:textId="26C060E9" w:rsidR="0067230A" w:rsidRPr="00CE2B0C" w:rsidRDefault="003B115A" w:rsidP="003B115A">
      <w:pPr>
        <w:spacing w:line="360" w:lineRule="auto"/>
        <w:jc w:val="center"/>
        <w:rPr>
          <w:rFonts w:ascii="Arial" w:hAnsi="Arial" w:cs="Arial"/>
          <w:lang w:val="en-GB"/>
        </w:rPr>
      </w:pPr>
      <w:r w:rsidRPr="00CE2B0C">
        <w:rPr>
          <w:noProof/>
          <w:lang w:val="en-GB" w:eastAsia="en-GB"/>
        </w:rPr>
        <w:drawing>
          <wp:inline distT="0" distB="0" distL="0" distR="0" wp14:anchorId="3D52834A" wp14:editId="12ADAFE8">
            <wp:extent cx="4572000" cy="2743200"/>
            <wp:effectExtent l="0" t="0" r="0" b="0"/>
            <wp:docPr id="174991058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A8551F0-6663-A6C4-194A-CD3189E5BD3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B4D8091" w14:textId="7011BD54" w:rsidR="0067230A" w:rsidRPr="00CE2B0C" w:rsidRDefault="00B52EA2" w:rsidP="002D1B85">
      <w:pPr>
        <w:pStyle w:val="Caption"/>
        <w:spacing w:line="360" w:lineRule="auto"/>
        <w:jc w:val="center"/>
        <w:rPr>
          <w:rFonts w:ascii="Arial" w:hAnsi="Arial" w:cs="Arial"/>
          <w:b/>
          <w:bCs/>
          <w:sz w:val="24"/>
          <w:szCs w:val="24"/>
          <w:lang w:val="en-GB"/>
        </w:rPr>
      </w:pPr>
      <w:bookmarkStart w:id="35" w:name="_Toc227448950"/>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3</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Operating &amp; Free Cash Flow (€m)</w:t>
      </w:r>
      <w:bookmarkEnd w:id="35"/>
    </w:p>
    <w:p w14:paraId="1F2B434D" w14:textId="77777777" w:rsidR="002A7EF1" w:rsidRPr="00CE2B0C" w:rsidRDefault="002A7EF1" w:rsidP="002A7EF1">
      <w:pPr>
        <w:rPr>
          <w:lang w:val="en-GB"/>
        </w:rPr>
      </w:pPr>
    </w:p>
    <w:p w14:paraId="49F47348" w14:textId="5DF6F55B" w:rsidR="00137DBB" w:rsidRPr="00CE2B0C" w:rsidRDefault="00137DBB" w:rsidP="002D1B85">
      <w:pPr>
        <w:spacing w:line="360" w:lineRule="auto"/>
        <w:rPr>
          <w:rFonts w:ascii="Arial" w:hAnsi="Arial" w:cs="Arial"/>
          <w:b/>
          <w:bCs/>
          <w:lang w:val="en-GB"/>
        </w:rPr>
      </w:pPr>
      <w:r w:rsidRPr="00CE2B0C">
        <w:rPr>
          <w:rFonts w:ascii="Arial" w:hAnsi="Arial" w:cs="Arial"/>
          <w:b/>
          <w:bCs/>
          <w:lang w:val="en-GB"/>
        </w:rPr>
        <w:lastRenderedPageBreak/>
        <w:t xml:space="preserve">Profitability ratios </w:t>
      </w:r>
    </w:p>
    <w:p w14:paraId="6D83BEBC" w14:textId="2EC1A6C9" w:rsidR="0022672C" w:rsidRPr="00CE2B0C" w:rsidRDefault="003B115A" w:rsidP="003B115A">
      <w:pPr>
        <w:spacing w:line="360" w:lineRule="auto"/>
        <w:jc w:val="center"/>
        <w:rPr>
          <w:rFonts w:ascii="Arial" w:hAnsi="Arial" w:cs="Arial"/>
          <w:lang w:val="en-GB"/>
        </w:rPr>
      </w:pPr>
      <w:r w:rsidRPr="00CE2B0C">
        <w:rPr>
          <w:noProof/>
          <w:lang w:val="en-GB" w:eastAsia="en-GB"/>
        </w:rPr>
        <w:drawing>
          <wp:inline distT="0" distB="0" distL="0" distR="0" wp14:anchorId="5628474F" wp14:editId="56BC5CAA">
            <wp:extent cx="4571307" cy="2742596"/>
            <wp:effectExtent l="0" t="0" r="1270" b="635"/>
            <wp:docPr id="616273483"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E348516" w14:textId="1B152FAE" w:rsidR="0067230A" w:rsidRPr="00CE2B0C" w:rsidRDefault="00B52EA2" w:rsidP="002D1B85">
      <w:pPr>
        <w:pStyle w:val="Caption"/>
        <w:spacing w:line="360" w:lineRule="auto"/>
        <w:jc w:val="center"/>
        <w:rPr>
          <w:rFonts w:ascii="Arial" w:hAnsi="Arial" w:cs="Arial"/>
          <w:b/>
          <w:bCs/>
          <w:sz w:val="24"/>
          <w:szCs w:val="24"/>
          <w:lang w:val="en-GB"/>
        </w:rPr>
      </w:pPr>
      <w:bookmarkStart w:id="36" w:name="_Toc227448951"/>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4</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Profitability Ratios</w:t>
      </w:r>
      <w:bookmarkEnd w:id="36"/>
    </w:p>
    <w:p w14:paraId="41F77ABB" w14:textId="6D6170E2" w:rsidR="00137DBB" w:rsidRPr="00CE2B0C" w:rsidRDefault="00137DBB" w:rsidP="002D1B85">
      <w:pPr>
        <w:spacing w:line="360" w:lineRule="auto"/>
        <w:rPr>
          <w:rFonts w:ascii="Arial" w:hAnsi="Arial" w:cs="Arial"/>
          <w:b/>
          <w:bCs/>
          <w:lang w:val="en-GB"/>
        </w:rPr>
      </w:pPr>
      <w:r w:rsidRPr="00CE2B0C">
        <w:rPr>
          <w:rFonts w:ascii="Arial" w:hAnsi="Arial" w:cs="Arial"/>
          <w:b/>
          <w:bCs/>
          <w:lang w:val="en-GB"/>
        </w:rPr>
        <w:t xml:space="preserve">Liquidity ratios </w:t>
      </w:r>
    </w:p>
    <w:p w14:paraId="7B129B18" w14:textId="205A9409" w:rsidR="0022672C" w:rsidRPr="00CE2B0C" w:rsidRDefault="003B115A" w:rsidP="003B115A">
      <w:pPr>
        <w:spacing w:line="360" w:lineRule="auto"/>
        <w:jc w:val="center"/>
        <w:rPr>
          <w:rFonts w:ascii="Arial" w:hAnsi="Arial" w:cs="Arial"/>
          <w:lang w:val="en-GB"/>
        </w:rPr>
      </w:pPr>
      <w:r w:rsidRPr="00CE2B0C">
        <w:rPr>
          <w:noProof/>
          <w:lang w:val="en-GB" w:eastAsia="en-GB"/>
        </w:rPr>
        <w:drawing>
          <wp:inline distT="0" distB="0" distL="0" distR="0" wp14:anchorId="4DEDCDAC" wp14:editId="279CF585">
            <wp:extent cx="4572000" cy="2743200"/>
            <wp:effectExtent l="0" t="0" r="0" b="0"/>
            <wp:docPr id="1727281488"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0DBA9DC-5668-EA20-D640-4DFF3D56F2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AC46499" w14:textId="6587A640" w:rsidR="0067230A" w:rsidRPr="00CE2B0C" w:rsidRDefault="00B52EA2" w:rsidP="002D1B85">
      <w:pPr>
        <w:pStyle w:val="Caption"/>
        <w:spacing w:line="360" w:lineRule="auto"/>
        <w:jc w:val="center"/>
        <w:rPr>
          <w:rFonts w:ascii="Arial" w:hAnsi="Arial" w:cs="Arial"/>
          <w:b/>
          <w:bCs/>
          <w:sz w:val="24"/>
          <w:szCs w:val="24"/>
          <w:lang w:val="en-GB"/>
        </w:rPr>
      </w:pPr>
      <w:bookmarkStart w:id="37" w:name="_Toc227448952"/>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5</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Liquidity Ratios</w:t>
      </w:r>
      <w:bookmarkEnd w:id="37"/>
    </w:p>
    <w:p w14:paraId="59C1B14B" w14:textId="77777777" w:rsidR="002A7EF1" w:rsidRPr="00CE2B0C" w:rsidRDefault="002A7EF1" w:rsidP="002A7EF1">
      <w:pPr>
        <w:rPr>
          <w:lang w:val="en-GB"/>
        </w:rPr>
      </w:pPr>
    </w:p>
    <w:p w14:paraId="76BB7FA8" w14:textId="77777777" w:rsidR="002A7EF1" w:rsidRPr="00CE2B0C" w:rsidRDefault="002A7EF1" w:rsidP="002A7EF1">
      <w:pPr>
        <w:rPr>
          <w:lang w:val="en-GB"/>
        </w:rPr>
      </w:pPr>
    </w:p>
    <w:p w14:paraId="121D4213" w14:textId="77777777" w:rsidR="002A7EF1" w:rsidRPr="00CE2B0C" w:rsidRDefault="002A7EF1" w:rsidP="002A7EF1">
      <w:pPr>
        <w:rPr>
          <w:lang w:val="en-GB"/>
        </w:rPr>
      </w:pPr>
    </w:p>
    <w:p w14:paraId="077C97EA" w14:textId="77777777" w:rsidR="002A7EF1" w:rsidRPr="00CE2B0C" w:rsidRDefault="002A7EF1" w:rsidP="002A7EF1">
      <w:pPr>
        <w:rPr>
          <w:lang w:val="en-GB"/>
        </w:rPr>
      </w:pPr>
    </w:p>
    <w:p w14:paraId="51DCAAA6" w14:textId="77777777" w:rsidR="002A7EF1" w:rsidRPr="00CE2B0C" w:rsidRDefault="002A7EF1" w:rsidP="002A7EF1">
      <w:pPr>
        <w:rPr>
          <w:lang w:val="en-GB"/>
        </w:rPr>
      </w:pPr>
    </w:p>
    <w:p w14:paraId="4E2C2F26" w14:textId="20FBE672" w:rsidR="00137DBB" w:rsidRPr="00CE2B0C" w:rsidRDefault="00137DBB" w:rsidP="002D1B85">
      <w:pPr>
        <w:spacing w:line="360" w:lineRule="auto"/>
        <w:rPr>
          <w:rFonts w:ascii="Arial" w:hAnsi="Arial" w:cs="Arial"/>
          <w:b/>
          <w:bCs/>
          <w:lang w:val="en-GB"/>
        </w:rPr>
      </w:pPr>
      <w:r w:rsidRPr="00CE2B0C">
        <w:rPr>
          <w:rFonts w:ascii="Arial" w:hAnsi="Arial" w:cs="Arial"/>
          <w:b/>
          <w:bCs/>
          <w:lang w:val="en-GB"/>
        </w:rPr>
        <w:lastRenderedPageBreak/>
        <w:t xml:space="preserve">Efficiency ratios </w:t>
      </w:r>
    </w:p>
    <w:p w14:paraId="15F9DDF3" w14:textId="7B21B933" w:rsidR="0067230A" w:rsidRPr="00CE2B0C" w:rsidRDefault="003B115A" w:rsidP="003B115A">
      <w:pPr>
        <w:spacing w:line="360" w:lineRule="auto"/>
        <w:jc w:val="center"/>
        <w:rPr>
          <w:rFonts w:ascii="Arial" w:hAnsi="Arial" w:cs="Arial"/>
          <w:b/>
          <w:bCs/>
          <w:lang w:val="en-GB"/>
        </w:rPr>
      </w:pPr>
      <w:r w:rsidRPr="00CE2B0C">
        <w:rPr>
          <w:noProof/>
          <w:lang w:val="en-GB" w:eastAsia="en-GB"/>
        </w:rPr>
        <w:drawing>
          <wp:inline distT="0" distB="0" distL="0" distR="0" wp14:anchorId="0B626660" wp14:editId="0142CF92">
            <wp:extent cx="4571306" cy="2742454"/>
            <wp:effectExtent l="0" t="0" r="1270" b="1270"/>
            <wp:docPr id="468643284"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7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2622BEA" w14:textId="38B37BDF" w:rsidR="003B115A" w:rsidRPr="00CE2B0C" w:rsidRDefault="00B52EA2" w:rsidP="007B08F1">
      <w:pPr>
        <w:pStyle w:val="Caption"/>
        <w:spacing w:line="360" w:lineRule="auto"/>
        <w:jc w:val="center"/>
        <w:rPr>
          <w:rFonts w:ascii="Arial" w:hAnsi="Arial" w:cs="Arial"/>
          <w:b/>
          <w:bCs/>
          <w:sz w:val="24"/>
          <w:szCs w:val="24"/>
          <w:lang w:val="en-GB"/>
        </w:rPr>
      </w:pPr>
      <w:bookmarkStart w:id="38" w:name="_Toc227448953"/>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6</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Efficiency Ratios</w:t>
      </w:r>
      <w:bookmarkEnd w:id="38"/>
    </w:p>
    <w:p w14:paraId="1019AF22" w14:textId="37C16C3D" w:rsidR="00137DBB" w:rsidRPr="00CE2B0C" w:rsidRDefault="00137DBB" w:rsidP="002D1B85">
      <w:pPr>
        <w:spacing w:line="360" w:lineRule="auto"/>
        <w:rPr>
          <w:rFonts w:ascii="Arial" w:hAnsi="Arial" w:cs="Arial"/>
          <w:b/>
          <w:bCs/>
          <w:lang w:val="en-GB"/>
        </w:rPr>
      </w:pPr>
      <w:r w:rsidRPr="00CE2B0C">
        <w:rPr>
          <w:rFonts w:ascii="Arial" w:hAnsi="Arial" w:cs="Arial"/>
          <w:b/>
          <w:bCs/>
          <w:lang w:val="en-GB"/>
        </w:rPr>
        <w:t xml:space="preserve">Gearing ratios </w:t>
      </w:r>
    </w:p>
    <w:p w14:paraId="7F5A8129" w14:textId="6F409784" w:rsidR="0067230A" w:rsidRPr="00CE2B0C" w:rsidRDefault="003B115A" w:rsidP="002D1B85">
      <w:pPr>
        <w:spacing w:line="360" w:lineRule="auto"/>
        <w:jc w:val="center"/>
        <w:rPr>
          <w:rFonts w:ascii="Arial" w:hAnsi="Arial" w:cs="Arial"/>
          <w:b/>
          <w:bCs/>
          <w:lang w:val="en-GB"/>
        </w:rPr>
      </w:pPr>
      <w:r w:rsidRPr="00CE2B0C">
        <w:rPr>
          <w:noProof/>
          <w:lang w:val="en-GB" w:eastAsia="en-GB"/>
        </w:rPr>
        <w:drawing>
          <wp:inline distT="0" distB="0" distL="0" distR="0" wp14:anchorId="1C019F90" wp14:editId="05530D7D">
            <wp:extent cx="4571413" cy="2742311"/>
            <wp:effectExtent l="0" t="0" r="635" b="1270"/>
            <wp:docPr id="79031458"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2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7F6434EE" w14:textId="2AC9B8BE" w:rsidR="00B52EA2" w:rsidRPr="00CE2B0C" w:rsidRDefault="00B52EA2" w:rsidP="002E01C6">
      <w:pPr>
        <w:pStyle w:val="Caption"/>
        <w:spacing w:line="360" w:lineRule="auto"/>
        <w:jc w:val="center"/>
        <w:rPr>
          <w:rFonts w:ascii="Arial" w:eastAsia="Arial" w:hAnsi="Arial" w:cs="Arial"/>
          <w:b/>
          <w:bCs/>
          <w:i w:val="0"/>
          <w:iCs w:val="0"/>
          <w:color w:val="444444"/>
          <w:sz w:val="24"/>
          <w:szCs w:val="24"/>
          <w:lang w:val="en-GB"/>
        </w:rPr>
      </w:pPr>
      <w:bookmarkStart w:id="39" w:name="_Toc227448954"/>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7</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eastAsia="Arial" w:hAnsi="Arial" w:cs="Arial"/>
          <w:b/>
          <w:bCs/>
          <w:color w:val="444444"/>
          <w:sz w:val="24"/>
          <w:szCs w:val="24"/>
          <w:lang w:val="en-GB"/>
        </w:rPr>
        <w:t>Gearing Ratios</w:t>
      </w:r>
      <w:bookmarkEnd w:id="39"/>
    </w:p>
    <w:p w14:paraId="215C4B93" w14:textId="77777777" w:rsidR="007B08F1" w:rsidRPr="00CE2B0C" w:rsidRDefault="007B08F1" w:rsidP="002D1B85">
      <w:pPr>
        <w:spacing w:before="80" w:after="40" w:line="360" w:lineRule="auto"/>
        <w:rPr>
          <w:rFonts w:ascii="Arial" w:eastAsia="Arial" w:hAnsi="Arial" w:cs="Arial"/>
          <w:b/>
          <w:bCs/>
          <w:color w:val="444444"/>
          <w:lang w:val="en-GB"/>
        </w:rPr>
      </w:pPr>
    </w:p>
    <w:p w14:paraId="680D209B" w14:textId="77777777" w:rsidR="007B08F1" w:rsidRPr="00CE2B0C" w:rsidRDefault="007B08F1" w:rsidP="002D1B85">
      <w:pPr>
        <w:spacing w:before="80" w:after="40" w:line="360" w:lineRule="auto"/>
        <w:rPr>
          <w:rFonts w:ascii="Arial" w:eastAsia="Arial" w:hAnsi="Arial" w:cs="Arial"/>
          <w:b/>
          <w:bCs/>
          <w:color w:val="444444"/>
          <w:lang w:val="en-GB"/>
        </w:rPr>
      </w:pPr>
    </w:p>
    <w:p w14:paraId="19C5716C" w14:textId="77777777" w:rsidR="007B08F1" w:rsidRPr="00CE2B0C" w:rsidRDefault="007B08F1" w:rsidP="002D1B85">
      <w:pPr>
        <w:spacing w:before="80" w:after="40" w:line="360" w:lineRule="auto"/>
        <w:rPr>
          <w:rFonts w:ascii="Arial" w:eastAsia="Arial" w:hAnsi="Arial" w:cs="Arial"/>
          <w:b/>
          <w:bCs/>
          <w:color w:val="444444"/>
          <w:lang w:val="en-GB"/>
        </w:rPr>
      </w:pPr>
    </w:p>
    <w:p w14:paraId="0E23651A" w14:textId="77777777" w:rsidR="007B08F1" w:rsidRPr="00CE2B0C" w:rsidRDefault="007B08F1" w:rsidP="002D1B85">
      <w:pPr>
        <w:spacing w:before="80" w:after="40" w:line="360" w:lineRule="auto"/>
        <w:rPr>
          <w:rFonts w:ascii="Arial" w:eastAsia="Arial" w:hAnsi="Arial" w:cs="Arial"/>
          <w:b/>
          <w:bCs/>
          <w:color w:val="444444"/>
          <w:lang w:val="en-GB"/>
        </w:rPr>
      </w:pPr>
    </w:p>
    <w:p w14:paraId="7EA3E313" w14:textId="77777777" w:rsidR="007B08F1" w:rsidRPr="00CE2B0C" w:rsidRDefault="007B08F1" w:rsidP="002D1B85">
      <w:pPr>
        <w:spacing w:before="80" w:after="40" w:line="360" w:lineRule="auto"/>
        <w:rPr>
          <w:rFonts w:ascii="Arial" w:eastAsia="Arial" w:hAnsi="Arial" w:cs="Arial"/>
          <w:b/>
          <w:bCs/>
          <w:color w:val="444444"/>
          <w:lang w:val="en-GB"/>
        </w:rPr>
      </w:pPr>
    </w:p>
    <w:p w14:paraId="11F70875" w14:textId="77777777" w:rsidR="007B08F1" w:rsidRPr="00CE2B0C" w:rsidRDefault="007B08F1" w:rsidP="002D1B85">
      <w:pPr>
        <w:spacing w:before="80" w:after="40" w:line="360" w:lineRule="auto"/>
        <w:rPr>
          <w:rFonts w:ascii="Arial" w:eastAsia="Arial" w:hAnsi="Arial" w:cs="Arial"/>
          <w:b/>
          <w:bCs/>
          <w:color w:val="444444"/>
          <w:lang w:val="en-GB"/>
        </w:rPr>
      </w:pPr>
    </w:p>
    <w:p w14:paraId="6864F130" w14:textId="704B4084" w:rsidR="0067230A" w:rsidRPr="00CE2B0C" w:rsidRDefault="0067230A" w:rsidP="002D1B85">
      <w:pPr>
        <w:spacing w:before="80" w:after="40" w:line="360" w:lineRule="auto"/>
        <w:rPr>
          <w:rFonts w:ascii="Arial" w:eastAsia="Arial" w:hAnsi="Arial" w:cs="Arial"/>
          <w:color w:val="444444"/>
          <w:lang w:val="en-GB"/>
        </w:rPr>
      </w:pPr>
      <w:r w:rsidRPr="00CE2B0C">
        <w:rPr>
          <w:rFonts w:ascii="Arial" w:eastAsia="Arial" w:hAnsi="Arial" w:cs="Arial"/>
          <w:b/>
          <w:bCs/>
          <w:color w:val="444444"/>
          <w:lang w:val="en-GB"/>
        </w:rPr>
        <w:t>Project NPV Comparison (£m)</w:t>
      </w:r>
    </w:p>
    <w:p w14:paraId="7AA79D68" w14:textId="6FDE149E" w:rsidR="0067230A" w:rsidRPr="00CE2B0C" w:rsidRDefault="0067230A" w:rsidP="002D1B85">
      <w:pPr>
        <w:spacing w:line="360" w:lineRule="auto"/>
        <w:jc w:val="center"/>
        <w:rPr>
          <w:rFonts w:ascii="Arial" w:hAnsi="Arial" w:cs="Arial"/>
          <w:b/>
          <w:bCs/>
          <w:lang w:val="en-GB"/>
        </w:rPr>
      </w:pPr>
      <w:r w:rsidRPr="00CE2B0C">
        <w:rPr>
          <w:rFonts w:ascii="Arial" w:hAnsi="Arial" w:cs="Arial"/>
          <w:noProof/>
          <w:lang w:val="en-GB" w:eastAsia="en-GB"/>
        </w:rPr>
        <w:drawing>
          <wp:inline distT="0" distB="0" distL="0" distR="0" wp14:anchorId="35C9DD25" wp14:editId="1C35B613">
            <wp:extent cx="4785494" cy="3386245"/>
            <wp:effectExtent l="0" t="0" r="15240" b="5080"/>
            <wp:docPr id="951448076" name="Chart 1">
              <a:extLst xmlns:a="http://schemas.openxmlformats.org/drawingml/2006/main">
                <a:ext uri="{FF2B5EF4-FFF2-40B4-BE49-F238E27FC236}">
                  <a16:creationId xmlns:a16="http://schemas.microsoft.com/office/drawing/2014/main"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29AE1FF-051E-4AD0-B28F-3A6A7142A0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317A454" w14:textId="4D0C37C3" w:rsidR="00484B68" w:rsidRPr="00CE2B0C" w:rsidRDefault="00B52EA2" w:rsidP="007B08F1">
      <w:pPr>
        <w:pStyle w:val="Caption"/>
        <w:spacing w:line="360" w:lineRule="auto"/>
        <w:jc w:val="center"/>
        <w:rPr>
          <w:rFonts w:ascii="Arial" w:hAnsi="Arial" w:cs="Arial"/>
          <w:b/>
          <w:bCs/>
          <w:sz w:val="24"/>
          <w:szCs w:val="24"/>
          <w:lang w:val="en-GB"/>
        </w:rPr>
      </w:pPr>
      <w:bookmarkStart w:id="40" w:name="_Toc227448955"/>
      <w:r w:rsidRPr="00CE2B0C">
        <w:rPr>
          <w:rFonts w:ascii="Arial" w:hAnsi="Arial" w:cs="Arial"/>
          <w:b/>
          <w:bCs/>
          <w:sz w:val="24"/>
          <w:szCs w:val="24"/>
          <w:lang w:val="en-GB"/>
        </w:rPr>
        <w:t xml:space="preserve">Figure </w:t>
      </w:r>
      <w:r w:rsidRPr="00CE2B0C">
        <w:rPr>
          <w:rFonts w:ascii="Arial" w:hAnsi="Arial" w:cs="Arial"/>
          <w:b/>
          <w:bCs/>
          <w:sz w:val="24"/>
          <w:szCs w:val="24"/>
          <w:lang w:val="en-GB"/>
        </w:rPr>
        <w:fldChar w:fldCharType="begin"/>
      </w:r>
      <w:r w:rsidRPr="00CE2B0C">
        <w:rPr>
          <w:rFonts w:ascii="Arial" w:hAnsi="Arial" w:cs="Arial"/>
          <w:b/>
          <w:bCs/>
          <w:sz w:val="24"/>
          <w:szCs w:val="24"/>
          <w:lang w:val="en-GB"/>
        </w:rPr>
        <w:instrText xml:space="preserve"> SEQ Figure \* ARABIC </w:instrText>
      </w:r>
      <w:r w:rsidRPr="00CE2B0C">
        <w:rPr>
          <w:rFonts w:ascii="Arial" w:hAnsi="Arial" w:cs="Arial"/>
          <w:b/>
          <w:bCs/>
          <w:sz w:val="24"/>
          <w:szCs w:val="24"/>
          <w:lang w:val="en-GB"/>
        </w:rPr>
        <w:fldChar w:fldCharType="separate"/>
      </w:r>
      <w:r w:rsidRPr="00CE2B0C">
        <w:rPr>
          <w:rFonts w:ascii="Arial" w:hAnsi="Arial" w:cs="Arial"/>
          <w:b/>
          <w:bCs/>
          <w:noProof/>
          <w:sz w:val="24"/>
          <w:szCs w:val="24"/>
          <w:lang w:val="en-GB"/>
        </w:rPr>
        <w:t>8</w:t>
      </w:r>
      <w:r w:rsidRPr="00CE2B0C">
        <w:rPr>
          <w:rFonts w:ascii="Arial" w:hAnsi="Arial" w:cs="Arial"/>
          <w:b/>
          <w:bCs/>
          <w:sz w:val="24"/>
          <w:szCs w:val="24"/>
          <w:lang w:val="en-GB"/>
        </w:rPr>
        <w:fldChar w:fldCharType="end"/>
      </w:r>
      <w:r w:rsidRPr="00CE2B0C">
        <w:rPr>
          <w:rFonts w:ascii="Arial" w:hAnsi="Arial" w:cs="Arial"/>
          <w:b/>
          <w:bCs/>
          <w:sz w:val="24"/>
          <w:szCs w:val="24"/>
          <w:lang w:val="en-GB"/>
        </w:rPr>
        <w:t xml:space="preserve">: </w:t>
      </w:r>
      <w:r w:rsidR="0067230A" w:rsidRPr="00CE2B0C">
        <w:rPr>
          <w:rFonts w:ascii="Arial" w:hAnsi="Arial" w:cs="Arial"/>
          <w:b/>
          <w:bCs/>
          <w:sz w:val="24"/>
          <w:szCs w:val="24"/>
          <w:lang w:val="en-GB"/>
        </w:rPr>
        <w:t>Project NPV Comparison (£m)</w:t>
      </w:r>
      <w:bookmarkEnd w:id="40"/>
    </w:p>
    <w:p w14:paraId="686A72E9" w14:textId="3882529A" w:rsidR="00995993" w:rsidRPr="00CE2B0C" w:rsidRDefault="00995993" w:rsidP="002D1B85">
      <w:pPr>
        <w:pStyle w:val="Heading2"/>
        <w:spacing w:line="360" w:lineRule="auto"/>
        <w:rPr>
          <w:rFonts w:cs="Arial"/>
          <w:szCs w:val="24"/>
          <w:lang w:val="en-GB"/>
        </w:rPr>
      </w:pPr>
      <w:bookmarkStart w:id="41" w:name="_Appendix_4:_Investment"/>
      <w:bookmarkStart w:id="42" w:name="_Toc227812699"/>
      <w:bookmarkEnd w:id="41"/>
      <w:r w:rsidRPr="00CE2B0C">
        <w:rPr>
          <w:rFonts w:cs="Arial"/>
          <w:szCs w:val="24"/>
          <w:lang w:val="en-GB"/>
        </w:rPr>
        <w:t>Appendix 4: Investment Appraisal Calculations</w:t>
      </w:r>
      <w:bookmarkEnd w:id="42"/>
    </w:p>
    <w:p w14:paraId="1182973A" w14:textId="36B185DE" w:rsidR="00B52EA2" w:rsidRPr="00CE2B0C" w:rsidRDefault="00B52EA2" w:rsidP="002D1B85">
      <w:pPr>
        <w:pStyle w:val="Caption"/>
        <w:spacing w:line="360" w:lineRule="auto"/>
        <w:rPr>
          <w:rFonts w:ascii="Arial" w:eastAsia="Arial" w:hAnsi="Arial" w:cs="Arial"/>
          <w:i w:val="0"/>
          <w:iCs w:val="0"/>
          <w:color w:val="444444"/>
          <w:sz w:val="24"/>
          <w:szCs w:val="24"/>
          <w:lang w:val="en-GB"/>
        </w:rPr>
      </w:pPr>
      <w:bookmarkStart w:id="43" w:name="_Toc227448980"/>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9</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00995993" w:rsidRPr="00CE2B0C">
        <w:rPr>
          <w:rFonts w:ascii="Arial" w:eastAsia="Arial" w:hAnsi="Arial" w:cs="Arial"/>
          <w:color w:val="444444"/>
          <w:sz w:val="24"/>
          <w:szCs w:val="24"/>
          <w:lang w:val="en-GB"/>
        </w:rPr>
        <w:t>Discounted Cash Flow Analysis — Projects A, B and C.</w:t>
      </w:r>
      <w:bookmarkEnd w:id="43"/>
      <w:r w:rsidR="00995993" w:rsidRPr="00CE2B0C">
        <w:rPr>
          <w:rFonts w:ascii="Arial" w:eastAsia="Arial" w:hAnsi="Arial" w:cs="Arial"/>
          <w:color w:val="444444"/>
          <w:sz w:val="24"/>
          <w:szCs w:val="24"/>
          <w:lang w:val="en-GB"/>
        </w:rPr>
        <w:t xml:space="preserve"> </w:t>
      </w:r>
    </w:p>
    <w:p w14:paraId="2BCE8E78" w14:textId="7726406D" w:rsidR="00995993" w:rsidRPr="00CE2B0C" w:rsidRDefault="00995993" w:rsidP="002D1B85">
      <w:pPr>
        <w:spacing w:before="80" w:after="40" w:line="360" w:lineRule="auto"/>
        <w:rPr>
          <w:rFonts w:ascii="Arial" w:hAnsi="Arial" w:cs="Arial"/>
          <w:lang w:val="en-GB"/>
        </w:rPr>
      </w:pPr>
      <w:r w:rsidRPr="00CE2B0C">
        <w:rPr>
          <w:rFonts w:ascii="Arial" w:eastAsia="Arial" w:hAnsi="Arial" w:cs="Arial"/>
          <w:i/>
          <w:iCs/>
          <w:color w:val="444444"/>
          <w:lang w:val="en-GB"/>
        </w:rPr>
        <w:t>Source: Author calculations at 10% discount rate.</w:t>
      </w: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705"/>
        <w:gridCol w:w="986"/>
        <w:gridCol w:w="986"/>
        <w:gridCol w:w="986"/>
        <w:gridCol w:w="986"/>
        <w:gridCol w:w="986"/>
        <w:gridCol w:w="986"/>
        <w:gridCol w:w="913"/>
        <w:gridCol w:w="938"/>
        <w:gridCol w:w="938"/>
        <w:gridCol w:w="938"/>
      </w:tblGrid>
      <w:tr w:rsidR="00995993" w:rsidRPr="00CE2B0C" w14:paraId="60F89B52" w14:textId="77777777" w:rsidTr="007B08F1">
        <w:trPr>
          <w:trHeight w:val="970"/>
        </w:trPr>
        <w:tc>
          <w:tcPr>
            <w:tcW w:w="640" w:type="dxa"/>
            <w:shd w:val="clear" w:color="auto" w:fill="D9E1F2"/>
            <w:tcMar>
              <w:top w:w="60" w:type="dxa"/>
              <w:left w:w="120" w:type="dxa"/>
              <w:bottom w:w="60" w:type="dxa"/>
              <w:right w:w="120" w:type="dxa"/>
            </w:tcMar>
            <w:vAlign w:val="center"/>
          </w:tcPr>
          <w:p w14:paraId="2E3C69A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Year</w:t>
            </w:r>
          </w:p>
        </w:tc>
        <w:tc>
          <w:tcPr>
            <w:tcW w:w="902" w:type="dxa"/>
            <w:shd w:val="clear" w:color="auto" w:fill="D9E1F2"/>
            <w:tcMar>
              <w:top w:w="60" w:type="dxa"/>
              <w:left w:w="120" w:type="dxa"/>
              <w:bottom w:w="60" w:type="dxa"/>
              <w:right w:w="120" w:type="dxa"/>
            </w:tcMar>
            <w:vAlign w:val="center"/>
          </w:tcPr>
          <w:p w14:paraId="5EAD5619"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Project A (£m)</w:t>
            </w:r>
          </w:p>
        </w:tc>
        <w:tc>
          <w:tcPr>
            <w:tcW w:w="902" w:type="dxa"/>
            <w:shd w:val="clear" w:color="auto" w:fill="D9E1F2"/>
            <w:tcMar>
              <w:top w:w="60" w:type="dxa"/>
              <w:left w:w="120" w:type="dxa"/>
              <w:bottom w:w="60" w:type="dxa"/>
              <w:right w:w="120" w:type="dxa"/>
            </w:tcMar>
            <w:vAlign w:val="center"/>
          </w:tcPr>
          <w:p w14:paraId="3ACCECA7" w14:textId="77777777" w:rsidR="00995993" w:rsidRPr="00CE2B0C" w:rsidRDefault="00995993" w:rsidP="002D1B85">
            <w:pPr>
              <w:spacing w:line="360" w:lineRule="auto"/>
              <w:jc w:val="center"/>
              <w:rPr>
                <w:rFonts w:ascii="Arial" w:hAnsi="Arial" w:cs="Arial"/>
                <w:sz w:val="22"/>
                <w:szCs w:val="22"/>
                <w:lang w:val="en-GB"/>
              </w:rPr>
            </w:pPr>
            <w:proofErr w:type="spellStart"/>
            <w:r w:rsidRPr="00CE2B0C">
              <w:rPr>
                <w:rFonts w:ascii="Arial" w:eastAsia="Arial" w:hAnsi="Arial" w:cs="Arial"/>
                <w:b/>
                <w:bCs/>
                <w:color w:val="1F3864"/>
                <w:sz w:val="22"/>
                <w:szCs w:val="22"/>
                <w:lang w:val="en-GB"/>
              </w:rPr>
              <w:t>Cumul</w:t>
            </w:r>
            <w:proofErr w:type="spellEnd"/>
            <w:r w:rsidRPr="00CE2B0C">
              <w:rPr>
                <w:rFonts w:ascii="Arial" w:eastAsia="Arial" w:hAnsi="Arial" w:cs="Arial"/>
                <w:b/>
                <w:bCs/>
                <w:color w:val="1F3864"/>
                <w:sz w:val="22"/>
                <w:szCs w:val="22"/>
                <w:lang w:val="en-GB"/>
              </w:rPr>
              <w:t>. A</w:t>
            </w:r>
          </w:p>
        </w:tc>
        <w:tc>
          <w:tcPr>
            <w:tcW w:w="902" w:type="dxa"/>
            <w:shd w:val="clear" w:color="auto" w:fill="D9E1F2"/>
            <w:tcMar>
              <w:top w:w="60" w:type="dxa"/>
              <w:left w:w="120" w:type="dxa"/>
              <w:bottom w:w="60" w:type="dxa"/>
              <w:right w:w="120" w:type="dxa"/>
            </w:tcMar>
            <w:vAlign w:val="center"/>
          </w:tcPr>
          <w:p w14:paraId="629F87E6"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Project B (£m)</w:t>
            </w:r>
          </w:p>
        </w:tc>
        <w:tc>
          <w:tcPr>
            <w:tcW w:w="902" w:type="dxa"/>
            <w:shd w:val="clear" w:color="auto" w:fill="D9E1F2"/>
            <w:tcMar>
              <w:top w:w="60" w:type="dxa"/>
              <w:left w:w="120" w:type="dxa"/>
              <w:bottom w:w="60" w:type="dxa"/>
              <w:right w:w="120" w:type="dxa"/>
            </w:tcMar>
            <w:vAlign w:val="center"/>
          </w:tcPr>
          <w:p w14:paraId="1D2D7C77" w14:textId="77777777" w:rsidR="00995993" w:rsidRPr="00CE2B0C" w:rsidRDefault="00995993" w:rsidP="002D1B85">
            <w:pPr>
              <w:spacing w:line="360" w:lineRule="auto"/>
              <w:jc w:val="center"/>
              <w:rPr>
                <w:rFonts w:ascii="Arial" w:hAnsi="Arial" w:cs="Arial"/>
                <w:sz w:val="22"/>
                <w:szCs w:val="22"/>
                <w:lang w:val="en-GB"/>
              </w:rPr>
            </w:pPr>
            <w:proofErr w:type="spellStart"/>
            <w:r w:rsidRPr="00CE2B0C">
              <w:rPr>
                <w:rFonts w:ascii="Arial" w:eastAsia="Arial" w:hAnsi="Arial" w:cs="Arial"/>
                <w:b/>
                <w:bCs/>
                <w:color w:val="1F3864"/>
                <w:sz w:val="22"/>
                <w:szCs w:val="22"/>
                <w:lang w:val="en-GB"/>
              </w:rPr>
              <w:t>Cumul</w:t>
            </w:r>
            <w:proofErr w:type="spellEnd"/>
            <w:r w:rsidRPr="00CE2B0C">
              <w:rPr>
                <w:rFonts w:ascii="Arial" w:eastAsia="Arial" w:hAnsi="Arial" w:cs="Arial"/>
                <w:b/>
                <w:bCs/>
                <w:color w:val="1F3864"/>
                <w:sz w:val="22"/>
                <w:szCs w:val="22"/>
                <w:lang w:val="en-GB"/>
              </w:rPr>
              <w:t>. B</w:t>
            </w:r>
          </w:p>
        </w:tc>
        <w:tc>
          <w:tcPr>
            <w:tcW w:w="902" w:type="dxa"/>
            <w:shd w:val="clear" w:color="auto" w:fill="D9E1F2"/>
            <w:tcMar>
              <w:top w:w="60" w:type="dxa"/>
              <w:left w:w="120" w:type="dxa"/>
              <w:bottom w:w="60" w:type="dxa"/>
              <w:right w:w="120" w:type="dxa"/>
            </w:tcMar>
            <w:vAlign w:val="center"/>
          </w:tcPr>
          <w:p w14:paraId="750CA902"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Project C (£m)</w:t>
            </w:r>
          </w:p>
        </w:tc>
        <w:tc>
          <w:tcPr>
            <w:tcW w:w="902" w:type="dxa"/>
            <w:shd w:val="clear" w:color="auto" w:fill="D9E1F2"/>
            <w:tcMar>
              <w:top w:w="60" w:type="dxa"/>
              <w:left w:w="120" w:type="dxa"/>
              <w:bottom w:w="60" w:type="dxa"/>
              <w:right w:w="120" w:type="dxa"/>
            </w:tcMar>
            <w:vAlign w:val="center"/>
          </w:tcPr>
          <w:p w14:paraId="01BCB262" w14:textId="77777777" w:rsidR="00995993" w:rsidRPr="00CE2B0C" w:rsidRDefault="00995993" w:rsidP="002D1B85">
            <w:pPr>
              <w:spacing w:line="360" w:lineRule="auto"/>
              <w:jc w:val="center"/>
              <w:rPr>
                <w:rFonts w:ascii="Arial" w:hAnsi="Arial" w:cs="Arial"/>
                <w:sz w:val="22"/>
                <w:szCs w:val="22"/>
                <w:lang w:val="en-GB"/>
              </w:rPr>
            </w:pPr>
            <w:proofErr w:type="spellStart"/>
            <w:r w:rsidRPr="00CE2B0C">
              <w:rPr>
                <w:rFonts w:ascii="Arial" w:eastAsia="Arial" w:hAnsi="Arial" w:cs="Arial"/>
                <w:b/>
                <w:bCs/>
                <w:color w:val="1F3864"/>
                <w:sz w:val="22"/>
                <w:szCs w:val="22"/>
                <w:lang w:val="en-GB"/>
              </w:rPr>
              <w:t>Cumul</w:t>
            </w:r>
            <w:proofErr w:type="spellEnd"/>
            <w:r w:rsidRPr="00CE2B0C">
              <w:rPr>
                <w:rFonts w:ascii="Arial" w:eastAsia="Arial" w:hAnsi="Arial" w:cs="Arial"/>
                <w:b/>
                <w:bCs/>
                <w:color w:val="1F3864"/>
                <w:sz w:val="22"/>
                <w:szCs w:val="22"/>
                <w:lang w:val="en-GB"/>
              </w:rPr>
              <w:t>. C</w:t>
            </w:r>
          </w:p>
        </w:tc>
        <w:tc>
          <w:tcPr>
            <w:tcW w:w="835" w:type="dxa"/>
            <w:shd w:val="clear" w:color="auto" w:fill="D9E1F2"/>
            <w:tcMar>
              <w:top w:w="60" w:type="dxa"/>
              <w:left w:w="120" w:type="dxa"/>
              <w:bottom w:w="60" w:type="dxa"/>
              <w:right w:w="120" w:type="dxa"/>
            </w:tcMar>
            <w:vAlign w:val="center"/>
          </w:tcPr>
          <w:p w14:paraId="3F14086F"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PV Factor</w:t>
            </w:r>
          </w:p>
        </w:tc>
        <w:tc>
          <w:tcPr>
            <w:tcW w:w="857" w:type="dxa"/>
            <w:shd w:val="clear" w:color="auto" w:fill="D9E1F2"/>
            <w:tcMar>
              <w:top w:w="60" w:type="dxa"/>
              <w:left w:w="120" w:type="dxa"/>
              <w:bottom w:w="60" w:type="dxa"/>
              <w:right w:w="120" w:type="dxa"/>
            </w:tcMar>
            <w:vAlign w:val="center"/>
          </w:tcPr>
          <w:p w14:paraId="7E9451F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PV A</w:t>
            </w:r>
          </w:p>
        </w:tc>
        <w:tc>
          <w:tcPr>
            <w:tcW w:w="857" w:type="dxa"/>
            <w:shd w:val="clear" w:color="auto" w:fill="D9E1F2"/>
            <w:tcMar>
              <w:top w:w="60" w:type="dxa"/>
              <w:left w:w="120" w:type="dxa"/>
              <w:bottom w:w="60" w:type="dxa"/>
              <w:right w:w="120" w:type="dxa"/>
            </w:tcMar>
            <w:vAlign w:val="center"/>
          </w:tcPr>
          <w:p w14:paraId="1B19075D"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PV B</w:t>
            </w:r>
          </w:p>
        </w:tc>
        <w:tc>
          <w:tcPr>
            <w:tcW w:w="857" w:type="dxa"/>
            <w:shd w:val="clear" w:color="auto" w:fill="D9E1F2"/>
            <w:tcMar>
              <w:top w:w="60" w:type="dxa"/>
              <w:left w:w="120" w:type="dxa"/>
              <w:bottom w:w="60" w:type="dxa"/>
              <w:right w:w="120" w:type="dxa"/>
            </w:tcMar>
            <w:vAlign w:val="center"/>
          </w:tcPr>
          <w:p w14:paraId="2A3C28DE"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b/>
                <w:bCs/>
                <w:color w:val="1F3864"/>
                <w:sz w:val="22"/>
                <w:szCs w:val="22"/>
                <w:lang w:val="en-GB"/>
              </w:rPr>
              <w:t>PV C</w:t>
            </w:r>
          </w:p>
        </w:tc>
      </w:tr>
      <w:tr w:rsidR="00995993" w:rsidRPr="00CE2B0C" w14:paraId="0829D5DC" w14:textId="77777777" w:rsidTr="007B08F1">
        <w:trPr>
          <w:trHeight w:val="560"/>
        </w:trPr>
        <w:tc>
          <w:tcPr>
            <w:tcW w:w="640" w:type="dxa"/>
            <w:shd w:val="clear" w:color="auto" w:fill="FFFFFF"/>
            <w:tcMar>
              <w:top w:w="60" w:type="dxa"/>
              <w:left w:w="120" w:type="dxa"/>
              <w:bottom w:w="60" w:type="dxa"/>
              <w:right w:w="120" w:type="dxa"/>
            </w:tcMar>
            <w:vAlign w:val="center"/>
          </w:tcPr>
          <w:p w14:paraId="3C6B8E5A"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w:t>
            </w:r>
          </w:p>
        </w:tc>
        <w:tc>
          <w:tcPr>
            <w:tcW w:w="902" w:type="dxa"/>
            <w:shd w:val="clear" w:color="auto" w:fill="FFFFFF"/>
            <w:tcMar>
              <w:top w:w="60" w:type="dxa"/>
              <w:left w:w="120" w:type="dxa"/>
              <w:bottom w:w="60" w:type="dxa"/>
              <w:right w:w="120" w:type="dxa"/>
            </w:tcMar>
            <w:vAlign w:val="center"/>
          </w:tcPr>
          <w:p w14:paraId="0540EC50"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902" w:type="dxa"/>
            <w:shd w:val="clear" w:color="auto" w:fill="FFFFFF"/>
            <w:tcMar>
              <w:top w:w="60" w:type="dxa"/>
              <w:left w:w="120" w:type="dxa"/>
              <w:bottom w:w="60" w:type="dxa"/>
              <w:right w:w="120" w:type="dxa"/>
            </w:tcMar>
            <w:vAlign w:val="center"/>
          </w:tcPr>
          <w:p w14:paraId="26B675D5"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902" w:type="dxa"/>
            <w:shd w:val="clear" w:color="auto" w:fill="FFFFFF"/>
            <w:tcMar>
              <w:top w:w="60" w:type="dxa"/>
              <w:left w:w="120" w:type="dxa"/>
              <w:bottom w:w="60" w:type="dxa"/>
              <w:right w:w="120" w:type="dxa"/>
            </w:tcMar>
            <w:vAlign w:val="center"/>
          </w:tcPr>
          <w:p w14:paraId="40D32BC5"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902" w:type="dxa"/>
            <w:shd w:val="clear" w:color="auto" w:fill="FFFFFF"/>
            <w:tcMar>
              <w:top w:w="60" w:type="dxa"/>
              <w:left w:w="120" w:type="dxa"/>
              <w:bottom w:w="60" w:type="dxa"/>
              <w:right w:w="120" w:type="dxa"/>
            </w:tcMar>
            <w:vAlign w:val="center"/>
          </w:tcPr>
          <w:p w14:paraId="0042F1A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902" w:type="dxa"/>
            <w:shd w:val="clear" w:color="auto" w:fill="FFFFFF"/>
            <w:tcMar>
              <w:top w:w="60" w:type="dxa"/>
              <w:left w:w="120" w:type="dxa"/>
              <w:bottom w:w="60" w:type="dxa"/>
              <w:right w:w="120" w:type="dxa"/>
            </w:tcMar>
            <w:vAlign w:val="center"/>
          </w:tcPr>
          <w:p w14:paraId="233E037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902" w:type="dxa"/>
            <w:shd w:val="clear" w:color="auto" w:fill="FFFFFF"/>
            <w:tcMar>
              <w:top w:w="60" w:type="dxa"/>
              <w:left w:w="120" w:type="dxa"/>
              <w:bottom w:w="60" w:type="dxa"/>
              <w:right w:w="120" w:type="dxa"/>
            </w:tcMar>
            <w:vAlign w:val="center"/>
          </w:tcPr>
          <w:p w14:paraId="1D16C31F"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w:t>
            </w:r>
          </w:p>
        </w:tc>
        <w:tc>
          <w:tcPr>
            <w:tcW w:w="835" w:type="dxa"/>
            <w:shd w:val="clear" w:color="auto" w:fill="FFFFFF"/>
            <w:tcMar>
              <w:top w:w="60" w:type="dxa"/>
              <w:left w:w="120" w:type="dxa"/>
              <w:bottom w:w="60" w:type="dxa"/>
              <w:right w:w="120" w:type="dxa"/>
            </w:tcMar>
            <w:vAlign w:val="center"/>
          </w:tcPr>
          <w:p w14:paraId="0D483F8D"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1.0000</w:t>
            </w:r>
          </w:p>
        </w:tc>
        <w:tc>
          <w:tcPr>
            <w:tcW w:w="857" w:type="dxa"/>
            <w:shd w:val="clear" w:color="auto" w:fill="FFFFFF"/>
            <w:tcMar>
              <w:top w:w="60" w:type="dxa"/>
              <w:left w:w="120" w:type="dxa"/>
              <w:bottom w:w="60" w:type="dxa"/>
              <w:right w:w="120" w:type="dxa"/>
            </w:tcMar>
            <w:vAlign w:val="center"/>
          </w:tcPr>
          <w:p w14:paraId="27BABC0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(50.00)</w:t>
            </w:r>
          </w:p>
        </w:tc>
        <w:tc>
          <w:tcPr>
            <w:tcW w:w="857" w:type="dxa"/>
            <w:shd w:val="clear" w:color="auto" w:fill="FFFFFF"/>
            <w:tcMar>
              <w:top w:w="60" w:type="dxa"/>
              <w:left w:w="120" w:type="dxa"/>
              <w:bottom w:w="60" w:type="dxa"/>
              <w:right w:w="120" w:type="dxa"/>
            </w:tcMar>
            <w:vAlign w:val="center"/>
          </w:tcPr>
          <w:p w14:paraId="41CCD83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(50.00)</w:t>
            </w:r>
          </w:p>
        </w:tc>
        <w:tc>
          <w:tcPr>
            <w:tcW w:w="857" w:type="dxa"/>
            <w:shd w:val="clear" w:color="auto" w:fill="FFFFFF"/>
            <w:tcMar>
              <w:top w:w="60" w:type="dxa"/>
              <w:left w:w="120" w:type="dxa"/>
              <w:bottom w:w="60" w:type="dxa"/>
              <w:right w:w="120" w:type="dxa"/>
            </w:tcMar>
            <w:vAlign w:val="center"/>
          </w:tcPr>
          <w:p w14:paraId="6A8EED1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(50.00)</w:t>
            </w:r>
          </w:p>
        </w:tc>
      </w:tr>
      <w:tr w:rsidR="00995993" w:rsidRPr="00CE2B0C" w14:paraId="0D606606" w14:textId="77777777" w:rsidTr="007B08F1">
        <w:trPr>
          <w:trHeight w:val="560"/>
        </w:trPr>
        <w:tc>
          <w:tcPr>
            <w:tcW w:w="640" w:type="dxa"/>
            <w:shd w:val="clear" w:color="auto" w:fill="F2F2F2"/>
            <w:tcMar>
              <w:top w:w="60" w:type="dxa"/>
              <w:left w:w="120" w:type="dxa"/>
              <w:bottom w:w="60" w:type="dxa"/>
              <w:right w:w="120" w:type="dxa"/>
            </w:tcMar>
            <w:vAlign w:val="center"/>
          </w:tcPr>
          <w:p w14:paraId="47FE183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w:t>
            </w:r>
          </w:p>
        </w:tc>
        <w:tc>
          <w:tcPr>
            <w:tcW w:w="902" w:type="dxa"/>
            <w:shd w:val="clear" w:color="auto" w:fill="F2F2F2"/>
            <w:tcMar>
              <w:top w:w="60" w:type="dxa"/>
              <w:left w:w="120" w:type="dxa"/>
              <w:bottom w:w="60" w:type="dxa"/>
              <w:right w:w="120" w:type="dxa"/>
            </w:tcMar>
            <w:vAlign w:val="center"/>
          </w:tcPr>
          <w:p w14:paraId="79F4A24A"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w:t>
            </w:r>
          </w:p>
        </w:tc>
        <w:tc>
          <w:tcPr>
            <w:tcW w:w="902" w:type="dxa"/>
            <w:shd w:val="clear" w:color="auto" w:fill="F2F2F2"/>
            <w:tcMar>
              <w:top w:w="60" w:type="dxa"/>
              <w:left w:w="120" w:type="dxa"/>
              <w:bottom w:w="60" w:type="dxa"/>
              <w:right w:w="120" w:type="dxa"/>
            </w:tcMar>
            <w:vAlign w:val="center"/>
          </w:tcPr>
          <w:p w14:paraId="3902F1AF"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(40)</w:t>
            </w:r>
          </w:p>
        </w:tc>
        <w:tc>
          <w:tcPr>
            <w:tcW w:w="902" w:type="dxa"/>
            <w:shd w:val="clear" w:color="auto" w:fill="F2F2F2"/>
            <w:tcMar>
              <w:top w:w="60" w:type="dxa"/>
              <w:left w:w="120" w:type="dxa"/>
              <w:bottom w:w="60" w:type="dxa"/>
              <w:right w:w="120" w:type="dxa"/>
            </w:tcMar>
            <w:vAlign w:val="center"/>
          </w:tcPr>
          <w:p w14:paraId="40FEA9B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11</w:t>
            </w:r>
          </w:p>
        </w:tc>
        <w:tc>
          <w:tcPr>
            <w:tcW w:w="902" w:type="dxa"/>
            <w:shd w:val="clear" w:color="auto" w:fill="F2F2F2"/>
            <w:tcMar>
              <w:top w:w="60" w:type="dxa"/>
              <w:left w:w="120" w:type="dxa"/>
              <w:bottom w:w="60" w:type="dxa"/>
              <w:right w:w="120" w:type="dxa"/>
            </w:tcMar>
            <w:vAlign w:val="center"/>
          </w:tcPr>
          <w:p w14:paraId="04C14426"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(39)</w:t>
            </w:r>
          </w:p>
        </w:tc>
        <w:tc>
          <w:tcPr>
            <w:tcW w:w="902" w:type="dxa"/>
            <w:shd w:val="clear" w:color="auto" w:fill="F2F2F2"/>
            <w:tcMar>
              <w:top w:w="60" w:type="dxa"/>
              <w:left w:w="120" w:type="dxa"/>
              <w:bottom w:w="60" w:type="dxa"/>
              <w:right w:w="120" w:type="dxa"/>
            </w:tcMar>
            <w:vAlign w:val="center"/>
          </w:tcPr>
          <w:p w14:paraId="05600C8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w:t>
            </w:r>
          </w:p>
        </w:tc>
        <w:tc>
          <w:tcPr>
            <w:tcW w:w="902" w:type="dxa"/>
            <w:shd w:val="clear" w:color="auto" w:fill="F2F2F2"/>
            <w:tcMar>
              <w:top w:w="60" w:type="dxa"/>
              <w:left w:w="120" w:type="dxa"/>
              <w:bottom w:w="60" w:type="dxa"/>
              <w:right w:w="120" w:type="dxa"/>
            </w:tcMar>
            <w:vAlign w:val="center"/>
          </w:tcPr>
          <w:p w14:paraId="50CE06D0"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(45)</w:t>
            </w:r>
          </w:p>
        </w:tc>
        <w:tc>
          <w:tcPr>
            <w:tcW w:w="835" w:type="dxa"/>
            <w:shd w:val="clear" w:color="auto" w:fill="F2F2F2"/>
            <w:tcMar>
              <w:top w:w="60" w:type="dxa"/>
              <w:left w:w="120" w:type="dxa"/>
              <w:bottom w:w="60" w:type="dxa"/>
              <w:right w:w="120" w:type="dxa"/>
            </w:tcMar>
            <w:vAlign w:val="center"/>
          </w:tcPr>
          <w:p w14:paraId="0AE83CFF"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0.9091</w:t>
            </w:r>
          </w:p>
        </w:tc>
        <w:tc>
          <w:tcPr>
            <w:tcW w:w="857" w:type="dxa"/>
            <w:shd w:val="clear" w:color="auto" w:fill="F2F2F2"/>
            <w:tcMar>
              <w:top w:w="60" w:type="dxa"/>
              <w:left w:w="120" w:type="dxa"/>
              <w:bottom w:w="60" w:type="dxa"/>
              <w:right w:w="120" w:type="dxa"/>
            </w:tcMar>
            <w:vAlign w:val="center"/>
          </w:tcPr>
          <w:p w14:paraId="0A78B78A"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9.09</w:t>
            </w:r>
          </w:p>
        </w:tc>
        <w:tc>
          <w:tcPr>
            <w:tcW w:w="857" w:type="dxa"/>
            <w:shd w:val="clear" w:color="auto" w:fill="F2F2F2"/>
            <w:tcMar>
              <w:top w:w="60" w:type="dxa"/>
              <w:left w:w="120" w:type="dxa"/>
              <w:bottom w:w="60" w:type="dxa"/>
              <w:right w:w="120" w:type="dxa"/>
            </w:tcMar>
            <w:vAlign w:val="center"/>
          </w:tcPr>
          <w:p w14:paraId="5425E5C0"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10.00</w:t>
            </w:r>
          </w:p>
        </w:tc>
        <w:tc>
          <w:tcPr>
            <w:tcW w:w="857" w:type="dxa"/>
            <w:shd w:val="clear" w:color="auto" w:fill="F2F2F2"/>
            <w:tcMar>
              <w:top w:w="60" w:type="dxa"/>
              <w:left w:w="120" w:type="dxa"/>
              <w:bottom w:w="60" w:type="dxa"/>
              <w:right w:w="120" w:type="dxa"/>
            </w:tcMar>
            <w:vAlign w:val="center"/>
          </w:tcPr>
          <w:p w14:paraId="4CEBCE9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4.55</w:t>
            </w:r>
          </w:p>
        </w:tc>
      </w:tr>
      <w:tr w:rsidR="00995993" w:rsidRPr="00CE2B0C" w14:paraId="1A912C26" w14:textId="77777777" w:rsidTr="007B08F1">
        <w:trPr>
          <w:trHeight w:val="560"/>
        </w:trPr>
        <w:tc>
          <w:tcPr>
            <w:tcW w:w="640" w:type="dxa"/>
            <w:shd w:val="clear" w:color="auto" w:fill="FFFFFF"/>
            <w:tcMar>
              <w:top w:w="60" w:type="dxa"/>
              <w:left w:w="120" w:type="dxa"/>
              <w:bottom w:w="60" w:type="dxa"/>
              <w:right w:w="120" w:type="dxa"/>
            </w:tcMar>
            <w:vAlign w:val="center"/>
          </w:tcPr>
          <w:p w14:paraId="4636A362"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2</w:t>
            </w:r>
          </w:p>
        </w:tc>
        <w:tc>
          <w:tcPr>
            <w:tcW w:w="902" w:type="dxa"/>
            <w:shd w:val="clear" w:color="auto" w:fill="FFFFFF"/>
            <w:tcMar>
              <w:top w:w="60" w:type="dxa"/>
              <w:left w:w="120" w:type="dxa"/>
              <w:bottom w:w="60" w:type="dxa"/>
              <w:right w:w="120" w:type="dxa"/>
            </w:tcMar>
            <w:vAlign w:val="center"/>
          </w:tcPr>
          <w:p w14:paraId="3926D11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12</w:t>
            </w:r>
          </w:p>
        </w:tc>
        <w:tc>
          <w:tcPr>
            <w:tcW w:w="902" w:type="dxa"/>
            <w:shd w:val="clear" w:color="auto" w:fill="FFFFFF"/>
            <w:tcMar>
              <w:top w:w="60" w:type="dxa"/>
              <w:left w:w="120" w:type="dxa"/>
              <w:bottom w:w="60" w:type="dxa"/>
              <w:right w:w="120" w:type="dxa"/>
            </w:tcMar>
            <w:vAlign w:val="center"/>
          </w:tcPr>
          <w:p w14:paraId="212FA40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(28)</w:t>
            </w:r>
          </w:p>
        </w:tc>
        <w:tc>
          <w:tcPr>
            <w:tcW w:w="902" w:type="dxa"/>
            <w:shd w:val="clear" w:color="auto" w:fill="FFFFFF"/>
            <w:tcMar>
              <w:top w:w="60" w:type="dxa"/>
              <w:left w:w="120" w:type="dxa"/>
              <w:bottom w:w="60" w:type="dxa"/>
              <w:right w:w="120" w:type="dxa"/>
            </w:tcMar>
            <w:vAlign w:val="center"/>
          </w:tcPr>
          <w:p w14:paraId="3BB3E65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11</w:t>
            </w:r>
          </w:p>
        </w:tc>
        <w:tc>
          <w:tcPr>
            <w:tcW w:w="902" w:type="dxa"/>
            <w:shd w:val="clear" w:color="auto" w:fill="FFFFFF"/>
            <w:tcMar>
              <w:top w:w="60" w:type="dxa"/>
              <w:left w:w="120" w:type="dxa"/>
              <w:bottom w:w="60" w:type="dxa"/>
              <w:right w:w="120" w:type="dxa"/>
            </w:tcMar>
            <w:vAlign w:val="center"/>
          </w:tcPr>
          <w:p w14:paraId="7F97D2D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(28)</w:t>
            </w:r>
          </w:p>
        </w:tc>
        <w:tc>
          <w:tcPr>
            <w:tcW w:w="902" w:type="dxa"/>
            <w:shd w:val="clear" w:color="auto" w:fill="FFFFFF"/>
            <w:tcMar>
              <w:top w:w="60" w:type="dxa"/>
              <w:left w:w="120" w:type="dxa"/>
              <w:bottom w:w="60" w:type="dxa"/>
              <w:right w:w="120" w:type="dxa"/>
            </w:tcMar>
            <w:vAlign w:val="center"/>
          </w:tcPr>
          <w:p w14:paraId="7E7FA5DE"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w:t>
            </w:r>
          </w:p>
        </w:tc>
        <w:tc>
          <w:tcPr>
            <w:tcW w:w="902" w:type="dxa"/>
            <w:shd w:val="clear" w:color="auto" w:fill="FFFFFF"/>
            <w:tcMar>
              <w:top w:w="60" w:type="dxa"/>
              <w:left w:w="120" w:type="dxa"/>
              <w:bottom w:w="60" w:type="dxa"/>
              <w:right w:w="120" w:type="dxa"/>
            </w:tcMar>
            <w:vAlign w:val="center"/>
          </w:tcPr>
          <w:p w14:paraId="020B1EED"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(35)</w:t>
            </w:r>
          </w:p>
        </w:tc>
        <w:tc>
          <w:tcPr>
            <w:tcW w:w="835" w:type="dxa"/>
            <w:shd w:val="clear" w:color="auto" w:fill="FFFFFF"/>
            <w:tcMar>
              <w:top w:w="60" w:type="dxa"/>
              <w:left w:w="120" w:type="dxa"/>
              <w:bottom w:w="60" w:type="dxa"/>
              <w:right w:w="120" w:type="dxa"/>
            </w:tcMar>
            <w:vAlign w:val="center"/>
          </w:tcPr>
          <w:p w14:paraId="7FAE258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0.8264</w:t>
            </w:r>
          </w:p>
        </w:tc>
        <w:tc>
          <w:tcPr>
            <w:tcW w:w="857" w:type="dxa"/>
            <w:shd w:val="clear" w:color="auto" w:fill="FFFFFF"/>
            <w:tcMar>
              <w:top w:w="60" w:type="dxa"/>
              <w:left w:w="120" w:type="dxa"/>
              <w:bottom w:w="60" w:type="dxa"/>
              <w:right w:w="120" w:type="dxa"/>
            </w:tcMar>
            <w:vAlign w:val="center"/>
          </w:tcPr>
          <w:p w14:paraId="56E2145E"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9.92</w:t>
            </w:r>
          </w:p>
        </w:tc>
        <w:tc>
          <w:tcPr>
            <w:tcW w:w="857" w:type="dxa"/>
            <w:shd w:val="clear" w:color="auto" w:fill="FFFFFF"/>
            <w:tcMar>
              <w:top w:w="60" w:type="dxa"/>
              <w:left w:w="120" w:type="dxa"/>
              <w:bottom w:w="60" w:type="dxa"/>
              <w:right w:w="120" w:type="dxa"/>
            </w:tcMar>
            <w:vAlign w:val="center"/>
          </w:tcPr>
          <w:p w14:paraId="3A343BC8"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9.09</w:t>
            </w:r>
          </w:p>
        </w:tc>
        <w:tc>
          <w:tcPr>
            <w:tcW w:w="857" w:type="dxa"/>
            <w:shd w:val="clear" w:color="auto" w:fill="FFFFFF"/>
            <w:tcMar>
              <w:top w:w="60" w:type="dxa"/>
              <w:left w:w="120" w:type="dxa"/>
              <w:bottom w:w="60" w:type="dxa"/>
              <w:right w:w="120" w:type="dxa"/>
            </w:tcMar>
            <w:vAlign w:val="center"/>
          </w:tcPr>
          <w:p w14:paraId="00E6352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8.26</w:t>
            </w:r>
          </w:p>
        </w:tc>
      </w:tr>
      <w:tr w:rsidR="00995993" w:rsidRPr="00CE2B0C" w14:paraId="40B5A3C2" w14:textId="77777777" w:rsidTr="007B08F1">
        <w:trPr>
          <w:trHeight w:val="560"/>
        </w:trPr>
        <w:tc>
          <w:tcPr>
            <w:tcW w:w="640" w:type="dxa"/>
            <w:shd w:val="clear" w:color="auto" w:fill="F2F2F2"/>
            <w:tcMar>
              <w:top w:w="60" w:type="dxa"/>
              <w:left w:w="120" w:type="dxa"/>
              <w:bottom w:w="60" w:type="dxa"/>
              <w:right w:w="120" w:type="dxa"/>
            </w:tcMar>
            <w:vAlign w:val="center"/>
          </w:tcPr>
          <w:p w14:paraId="4E577CA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3</w:t>
            </w:r>
          </w:p>
        </w:tc>
        <w:tc>
          <w:tcPr>
            <w:tcW w:w="902" w:type="dxa"/>
            <w:shd w:val="clear" w:color="auto" w:fill="F2F2F2"/>
            <w:tcMar>
              <w:top w:w="60" w:type="dxa"/>
              <w:left w:w="120" w:type="dxa"/>
              <w:bottom w:w="60" w:type="dxa"/>
              <w:right w:w="120" w:type="dxa"/>
            </w:tcMar>
            <w:vAlign w:val="center"/>
          </w:tcPr>
          <w:p w14:paraId="0D55152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14</w:t>
            </w:r>
          </w:p>
        </w:tc>
        <w:tc>
          <w:tcPr>
            <w:tcW w:w="902" w:type="dxa"/>
            <w:shd w:val="clear" w:color="auto" w:fill="F2F2F2"/>
            <w:tcMar>
              <w:top w:w="60" w:type="dxa"/>
              <w:left w:w="120" w:type="dxa"/>
              <w:bottom w:w="60" w:type="dxa"/>
              <w:right w:w="120" w:type="dxa"/>
            </w:tcMar>
            <w:vAlign w:val="center"/>
          </w:tcPr>
          <w:p w14:paraId="14184CB0"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(14)</w:t>
            </w:r>
          </w:p>
        </w:tc>
        <w:tc>
          <w:tcPr>
            <w:tcW w:w="902" w:type="dxa"/>
            <w:shd w:val="clear" w:color="auto" w:fill="F2F2F2"/>
            <w:tcMar>
              <w:top w:w="60" w:type="dxa"/>
              <w:left w:w="120" w:type="dxa"/>
              <w:bottom w:w="60" w:type="dxa"/>
              <w:right w:w="120" w:type="dxa"/>
            </w:tcMar>
            <w:vAlign w:val="center"/>
          </w:tcPr>
          <w:p w14:paraId="0342AA2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11</w:t>
            </w:r>
          </w:p>
        </w:tc>
        <w:tc>
          <w:tcPr>
            <w:tcW w:w="902" w:type="dxa"/>
            <w:shd w:val="clear" w:color="auto" w:fill="F2F2F2"/>
            <w:tcMar>
              <w:top w:w="60" w:type="dxa"/>
              <w:left w:w="120" w:type="dxa"/>
              <w:bottom w:w="60" w:type="dxa"/>
              <w:right w:w="120" w:type="dxa"/>
            </w:tcMar>
            <w:vAlign w:val="center"/>
          </w:tcPr>
          <w:p w14:paraId="2F87103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(17)</w:t>
            </w:r>
          </w:p>
        </w:tc>
        <w:tc>
          <w:tcPr>
            <w:tcW w:w="902" w:type="dxa"/>
            <w:shd w:val="clear" w:color="auto" w:fill="F2F2F2"/>
            <w:tcMar>
              <w:top w:w="60" w:type="dxa"/>
              <w:left w:w="120" w:type="dxa"/>
              <w:bottom w:w="60" w:type="dxa"/>
              <w:right w:w="120" w:type="dxa"/>
            </w:tcMar>
            <w:vAlign w:val="center"/>
          </w:tcPr>
          <w:p w14:paraId="6B8694C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20</w:t>
            </w:r>
          </w:p>
        </w:tc>
        <w:tc>
          <w:tcPr>
            <w:tcW w:w="902" w:type="dxa"/>
            <w:shd w:val="clear" w:color="auto" w:fill="F2F2F2"/>
            <w:tcMar>
              <w:top w:w="60" w:type="dxa"/>
              <w:left w:w="120" w:type="dxa"/>
              <w:bottom w:w="60" w:type="dxa"/>
              <w:right w:w="120" w:type="dxa"/>
            </w:tcMar>
            <w:vAlign w:val="center"/>
          </w:tcPr>
          <w:p w14:paraId="2505A17B"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(15)</w:t>
            </w:r>
          </w:p>
        </w:tc>
        <w:tc>
          <w:tcPr>
            <w:tcW w:w="835" w:type="dxa"/>
            <w:shd w:val="clear" w:color="auto" w:fill="F2F2F2"/>
            <w:tcMar>
              <w:top w:w="60" w:type="dxa"/>
              <w:left w:w="120" w:type="dxa"/>
              <w:bottom w:w="60" w:type="dxa"/>
              <w:right w:w="120" w:type="dxa"/>
            </w:tcMar>
            <w:vAlign w:val="center"/>
          </w:tcPr>
          <w:p w14:paraId="6410BEC7"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0.7513</w:t>
            </w:r>
          </w:p>
        </w:tc>
        <w:tc>
          <w:tcPr>
            <w:tcW w:w="857" w:type="dxa"/>
            <w:shd w:val="clear" w:color="auto" w:fill="F2F2F2"/>
            <w:tcMar>
              <w:top w:w="60" w:type="dxa"/>
              <w:left w:w="120" w:type="dxa"/>
              <w:bottom w:w="60" w:type="dxa"/>
              <w:right w:w="120" w:type="dxa"/>
            </w:tcMar>
            <w:vAlign w:val="center"/>
          </w:tcPr>
          <w:p w14:paraId="7173C2FD"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10.52</w:t>
            </w:r>
          </w:p>
        </w:tc>
        <w:tc>
          <w:tcPr>
            <w:tcW w:w="857" w:type="dxa"/>
            <w:shd w:val="clear" w:color="auto" w:fill="F2F2F2"/>
            <w:tcMar>
              <w:top w:w="60" w:type="dxa"/>
              <w:left w:w="120" w:type="dxa"/>
              <w:bottom w:w="60" w:type="dxa"/>
              <w:right w:w="120" w:type="dxa"/>
            </w:tcMar>
            <w:vAlign w:val="center"/>
          </w:tcPr>
          <w:p w14:paraId="010C56EE"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8.26</w:t>
            </w:r>
          </w:p>
        </w:tc>
        <w:tc>
          <w:tcPr>
            <w:tcW w:w="857" w:type="dxa"/>
            <w:shd w:val="clear" w:color="auto" w:fill="F2F2F2"/>
            <w:tcMar>
              <w:top w:w="60" w:type="dxa"/>
              <w:left w:w="120" w:type="dxa"/>
              <w:bottom w:w="60" w:type="dxa"/>
              <w:right w:w="120" w:type="dxa"/>
            </w:tcMar>
            <w:vAlign w:val="center"/>
          </w:tcPr>
          <w:p w14:paraId="516F950B"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15.03</w:t>
            </w:r>
          </w:p>
        </w:tc>
      </w:tr>
      <w:tr w:rsidR="00995993" w:rsidRPr="00CE2B0C" w14:paraId="28649CD3" w14:textId="77777777" w:rsidTr="007B08F1">
        <w:trPr>
          <w:trHeight w:val="560"/>
        </w:trPr>
        <w:tc>
          <w:tcPr>
            <w:tcW w:w="640" w:type="dxa"/>
            <w:shd w:val="clear" w:color="auto" w:fill="FFFFFF"/>
            <w:tcMar>
              <w:top w:w="60" w:type="dxa"/>
              <w:left w:w="120" w:type="dxa"/>
              <w:bottom w:w="60" w:type="dxa"/>
              <w:right w:w="120" w:type="dxa"/>
            </w:tcMar>
            <w:vAlign w:val="center"/>
          </w:tcPr>
          <w:p w14:paraId="135829D6"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w:t>
            </w:r>
          </w:p>
        </w:tc>
        <w:tc>
          <w:tcPr>
            <w:tcW w:w="902" w:type="dxa"/>
            <w:shd w:val="clear" w:color="auto" w:fill="FFFFFF"/>
            <w:tcMar>
              <w:top w:w="60" w:type="dxa"/>
              <w:left w:w="120" w:type="dxa"/>
              <w:bottom w:w="60" w:type="dxa"/>
              <w:right w:w="120" w:type="dxa"/>
            </w:tcMar>
            <w:vAlign w:val="center"/>
          </w:tcPr>
          <w:p w14:paraId="3849C0D9"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w:t>
            </w:r>
          </w:p>
        </w:tc>
        <w:tc>
          <w:tcPr>
            <w:tcW w:w="902" w:type="dxa"/>
            <w:shd w:val="clear" w:color="auto" w:fill="FFFFFF"/>
            <w:tcMar>
              <w:top w:w="60" w:type="dxa"/>
              <w:left w:w="120" w:type="dxa"/>
              <w:bottom w:w="60" w:type="dxa"/>
              <w:right w:w="120" w:type="dxa"/>
            </w:tcMar>
            <w:vAlign w:val="center"/>
          </w:tcPr>
          <w:p w14:paraId="007810F7"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w:t>
            </w:r>
          </w:p>
        </w:tc>
        <w:tc>
          <w:tcPr>
            <w:tcW w:w="902" w:type="dxa"/>
            <w:shd w:val="clear" w:color="auto" w:fill="FFFFFF"/>
            <w:tcMar>
              <w:top w:w="60" w:type="dxa"/>
              <w:left w:w="120" w:type="dxa"/>
              <w:bottom w:w="60" w:type="dxa"/>
              <w:right w:w="120" w:type="dxa"/>
            </w:tcMar>
            <w:vAlign w:val="center"/>
          </w:tcPr>
          <w:p w14:paraId="192F75D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11</w:t>
            </w:r>
          </w:p>
        </w:tc>
        <w:tc>
          <w:tcPr>
            <w:tcW w:w="902" w:type="dxa"/>
            <w:shd w:val="clear" w:color="auto" w:fill="FFFFFF"/>
            <w:tcMar>
              <w:top w:w="60" w:type="dxa"/>
              <w:left w:w="120" w:type="dxa"/>
              <w:bottom w:w="60" w:type="dxa"/>
              <w:right w:w="120" w:type="dxa"/>
            </w:tcMar>
            <w:vAlign w:val="center"/>
          </w:tcPr>
          <w:p w14:paraId="4CC7EBEE"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(6)</w:t>
            </w:r>
          </w:p>
        </w:tc>
        <w:tc>
          <w:tcPr>
            <w:tcW w:w="902" w:type="dxa"/>
            <w:shd w:val="clear" w:color="auto" w:fill="FFFFFF"/>
            <w:tcMar>
              <w:top w:w="60" w:type="dxa"/>
              <w:left w:w="120" w:type="dxa"/>
              <w:bottom w:w="60" w:type="dxa"/>
              <w:right w:w="120" w:type="dxa"/>
            </w:tcMar>
            <w:vAlign w:val="center"/>
          </w:tcPr>
          <w:p w14:paraId="2CB2EB5B"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25</w:t>
            </w:r>
          </w:p>
        </w:tc>
        <w:tc>
          <w:tcPr>
            <w:tcW w:w="902" w:type="dxa"/>
            <w:shd w:val="clear" w:color="auto" w:fill="FFFFFF"/>
            <w:tcMar>
              <w:top w:w="60" w:type="dxa"/>
              <w:left w:w="120" w:type="dxa"/>
              <w:bottom w:w="60" w:type="dxa"/>
              <w:right w:w="120" w:type="dxa"/>
            </w:tcMar>
            <w:vAlign w:val="center"/>
          </w:tcPr>
          <w:p w14:paraId="66FBD4C7"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10</w:t>
            </w:r>
          </w:p>
        </w:tc>
        <w:tc>
          <w:tcPr>
            <w:tcW w:w="835" w:type="dxa"/>
            <w:shd w:val="clear" w:color="auto" w:fill="FFFFFF"/>
            <w:tcMar>
              <w:top w:w="60" w:type="dxa"/>
              <w:left w:w="120" w:type="dxa"/>
              <w:bottom w:w="60" w:type="dxa"/>
              <w:right w:w="120" w:type="dxa"/>
            </w:tcMar>
            <w:vAlign w:val="center"/>
          </w:tcPr>
          <w:p w14:paraId="661EC48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0.6830</w:t>
            </w:r>
          </w:p>
        </w:tc>
        <w:tc>
          <w:tcPr>
            <w:tcW w:w="857" w:type="dxa"/>
            <w:shd w:val="clear" w:color="auto" w:fill="FFFFFF"/>
            <w:tcMar>
              <w:top w:w="60" w:type="dxa"/>
              <w:left w:w="120" w:type="dxa"/>
              <w:bottom w:w="60" w:type="dxa"/>
              <w:right w:w="120" w:type="dxa"/>
            </w:tcMar>
            <w:vAlign w:val="center"/>
          </w:tcPr>
          <w:p w14:paraId="4565B6D9"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6.83</w:t>
            </w:r>
          </w:p>
        </w:tc>
        <w:tc>
          <w:tcPr>
            <w:tcW w:w="857" w:type="dxa"/>
            <w:shd w:val="clear" w:color="auto" w:fill="FFFFFF"/>
            <w:tcMar>
              <w:top w:w="60" w:type="dxa"/>
              <w:left w:w="120" w:type="dxa"/>
              <w:bottom w:w="60" w:type="dxa"/>
              <w:right w:w="120" w:type="dxa"/>
            </w:tcMar>
            <w:vAlign w:val="center"/>
          </w:tcPr>
          <w:p w14:paraId="6A2473D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7.51</w:t>
            </w:r>
          </w:p>
        </w:tc>
        <w:tc>
          <w:tcPr>
            <w:tcW w:w="857" w:type="dxa"/>
            <w:shd w:val="clear" w:color="auto" w:fill="FFFFFF"/>
            <w:tcMar>
              <w:top w:w="60" w:type="dxa"/>
              <w:left w:w="120" w:type="dxa"/>
              <w:bottom w:w="60" w:type="dxa"/>
              <w:right w:w="120" w:type="dxa"/>
            </w:tcMar>
            <w:vAlign w:val="center"/>
          </w:tcPr>
          <w:p w14:paraId="137C736B"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17.08</w:t>
            </w:r>
          </w:p>
        </w:tc>
      </w:tr>
      <w:tr w:rsidR="00995993" w:rsidRPr="00CE2B0C" w14:paraId="58BB6773" w14:textId="77777777" w:rsidTr="007B08F1">
        <w:trPr>
          <w:trHeight w:val="560"/>
        </w:trPr>
        <w:tc>
          <w:tcPr>
            <w:tcW w:w="640" w:type="dxa"/>
            <w:shd w:val="clear" w:color="auto" w:fill="F2F2F2"/>
            <w:tcMar>
              <w:top w:w="60" w:type="dxa"/>
              <w:left w:w="120" w:type="dxa"/>
              <w:bottom w:w="60" w:type="dxa"/>
              <w:right w:w="120" w:type="dxa"/>
            </w:tcMar>
            <w:vAlign w:val="center"/>
          </w:tcPr>
          <w:p w14:paraId="36E11309"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lastRenderedPageBreak/>
              <w:t>5</w:t>
            </w:r>
          </w:p>
        </w:tc>
        <w:tc>
          <w:tcPr>
            <w:tcW w:w="902" w:type="dxa"/>
            <w:shd w:val="clear" w:color="auto" w:fill="F2F2F2"/>
            <w:tcMar>
              <w:top w:w="60" w:type="dxa"/>
              <w:left w:w="120" w:type="dxa"/>
              <w:bottom w:w="60" w:type="dxa"/>
              <w:right w:w="120" w:type="dxa"/>
            </w:tcMar>
            <w:vAlign w:val="center"/>
          </w:tcPr>
          <w:p w14:paraId="73A40593"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8</w:t>
            </w:r>
          </w:p>
        </w:tc>
        <w:tc>
          <w:tcPr>
            <w:tcW w:w="902" w:type="dxa"/>
            <w:shd w:val="clear" w:color="auto" w:fill="F2F2F2"/>
            <w:tcMar>
              <w:top w:w="60" w:type="dxa"/>
              <w:left w:w="120" w:type="dxa"/>
              <w:bottom w:w="60" w:type="dxa"/>
              <w:right w:w="120" w:type="dxa"/>
            </w:tcMar>
            <w:vAlign w:val="center"/>
          </w:tcPr>
          <w:p w14:paraId="7676D947"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w:t>
            </w:r>
          </w:p>
        </w:tc>
        <w:tc>
          <w:tcPr>
            <w:tcW w:w="902" w:type="dxa"/>
            <w:shd w:val="clear" w:color="auto" w:fill="F2F2F2"/>
            <w:tcMar>
              <w:top w:w="60" w:type="dxa"/>
              <w:left w:w="120" w:type="dxa"/>
              <w:bottom w:w="60" w:type="dxa"/>
              <w:right w:w="120" w:type="dxa"/>
            </w:tcMar>
            <w:vAlign w:val="center"/>
          </w:tcPr>
          <w:p w14:paraId="487A62D1"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11</w:t>
            </w:r>
          </w:p>
        </w:tc>
        <w:tc>
          <w:tcPr>
            <w:tcW w:w="902" w:type="dxa"/>
            <w:shd w:val="clear" w:color="auto" w:fill="F2F2F2"/>
            <w:tcMar>
              <w:top w:w="60" w:type="dxa"/>
              <w:left w:w="120" w:type="dxa"/>
              <w:bottom w:w="60" w:type="dxa"/>
              <w:right w:w="120" w:type="dxa"/>
            </w:tcMar>
            <w:vAlign w:val="center"/>
          </w:tcPr>
          <w:p w14:paraId="1A2DC6AB"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w:t>
            </w:r>
          </w:p>
        </w:tc>
        <w:tc>
          <w:tcPr>
            <w:tcW w:w="902" w:type="dxa"/>
            <w:shd w:val="clear" w:color="auto" w:fill="F2F2F2"/>
            <w:tcMar>
              <w:top w:w="60" w:type="dxa"/>
              <w:left w:w="120" w:type="dxa"/>
              <w:bottom w:w="60" w:type="dxa"/>
              <w:right w:w="120" w:type="dxa"/>
            </w:tcMar>
            <w:vAlign w:val="center"/>
          </w:tcPr>
          <w:p w14:paraId="692B4052"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5</w:t>
            </w:r>
          </w:p>
        </w:tc>
        <w:tc>
          <w:tcPr>
            <w:tcW w:w="902" w:type="dxa"/>
            <w:shd w:val="clear" w:color="auto" w:fill="F2F2F2"/>
            <w:tcMar>
              <w:top w:w="60" w:type="dxa"/>
              <w:left w:w="120" w:type="dxa"/>
              <w:bottom w:w="60" w:type="dxa"/>
              <w:right w:w="120" w:type="dxa"/>
            </w:tcMar>
            <w:vAlign w:val="center"/>
          </w:tcPr>
          <w:p w14:paraId="3B4F7E7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15</w:t>
            </w:r>
          </w:p>
        </w:tc>
        <w:tc>
          <w:tcPr>
            <w:tcW w:w="835" w:type="dxa"/>
            <w:shd w:val="clear" w:color="auto" w:fill="F2F2F2"/>
            <w:tcMar>
              <w:top w:w="60" w:type="dxa"/>
              <w:left w:w="120" w:type="dxa"/>
              <w:bottom w:w="60" w:type="dxa"/>
              <w:right w:w="120" w:type="dxa"/>
            </w:tcMar>
            <w:vAlign w:val="center"/>
          </w:tcPr>
          <w:p w14:paraId="73B2FADC"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0.6209</w:t>
            </w:r>
          </w:p>
        </w:tc>
        <w:tc>
          <w:tcPr>
            <w:tcW w:w="857" w:type="dxa"/>
            <w:shd w:val="clear" w:color="auto" w:fill="F2F2F2"/>
            <w:tcMar>
              <w:top w:w="60" w:type="dxa"/>
              <w:left w:w="120" w:type="dxa"/>
              <w:bottom w:w="60" w:type="dxa"/>
              <w:right w:w="120" w:type="dxa"/>
            </w:tcMar>
            <w:vAlign w:val="center"/>
          </w:tcPr>
          <w:p w14:paraId="344EB824"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4.97</w:t>
            </w:r>
          </w:p>
        </w:tc>
        <w:tc>
          <w:tcPr>
            <w:tcW w:w="857" w:type="dxa"/>
            <w:shd w:val="clear" w:color="auto" w:fill="F2F2F2"/>
            <w:tcMar>
              <w:top w:w="60" w:type="dxa"/>
              <w:left w:w="120" w:type="dxa"/>
              <w:bottom w:w="60" w:type="dxa"/>
              <w:right w:w="120" w:type="dxa"/>
            </w:tcMar>
            <w:vAlign w:val="center"/>
          </w:tcPr>
          <w:p w14:paraId="4AFB1E69"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6.83</w:t>
            </w:r>
          </w:p>
        </w:tc>
        <w:tc>
          <w:tcPr>
            <w:tcW w:w="857" w:type="dxa"/>
            <w:shd w:val="clear" w:color="auto" w:fill="F2F2F2"/>
            <w:tcMar>
              <w:top w:w="60" w:type="dxa"/>
              <w:left w:w="120" w:type="dxa"/>
              <w:bottom w:w="60" w:type="dxa"/>
              <w:right w:w="120" w:type="dxa"/>
            </w:tcMar>
            <w:vAlign w:val="center"/>
          </w:tcPr>
          <w:p w14:paraId="1ECA7A1D" w14:textId="77777777" w:rsidR="00995993" w:rsidRPr="00CE2B0C" w:rsidRDefault="00995993" w:rsidP="002D1B85">
            <w:pPr>
              <w:spacing w:line="360" w:lineRule="auto"/>
              <w:jc w:val="center"/>
              <w:rPr>
                <w:rFonts w:ascii="Arial" w:hAnsi="Arial" w:cs="Arial"/>
                <w:sz w:val="22"/>
                <w:szCs w:val="22"/>
                <w:lang w:val="en-GB"/>
              </w:rPr>
            </w:pPr>
            <w:r w:rsidRPr="00CE2B0C">
              <w:rPr>
                <w:rFonts w:ascii="Arial" w:eastAsia="Arial" w:hAnsi="Arial" w:cs="Arial"/>
                <w:color w:val="000000"/>
                <w:sz w:val="22"/>
                <w:szCs w:val="22"/>
                <w:lang w:val="en-GB"/>
              </w:rPr>
              <w:t>3.10</w:t>
            </w:r>
          </w:p>
        </w:tc>
      </w:tr>
    </w:tbl>
    <w:p w14:paraId="4C68B812" w14:textId="77777777" w:rsidR="00995993" w:rsidRPr="00CE2B0C" w:rsidRDefault="00995993" w:rsidP="002D1B85">
      <w:pPr>
        <w:spacing w:line="360" w:lineRule="auto"/>
        <w:rPr>
          <w:rFonts w:ascii="Arial" w:hAnsi="Arial" w:cs="Arial"/>
          <w:lang w:val="en-GB"/>
        </w:rPr>
      </w:pPr>
    </w:p>
    <w:p w14:paraId="334D3A47" w14:textId="650F96A9" w:rsidR="00B52EA2" w:rsidRPr="00CE2B0C" w:rsidRDefault="00B52EA2" w:rsidP="002D1B85">
      <w:pPr>
        <w:pStyle w:val="Caption"/>
        <w:spacing w:line="360" w:lineRule="auto"/>
        <w:rPr>
          <w:rFonts w:ascii="Arial" w:eastAsia="Arial" w:hAnsi="Arial" w:cs="Arial"/>
          <w:color w:val="444444"/>
          <w:sz w:val="24"/>
          <w:szCs w:val="24"/>
          <w:lang w:val="en-GB"/>
        </w:rPr>
      </w:pPr>
      <w:bookmarkStart w:id="44" w:name="_Toc227448981"/>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10</w:t>
      </w:r>
      <w:r w:rsidRPr="00CE2B0C">
        <w:rPr>
          <w:rFonts w:ascii="Arial" w:hAnsi="Arial" w:cs="Arial"/>
          <w:sz w:val="24"/>
          <w:szCs w:val="24"/>
          <w:lang w:val="en-GB"/>
        </w:rPr>
        <w:fldChar w:fldCharType="end"/>
      </w:r>
      <w:r w:rsidRPr="00CE2B0C">
        <w:rPr>
          <w:rFonts w:ascii="Arial" w:hAnsi="Arial" w:cs="Arial"/>
          <w:sz w:val="24"/>
          <w:szCs w:val="24"/>
          <w:lang w:val="en-GB"/>
        </w:rPr>
        <w:t xml:space="preserve">: </w:t>
      </w:r>
      <w:r w:rsidR="00995993" w:rsidRPr="00CE2B0C">
        <w:rPr>
          <w:rFonts w:ascii="Arial" w:eastAsia="Arial" w:hAnsi="Arial" w:cs="Arial"/>
          <w:color w:val="444444"/>
          <w:sz w:val="24"/>
          <w:szCs w:val="24"/>
          <w:lang w:val="en-GB"/>
        </w:rPr>
        <w:t>Investment Appraisal Results Summary.</w:t>
      </w:r>
      <w:bookmarkEnd w:id="44"/>
      <w:r w:rsidR="00995993" w:rsidRPr="00CE2B0C">
        <w:rPr>
          <w:rFonts w:ascii="Arial" w:eastAsia="Arial" w:hAnsi="Arial" w:cs="Arial"/>
          <w:color w:val="444444"/>
          <w:sz w:val="24"/>
          <w:szCs w:val="24"/>
          <w:lang w:val="en-GB"/>
        </w:rPr>
        <w:t xml:space="preserve"> </w:t>
      </w:r>
    </w:p>
    <w:p w14:paraId="460E1310" w14:textId="229F3195" w:rsidR="00995993" w:rsidRPr="00CE2B0C" w:rsidRDefault="00995993" w:rsidP="002D1B85">
      <w:pPr>
        <w:pStyle w:val="Caption"/>
        <w:spacing w:line="360" w:lineRule="auto"/>
        <w:rPr>
          <w:rFonts w:ascii="Arial" w:hAnsi="Arial" w:cs="Arial"/>
          <w:sz w:val="24"/>
          <w:szCs w:val="24"/>
          <w:lang w:val="en-GB"/>
        </w:rPr>
      </w:pPr>
      <w:r w:rsidRPr="00CE2B0C">
        <w:rPr>
          <w:rFonts w:ascii="Arial" w:eastAsia="Arial" w:hAnsi="Arial" w:cs="Arial"/>
          <w:color w:val="444444"/>
          <w:sz w:val="24"/>
          <w:szCs w:val="24"/>
          <w:lang w:val="en-GB"/>
        </w:rPr>
        <w:t xml:space="preserve">Source: Author </w:t>
      </w:r>
      <w:r w:rsidR="007B08F1" w:rsidRPr="00CE2B0C">
        <w:rPr>
          <w:rFonts w:ascii="Arial" w:eastAsia="Arial" w:hAnsi="Arial" w:cs="Arial"/>
          <w:color w:val="444444"/>
          <w:sz w:val="24"/>
          <w:szCs w:val="24"/>
          <w:lang w:val="en-GB"/>
        </w:rPr>
        <w:t xml:space="preserve">calculations. (Excel Output) </w:t>
      </w:r>
    </w:p>
    <w:tbl>
      <w:tblPr>
        <w:tblW w:w="94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75"/>
        <w:gridCol w:w="1272"/>
        <w:gridCol w:w="1179"/>
        <w:gridCol w:w="1179"/>
        <w:gridCol w:w="2029"/>
      </w:tblGrid>
      <w:tr w:rsidR="007B08F1" w:rsidRPr="00CE2B0C" w14:paraId="432DB586" w14:textId="77777777" w:rsidTr="007B08F1">
        <w:trPr>
          <w:trHeight w:val="373"/>
        </w:trPr>
        <w:tc>
          <w:tcPr>
            <w:tcW w:w="3775" w:type="dxa"/>
            <w:shd w:val="clear" w:color="333399" w:fill="1F3864"/>
            <w:vAlign w:val="center"/>
            <w:hideMark/>
          </w:tcPr>
          <w:p w14:paraId="0F7BCFC2" w14:textId="77777777" w:rsidR="007B08F1" w:rsidRPr="00CE2B0C" w:rsidRDefault="007B08F1" w:rsidP="007B08F1">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Appraisal Method</w:t>
            </w:r>
          </w:p>
        </w:tc>
        <w:tc>
          <w:tcPr>
            <w:tcW w:w="1272" w:type="dxa"/>
            <w:shd w:val="clear" w:color="333399" w:fill="1F3864"/>
            <w:vAlign w:val="center"/>
            <w:hideMark/>
          </w:tcPr>
          <w:p w14:paraId="1BDE0D56" w14:textId="77777777" w:rsidR="007B08F1" w:rsidRPr="00CE2B0C" w:rsidRDefault="007B08F1" w:rsidP="007B08F1">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Project A</w:t>
            </w:r>
          </w:p>
        </w:tc>
        <w:tc>
          <w:tcPr>
            <w:tcW w:w="1179" w:type="dxa"/>
            <w:shd w:val="clear" w:color="333399" w:fill="1F3864"/>
            <w:vAlign w:val="center"/>
            <w:hideMark/>
          </w:tcPr>
          <w:p w14:paraId="30B25723" w14:textId="77777777" w:rsidR="007B08F1" w:rsidRPr="00CE2B0C" w:rsidRDefault="007B08F1" w:rsidP="007B08F1">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Project B</w:t>
            </w:r>
          </w:p>
        </w:tc>
        <w:tc>
          <w:tcPr>
            <w:tcW w:w="1179" w:type="dxa"/>
            <w:shd w:val="clear" w:color="333399" w:fill="1F3864"/>
            <w:vAlign w:val="center"/>
            <w:hideMark/>
          </w:tcPr>
          <w:p w14:paraId="44C5AAB6" w14:textId="77777777" w:rsidR="007B08F1" w:rsidRPr="00CE2B0C" w:rsidRDefault="007B08F1" w:rsidP="007B08F1">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Project C</w:t>
            </w:r>
          </w:p>
        </w:tc>
        <w:tc>
          <w:tcPr>
            <w:tcW w:w="2029" w:type="dxa"/>
            <w:shd w:val="clear" w:color="333399" w:fill="1F3864"/>
            <w:vAlign w:val="center"/>
            <w:hideMark/>
          </w:tcPr>
          <w:p w14:paraId="331B8E45" w14:textId="77777777" w:rsidR="007B08F1" w:rsidRPr="00CE2B0C" w:rsidRDefault="007B08F1" w:rsidP="007B08F1">
            <w:pPr>
              <w:spacing w:after="0" w:line="240" w:lineRule="auto"/>
              <w:jc w:val="center"/>
              <w:rPr>
                <w:rFonts w:ascii="Arial" w:eastAsia="Times New Roman" w:hAnsi="Arial" w:cs="Arial"/>
                <w:b/>
                <w:bCs/>
                <w:color w:val="FFFFFF"/>
                <w:kern w:val="0"/>
                <w:sz w:val="22"/>
                <w:szCs w:val="22"/>
                <w:lang w:val="en-GB"/>
                <w14:ligatures w14:val="none"/>
              </w:rPr>
            </w:pPr>
            <w:r w:rsidRPr="00CE2B0C">
              <w:rPr>
                <w:rFonts w:ascii="Arial" w:eastAsia="Times New Roman" w:hAnsi="Arial" w:cs="Arial"/>
                <w:b/>
                <w:bCs/>
                <w:color w:val="FFFFFF"/>
                <w:kern w:val="0"/>
                <w:sz w:val="22"/>
                <w:szCs w:val="22"/>
                <w:lang w:val="en-GB"/>
                <w14:ligatures w14:val="none"/>
              </w:rPr>
              <w:t>Formula Used</w:t>
            </w:r>
          </w:p>
        </w:tc>
      </w:tr>
      <w:tr w:rsidR="007B08F1" w:rsidRPr="00CE2B0C" w14:paraId="12E42006" w14:textId="77777777" w:rsidTr="007B08F1">
        <w:trPr>
          <w:trHeight w:val="404"/>
        </w:trPr>
        <w:tc>
          <w:tcPr>
            <w:tcW w:w="3775" w:type="dxa"/>
            <w:shd w:val="clear" w:color="D0ECEC" w:fill="DEEAF1"/>
            <w:noWrap/>
            <w:vAlign w:val="bottom"/>
            <w:hideMark/>
          </w:tcPr>
          <w:p w14:paraId="4B99A1F5" w14:textId="77777777" w:rsidR="007B08F1" w:rsidRPr="00CE2B0C" w:rsidRDefault="007B08F1" w:rsidP="007B08F1">
            <w:pPr>
              <w:spacing w:after="0" w:line="240" w:lineRule="auto"/>
              <w:ind w:firstLineChars="100" w:firstLine="201"/>
              <w:rPr>
                <w:rFonts w:ascii="Arial" w:eastAsia="Times New Roman" w:hAnsi="Arial" w:cs="Arial"/>
                <w:b/>
                <w:bCs/>
                <w:color w:val="1F3864"/>
                <w:kern w:val="0"/>
                <w:sz w:val="20"/>
                <w:szCs w:val="20"/>
                <w:lang w:val="en-GB"/>
                <w14:ligatures w14:val="none"/>
              </w:rPr>
            </w:pPr>
            <w:r w:rsidRPr="00CE2B0C">
              <w:rPr>
                <w:rFonts w:ascii="Arial" w:eastAsia="Times New Roman" w:hAnsi="Arial" w:cs="Arial"/>
                <w:b/>
                <w:bCs/>
                <w:color w:val="1F3864"/>
                <w:kern w:val="0"/>
                <w:sz w:val="20"/>
                <w:szCs w:val="20"/>
                <w:lang w:val="en-GB"/>
                <w14:ligatures w14:val="none"/>
              </w:rPr>
              <w:t>1. Payback Period (PBP)</w:t>
            </w:r>
          </w:p>
        </w:tc>
        <w:tc>
          <w:tcPr>
            <w:tcW w:w="1272" w:type="dxa"/>
            <w:shd w:val="clear" w:color="D0ECEC" w:fill="DEEAF1"/>
            <w:noWrap/>
            <w:vAlign w:val="bottom"/>
            <w:hideMark/>
          </w:tcPr>
          <w:p w14:paraId="5FE70A65"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4.50</w:t>
            </w:r>
          </w:p>
        </w:tc>
        <w:tc>
          <w:tcPr>
            <w:tcW w:w="1179" w:type="dxa"/>
            <w:shd w:val="clear" w:color="D0ECEC" w:fill="DEEAF1"/>
            <w:noWrap/>
            <w:vAlign w:val="bottom"/>
            <w:hideMark/>
          </w:tcPr>
          <w:p w14:paraId="3D86AF17"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4.55</w:t>
            </w:r>
          </w:p>
        </w:tc>
        <w:tc>
          <w:tcPr>
            <w:tcW w:w="1179" w:type="dxa"/>
            <w:shd w:val="clear" w:color="D0ECEC" w:fill="DEEAF1"/>
            <w:noWrap/>
            <w:vAlign w:val="bottom"/>
            <w:hideMark/>
          </w:tcPr>
          <w:p w14:paraId="72F7DC7F"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3.60</w:t>
            </w:r>
          </w:p>
        </w:tc>
        <w:tc>
          <w:tcPr>
            <w:tcW w:w="2029" w:type="dxa"/>
            <w:shd w:val="clear" w:color="DEEAF1" w:fill="E2EFDA"/>
            <w:vAlign w:val="bottom"/>
            <w:hideMark/>
          </w:tcPr>
          <w:p w14:paraId="18A1D138" w14:textId="77777777" w:rsidR="007B08F1" w:rsidRPr="00CE2B0C" w:rsidRDefault="007B08F1" w:rsidP="007B08F1">
            <w:pPr>
              <w:spacing w:after="0" w:line="240" w:lineRule="auto"/>
              <w:rPr>
                <w:rFonts w:ascii="Arial" w:eastAsia="Times New Roman" w:hAnsi="Arial" w:cs="Arial"/>
                <w:i/>
                <w:iCs/>
                <w:color w:val="808080"/>
                <w:kern w:val="0"/>
                <w:sz w:val="18"/>
                <w:szCs w:val="18"/>
                <w:lang w:val="en-GB"/>
                <w14:ligatures w14:val="none"/>
              </w:rPr>
            </w:pPr>
            <w:r w:rsidRPr="00CE2B0C">
              <w:rPr>
                <w:rFonts w:ascii="Arial" w:eastAsia="Times New Roman" w:hAnsi="Arial" w:cs="Arial"/>
                <w:i/>
                <w:iCs/>
                <w:color w:val="808080"/>
                <w:kern w:val="0"/>
                <w:sz w:val="18"/>
                <w:szCs w:val="18"/>
                <w:lang w:val="en-GB"/>
                <w14:ligatures w14:val="none"/>
              </w:rPr>
              <w:t>Years until cumulative CF = 0</w:t>
            </w:r>
          </w:p>
        </w:tc>
      </w:tr>
      <w:tr w:rsidR="007B08F1" w:rsidRPr="00CE2B0C" w14:paraId="3E5B93B8" w14:textId="77777777" w:rsidTr="007B08F1">
        <w:trPr>
          <w:trHeight w:val="657"/>
        </w:trPr>
        <w:tc>
          <w:tcPr>
            <w:tcW w:w="3775" w:type="dxa"/>
            <w:shd w:val="clear" w:color="D0ECEC" w:fill="DEEAF1"/>
            <w:noWrap/>
            <w:vAlign w:val="bottom"/>
            <w:hideMark/>
          </w:tcPr>
          <w:p w14:paraId="54AD2F04" w14:textId="77777777" w:rsidR="007B08F1" w:rsidRPr="00CE2B0C" w:rsidRDefault="007B08F1" w:rsidP="007B08F1">
            <w:pPr>
              <w:spacing w:after="0" w:line="240" w:lineRule="auto"/>
              <w:ind w:firstLineChars="100" w:firstLine="201"/>
              <w:rPr>
                <w:rFonts w:ascii="Arial" w:eastAsia="Times New Roman" w:hAnsi="Arial" w:cs="Arial"/>
                <w:b/>
                <w:bCs/>
                <w:color w:val="1F3864"/>
                <w:kern w:val="0"/>
                <w:sz w:val="20"/>
                <w:szCs w:val="20"/>
                <w:lang w:val="en-GB"/>
                <w14:ligatures w14:val="none"/>
              </w:rPr>
            </w:pPr>
            <w:r w:rsidRPr="00CE2B0C">
              <w:rPr>
                <w:rFonts w:ascii="Arial" w:eastAsia="Times New Roman" w:hAnsi="Arial" w:cs="Arial"/>
                <w:b/>
                <w:bCs/>
                <w:color w:val="1F3864"/>
                <w:kern w:val="0"/>
                <w:sz w:val="20"/>
                <w:szCs w:val="20"/>
                <w:lang w:val="en-GB"/>
                <w14:ligatures w14:val="none"/>
              </w:rPr>
              <w:t>2. Accounting Rate of Return (ARR %)</w:t>
            </w:r>
          </w:p>
        </w:tc>
        <w:tc>
          <w:tcPr>
            <w:tcW w:w="1272" w:type="dxa"/>
            <w:shd w:val="clear" w:color="DEEAF1" w:fill="E2EFDA"/>
            <w:noWrap/>
            <w:vAlign w:val="bottom"/>
            <w:hideMark/>
          </w:tcPr>
          <w:p w14:paraId="12F18612"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3.2%</w:t>
            </w:r>
          </w:p>
        </w:tc>
        <w:tc>
          <w:tcPr>
            <w:tcW w:w="1179" w:type="dxa"/>
            <w:shd w:val="clear" w:color="DEEAF1" w:fill="E2EFDA"/>
            <w:noWrap/>
            <w:vAlign w:val="bottom"/>
            <w:hideMark/>
          </w:tcPr>
          <w:p w14:paraId="56B11D4E"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4.0%</w:t>
            </w:r>
          </w:p>
        </w:tc>
        <w:tc>
          <w:tcPr>
            <w:tcW w:w="1179" w:type="dxa"/>
            <w:shd w:val="clear" w:color="DEEAF1" w:fill="E2EFDA"/>
            <w:noWrap/>
            <w:vAlign w:val="bottom"/>
            <w:hideMark/>
          </w:tcPr>
          <w:p w14:paraId="63BE1F16"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12.0%</w:t>
            </w:r>
          </w:p>
        </w:tc>
        <w:tc>
          <w:tcPr>
            <w:tcW w:w="2029" w:type="dxa"/>
            <w:shd w:val="clear" w:color="DEEAF1" w:fill="E2EFDA"/>
            <w:vAlign w:val="bottom"/>
            <w:hideMark/>
          </w:tcPr>
          <w:p w14:paraId="278898D3" w14:textId="77777777" w:rsidR="007B08F1" w:rsidRPr="00CE2B0C" w:rsidRDefault="007B08F1" w:rsidP="007B08F1">
            <w:pPr>
              <w:spacing w:after="0" w:line="240" w:lineRule="auto"/>
              <w:rPr>
                <w:rFonts w:ascii="Arial" w:eastAsia="Times New Roman" w:hAnsi="Arial" w:cs="Arial"/>
                <w:i/>
                <w:iCs/>
                <w:color w:val="808080"/>
                <w:kern w:val="0"/>
                <w:sz w:val="18"/>
                <w:szCs w:val="18"/>
                <w:lang w:val="en-GB"/>
                <w14:ligatures w14:val="none"/>
              </w:rPr>
            </w:pPr>
            <w:r w:rsidRPr="00CE2B0C">
              <w:rPr>
                <w:rFonts w:ascii="Arial" w:eastAsia="Times New Roman" w:hAnsi="Arial" w:cs="Arial"/>
                <w:i/>
                <w:iCs/>
                <w:color w:val="808080"/>
                <w:kern w:val="0"/>
                <w:sz w:val="18"/>
                <w:szCs w:val="18"/>
                <w:lang w:val="en-GB"/>
                <w14:ligatures w14:val="none"/>
              </w:rPr>
              <w:t>(</w:t>
            </w:r>
            <w:proofErr w:type="spellStart"/>
            <w:r w:rsidRPr="00CE2B0C">
              <w:rPr>
                <w:rFonts w:ascii="Arial" w:eastAsia="Times New Roman" w:hAnsi="Arial" w:cs="Arial"/>
                <w:i/>
                <w:iCs/>
                <w:color w:val="808080"/>
                <w:kern w:val="0"/>
                <w:sz w:val="18"/>
                <w:szCs w:val="18"/>
                <w:lang w:val="en-GB"/>
                <w14:ligatures w14:val="none"/>
              </w:rPr>
              <w:t>Avg</w:t>
            </w:r>
            <w:proofErr w:type="spellEnd"/>
            <w:r w:rsidRPr="00CE2B0C">
              <w:rPr>
                <w:rFonts w:ascii="Arial" w:eastAsia="Times New Roman" w:hAnsi="Arial" w:cs="Arial"/>
                <w:i/>
                <w:iCs/>
                <w:color w:val="808080"/>
                <w:kern w:val="0"/>
                <w:sz w:val="18"/>
                <w:szCs w:val="18"/>
                <w:lang w:val="en-GB"/>
                <w14:ligatures w14:val="none"/>
              </w:rPr>
              <w:t xml:space="preserve"> Net Profit) / Average Investment (</w:t>
            </w:r>
            <w:proofErr w:type="spellStart"/>
            <w:r w:rsidRPr="00CE2B0C">
              <w:rPr>
                <w:rFonts w:ascii="Arial" w:eastAsia="Times New Roman" w:hAnsi="Arial" w:cs="Arial"/>
                <w:i/>
                <w:iCs/>
                <w:color w:val="808080"/>
                <w:kern w:val="0"/>
                <w:sz w:val="18"/>
                <w:szCs w:val="18"/>
                <w:lang w:val="en-GB"/>
                <w14:ligatures w14:val="none"/>
              </w:rPr>
              <w:t>Avg</w:t>
            </w:r>
            <w:proofErr w:type="spellEnd"/>
            <w:r w:rsidRPr="00CE2B0C">
              <w:rPr>
                <w:rFonts w:ascii="Arial" w:eastAsia="Times New Roman" w:hAnsi="Arial" w:cs="Arial"/>
                <w:i/>
                <w:iCs/>
                <w:color w:val="808080"/>
                <w:kern w:val="0"/>
                <w:sz w:val="18"/>
                <w:szCs w:val="18"/>
                <w:lang w:val="en-GB"/>
                <w14:ligatures w14:val="none"/>
              </w:rPr>
              <w:t xml:space="preserve"> </w:t>
            </w:r>
            <w:proofErr w:type="spellStart"/>
            <w:r w:rsidRPr="00CE2B0C">
              <w:rPr>
                <w:rFonts w:ascii="Arial" w:eastAsia="Times New Roman" w:hAnsi="Arial" w:cs="Arial"/>
                <w:i/>
                <w:iCs/>
                <w:color w:val="808080"/>
                <w:kern w:val="0"/>
                <w:sz w:val="18"/>
                <w:szCs w:val="18"/>
                <w:lang w:val="en-GB"/>
                <w14:ligatures w14:val="none"/>
              </w:rPr>
              <w:t>Inv</w:t>
            </w:r>
            <w:proofErr w:type="spellEnd"/>
            <w:r w:rsidRPr="00CE2B0C">
              <w:rPr>
                <w:rFonts w:ascii="Arial" w:eastAsia="Times New Roman" w:hAnsi="Arial" w:cs="Arial"/>
                <w:i/>
                <w:iCs/>
                <w:color w:val="808080"/>
                <w:kern w:val="0"/>
                <w:sz w:val="18"/>
                <w:szCs w:val="18"/>
                <w:lang w:val="en-GB"/>
                <w14:ligatures w14:val="none"/>
              </w:rPr>
              <w:t xml:space="preserve"> = Initial/2 for SLD to zero)</w:t>
            </w:r>
          </w:p>
        </w:tc>
      </w:tr>
      <w:tr w:rsidR="007B08F1" w:rsidRPr="00CE2B0C" w14:paraId="18692746" w14:textId="77777777" w:rsidTr="007B08F1">
        <w:trPr>
          <w:trHeight w:val="644"/>
        </w:trPr>
        <w:tc>
          <w:tcPr>
            <w:tcW w:w="3775" w:type="dxa"/>
            <w:shd w:val="clear" w:color="D0ECEC" w:fill="DEEAF1"/>
            <w:noWrap/>
            <w:vAlign w:val="bottom"/>
            <w:hideMark/>
          </w:tcPr>
          <w:p w14:paraId="5A3ED51B" w14:textId="77777777" w:rsidR="007B08F1" w:rsidRPr="00CE2B0C" w:rsidRDefault="007B08F1" w:rsidP="007B08F1">
            <w:pPr>
              <w:spacing w:after="0" w:line="240" w:lineRule="auto"/>
              <w:ind w:firstLineChars="100" w:firstLine="201"/>
              <w:rPr>
                <w:rFonts w:ascii="Arial" w:eastAsia="Times New Roman" w:hAnsi="Arial" w:cs="Arial"/>
                <w:b/>
                <w:bCs/>
                <w:color w:val="1F3864"/>
                <w:kern w:val="0"/>
                <w:sz w:val="20"/>
                <w:szCs w:val="20"/>
                <w:lang w:val="en-GB"/>
                <w14:ligatures w14:val="none"/>
              </w:rPr>
            </w:pPr>
            <w:r w:rsidRPr="00CE2B0C">
              <w:rPr>
                <w:rFonts w:ascii="Arial" w:eastAsia="Times New Roman" w:hAnsi="Arial" w:cs="Arial"/>
                <w:b/>
                <w:bCs/>
                <w:color w:val="1F3864"/>
                <w:kern w:val="0"/>
                <w:sz w:val="20"/>
                <w:szCs w:val="20"/>
                <w:lang w:val="en-GB"/>
                <w14:ligatures w14:val="none"/>
              </w:rPr>
              <w:t>3. Net Present Value - NPV (£m)</w:t>
            </w:r>
          </w:p>
        </w:tc>
        <w:tc>
          <w:tcPr>
            <w:tcW w:w="1272" w:type="dxa"/>
            <w:shd w:val="clear" w:color="D0ECEC" w:fill="DEEAF1"/>
            <w:noWrap/>
            <w:vAlign w:val="bottom"/>
            <w:hideMark/>
          </w:tcPr>
          <w:p w14:paraId="37824FCA"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-8.68</w:t>
            </w:r>
          </w:p>
        </w:tc>
        <w:tc>
          <w:tcPr>
            <w:tcW w:w="1179" w:type="dxa"/>
            <w:shd w:val="clear" w:color="D0ECEC" w:fill="DEEAF1"/>
            <w:noWrap/>
            <w:vAlign w:val="bottom"/>
            <w:hideMark/>
          </w:tcPr>
          <w:p w14:paraId="1D3BD034"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-8.30</w:t>
            </w:r>
          </w:p>
        </w:tc>
        <w:tc>
          <w:tcPr>
            <w:tcW w:w="1179" w:type="dxa"/>
            <w:shd w:val="clear" w:color="D0ECEC" w:fill="DEEAF1"/>
            <w:noWrap/>
            <w:vAlign w:val="bottom"/>
            <w:hideMark/>
          </w:tcPr>
          <w:p w14:paraId="1AAF09E0"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-1.98</w:t>
            </w:r>
          </w:p>
        </w:tc>
        <w:tc>
          <w:tcPr>
            <w:tcW w:w="2029" w:type="dxa"/>
            <w:shd w:val="clear" w:color="DEEAF1" w:fill="E2EFDA"/>
            <w:vAlign w:val="bottom"/>
            <w:hideMark/>
          </w:tcPr>
          <w:p w14:paraId="3C83693D" w14:textId="77777777" w:rsidR="007B08F1" w:rsidRPr="00CE2B0C" w:rsidRDefault="007B08F1" w:rsidP="007B08F1">
            <w:pPr>
              <w:spacing w:after="0" w:line="240" w:lineRule="auto"/>
              <w:rPr>
                <w:rFonts w:ascii="Arial" w:eastAsia="Times New Roman" w:hAnsi="Arial" w:cs="Arial"/>
                <w:i/>
                <w:iCs/>
                <w:color w:val="808080"/>
                <w:kern w:val="0"/>
                <w:sz w:val="18"/>
                <w:szCs w:val="18"/>
                <w:lang w:val="en-GB"/>
                <w14:ligatures w14:val="none"/>
              </w:rPr>
            </w:pPr>
            <w:r w:rsidRPr="00CE2B0C">
              <w:rPr>
                <w:rFonts w:ascii="Arial" w:eastAsia="Times New Roman" w:hAnsi="Arial" w:cs="Arial"/>
                <w:i/>
                <w:iCs/>
                <w:color w:val="808080"/>
                <w:kern w:val="0"/>
                <w:sz w:val="18"/>
                <w:szCs w:val="18"/>
                <w:lang w:val="en-GB"/>
                <w14:ligatures w14:val="none"/>
              </w:rPr>
              <w:t>Sum of PV Cash Flows − Initial Investment</w:t>
            </w:r>
          </w:p>
        </w:tc>
      </w:tr>
      <w:tr w:rsidR="007B08F1" w:rsidRPr="00CE2B0C" w14:paraId="02DA8D07" w14:textId="77777777" w:rsidTr="007B08F1">
        <w:trPr>
          <w:trHeight w:val="592"/>
        </w:trPr>
        <w:tc>
          <w:tcPr>
            <w:tcW w:w="3775" w:type="dxa"/>
            <w:shd w:val="clear" w:color="D0ECEC" w:fill="DEEAF1"/>
            <w:noWrap/>
            <w:vAlign w:val="bottom"/>
            <w:hideMark/>
          </w:tcPr>
          <w:p w14:paraId="1514614E" w14:textId="77777777" w:rsidR="007B08F1" w:rsidRPr="00CE2B0C" w:rsidRDefault="007B08F1" w:rsidP="007B08F1">
            <w:pPr>
              <w:spacing w:after="0" w:line="240" w:lineRule="auto"/>
              <w:ind w:firstLineChars="100" w:firstLine="201"/>
              <w:rPr>
                <w:rFonts w:ascii="Arial" w:eastAsia="Times New Roman" w:hAnsi="Arial" w:cs="Arial"/>
                <w:b/>
                <w:bCs/>
                <w:color w:val="1F3864"/>
                <w:kern w:val="0"/>
                <w:sz w:val="20"/>
                <w:szCs w:val="20"/>
                <w:lang w:val="en-GB"/>
                <w14:ligatures w14:val="none"/>
              </w:rPr>
            </w:pPr>
            <w:r w:rsidRPr="00CE2B0C">
              <w:rPr>
                <w:rFonts w:ascii="Arial" w:eastAsia="Times New Roman" w:hAnsi="Arial" w:cs="Arial"/>
                <w:b/>
                <w:bCs/>
                <w:color w:val="1F3864"/>
                <w:kern w:val="0"/>
                <w:sz w:val="20"/>
                <w:szCs w:val="20"/>
                <w:lang w:val="en-GB"/>
                <w14:ligatures w14:val="none"/>
              </w:rPr>
              <w:t>4. Profitability Index - PI (x)</w:t>
            </w:r>
          </w:p>
        </w:tc>
        <w:tc>
          <w:tcPr>
            <w:tcW w:w="1272" w:type="dxa"/>
            <w:shd w:val="clear" w:color="D0ECEC" w:fill="DEEAF1"/>
            <w:noWrap/>
            <w:vAlign w:val="bottom"/>
            <w:hideMark/>
          </w:tcPr>
          <w:p w14:paraId="49E59BA4"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0.826x</w:t>
            </w:r>
          </w:p>
        </w:tc>
        <w:tc>
          <w:tcPr>
            <w:tcW w:w="1179" w:type="dxa"/>
            <w:shd w:val="clear" w:color="D0ECEC" w:fill="DEEAF1"/>
            <w:noWrap/>
            <w:vAlign w:val="bottom"/>
            <w:hideMark/>
          </w:tcPr>
          <w:p w14:paraId="0890C629"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0.834x</w:t>
            </w:r>
          </w:p>
        </w:tc>
        <w:tc>
          <w:tcPr>
            <w:tcW w:w="1179" w:type="dxa"/>
            <w:shd w:val="clear" w:color="D0ECEC" w:fill="DEEAF1"/>
            <w:noWrap/>
            <w:vAlign w:val="bottom"/>
            <w:hideMark/>
          </w:tcPr>
          <w:p w14:paraId="350ED5BB"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0.960x</w:t>
            </w:r>
          </w:p>
        </w:tc>
        <w:tc>
          <w:tcPr>
            <w:tcW w:w="2029" w:type="dxa"/>
            <w:shd w:val="clear" w:color="DEEAF1" w:fill="E2EFDA"/>
            <w:vAlign w:val="bottom"/>
            <w:hideMark/>
          </w:tcPr>
          <w:p w14:paraId="11263C0E" w14:textId="77777777" w:rsidR="007B08F1" w:rsidRPr="00CE2B0C" w:rsidRDefault="007B08F1" w:rsidP="007B08F1">
            <w:pPr>
              <w:spacing w:after="0" w:line="240" w:lineRule="auto"/>
              <w:rPr>
                <w:rFonts w:ascii="Arial" w:eastAsia="Times New Roman" w:hAnsi="Arial" w:cs="Arial"/>
                <w:i/>
                <w:iCs/>
                <w:color w:val="808080"/>
                <w:kern w:val="0"/>
                <w:sz w:val="18"/>
                <w:szCs w:val="18"/>
                <w:lang w:val="en-GB"/>
                <w14:ligatures w14:val="none"/>
              </w:rPr>
            </w:pPr>
            <w:r w:rsidRPr="00CE2B0C">
              <w:rPr>
                <w:rFonts w:ascii="Arial" w:eastAsia="Times New Roman" w:hAnsi="Arial" w:cs="Arial"/>
                <w:i/>
                <w:iCs/>
                <w:color w:val="808080"/>
                <w:kern w:val="0"/>
                <w:sz w:val="18"/>
                <w:szCs w:val="18"/>
                <w:lang w:val="en-GB"/>
                <w14:ligatures w14:val="none"/>
              </w:rPr>
              <w:t>PV of Future Cash Inflows ÷ Initial Investment  (PI &gt; 1 = Accept)</w:t>
            </w:r>
          </w:p>
        </w:tc>
      </w:tr>
      <w:tr w:rsidR="007B08F1" w:rsidRPr="00CE2B0C" w14:paraId="2E67617E" w14:textId="77777777" w:rsidTr="007B08F1">
        <w:trPr>
          <w:trHeight w:val="631"/>
        </w:trPr>
        <w:tc>
          <w:tcPr>
            <w:tcW w:w="3775" w:type="dxa"/>
            <w:shd w:val="clear" w:color="D0ECEC" w:fill="DEEAF1"/>
            <w:noWrap/>
            <w:vAlign w:val="bottom"/>
            <w:hideMark/>
          </w:tcPr>
          <w:p w14:paraId="1560F1E7" w14:textId="77777777" w:rsidR="007B08F1" w:rsidRPr="00CE2B0C" w:rsidRDefault="007B08F1" w:rsidP="007B08F1">
            <w:pPr>
              <w:spacing w:after="0" w:line="240" w:lineRule="auto"/>
              <w:ind w:firstLineChars="100" w:firstLine="201"/>
              <w:rPr>
                <w:rFonts w:ascii="Arial" w:eastAsia="Times New Roman" w:hAnsi="Arial" w:cs="Arial"/>
                <w:b/>
                <w:bCs/>
                <w:color w:val="1F3864"/>
                <w:kern w:val="0"/>
                <w:sz w:val="20"/>
                <w:szCs w:val="20"/>
                <w:lang w:val="en-GB"/>
                <w14:ligatures w14:val="none"/>
              </w:rPr>
            </w:pPr>
            <w:r w:rsidRPr="00CE2B0C">
              <w:rPr>
                <w:rFonts w:ascii="Arial" w:eastAsia="Times New Roman" w:hAnsi="Arial" w:cs="Arial"/>
                <w:b/>
                <w:bCs/>
                <w:color w:val="1F3864"/>
                <w:kern w:val="0"/>
                <w:sz w:val="20"/>
                <w:szCs w:val="20"/>
                <w:lang w:val="en-GB"/>
                <w14:ligatures w14:val="none"/>
              </w:rPr>
              <w:t>5. Internal Rate of Return - IRR (%)</w:t>
            </w:r>
          </w:p>
        </w:tc>
        <w:tc>
          <w:tcPr>
            <w:tcW w:w="1272" w:type="dxa"/>
            <w:shd w:val="clear" w:color="DEEAF1" w:fill="E2EFDA"/>
            <w:noWrap/>
            <w:vAlign w:val="bottom"/>
            <w:hideMark/>
          </w:tcPr>
          <w:p w14:paraId="432CF2C7"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2.7%</w:t>
            </w:r>
          </w:p>
        </w:tc>
        <w:tc>
          <w:tcPr>
            <w:tcW w:w="1179" w:type="dxa"/>
            <w:shd w:val="clear" w:color="DEEAF1" w:fill="E2EFDA"/>
            <w:noWrap/>
            <w:vAlign w:val="bottom"/>
            <w:hideMark/>
          </w:tcPr>
          <w:p w14:paraId="2E6A8E31"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3.3%</w:t>
            </w:r>
          </w:p>
        </w:tc>
        <w:tc>
          <w:tcPr>
            <w:tcW w:w="1179" w:type="dxa"/>
            <w:shd w:val="clear" w:color="DEEAF1" w:fill="E2EFDA"/>
            <w:noWrap/>
            <w:vAlign w:val="bottom"/>
            <w:hideMark/>
          </w:tcPr>
          <w:p w14:paraId="48DDB5BB" w14:textId="77777777" w:rsidR="007B08F1" w:rsidRPr="00CE2B0C" w:rsidRDefault="007B08F1" w:rsidP="007B08F1">
            <w:pPr>
              <w:spacing w:after="0" w:line="240" w:lineRule="auto"/>
              <w:jc w:val="center"/>
              <w:rPr>
                <w:rFonts w:ascii="Arial" w:eastAsia="Times New Roman" w:hAnsi="Arial" w:cs="Arial"/>
                <w:color w:val="000000"/>
                <w:kern w:val="0"/>
                <w:sz w:val="20"/>
                <w:szCs w:val="20"/>
                <w:lang w:val="en-GB"/>
                <w14:ligatures w14:val="none"/>
              </w:rPr>
            </w:pPr>
            <w:r w:rsidRPr="00CE2B0C">
              <w:rPr>
                <w:rFonts w:ascii="Arial" w:eastAsia="Times New Roman" w:hAnsi="Arial" w:cs="Arial"/>
                <w:color w:val="000000"/>
                <w:kern w:val="0"/>
                <w:sz w:val="20"/>
                <w:szCs w:val="20"/>
                <w:lang w:val="en-GB"/>
                <w14:ligatures w14:val="none"/>
              </w:rPr>
              <w:t>8.6%</w:t>
            </w:r>
          </w:p>
        </w:tc>
        <w:tc>
          <w:tcPr>
            <w:tcW w:w="2029" w:type="dxa"/>
            <w:shd w:val="clear" w:color="DEEAF1" w:fill="E2EFDA"/>
            <w:vAlign w:val="bottom"/>
            <w:hideMark/>
          </w:tcPr>
          <w:p w14:paraId="7BF984C5" w14:textId="77777777" w:rsidR="007B08F1" w:rsidRPr="00CE2B0C" w:rsidRDefault="007B08F1" w:rsidP="007B08F1">
            <w:pPr>
              <w:spacing w:after="0" w:line="240" w:lineRule="auto"/>
              <w:rPr>
                <w:rFonts w:ascii="Arial" w:eastAsia="Times New Roman" w:hAnsi="Arial" w:cs="Arial"/>
                <w:i/>
                <w:iCs/>
                <w:color w:val="808080"/>
                <w:kern w:val="0"/>
                <w:sz w:val="18"/>
                <w:szCs w:val="18"/>
                <w:lang w:val="en-GB"/>
                <w14:ligatures w14:val="none"/>
              </w:rPr>
            </w:pPr>
            <w:r w:rsidRPr="00CE2B0C">
              <w:rPr>
                <w:rFonts w:ascii="Arial" w:eastAsia="Times New Roman" w:hAnsi="Arial" w:cs="Arial"/>
                <w:i/>
                <w:iCs/>
                <w:color w:val="808080"/>
                <w:kern w:val="0"/>
                <w:sz w:val="18"/>
                <w:szCs w:val="18"/>
                <w:lang w:val="en-GB"/>
                <w14:ligatures w14:val="none"/>
              </w:rPr>
              <w:t>Rate where NPV = 0</w:t>
            </w:r>
          </w:p>
        </w:tc>
      </w:tr>
    </w:tbl>
    <w:p w14:paraId="46643E3E" w14:textId="77777777" w:rsidR="00995993" w:rsidRPr="00CE2B0C" w:rsidRDefault="00995993" w:rsidP="002D1B85">
      <w:pPr>
        <w:spacing w:line="360" w:lineRule="auto"/>
        <w:rPr>
          <w:rFonts w:ascii="Arial" w:hAnsi="Arial" w:cs="Arial"/>
          <w:lang w:val="en-GB"/>
        </w:rPr>
      </w:pPr>
    </w:p>
    <w:p w14:paraId="79790D59" w14:textId="340201D3" w:rsidR="00B52EA2" w:rsidRPr="00CE2B0C" w:rsidRDefault="00B52EA2" w:rsidP="002D1B85">
      <w:pPr>
        <w:pStyle w:val="Caption"/>
        <w:spacing w:line="360" w:lineRule="auto"/>
        <w:rPr>
          <w:rFonts w:ascii="Arial" w:eastAsia="Arial" w:hAnsi="Arial" w:cs="Arial"/>
          <w:color w:val="444444"/>
          <w:sz w:val="24"/>
          <w:szCs w:val="24"/>
          <w:lang w:val="en-GB"/>
        </w:rPr>
      </w:pPr>
      <w:bookmarkStart w:id="45" w:name="_Toc227448982"/>
      <w:r w:rsidRPr="00CE2B0C">
        <w:rPr>
          <w:rFonts w:ascii="Arial" w:hAnsi="Arial" w:cs="Arial"/>
          <w:sz w:val="24"/>
          <w:szCs w:val="24"/>
          <w:lang w:val="en-GB"/>
        </w:rPr>
        <w:t xml:space="preserve">Table </w:t>
      </w:r>
      <w:r w:rsidRPr="00CE2B0C">
        <w:rPr>
          <w:rFonts w:ascii="Arial" w:hAnsi="Arial" w:cs="Arial"/>
          <w:sz w:val="24"/>
          <w:szCs w:val="24"/>
          <w:lang w:val="en-GB"/>
        </w:rPr>
        <w:fldChar w:fldCharType="begin"/>
      </w:r>
      <w:r w:rsidRPr="00CE2B0C">
        <w:rPr>
          <w:rFonts w:ascii="Arial" w:hAnsi="Arial" w:cs="Arial"/>
          <w:sz w:val="24"/>
          <w:szCs w:val="24"/>
          <w:lang w:val="en-GB"/>
        </w:rPr>
        <w:instrText xml:space="preserve"> SEQ Table \* ARABIC </w:instrText>
      </w:r>
      <w:r w:rsidRPr="00CE2B0C">
        <w:rPr>
          <w:rFonts w:ascii="Arial" w:hAnsi="Arial" w:cs="Arial"/>
          <w:sz w:val="24"/>
          <w:szCs w:val="24"/>
          <w:lang w:val="en-GB"/>
        </w:rPr>
        <w:fldChar w:fldCharType="separate"/>
      </w:r>
      <w:r w:rsidRPr="00CE2B0C">
        <w:rPr>
          <w:rFonts w:ascii="Arial" w:hAnsi="Arial" w:cs="Arial"/>
          <w:noProof/>
          <w:sz w:val="24"/>
          <w:szCs w:val="24"/>
          <w:lang w:val="en-GB"/>
        </w:rPr>
        <w:t>11</w:t>
      </w:r>
      <w:r w:rsidRPr="00CE2B0C">
        <w:rPr>
          <w:rFonts w:ascii="Arial" w:hAnsi="Arial" w:cs="Arial"/>
          <w:sz w:val="24"/>
          <w:szCs w:val="24"/>
          <w:lang w:val="en-GB"/>
        </w:rPr>
        <w:fldChar w:fldCharType="end"/>
      </w:r>
      <w:proofErr w:type="gramStart"/>
      <w:r w:rsidRPr="00CE2B0C">
        <w:rPr>
          <w:rFonts w:ascii="Arial" w:hAnsi="Arial" w:cs="Arial"/>
          <w:sz w:val="24"/>
          <w:szCs w:val="24"/>
          <w:lang w:val="en-GB"/>
        </w:rPr>
        <w:t>:</w:t>
      </w:r>
      <w:r w:rsidR="00995993" w:rsidRPr="00CE2B0C">
        <w:rPr>
          <w:rFonts w:ascii="Arial" w:eastAsia="Arial" w:hAnsi="Arial" w:cs="Arial"/>
          <w:color w:val="444444"/>
          <w:sz w:val="24"/>
          <w:szCs w:val="24"/>
          <w:lang w:val="en-GB"/>
        </w:rPr>
        <w:t>Capital</w:t>
      </w:r>
      <w:proofErr w:type="gramEnd"/>
      <w:r w:rsidR="00995993" w:rsidRPr="00CE2B0C">
        <w:rPr>
          <w:rFonts w:ascii="Arial" w:eastAsia="Arial" w:hAnsi="Arial" w:cs="Arial"/>
          <w:color w:val="444444"/>
          <w:sz w:val="24"/>
          <w:szCs w:val="24"/>
          <w:lang w:val="en-GB"/>
        </w:rPr>
        <w:t xml:space="preserve"> Rationing — PI Ranking.</w:t>
      </w:r>
      <w:bookmarkEnd w:id="45"/>
      <w:r w:rsidR="00995993" w:rsidRPr="00CE2B0C">
        <w:rPr>
          <w:rFonts w:ascii="Arial" w:eastAsia="Arial" w:hAnsi="Arial" w:cs="Arial"/>
          <w:color w:val="444444"/>
          <w:sz w:val="24"/>
          <w:szCs w:val="24"/>
          <w:lang w:val="en-GB"/>
        </w:rPr>
        <w:t xml:space="preserve"> </w:t>
      </w:r>
    </w:p>
    <w:p w14:paraId="4824E458" w14:textId="5B08BE4A" w:rsidR="00995993" w:rsidRPr="00CE2B0C" w:rsidRDefault="00995993" w:rsidP="002D1B85">
      <w:pPr>
        <w:pStyle w:val="Caption"/>
        <w:spacing w:line="360" w:lineRule="auto"/>
        <w:rPr>
          <w:rFonts w:ascii="Arial" w:hAnsi="Arial" w:cs="Arial"/>
          <w:sz w:val="24"/>
          <w:szCs w:val="24"/>
          <w:lang w:val="en-GB"/>
        </w:rPr>
      </w:pPr>
      <w:r w:rsidRPr="00CE2B0C">
        <w:rPr>
          <w:rFonts w:ascii="Arial" w:eastAsia="Arial" w:hAnsi="Arial" w:cs="Arial"/>
          <w:color w:val="444444"/>
          <w:sz w:val="24"/>
          <w:szCs w:val="24"/>
          <w:lang w:val="en-GB"/>
        </w:rPr>
        <w:t>Source: Author calculations.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50"/>
        <w:gridCol w:w="1692"/>
        <w:gridCol w:w="1383"/>
        <w:gridCol w:w="1125"/>
        <w:gridCol w:w="1492"/>
        <w:gridCol w:w="1067"/>
        <w:gridCol w:w="951"/>
      </w:tblGrid>
      <w:tr w:rsidR="00995993" w:rsidRPr="00CE2B0C" w14:paraId="6C8B8063" w14:textId="77777777" w:rsidTr="007B08F1">
        <w:tc>
          <w:tcPr>
            <w:tcW w:w="2000" w:type="dxa"/>
            <w:shd w:val="clear" w:color="auto" w:fill="D9E1F2"/>
            <w:tcMar>
              <w:top w:w="60" w:type="dxa"/>
              <w:left w:w="120" w:type="dxa"/>
              <w:bottom w:w="60" w:type="dxa"/>
              <w:right w:w="120" w:type="dxa"/>
            </w:tcMar>
            <w:vAlign w:val="center"/>
          </w:tcPr>
          <w:p w14:paraId="4A58E59A" w14:textId="77777777" w:rsidR="00995993" w:rsidRPr="00CE2B0C" w:rsidRDefault="00995993" w:rsidP="002D1B85">
            <w:pPr>
              <w:spacing w:line="360" w:lineRule="auto"/>
              <w:rPr>
                <w:rFonts w:ascii="Arial" w:hAnsi="Arial" w:cs="Arial"/>
                <w:lang w:val="en-GB"/>
              </w:rPr>
            </w:pPr>
            <w:r w:rsidRPr="00CE2B0C">
              <w:rPr>
                <w:rFonts w:ascii="Arial" w:eastAsia="Arial" w:hAnsi="Arial" w:cs="Arial"/>
                <w:b/>
                <w:bCs/>
                <w:color w:val="1F3864"/>
                <w:lang w:val="en-GB"/>
              </w:rPr>
              <w:t>Project</w:t>
            </w:r>
          </w:p>
        </w:tc>
        <w:tc>
          <w:tcPr>
            <w:tcW w:w="1800" w:type="dxa"/>
            <w:shd w:val="clear" w:color="auto" w:fill="D9E1F2"/>
            <w:tcMar>
              <w:top w:w="60" w:type="dxa"/>
              <w:left w:w="120" w:type="dxa"/>
              <w:bottom w:w="60" w:type="dxa"/>
              <w:right w:w="120" w:type="dxa"/>
            </w:tcMar>
            <w:vAlign w:val="center"/>
          </w:tcPr>
          <w:p w14:paraId="4F6D126C"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Initial Investment</w:t>
            </w:r>
          </w:p>
        </w:tc>
        <w:tc>
          <w:tcPr>
            <w:tcW w:w="1700" w:type="dxa"/>
            <w:shd w:val="clear" w:color="auto" w:fill="D9E1F2"/>
            <w:tcMar>
              <w:top w:w="60" w:type="dxa"/>
              <w:left w:w="120" w:type="dxa"/>
              <w:bottom w:w="60" w:type="dxa"/>
              <w:right w:w="120" w:type="dxa"/>
            </w:tcMar>
            <w:vAlign w:val="center"/>
          </w:tcPr>
          <w:p w14:paraId="26688C08"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PI</w:t>
            </w:r>
          </w:p>
        </w:tc>
        <w:tc>
          <w:tcPr>
            <w:tcW w:w="1300" w:type="dxa"/>
            <w:shd w:val="clear" w:color="auto" w:fill="D9E1F2"/>
            <w:tcMar>
              <w:top w:w="60" w:type="dxa"/>
              <w:left w:w="120" w:type="dxa"/>
              <w:bottom w:w="60" w:type="dxa"/>
              <w:right w:w="120" w:type="dxa"/>
            </w:tcMar>
            <w:vAlign w:val="center"/>
          </w:tcPr>
          <w:p w14:paraId="13D0DDBC"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PI Rank</w:t>
            </w:r>
          </w:p>
        </w:tc>
        <w:tc>
          <w:tcPr>
            <w:tcW w:w="1560" w:type="dxa"/>
            <w:shd w:val="clear" w:color="auto" w:fill="D9E1F2"/>
            <w:tcMar>
              <w:top w:w="60" w:type="dxa"/>
              <w:left w:w="120" w:type="dxa"/>
              <w:bottom w:w="60" w:type="dxa"/>
              <w:right w:w="120" w:type="dxa"/>
            </w:tcMar>
            <w:vAlign w:val="center"/>
          </w:tcPr>
          <w:p w14:paraId="4ED72C12"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Decision</w:t>
            </w:r>
          </w:p>
        </w:tc>
        <w:tc>
          <w:tcPr>
            <w:tcW w:w="1000" w:type="dxa"/>
            <w:shd w:val="clear" w:color="auto" w:fill="D9E1F2"/>
            <w:tcMar>
              <w:top w:w="60" w:type="dxa"/>
              <w:left w:w="120" w:type="dxa"/>
              <w:bottom w:w="60" w:type="dxa"/>
              <w:right w:w="120" w:type="dxa"/>
            </w:tcMar>
            <w:vAlign w:val="center"/>
          </w:tcPr>
          <w:p w14:paraId="2FC27FEA"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Budget Used</w:t>
            </w:r>
          </w:p>
        </w:tc>
        <w:tc>
          <w:tcPr>
            <w:tcW w:w="1000" w:type="dxa"/>
            <w:shd w:val="clear" w:color="auto" w:fill="D9E1F2"/>
            <w:tcMar>
              <w:top w:w="60" w:type="dxa"/>
              <w:left w:w="120" w:type="dxa"/>
              <w:bottom w:w="60" w:type="dxa"/>
              <w:right w:w="120" w:type="dxa"/>
            </w:tcMar>
            <w:vAlign w:val="center"/>
          </w:tcPr>
          <w:p w14:paraId="53B1F186"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b/>
                <w:bCs/>
                <w:color w:val="1F3864"/>
                <w:lang w:val="en-GB"/>
              </w:rPr>
              <w:t>Total NPV</w:t>
            </w:r>
          </w:p>
        </w:tc>
      </w:tr>
      <w:tr w:rsidR="00995993" w:rsidRPr="00CE2B0C" w14:paraId="18E3C416" w14:textId="77777777" w:rsidTr="007B08F1">
        <w:tc>
          <w:tcPr>
            <w:tcW w:w="2000" w:type="dxa"/>
            <w:shd w:val="clear" w:color="auto" w:fill="FFFFFF"/>
            <w:tcMar>
              <w:top w:w="60" w:type="dxa"/>
              <w:left w:w="120" w:type="dxa"/>
              <w:bottom w:w="60" w:type="dxa"/>
              <w:right w:w="120" w:type="dxa"/>
            </w:tcMar>
            <w:vAlign w:val="center"/>
          </w:tcPr>
          <w:p w14:paraId="3EC94695" w14:textId="77777777" w:rsidR="00995993" w:rsidRPr="00CE2B0C" w:rsidRDefault="00995993" w:rsidP="002D1B85">
            <w:pPr>
              <w:spacing w:line="360" w:lineRule="auto"/>
              <w:rPr>
                <w:rFonts w:ascii="Arial" w:hAnsi="Arial" w:cs="Arial"/>
                <w:lang w:val="en-GB"/>
              </w:rPr>
            </w:pPr>
            <w:r w:rsidRPr="00CE2B0C">
              <w:rPr>
                <w:rFonts w:ascii="Arial" w:eastAsia="Arial" w:hAnsi="Arial" w:cs="Arial"/>
                <w:color w:val="000000"/>
                <w:lang w:val="en-GB"/>
              </w:rPr>
              <w:t>Project C</w:t>
            </w:r>
          </w:p>
        </w:tc>
        <w:tc>
          <w:tcPr>
            <w:tcW w:w="1800" w:type="dxa"/>
            <w:shd w:val="clear" w:color="auto" w:fill="FFFFFF"/>
            <w:tcMar>
              <w:top w:w="60" w:type="dxa"/>
              <w:left w:w="120" w:type="dxa"/>
              <w:bottom w:w="60" w:type="dxa"/>
              <w:right w:w="120" w:type="dxa"/>
            </w:tcMar>
            <w:vAlign w:val="center"/>
          </w:tcPr>
          <w:p w14:paraId="4AA59C44"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£50m</w:t>
            </w:r>
          </w:p>
        </w:tc>
        <w:tc>
          <w:tcPr>
            <w:tcW w:w="1700" w:type="dxa"/>
            <w:shd w:val="clear" w:color="auto" w:fill="FFFFFF"/>
            <w:tcMar>
              <w:top w:w="60" w:type="dxa"/>
              <w:left w:w="120" w:type="dxa"/>
              <w:bottom w:w="60" w:type="dxa"/>
              <w:right w:w="120" w:type="dxa"/>
            </w:tcMar>
            <w:vAlign w:val="center"/>
          </w:tcPr>
          <w:p w14:paraId="4E68CA3F"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0.960</w:t>
            </w:r>
          </w:p>
        </w:tc>
        <w:tc>
          <w:tcPr>
            <w:tcW w:w="1300" w:type="dxa"/>
            <w:shd w:val="clear" w:color="auto" w:fill="FFFFFF"/>
            <w:tcMar>
              <w:top w:w="60" w:type="dxa"/>
              <w:left w:w="120" w:type="dxa"/>
              <w:bottom w:w="60" w:type="dxa"/>
              <w:right w:w="120" w:type="dxa"/>
            </w:tcMar>
            <w:vAlign w:val="center"/>
          </w:tcPr>
          <w:p w14:paraId="2523C228"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1st</w:t>
            </w:r>
          </w:p>
        </w:tc>
        <w:tc>
          <w:tcPr>
            <w:tcW w:w="1560" w:type="dxa"/>
            <w:shd w:val="clear" w:color="auto" w:fill="FFFFFF"/>
            <w:tcMar>
              <w:top w:w="60" w:type="dxa"/>
              <w:left w:w="120" w:type="dxa"/>
              <w:bottom w:w="60" w:type="dxa"/>
              <w:right w:w="120" w:type="dxa"/>
            </w:tcMar>
            <w:vAlign w:val="center"/>
          </w:tcPr>
          <w:p w14:paraId="67DC4841"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INVEST</w:t>
            </w:r>
          </w:p>
        </w:tc>
        <w:tc>
          <w:tcPr>
            <w:tcW w:w="1000" w:type="dxa"/>
            <w:shd w:val="clear" w:color="auto" w:fill="FFFFFF"/>
            <w:tcMar>
              <w:top w:w="60" w:type="dxa"/>
              <w:left w:w="120" w:type="dxa"/>
              <w:bottom w:w="60" w:type="dxa"/>
              <w:right w:w="120" w:type="dxa"/>
            </w:tcMar>
            <w:vAlign w:val="center"/>
          </w:tcPr>
          <w:p w14:paraId="08CCC9A5"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£50m</w:t>
            </w:r>
          </w:p>
        </w:tc>
        <w:tc>
          <w:tcPr>
            <w:tcW w:w="1000" w:type="dxa"/>
            <w:shd w:val="clear" w:color="auto" w:fill="FFFFFF"/>
            <w:tcMar>
              <w:top w:w="60" w:type="dxa"/>
              <w:left w:w="120" w:type="dxa"/>
              <w:bottom w:w="60" w:type="dxa"/>
              <w:right w:w="120" w:type="dxa"/>
            </w:tcMar>
            <w:vAlign w:val="center"/>
          </w:tcPr>
          <w:p w14:paraId="3360853A"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(1.98)</w:t>
            </w:r>
          </w:p>
        </w:tc>
      </w:tr>
      <w:tr w:rsidR="00995993" w:rsidRPr="00CE2B0C" w14:paraId="06E67929" w14:textId="77777777" w:rsidTr="007B08F1">
        <w:tc>
          <w:tcPr>
            <w:tcW w:w="2000" w:type="dxa"/>
            <w:shd w:val="clear" w:color="auto" w:fill="FFFFFF"/>
            <w:tcMar>
              <w:top w:w="60" w:type="dxa"/>
              <w:left w:w="120" w:type="dxa"/>
              <w:bottom w:w="60" w:type="dxa"/>
              <w:right w:w="120" w:type="dxa"/>
            </w:tcMar>
            <w:vAlign w:val="center"/>
          </w:tcPr>
          <w:p w14:paraId="74E63470" w14:textId="77777777" w:rsidR="00995993" w:rsidRPr="00CE2B0C" w:rsidRDefault="00995993" w:rsidP="002D1B85">
            <w:pPr>
              <w:spacing w:line="360" w:lineRule="auto"/>
              <w:rPr>
                <w:rFonts w:ascii="Arial" w:hAnsi="Arial" w:cs="Arial"/>
                <w:lang w:val="en-GB"/>
              </w:rPr>
            </w:pPr>
            <w:r w:rsidRPr="00CE2B0C">
              <w:rPr>
                <w:rFonts w:ascii="Arial" w:eastAsia="Arial" w:hAnsi="Arial" w:cs="Arial"/>
                <w:color w:val="000000"/>
                <w:lang w:val="en-GB"/>
              </w:rPr>
              <w:t>Project B</w:t>
            </w:r>
          </w:p>
        </w:tc>
        <w:tc>
          <w:tcPr>
            <w:tcW w:w="1800" w:type="dxa"/>
            <w:shd w:val="clear" w:color="auto" w:fill="FFFFFF"/>
            <w:tcMar>
              <w:top w:w="60" w:type="dxa"/>
              <w:left w:w="120" w:type="dxa"/>
              <w:bottom w:w="60" w:type="dxa"/>
              <w:right w:w="120" w:type="dxa"/>
            </w:tcMar>
            <w:vAlign w:val="center"/>
          </w:tcPr>
          <w:p w14:paraId="3E76B296"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£50m</w:t>
            </w:r>
          </w:p>
        </w:tc>
        <w:tc>
          <w:tcPr>
            <w:tcW w:w="1700" w:type="dxa"/>
            <w:shd w:val="clear" w:color="auto" w:fill="FFFFFF"/>
            <w:tcMar>
              <w:top w:w="60" w:type="dxa"/>
              <w:left w:w="120" w:type="dxa"/>
              <w:bottom w:w="60" w:type="dxa"/>
              <w:right w:w="120" w:type="dxa"/>
            </w:tcMar>
            <w:vAlign w:val="center"/>
          </w:tcPr>
          <w:p w14:paraId="6AADEEBE"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0.834</w:t>
            </w:r>
          </w:p>
        </w:tc>
        <w:tc>
          <w:tcPr>
            <w:tcW w:w="1300" w:type="dxa"/>
            <w:shd w:val="clear" w:color="auto" w:fill="FFFFFF"/>
            <w:tcMar>
              <w:top w:w="60" w:type="dxa"/>
              <w:left w:w="120" w:type="dxa"/>
              <w:bottom w:w="60" w:type="dxa"/>
              <w:right w:w="120" w:type="dxa"/>
            </w:tcMar>
            <w:vAlign w:val="center"/>
          </w:tcPr>
          <w:p w14:paraId="2DACEF74"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2nd</w:t>
            </w:r>
          </w:p>
        </w:tc>
        <w:tc>
          <w:tcPr>
            <w:tcW w:w="1560" w:type="dxa"/>
            <w:shd w:val="clear" w:color="auto" w:fill="FFFFFF"/>
            <w:tcMar>
              <w:top w:w="60" w:type="dxa"/>
              <w:left w:w="120" w:type="dxa"/>
              <w:bottom w:w="60" w:type="dxa"/>
              <w:right w:w="120" w:type="dxa"/>
            </w:tcMar>
            <w:vAlign w:val="center"/>
          </w:tcPr>
          <w:p w14:paraId="5E6AF55A"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INVEST</w:t>
            </w:r>
          </w:p>
        </w:tc>
        <w:tc>
          <w:tcPr>
            <w:tcW w:w="1000" w:type="dxa"/>
            <w:shd w:val="clear" w:color="auto" w:fill="FFFFFF"/>
            <w:tcMar>
              <w:top w:w="60" w:type="dxa"/>
              <w:left w:w="120" w:type="dxa"/>
              <w:bottom w:w="60" w:type="dxa"/>
              <w:right w:w="120" w:type="dxa"/>
            </w:tcMar>
            <w:vAlign w:val="center"/>
          </w:tcPr>
          <w:p w14:paraId="48537116"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£100m</w:t>
            </w:r>
          </w:p>
        </w:tc>
        <w:tc>
          <w:tcPr>
            <w:tcW w:w="1000" w:type="dxa"/>
            <w:shd w:val="clear" w:color="auto" w:fill="FFFFFF"/>
            <w:tcMar>
              <w:top w:w="60" w:type="dxa"/>
              <w:left w:w="120" w:type="dxa"/>
              <w:bottom w:w="60" w:type="dxa"/>
              <w:right w:w="120" w:type="dxa"/>
            </w:tcMar>
            <w:vAlign w:val="center"/>
          </w:tcPr>
          <w:p w14:paraId="44262857"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(8.30)</w:t>
            </w:r>
          </w:p>
        </w:tc>
      </w:tr>
      <w:tr w:rsidR="00995993" w:rsidRPr="00CE2B0C" w14:paraId="42A6CC1F" w14:textId="77777777" w:rsidTr="007B08F1">
        <w:tc>
          <w:tcPr>
            <w:tcW w:w="2000" w:type="dxa"/>
            <w:shd w:val="clear" w:color="auto" w:fill="F2F2F2"/>
            <w:tcMar>
              <w:top w:w="60" w:type="dxa"/>
              <w:left w:w="120" w:type="dxa"/>
              <w:bottom w:w="60" w:type="dxa"/>
              <w:right w:w="120" w:type="dxa"/>
            </w:tcMar>
            <w:vAlign w:val="center"/>
          </w:tcPr>
          <w:p w14:paraId="52C2CE6B" w14:textId="77777777" w:rsidR="00995993" w:rsidRPr="00CE2B0C" w:rsidRDefault="00995993" w:rsidP="002D1B85">
            <w:pPr>
              <w:spacing w:line="360" w:lineRule="auto"/>
              <w:rPr>
                <w:rFonts w:ascii="Arial" w:hAnsi="Arial" w:cs="Arial"/>
                <w:lang w:val="en-GB"/>
              </w:rPr>
            </w:pPr>
            <w:r w:rsidRPr="00CE2B0C">
              <w:rPr>
                <w:rFonts w:ascii="Arial" w:eastAsia="Arial" w:hAnsi="Arial" w:cs="Arial"/>
                <w:color w:val="000000"/>
                <w:lang w:val="en-GB"/>
              </w:rPr>
              <w:t>Project A</w:t>
            </w:r>
          </w:p>
        </w:tc>
        <w:tc>
          <w:tcPr>
            <w:tcW w:w="1800" w:type="dxa"/>
            <w:shd w:val="clear" w:color="auto" w:fill="F2F2F2"/>
            <w:tcMar>
              <w:top w:w="60" w:type="dxa"/>
              <w:left w:w="120" w:type="dxa"/>
              <w:bottom w:w="60" w:type="dxa"/>
              <w:right w:w="120" w:type="dxa"/>
            </w:tcMar>
            <w:vAlign w:val="center"/>
          </w:tcPr>
          <w:p w14:paraId="1675C560"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£50m</w:t>
            </w:r>
          </w:p>
        </w:tc>
        <w:tc>
          <w:tcPr>
            <w:tcW w:w="1700" w:type="dxa"/>
            <w:shd w:val="clear" w:color="auto" w:fill="F2F2F2"/>
            <w:tcMar>
              <w:top w:w="60" w:type="dxa"/>
              <w:left w:w="120" w:type="dxa"/>
              <w:bottom w:w="60" w:type="dxa"/>
              <w:right w:w="120" w:type="dxa"/>
            </w:tcMar>
            <w:vAlign w:val="center"/>
          </w:tcPr>
          <w:p w14:paraId="3F21B9EF"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0.827</w:t>
            </w:r>
          </w:p>
        </w:tc>
        <w:tc>
          <w:tcPr>
            <w:tcW w:w="1300" w:type="dxa"/>
            <w:shd w:val="clear" w:color="auto" w:fill="F2F2F2"/>
            <w:tcMar>
              <w:top w:w="60" w:type="dxa"/>
              <w:left w:w="120" w:type="dxa"/>
              <w:bottom w:w="60" w:type="dxa"/>
              <w:right w:w="120" w:type="dxa"/>
            </w:tcMar>
            <w:vAlign w:val="center"/>
          </w:tcPr>
          <w:p w14:paraId="0BE6D94C"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3rd</w:t>
            </w:r>
          </w:p>
        </w:tc>
        <w:tc>
          <w:tcPr>
            <w:tcW w:w="1560" w:type="dxa"/>
            <w:shd w:val="clear" w:color="auto" w:fill="F2F2F2"/>
            <w:tcMar>
              <w:top w:w="60" w:type="dxa"/>
              <w:left w:w="120" w:type="dxa"/>
              <w:bottom w:w="60" w:type="dxa"/>
              <w:right w:w="120" w:type="dxa"/>
            </w:tcMar>
            <w:vAlign w:val="center"/>
          </w:tcPr>
          <w:p w14:paraId="322AF96C" w14:textId="3A682884"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CC0000"/>
                <w:lang w:val="en-GB"/>
              </w:rPr>
              <w:t>REJECT  Budget Exhausted</w:t>
            </w:r>
          </w:p>
        </w:tc>
        <w:tc>
          <w:tcPr>
            <w:tcW w:w="1000" w:type="dxa"/>
            <w:shd w:val="clear" w:color="auto" w:fill="F2F2F2"/>
            <w:tcMar>
              <w:top w:w="60" w:type="dxa"/>
              <w:left w:w="120" w:type="dxa"/>
              <w:bottom w:w="60" w:type="dxa"/>
              <w:right w:w="120" w:type="dxa"/>
            </w:tcMar>
            <w:vAlign w:val="center"/>
          </w:tcPr>
          <w:p w14:paraId="35AF82A5"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£100m</w:t>
            </w:r>
          </w:p>
        </w:tc>
        <w:tc>
          <w:tcPr>
            <w:tcW w:w="1000" w:type="dxa"/>
            <w:shd w:val="clear" w:color="auto" w:fill="F2F2F2"/>
            <w:tcMar>
              <w:top w:w="60" w:type="dxa"/>
              <w:left w:w="120" w:type="dxa"/>
              <w:bottom w:w="60" w:type="dxa"/>
              <w:right w:w="120" w:type="dxa"/>
            </w:tcMar>
            <w:vAlign w:val="center"/>
          </w:tcPr>
          <w:p w14:paraId="2933C8B0" w14:textId="77777777" w:rsidR="00995993" w:rsidRPr="00CE2B0C" w:rsidRDefault="00995993" w:rsidP="002D1B85">
            <w:pPr>
              <w:spacing w:line="360" w:lineRule="auto"/>
              <w:jc w:val="center"/>
              <w:rPr>
                <w:rFonts w:ascii="Arial" w:hAnsi="Arial" w:cs="Arial"/>
                <w:lang w:val="en-GB"/>
              </w:rPr>
            </w:pPr>
            <w:r w:rsidRPr="00CE2B0C">
              <w:rPr>
                <w:rFonts w:ascii="Arial" w:eastAsia="Arial" w:hAnsi="Arial" w:cs="Arial"/>
                <w:color w:val="000000"/>
                <w:lang w:val="en-GB"/>
              </w:rPr>
              <w:t>—</w:t>
            </w:r>
          </w:p>
        </w:tc>
      </w:tr>
    </w:tbl>
    <w:p w14:paraId="4B0D93D5" w14:textId="77777777" w:rsidR="00137DBB" w:rsidRPr="00CE2B0C" w:rsidRDefault="00137DBB" w:rsidP="002D1B85">
      <w:pPr>
        <w:spacing w:line="360" w:lineRule="auto"/>
        <w:rPr>
          <w:rFonts w:ascii="Arial" w:hAnsi="Arial" w:cs="Arial"/>
          <w:lang w:val="en-GB"/>
        </w:rPr>
      </w:pPr>
    </w:p>
    <w:p w14:paraId="27640DBC" w14:textId="77777777" w:rsidR="006531F9" w:rsidRPr="00CE2B0C" w:rsidRDefault="006531F9" w:rsidP="002D1B85">
      <w:pPr>
        <w:spacing w:line="360" w:lineRule="auto"/>
        <w:rPr>
          <w:rFonts w:ascii="Arial" w:hAnsi="Arial" w:cs="Arial"/>
          <w:lang w:val="en-GB"/>
        </w:rPr>
      </w:pPr>
    </w:p>
    <w:sectPr w:rsidR="006531F9" w:rsidRPr="00CE2B0C" w:rsidSect="00484B68">
      <w:headerReference w:type="even" r:id="rId23"/>
      <w:headerReference w:type="default" r:id="rId24"/>
      <w:footerReference w:type="even" r:id="rId25"/>
      <w:footerReference w:type="default" r:id="rId26"/>
      <w:headerReference w:type="first" r:id="rId27"/>
      <w:footerReference w:type="first" r:id="rId2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A29574" w14:textId="77777777" w:rsidR="00BC71AD" w:rsidRDefault="00BC71AD" w:rsidP="0022672C">
      <w:pPr>
        <w:spacing w:after="0" w:line="240" w:lineRule="auto"/>
      </w:pPr>
      <w:r>
        <w:separator/>
      </w:r>
    </w:p>
  </w:endnote>
  <w:endnote w:type="continuationSeparator" w:id="0">
    <w:p w14:paraId="07647435" w14:textId="77777777" w:rsidR="00BC71AD" w:rsidRDefault="00BC71AD" w:rsidP="002267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BC293" w14:textId="77777777" w:rsidR="009305A5" w:rsidRDefault="009305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1386685"/>
      <w:docPartObj>
        <w:docPartGallery w:val="Page Numbers (Bottom of Page)"/>
        <w:docPartUnique/>
      </w:docPartObj>
    </w:sdtPr>
    <w:sdtEndPr>
      <w:rPr>
        <w:noProof/>
      </w:rPr>
    </w:sdtEndPr>
    <w:sdtContent>
      <w:p w14:paraId="54A9F3A4" w14:textId="496573A8" w:rsidR="00250B8E" w:rsidRDefault="00250B8E">
        <w:pPr>
          <w:pStyle w:val="Footer"/>
          <w:jc w:val="right"/>
        </w:pPr>
        <w:r>
          <w:fldChar w:fldCharType="begin"/>
        </w:r>
        <w:r>
          <w:instrText xml:space="preserve"> PAGE   \* MERGEFORMAT </w:instrText>
        </w:r>
        <w:r>
          <w:fldChar w:fldCharType="separate"/>
        </w:r>
        <w:r w:rsidR="00E67E0A">
          <w:rPr>
            <w:noProof/>
          </w:rPr>
          <w:t>4</w:t>
        </w:r>
        <w:r>
          <w:rPr>
            <w:noProof/>
          </w:rPr>
          <w:fldChar w:fldCharType="end"/>
        </w:r>
      </w:p>
    </w:sdtContent>
  </w:sdt>
  <w:p w14:paraId="735B0F01" w14:textId="77777777" w:rsidR="00250B8E" w:rsidRDefault="00250B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43CA63" w14:textId="77777777" w:rsidR="009305A5" w:rsidRDefault="009305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1C09B2" w14:textId="77777777" w:rsidR="00BC71AD" w:rsidRDefault="00BC71AD" w:rsidP="0022672C">
      <w:pPr>
        <w:spacing w:after="0" w:line="240" w:lineRule="auto"/>
      </w:pPr>
      <w:r>
        <w:separator/>
      </w:r>
    </w:p>
  </w:footnote>
  <w:footnote w:type="continuationSeparator" w:id="0">
    <w:p w14:paraId="0360D605" w14:textId="77777777" w:rsidR="00BC71AD" w:rsidRDefault="00BC71AD" w:rsidP="002267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439B6" w14:textId="77777777" w:rsidR="009305A5" w:rsidRDefault="009305A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1E3BC0" w14:textId="77777777" w:rsidR="009305A5" w:rsidRDefault="009305A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41E5F4" w14:textId="77777777" w:rsidR="009305A5" w:rsidRDefault="009305A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978E8"/>
    <w:multiLevelType w:val="hybridMultilevel"/>
    <w:tmpl w:val="5E82F5D2"/>
    <w:lvl w:ilvl="0" w:tplc="04090001">
      <w:start w:val="1"/>
      <w:numFmt w:val="bullet"/>
      <w:lvlText w:val=""/>
      <w:lvlJc w:val="left"/>
      <w:pPr>
        <w:ind w:left="1080" w:hanging="72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F182134"/>
    <w:multiLevelType w:val="hybridMultilevel"/>
    <w:tmpl w:val="1812E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BD8042B"/>
    <w:multiLevelType w:val="hybridMultilevel"/>
    <w:tmpl w:val="0DB8C9E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75330449"/>
    <w:multiLevelType w:val="hybridMultilevel"/>
    <w:tmpl w:val="5532F58A"/>
    <w:lvl w:ilvl="0" w:tplc="BA02838E">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25F4"/>
    <w:rsid w:val="00021DAF"/>
    <w:rsid w:val="00022456"/>
    <w:rsid w:val="00090A92"/>
    <w:rsid w:val="00096A6A"/>
    <w:rsid w:val="000A578C"/>
    <w:rsid w:val="000E5121"/>
    <w:rsid w:val="00137DBB"/>
    <w:rsid w:val="00160126"/>
    <w:rsid w:val="0019111E"/>
    <w:rsid w:val="001954AA"/>
    <w:rsid w:val="001B5B60"/>
    <w:rsid w:val="001C2DE1"/>
    <w:rsid w:val="001F44BA"/>
    <w:rsid w:val="00204976"/>
    <w:rsid w:val="0022672C"/>
    <w:rsid w:val="00250B8E"/>
    <w:rsid w:val="00263F61"/>
    <w:rsid w:val="00276CEA"/>
    <w:rsid w:val="00285B6F"/>
    <w:rsid w:val="00296CDB"/>
    <w:rsid w:val="002A6A19"/>
    <w:rsid w:val="002A7EF1"/>
    <w:rsid w:val="002C6AD0"/>
    <w:rsid w:val="002D1B85"/>
    <w:rsid w:val="002E01C6"/>
    <w:rsid w:val="00323660"/>
    <w:rsid w:val="00324F7D"/>
    <w:rsid w:val="00330E8B"/>
    <w:rsid w:val="00371579"/>
    <w:rsid w:val="003B115A"/>
    <w:rsid w:val="003C7FA3"/>
    <w:rsid w:val="003D66BC"/>
    <w:rsid w:val="00431092"/>
    <w:rsid w:val="004327A5"/>
    <w:rsid w:val="00436437"/>
    <w:rsid w:val="004365C1"/>
    <w:rsid w:val="00484B68"/>
    <w:rsid w:val="00494F1B"/>
    <w:rsid w:val="004D4426"/>
    <w:rsid w:val="004F1E5C"/>
    <w:rsid w:val="00506FA3"/>
    <w:rsid w:val="00513B1A"/>
    <w:rsid w:val="005228C6"/>
    <w:rsid w:val="00554D77"/>
    <w:rsid w:val="005B5F59"/>
    <w:rsid w:val="00631D16"/>
    <w:rsid w:val="006531F9"/>
    <w:rsid w:val="0067230A"/>
    <w:rsid w:val="00673843"/>
    <w:rsid w:val="006940A5"/>
    <w:rsid w:val="006D40B8"/>
    <w:rsid w:val="00716EB2"/>
    <w:rsid w:val="0073135E"/>
    <w:rsid w:val="00741715"/>
    <w:rsid w:val="007465C0"/>
    <w:rsid w:val="0076110E"/>
    <w:rsid w:val="007828F0"/>
    <w:rsid w:val="00786425"/>
    <w:rsid w:val="007A7FB8"/>
    <w:rsid w:val="007B08F1"/>
    <w:rsid w:val="00820435"/>
    <w:rsid w:val="00831D70"/>
    <w:rsid w:val="00857AC0"/>
    <w:rsid w:val="008725F4"/>
    <w:rsid w:val="008A248A"/>
    <w:rsid w:val="008E1B69"/>
    <w:rsid w:val="00913D8F"/>
    <w:rsid w:val="009305A5"/>
    <w:rsid w:val="00934AB3"/>
    <w:rsid w:val="009648D8"/>
    <w:rsid w:val="00995993"/>
    <w:rsid w:val="00997A1A"/>
    <w:rsid w:val="009E4BBF"/>
    <w:rsid w:val="009F56B7"/>
    <w:rsid w:val="00A0653D"/>
    <w:rsid w:val="00A34108"/>
    <w:rsid w:val="00AD1AF7"/>
    <w:rsid w:val="00B040EE"/>
    <w:rsid w:val="00B07C2B"/>
    <w:rsid w:val="00B30CC8"/>
    <w:rsid w:val="00B52EA2"/>
    <w:rsid w:val="00B753C7"/>
    <w:rsid w:val="00B8685B"/>
    <w:rsid w:val="00BC71AD"/>
    <w:rsid w:val="00BF0DBC"/>
    <w:rsid w:val="00C1017B"/>
    <w:rsid w:val="00C3040A"/>
    <w:rsid w:val="00CC2C0C"/>
    <w:rsid w:val="00CE2B0C"/>
    <w:rsid w:val="00D00DE4"/>
    <w:rsid w:val="00D13EFF"/>
    <w:rsid w:val="00D32CBA"/>
    <w:rsid w:val="00DD5893"/>
    <w:rsid w:val="00DE11B8"/>
    <w:rsid w:val="00E00D14"/>
    <w:rsid w:val="00E337E6"/>
    <w:rsid w:val="00E4529C"/>
    <w:rsid w:val="00E51298"/>
    <w:rsid w:val="00E67E0A"/>
    <w:rsid w:val="00E903CB"/>
    <w:rsid w:val="00E9637D"/>
    <w:rsid w:val="00EB2D47"/>
    <w:rsid w:val="00EE07F0"/>
    <w:rsid w:val="00EE3024"/>
    <w:rsid w:val="00EE3C15"/>
    <w:rsid w:val="00EF016F"/>
    <w:rsid w:val="00F02D8F"/>
    <w:rsid w:val="00F65C6D"/>
    <w:rsid w:val="00F66D7E"/>
    <w:rsid w:val="00FD1FCA"/>
    <w:rsid w:val="00FF7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02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0E8B"/>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B52EA2"/>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872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5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5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E8B"/>
    <w:rPr>
      <w:rFonts w:ascii="Arial" w:eastAsiaTheme="majorEastAsia" w:hAnsi="Arial" w:cstheme="majorBidi"/>
      <w:b/>
      <w:szCs w:val="40"/>
    </w:rPr>
  </w:style>
  <w:style w:type="character" w:customStyle="1" w:styleId="Heading2Char">
    <w:name w:val="Heading 2 Char"/>
    <w:basedOn w:val="DefaultParagraphFont"/>
    <w:link w:val="Heading2"/>
    <w:uiPriority w:val="9"/>
    <w:rsid w:val="00B52EA2"/>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8725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5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5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5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5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5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5F4"/>
    <w:rPr>
      <w:rFonts w:eastAsiaTheme="majorEastAsia" w:cstheme="majorBidi"/>
      <w:color w:val="272727" w:themeColor="text1" w:themeTint="D8"/>
    </w:rPr>
  </w:style>
  <w:style w:type="paragraph" w:styleId="Title">
    <w:name w:val="Title"/>
    <w:basedOn w:val="Normal"/>
    <w:next w:val="Normal"/>
    <w:link w:val="TitleChar"/>
    <w:uiPriority w:val="10"/>
    <w:qFormat/>
    <w:rsid w:val="00872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5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5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5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5F4"/>
    <w:pPr>
      <w:spacing w:before="160"/>
      <w:jc w:val="center"/>
    </w:pPr>
    <w:rPr>
      <w:i/>
      <w:iCs/>
      <w:color w:val="404040" w:themeColor="text1" w:themeTint="BF"/>
    </w:rPr>
  </w:style>
  <w:style w:type="character" w:customStyle="1" w:styleId="QuoteChar">
    <w:name w:val="Quote Char"/>
    <w:basedOn w:val="DefaultParagraphFont"/>
    <w:link w:val="Quote"/>
    <w:uiPriority w:val="29"/>
    <w:rsid w:val="008725F4"/>
    <w:rPr>
      <w:i/>
      <w:iCs/>
      <w:color w:val="404040" w:themeColor="text1" w:themeTint="BF"/>
    </w:rPr>
  </w:style>
  <w:style w:type="paragraph" w:styleId="ListParagraph">
    <w:name w:val="List Paragraph"/>
    <w:basedOn w:val="Normal"/>
    <w:uiPriority w:val="34"/>
    <w:qFormat/>
    <w:rsid w:val="008725F4"/>
    <w:pPr>
      <w:ind w:left="720"/>
      <w:contextualSpacing/>
    </w:pPr>
  </w:style>
  <w:style w:type="character" w:styleId="IntenseEmphasis">
    <w:name w:val="Intense Emphasis"/>
    <w:basedOn w:val="DefaultParagraphFont"/>
    <w:uiPriority w:val="21"/>
    <w:qFormat/>
    <w:rsid w:val="008725F4"/>
    <w:rPr>
      <w:i/>
      <w:iCs/>
      <w:color w:val="0F4761" w:themeColor="accent1" w:themeShade="BF"/>
    </w:rPr>
  </w:style>
  <w:style w:type="paragraph" w:styleId="IntenseQuote">
    <w:name w:val="Intense Quote"/>
    <w:basedOn w:val="Normal"/>
    <w:next w:val="Normal"/>
    <w:link w:val="IntenseQuoteChar"/>
    <w:uiPriority w:val="30"/>
    <w:qFormat/>
    <w:rsid w:val="00872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5F4"/>
    <w:rPr>
      <w:i/>
      <w:iCs/>
      <w:color w:val="0F4761" w:themeColor="accent1" w:themeShade="BF"/>
    </w:rPr>
  </w:style>
  <w:style w:type="character" w:styleId="IntenseReference">
    <w:name w:val="Intense Reference"/>
    <w:basedOn w:val="DefaultParagraphFont"/>
    <w:uiPriority w:val="32"/>
    <w:qFormat/>
    <w:rsid w:val="008725F4"/>
    <w:rPr>
      <w:b/>
      <w:bCs/>
      <w:smallCaps/>
      <w:color w:val="0F4761" w:themeColor="accent1" w:themeShade="BF"/>
      <w:spacing w:val="5"/>
    </w:rPr>
  </w:style>
  <w:style w:type="table" w:styleId="TableGrid">
    <w:name w:val="Table Grid"/>
    <w:basedOn w:val="TableNormal"/>
    <w:uiPriority w:val="39"/>
    <w:rsid w:val="008A24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67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72C"/>
  </w:style>
  <w:style w:type="paragraph" w:styleId="Footer">
    <w:name w:val="footer"/>
    <w:basedOn w:val="Normal"/>
    <w:link w:val="FooterChar"/>
    <w:uiPriority w:val="99"/>
    <w:unhideWhenUsed/>
    <w:rsid w:val="002267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72C"/>
  </w:style>
  <w:style w:type="paragraph" w:styleId="Caption">
    <w:name w:val="caption"/>
    <w:basedOn w:val="Normal"/>
    <w:next w:val="Normal"/>
    <w:uiPriority w:val="35"/>
    <w:unhideWhenUsed/>
    <w:qFormat/>
    <w:rsid w:val="0067230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52EA2"/>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B52EA2"/>
    <w:pPr>
      <w:spacing w:after="100"/>
    </w:pPr>
  </w:style>
  <w:style w:type="paragraph" w:styleId="TOC2">
    <w:name w:val="toc 2"/>
    <w:basedOn w:val="Normal"/>
    <w:next w:val="Normal"/>
    <w:autoRedefine/>
    <w:uiPriority w:val="39"/>
    <w:unhideWhenUsed/>
    <w:rsid w:val="00B52EA2"/>
    <w:pPr>
      <w:spacing w:after="100"/>
      <w:ind w:left="240"/>
    </w:pPr>
  </w:style>
  <w:style w:type="character" w:styleId="Hyperlink">
    <w:name w:val="Hyperlink"/>
    <w:basedOn w:val="DefaultParagraphFont"/>
    <w:uiPriority w:val="99"/>
    <w:unhideWhenUsed/>
    <w:rsid w:val="00B52EA2"/>
    <w:rPr>
      <w:color w:val="467886" w:themeColor="hyperlink"/>
      <w:u w:val="single"/>
    </w:rPr>
  </w:style>
  <w:style w:type="paragraph" w:styleId="TableofFigures">
    <w:name w:val="table of figures"/>
    <w:basedOn w:val="Normal"/>
    <w:next w:val="Normal"/>
    <w:uiPriority w:val="99"/>
    <w:unhideWhenUsed/>
    <w:rsid w:val="00B52EA2"/>
    <w:pPr>
      <w:spacing w:after="0"/>
    </w:pPr>
  </w:style>
  <w:style w:type="character" w:customStyle="1" w:styleId="UnresolvedMention1">
    <w:name w:val="Unresolved Mention1"/>
    <w:basedOn w:val="DefaultParagraphFont"/>
    <w:uiPriority w:val="99"/>
    <w:semiHidden/>
    <w:unhideWhenUsed/>
    <w:rsid w:val="002E01C6"/>
    <w:rPr>
      <w:color w:val="605E5C"/>
      <w:shd w:val="clear" w:color="auto" w:fill="E1DFDD"/>
    </w:rPr>
  </w:style>
  <w:style w:type="character" w:styleId="FollowedHyperlink">
    <w:name w:val="FollowedHyperlink"/>
    <w:basedOn w:val="DefaultParagraphFont"/>
    <w:uiPriority w:val="99"/>
    <w:semiHidden/>
    <w:unhideWhenUsed/>
    <w:rsid w:val="002E01C6"/>
    <w:rPr>
      <w:color w:val="96607D" w:themeColor="followedHyperlink"/>
      <w:u w:val="single"/>
    </w:rPr>
  </w:style>
  <w:style w:type="paragraph" w:styleId="BalloonText">
    <w:name w:val="Balloon Text"/>
    <w:basedOn w:val="Normal"/>
    <w:link w:val="BalloonTextChar"/>
    <w:uiPriority w:val="99"/>
    <w:semiHidden/>
    <w:unhideWhenUsed/>
    <w:rsid w:val="00250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B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30E8B"/>
    <w:pPr>
      <w:keepNext/>
      <w:keepLines/>
      <w:spacing w:before="360" w:after="80"/>
      <w:outlineLvl w:val="0"/>
    </w:pPr>
    <w:rPr>
      <w:rFonts w:ascii="Arial" w:eastAsiaTheme="majorEastAsia" w:hAnsi="Arial" w:cstheme="majorBidi"/>
      <w:b/>
      <w:szCs w:val="40"/>
    </w:rPr>
  </w:style>
  <w:style w:type="paragraph" w:styleId="Heading2">
    <w:name w:val="heading 2"/>
    <w:basedOn w:val="Normal"/>
    <w:next w:val="Normal"/>
    <w:link w:val="Heading2Char"/>
    <w:uiPriority w:val="9"/>
    <w:unhideWhenUsed/>
    <w:qFormat/>
    <w:rsid w:val="00B52EA2"/>
    <w:pPr>
      <w:keepNext/>
      <w:keepLines/>
      <w:spacing w:before="160" w:after="80"/>
      <w:outlineLvl w:val="1"/>
    </w:pPr>
    <w:rPr>
      <w:rFonts w:ascii="Arial" w:eastAsiaTheme="majorEastAsia" w:hAnsi="Arial" w:cstheme="majorBidi"/>
      <w:b/>
      <w:szCs w:val="32"/>
    </w:rPr>
  </w:style>
  <w:style w:type="paragraph" w:styleId="Heading3">
    <w:name w:val="heading 3"/>
    <w:basedOn w:val="Normal"/>
    <w:next w:val="Normal"/>
    <w:link w:val="Heading3Char"/>
    <w:uiPriority w:val="9"/>
    <w:semiHidden/>
    <w:unhideWhenUsed/>
    <w:qFormat/>
    <w:rsid w:val="00872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2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2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2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2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25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25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E8B"/>
    <w:rPr>
      <w:rFonts w:ascii="Arial" w:eastAsiaTheme="majorEastAsia" w:hAnsi="Arial" w:cstheme="majorBidi"/>
      <w:b/>
      <w:szCs w:val="40"/>
    </w:rPr>
  </w:style>
  <w:style w:type="character" w:customStyle="1" w:styleId="Heading2Char">
    <w:name w:val="Heading 2 Char"/>
    <w:basedOn w:val="DefaultParagraphFont"/>
    <w:link w:val="Heading2"/>
    <w:uiPriority w:val="9"/>
    <w:rsid w:val="00B52EA2"/>
    <w:rPr>
      <w:rFonts w:ascii="Arial" w:eastAsiaTheme="majorEastAsia" w:hAnsi="Arial" w:cstheme="majorBidi"/>
      <w:b/>
      <w:szCs w:val="32"/>
    </w:rPr>
  </w:style>
  <w:style w:type="character" w:customStyle="1" w:styleId="Heading3Char">
    <w:name w:val="Heading 3 Char"/>
    <w:basedOn w:val="DefaultParagraphFont"/>
    <w:link w:val="Heading3"/>
    <w:uiPriority w:val="9"/>
    <w:semiHidden/>
    <w:rsid w:val="008725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25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25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25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25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25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25F4"/>
    <w:rPr>
      <w:rFonts w:eastAsiaTheme="majorEastAsia" w:cstheme="majorBidi"/>
      <w:color w:val="272727" w:themeColor="text1" w:themeTint="D8"/>
    </w:rPr>
  </w:style>
  <w:style w:type="paragraph" w:styleId="Title">
    <w:name w:val="Title"/>
    <w:basedOn w:val="Normal"/>
    <w:next w:val="Normal"/>
    <w:link w:val="TitleChar"/>
    <w:uiPriority w:val="10"/>
    <w:qFormat/>
    <w:rsid w:val="008725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5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25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25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25F4"/>
    <w:pPr>
      <w:spacing w:before="160"/>
      <w:jc w:val="center"/>
    </w:pPr>
    <w:rPr>
      <w:i/>
      <w:iCs/>
      <w:color w:val="404040" w:themeColor="text1" w:themeTint="BF"/>
    </w:rPr>
  </w:style>
  <w:style w:type="character" w:customStyle="1" w:styleId="QuoteChar">
    <w:name w:val="Quote Char"/>
    <w:basedOn w:val="DefaultParagraphFont"/>
    <w:link w:val="Quote"/>
    <w:uiPriority w:val="29"/>
    <w:rsid w:val="008725F4"/>
    <w:rPr>
      <w:i/>
      <w:iCs/>
      <w:color w:val="404040" w:themeColor="text1" w:themeTint="BF"/>
    </w:rPr>
  </w:style>
  <w:style w:type="paragraph" w:styleId="ListParagraph">
    <w:name w:val="List Paragraph"/>
    <w:basedOn w:val="Normal"/>
    <w:uiPriority w:val="34"/>
    <w:qFormat/>
    <w:rsid w:val="008725F4"/>
    <w:pPr>
      <w:ind w:left="720"/>
      <w:contextualSpacing/>
    </w:pPr>
  </w:style>
  <w:style w:type="character" w:styleId="IntenseEmphasis">
    <w:name w:val="Intense Emphasis"/>
    <w:basedOn w:val="DefaultParagraphFont"/>
    <w:uiPriority w:val="21"/>
    <w:qFormat/>
    <w:rsid w:val="008725F4"/>
    <w:rPr>
      <w:i/>
      <w:iCs/>
      <w:color w:val="0F4761" w:themeColor="accent1" w:themeShade="BF"/>
    </w:rPr>
  </w:style>
  <w:style w:type="paragraph" w:styleId="IntenseQuote">
    <w:name w:val="Intense Quote"/>
    <w:basedOn w:val="Normal"/>
    <w:next w:val="Normal"/>
    <w:link w:val="IntenseQuoteChar"/>
    <w:uiPriority w:val="30"/>
    <w:qFormat/>
    <w:rsid w:val="00872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25F4"/>
    <w:rPr>
      <w:i/>
      <w:iCs/>
      <w:color w:val="0F4761" w:themeColor="accent1" w:themeShade="BF"/>
    </w:rPr>
  </w:style>
  <w:style w:type="character" w:styleId="IntenseReference">
    <w:name w:val="Intense Reference"/>
    <w:basedOn w:val="DefaultParagraphFont"/>
    <w:uiPriority w:val="32"/>
    <w:qFormat/>
    <w:rsid w:val="008725F4"/>
    <w:rPr>
      <w:b/>
      <w:bCs/>
      <w:smallCaps/>
      <w:color w:val="0F4761" w:themeColor="accent1" w:themeShade="BF"/>
      <w:spacing w:val="5"/>
    </w:rPr>
  </w:style>
  <w:style w:type="table" w:styleId="TableGrid">
    <w:name w:val="Table Grid"/>
    <w:basedOn w:val="TableNormal"/>
    <w:uiPriority w:val="39"/>
    <w:rsid w:val="008A24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267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72C"/>
  </w:style>
  <w:style w:type="paragraph" w:styleId="Footer">
    <w:name w:val="footer"/>
    <w:basedOn w:val="Normal"/>
    <w:link w:val="FooterChar"/>
    <w:uiPriority w:val="99"/>
    <w:unhideWhenUsed/>
    <w:rsid w:val="002267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72C"/>
  </w:style>
  <w:style w:type="paragraph" w:styleId="Caption">
    <w:name w:val="caption"/>
    <w:basedOn w:val="Normal"/>
    <w:next w:val="Normal"/>
    <w:uiPriority w:val="35"/>
    <w:unhideWhenUsed/>
    <w:qFormat/>
    <w:rsid w:val="0067230A"/>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B52EA2"/>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B52EA2"/>
    <w:pPr>
      <w:spacing w:after="100"/>
    </w:pPr>
  </w:style>
  <w:style w:type="paragraph" w:styleId="TOC2">
    <w:name w:val="toc 2"/>
    <w:basedOn w:val="Normal"/>
    <w:next w:val="Normal"/>
    <w:autoRedefine/>
    <w:uiPriority w:val="39"/>
    <w:unhideWhenUsed/>
    <w:rsid w:val="00B52EA2"/>
    <w:pPr>
      <w:spacing w:after="100"/>
      <w:ind w:left="240"/>
    </w:pPr>
  </w:style>
  <w:style w:type="character" w:styleId="Hyperlink">
    <w:name w:val="Hyperlink"/>
    <w:basedOn w:val="DefaultParagraphFont"/>
    <w:uiPriority w:val="99"/>
    <w:unhideWhenUsed/>
    <w:rsid w:val="00B52EA2"/>
    <w:rPr>
      <w:color w:val="467886" w:themeColor="hyperlink"/>
      <w:u w:val="single"/>
    </w:rPr>
  </w:style>
  <w:style w:type="paragraph" w:styleId="TableofFigures">
    <w:name w:val="table of figures"/>
    <w:basedOn w:val="Normal"/>
    <w:next w:val="Normal"/>
    <w:uiPriority w:val="99"/>
    <w:unhideWhenUsed/>
    <w:rsid w:val="00B52EA2"/>
    <w:pPr>
      <w:spacing w:after="0"/>
    </w:pPr>
  </w:style>
  <w:style w:type="character" w:customStyle="1" w:styleId="UnresolvedMention1">
    <w:name w:val="Unresolved Mention1"/>
    <w:basedOn w:val="DefaultParagraphFont"/>
    <w:uiPriority w:val="99"/>
    <w:semiHidden/>
    <w:unhideWhenUsed/>
    <w:rsid w:val="002E01C6"/>
    <w:rPr>
      <w:color w:val="605E5C"/>
      <w:shd w:val="clear" w:color="auto" w:fill="E1DFDD"/>
    </w:rPr>
  </w:style>
  <w:style w:type="character" w:styleId="FollowedHyperlink">
    <w:name w:val="FollowedHyperlink"/>
    <w:basedOn w:val="DefaultParagraphFont"/>
    <w:uiPriority w:val="99"/>
    <w:semiHidden/>
    <w:unhideWhenUsed/>
    <w:rsid w:val="002E01C6"/>
    <w:rPr>
      <w:color w:val="96607D" w:themeColor="followedHyperlink"/>
      <w:u w:val="single"/>
    </w:rPr>
  </w:style>
  <w:style w:type="paragraph" w:styleId="BalloonText">
    <w:name w:val="Balloon Text"/>
    <w:basedOn w:val="Normal"/>
    <w:link w:val="BalloonTextChar"/>
    <w:uiPriority w:val="99"/>
    <w:semiHidden/>
    <w:unhideWhenUsed/>
    <w:rsid w:val="00250B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0B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chart" Target="charts/chart3.xm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chart" Target="charts/chart6.xml"/><Relationship Id="rId7" Type="http://schemas.openxmlformats.org/officeDocument/2006/relationships/endnotes" Target="endnotes.xml"/><Relationship Id="rId12" Type="http://schemas.openxmlformats.org/officeDocument/2006/relationships/hyperlink" Target="https://www.volkswagen-group.com/en/ad-hoc/preliminary-key-figures-for-net-cash-flow-and-net-liquidity-in-the-automotive-division-for-the-2025-fiscal-year-20101?utm_source=chatgpt.com" TargetMode="External"/><Relationship Id="rId17" Type="http://schemas.openxmlformats.org/officeDocument/2006/relationships/chart" Target="charts/chart2.xm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chart" Target="charts/chart5.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volkswagen-group.com/en/the-group-strategy-15955?utm_source=chatgpt.co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ad-hoc-news.de/boerse/news/ueberblick/volkswagen-s-restructuring-plan-intensifies-amid-steep-profit-decline/68657651" TargetMode="Externa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emf"/><Relationship Id="rId22" Type="http://schemas.openxmlformats.org/officeDocument/2006/relationships/chart" Target="charts/chart7.xml"/><Relationship Id="rId27" Type="http://schemas.openxmlformats.org/officeDocument/2006/relationships/header" Target="header3.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Sagor\Work%20files\2026\Appril-26\VW_CFO_Strategic_Analysis_FINAL.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Sagor\Work%20files\2026\Appril-26\VW_CFO_Strategic_Analysis_FIXED.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Revenue,</a:t>
            </a:r>
            <a:r>
              <a:rPr lang="en-US" b="1" baseline="0"/>
              <a:t> Gross Profit and EBIT(2020-2024)</a:t>
            </a:r>
            <a:endParaRPr lang="en-US" b="1"/>
          </a:p>
        </c:rich>
      </c:tx>
      <c:overlay val="0"/>
      <c:spPr>
        <a:noFill/>
        <a:ln>
          <a:noFill/>
        </a:ln>
        <a:effectLst/>
      </c:spPr>
    </c:title>
    <c:autoTitleDeleted val="0"/>
    <c:plotArea>
      <c:layout/>
      <c:barChart>
        <c:barDir val="col"/>
        <c:grouping val="clustered"/>
        <c:varyColors val="0"/>
        <c:ser>
          <c:idx val="0"/>
          <c:order val="0"/>
          <c:tx>
            <c:strRef>
              <c:f>'Graph and Charts'!$A$5</c:f>
              <c:strCache>
                <c:ptCount val="1"/>
                <c:pt idx="0">
                  <c:v>Revenue (€m)</c:v>
                </c:pt>
              </c:strCache>
            </c:strRef>
          </c:tx>
          <c:spPr>
            <a:solidFill>
              <a:schemeClr val="accent1"/>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Charts'!$B$5:$F$5</c:f>
              <c:numCache>
                <c:formatCode>#,##0;\(#,##0\);\-</c:formatCode>
                <c:ptCount val="5"/>
                <c:pt idx="0" formatCode="General">
                  <c:v>222884</c:v>
                </c:pt>
                <c:pt idx="1">
                  <c:v>250200</c:v>
                </c:pt>
                <c:pt idx="2">
                  <c:v>279232</c:v>
                </c:pt>
                <c:pt idx="3">
                  <c:v>322284</c:v>
                </c:pt>
                <c:pt idx="4">
                  <c:v>324656</c:v>
                </c:pt>
              </c:numCache>
            </c:numRef>
          </c:val>
          <c:extLst xmlns:c16r2="http://schemas.microsoft.com/office/drawing/2015/06/chart">
            <c:ext xmlns:c16="http://schemas.microsoft.com/office/drawing/2014/chart" uri="{C3380CC4-5D6E-409C-BE32-E72D297353CC}">
              <c16:uniqueId val="{00000000-B297-4E88-92F6-61515EE32117}"/>
            </c:ext>
          </c:extLst>
        </c:ser>
        <c:ser>
          <c:idx val="1"/>
          <c:order val="1"/>
          <c:tx>
            <c:strRef>
              <c:f>'Graph and Charts'!$A$6</c:f>
              <c:strCache>
                <c:ptCount val="1"/>
                <c:pt idx="0">
                  <c:v>Gross Profit (€m)</c:v>
                </c:pt>
              </c:strCache>
            </c:strRef>
          </c:tx>
          <c:spPr>
            <a:solidFill>
              <a:schemeClr val="accent2"/>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Charts'!$B$6:$F$6</c:f>
              <c:numCache>
                <c:formatCode>#,##0;\(#,##0\);\-</c:formatCode>
                <c:ptCount val="5"/>
                <c:pt idx="0" formatCode="General">
                  <c:v>38947</c:v>
                </c:pt>
                <c:pt idx="1">
                  <c:v>47241</c:v>
                </c:pt>
                <c:pt idx="2">
                  <c:v>52228</c:v>
                </c:pt>
                <c:pt idx="3">
                  <c:v>61022</c:v>
                </c:pt>
                <c:pt idx="4">
                  <c:v>59472</c:v>
                </c:pt>
              </c:numCache>
            </c:numRef>
          </c:val>
          <c:extLst xmlns:c16r2="http://schemas.microsoft.com/office/drawing/2015/06/chart">
            <c:ext xmlns:c16="http://schemas.microsoft.com/office/drawing/2014/chart" uri="{C3380CC4-5D6E-409C-BE32-E72D297353CC}">
              <c16:uniqueId val="{00000001-B297-4E88-92F6-61515EE32117}"/>
            </c:ext>
          </c:extLst>
        </c:ser>
        <c:ser>
          <c:idx val="2"/>
          <c:order val="2"/>
          <c:tx>
            <c:strRef>
              <c:f>'Graph and Charts'!$A$7</c:f>
              <c:strCache>
                <c:ptCount val="1"/>
                <c:pt idx="0">
                  <c:v>EBIT (€m)</c:v>
                </c:pt>
              </c:strCache>
            </c:strRef>
          </c:tx>
          <c:spPr>
            <a:solidFill>
              <a:schemeClr val="accent3"/>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Charts'!$B$7:$F$7</c:f>
              <c:numCache>
                <c:formatCode>#,##0;\(#,##0\);\-</c:formatCode>
                <c:ptCount val="5"/>
                <c:pt idx="0" formatCode="General">
                  <c:v>9675</c:v>
                </c:pt>
                <c:pt idx="1">
                  <c:v>19275</c:v>
                </c:pt>
                <c:pt idx="2">
                  <c:v>22124</c:v>
                </c:pt>
                <c:pt idx="3">
                  <c:v>22576</c:v>
                </c:pt>
                <c:pt idx="4">
                  <c:v>19060</c:v>
                </c:pt>
              </c:numCache>
            </c:numRef>
          </c:val>
          <c:extLst xmlns:c16r2="http://schemas.microsoft.com/office/drawing/2015/06/chart">
            <c:ext xmlns:c16="http://schemas.microsoft.com/office/drawing/2014/chart" uri="{C3380CC4-5D6E-409C-BE32-E72D297353CC}">
              <c16:uniqueId val="{00000002-B297-4E88-92F6-61515EE32117}"/>
            </c:ext>
          </c:extLst>
        </c:ser>
        <c:ser>
          <c:idx val="3"/>
          <c:order val="3"/>
          <c:tx>
            <c:strRef>
              <c:f>'Graph and Charts'!$A$8</c:f>
              <c:strCache>
                <c:ptCount val="1"/>
                <c:pt idx="0">
                  <c:v>Net Income (€m)</c:v>
                </c:pt>
              </c:strCache>
            </c:strRef>
          </c:tx>
          <c:spPr>
            <a:solidFill>
              <a:schemeClr val="accent4"/>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Charts'!$B$8:$F$8</c:f>
              <c:numCache>
                <c:formatCode>#,##0;\(#,##0\);\-</c:formatCode>
                <c:ptCount val="5"/>
                <c:pt idx="0" formatCode="General">
                  <c:v>8824</c:v>
                </c:pt>
                <c:pt idx="1">
                  <c:v>15428</c:v>
                </c:pt>
                <c:pt idx="2">
                  <c:v>15836</c:v>
                </c:pt>
                <c:pt idx="3">
                  <c:v>17928</c:v>
                </c:pt>
                <c:pt idx="4">
                  <c:v>12394</c:v>
                </c:pt>
              </c:numCache>
            </c:numRef>
          </c:val>
          <c:extLst xmlns:c16r2="http://schemas.microsoft.com/office/drawing/2015/06/chart">
            <c:ext xmlns:c16="http://schemas.microsoft.com/office/drawing/2014/chart" uri="{C3380CC4-5D6E-409C-BE32-E72D297353CC}">
              <c16:uniqueId val="{00000003-B297-4E88-92F6-61515EE32117}"/>
            </c:ext>
          </c:extLst>
        </c:ser>
        <c:dLbls>
          <c:showLegendKey val="0"/>
          <c:showVal val="0"/>
          <c:showCatName val="0"/>
          <c:showSerName val="0"/>
          <c:showPercent val="0"/>
          <c:showBubbleSize val="0"/>
        </c:dLbls>
        <c:gapWidth val="219"/>
        <c:overlap val="-27"/>
        <c:axId val="250652544"/>
        <c:axId val="250672256"/>
      </c:barChart>
      <c:catAx>
        <c:axId val="250652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672256"/>
        <c:crosses val="autoZero"/>
        <c:auto val="1"/>
        <c:lblAlgn val="ctr"/>
        <c:lblOffset val="100"/>
        <c:noMultiLvlLbl val="0"/>
      </c:catAx>
      <c:valAx>
        <c:axId val="25067225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0652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a:effectLst/>
              </a:rPr>
              <a:t>Operating &amp; Free Cash Flow (€m)2020-2024</a:t>
            </a:r>
            <a:endParaRPr lang="en-US" sz="1400">
              <a:effectLst/>
            </a:endParaRPr>
          </a:p>
        </c:rich>
      </c:tx>
      <c:overlay val="0"/>
      <c:spPr>
        <a:noFill/>
        <a:ln>
          <a:noFill/>
        </a:ln>
        <a:effectLst/>
      </c:spPr>
    </c:title>
    <c:autoTitleDeleted val="0"/>
    <c:plotArea>
      <c:layout/>
      <c:barChart>
        <c:barDir val="col"/>
        <c:grouping val="clustered"/>
        <c:varyColors val="0"/>
        <c:ser>
          <c:idx val="0"/>
          <c:order val="0"/>
          <c:tx>
            <c:strRef>
              <c:f>'Graph and Charts'!$A$9</c:f>
              <c:strCache>
                <c:ptCount val="1"/>
                <c:pt idx="0">
                  <c:v>Operating Cash Flow (€m)</c:v>
                </c:pt>
              </c:strCache>
            </c:strRef>
          </c:tx>
          <c:spPr>
            <a:solidFill>
              <a:schemeClr val="accent1"/>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Charts'!$B$9:$F$9</c:f>
              <c:numCache>
                <c:formatCode>#,##0;\(#,##0\);\-</c:formatCode>
                <c:ptCount val="5"/>
                <c:pt idx="0" formatCode="General">
                  <c:v>24901</c:v>
                </c:pt>
                <c:pt idx="1">
                  <c:v>38633</c:v>
                </c:pt>
                <c:pt idx="2">
                  <c:v>28496</c:v>
                </c:pt>
                <c:pt idx="3">
                  <c:v>19356</c:v>
                </c:pt>
                <c:pt idx="4">
                  <c:v>17151</c:v>
                </c:pt>
              </c:numCache>
            </c:numRef>
          </c:val>
          <c:extLst xmlns:c16r2="http://schemas.microsoft.com/office/drawing/2015/06/chart">
            <c:ext xmlns:c16="http://schemas.microsoft.com/office/drawing/2014/chart" uri="{C3380CC4-5D6E-409C-BE32-E72D297353CC}">
              <c16:uniqueId val="{00000000-B0A4-4E19-9644-1204634ABF31}"/>
            </c:ext>
          </c:extLst>
        </c:ser>
        <c:ser>
          <c:idx val="1"/>
          <c:order val="1"/>
          <c:tx>
            <c:strRef>
              <c:f>'Graph and Charts'!$A$10</c:f>
              <c:strCache>
                <c:ptCount val="1"/>
                <c:pt idx="0">
                  <c:v>Free Cash Flow (€m)</c:v>
                </c:pt>
              </c:strCache>
            </c:strRef>
          </c:tx>
          <c:spPr>
            <a:solidFill>
              <a:schemeClr val="accent2"/>
            </a:solidFill>
            <a:ln>
              <a:noFill/>
            </a:ln>
            <a:effectLst/>
          </c:spPr>
          <c:invertIfNegative val="0"/>
          <c:cat>
            <c:strRef>
              <c:f>'Graph and Charts'!$B$4:$F$4</c:f>
              <c:strCache>
                <c:ptCount val="5"/>
                <c:pt idx="0">
                  <c:v>2020</c:v>
                </c:pt>
                <c:pt idx="1">
                  <c:v>2021</c:v>
                </c:pt>
                <c:pt idx="2">
                  <c:v>2022</c:v>
                </c:pt>
                <c:pt idx="3">
                  <c:v>2023</c:v>
                </c:pt>
                <c:pt idx="4">
                  <c:v>2024</c:v>
                </c:pt>
              </c:strCache>
            </c:strRef>
          </c:cat>
          <c:val>
            <c:numRef>
              <c:f>'Graph and Charts'!$B$10:$F$10</c:f>
              <c:numCache>
                <c:formatCode>#,##0;\(#,##0\);\-</c:formatCode>
                <c:ptCount val="5"/>
                <c:pt idx="0" formatCode="General">
                  <c:v>7155</c:v>
                </c:pt>
                <c:pt idx="1">
                  <c:v>20135</c:v>
                </c:pt>
                <c:pt idx="2">
                  <c:v>5825</c:v>
                </c:pt>
                <c:pt idx="3">
                  <c:v>-6439</c:v>
                </c:pt>
                <c:pt idx="4">
                  <c:v>-10295</c:v>
                </c:pt>
              </c:numCache>
            </c:numRef>
          </c:val>
          <c:extLst xmlns:c16r2="http://schemas.microsoft.com/office/drawing/2015/06/chart">
            <c:ext xmlns:c16="http://schemas.microsoft.com/office/drawing/2014/chart" uri="{C3380CC4-5D6E-409C-BE32-E72D297353CC}">
              <c16:uniqueId val="{00000001-B0A4-4E19-9644-1204634ABF31}"/>
            </c:ext>
          </c:extLst>
        </c:ser>
        <c:dLbls>
          <c:showLegendKey val="0"/>
          <c:showVal val="0"/>
          <c:showCatName val="0"/>
          <c:showSerName val="0"/>
          <c:showPercent val="0"/>
          <c:showBubbleSize val="0"/>
        </c:dLbls>
        <c:gapWidth val="219"/>
        <c:overlap val="-27"/>
        <c:axId val="263524352"/>
        <c:axId val="263527808"/>
      </c:barChart>
      <c:catAx>
        <c:axId val="263524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527808"/>
        <c:crosses val="autoZero"/>
        <c:auto val="1"/>
        <c:lblAlgn val="ctr"/>
        <c:lblOffset val="100"/>
        <c:noMultiLvlLbl val="0"/>
      </c:catAx>
      <c:valAx>
        <c:axId val="2635278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635243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lang="en-US" sz="1400" b="1" strike="noStrike" spc="-1">
                <a:solidFill>
                  <a:srgbClr val="000000"/>
                </a:solidFill>
                <a:latin typeface="Calibri"/>
              </a:defRPr>
            </a:pPr>
            <a:r>
              <a:rPr lang="en-US" sz="1400" b="1" strike="noStrike" spc="-1">
                <a:solidFill>
                  <a:srgbClr val="000000"/>
                </a:solidFill>
                <a:latin typeface="Calibri"/>
              </a:rPr>
              <a:t>Profitability Margins 2020–2024 (%)</a:t>
            </a:r>
          </a:p>
        </c:rich>
      </c:tx>
      <c:layout>
        <c:manualLayout>
          <c:xMode val="edge"/>
          <c:yMode val="edge"/>
          <c:x val="0.20899410097295601"/>
          <c:y val="2.3463831993777499E-2"/>
        </c:manualLayout>
      </c:layout>
      <c:overlay val="0"/>
      <c:spPr>
        <a:noFill/>
        <a:ln w="0">
          <a:noFill/>
        </a:ln>
      </c:spPr>
    </c:title>
    <c:autoTitleDeleted val="0"/>
    <c:plotArea>
      <c:layout/>
      <c:lineChart>
        <c:grouping val="standard"/>
        <c:varyColors val="0"/>
        <c:ser>
          <c:idx val="0"/>
          <c:order val="0"/>
          <c:tx>
            <c:strRef>
              <c:f>'Graph and Charts'!$A$11</c:f>
              <c:strCache>
                <c:ptCount val="1"/>
                <c:pt idx="0">
                  <c:v>Gross Margin (%)</c:v>
                </c:pt>
              </c:strCache>
            </c:strRef>
          </c:tx>
          <c:spPr>
            <a:ln w="28440" cap="rnd">
              <a:solidFill>
                <a:srgbClr val="4F81BD"/>
              </a:solidFill>
              <a:round/>
            </a:ln>
          </c:spPr>
          <c:marker>
            <c:symbol val="none"/>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'Graph and Charts'!$B$4:$F$4</c:f>
              <c:strCache>
                <c:ptCount val="5"/>
                <c:pt idx="0">
                  <c:v>2020</c:v>
                </c:pt>
                <c:pt idx="1">
                  <c:v>2021</c:v>
                </c:pt>
                <c:pt idx="2">
                  <c:v>2022</c:v>
                </c:pt>
                <c:pt idx="3">
                  <c:v>2023</c:v>
                </c:pt>
                <c:pt idx="4">
                  <c:v>2024</c:v>
                </c:pt>
              </c:strCache>
            </c:strRef>
          </c:cat>
          <c:val>
            <c:numRef>
              <c:f>'Graph and Charts'!$B$11:$F$11</c:f>
              <c:numCache>
                <c:formatCode>0.00%</c:formatCode>
                <c:ptCount val="5"/>
                <c:pt idx="0" formatCode="General">
                  <c:v>0.17469999999999999</c:v>
                </c:pt>
                <c:pt idx="1">
                  <c:v>0.1888</c:v>
                </c:pt>
                <c:pt idx="2">
                  <c:v>0.187</c:v>
                </c:pt>
                <c:pt idx="3">
                  <c:v>0.1893</c:v>
                </c:pt>
                <c:pt idx="4">
                  <c:v>0.1832</c:v>
                </c:pt>
              </c:numCache>
            </c:numRef>
          </c:val>
          <c:smooth val="0"/>
          <c:extLst xmlns:c16r2="http://schemas.microsoft.com/office/drawing/2015/06/chart">
            <c:ext xmlns:c16="http://schemas.microsoft.com/office/drawing/2014/chart" uri="{C3380CC4-5D6E-409C-BE32-E72D297353CC}">
              <c16:uniqueId val="{00000000-64BB-4706-81D1-16D607DD2BD7}"/>
            </c:ext>
          </c:extLst>
        </c:ser>
        <c:ser>
          <c:idx val="1"/>
          <c:order val="1"/>
          <c:tx>
            <c:strRef>
              <c:f>'Graph and Charts'!$A$12</c:f>
              <c:strCache>
                <c:ptCount val="1"/>
                <c:pt idx="0">
                  <c:v>EBIT Margin (%)</c:v>
                </c:pt>
              </c:strCache>
            </c:strRef>
          </c:tx>
          <c:spPr>
            <a:ln w="28440" cap="rnd">
              <a:solidFill>
                <a:srgbClr val="C0504D"/>
              </a:solidFill>
              <a:round/>
            </a:ln>
          </c:spPr>
          <c:marker>
            <c:symbol val="none"/>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'Graph and Charts'!$B$4:$F$4</c:f>
              <c:strCache>
                <c:ptCount val="5"/>
                <c:pt idx="0">
                  <c:v>2020</c:v>
                </c:pt>
                <c:pt idx="1">
                  <c:v>2021</c:v>
                </c:pt>
                <c:pt idx="2">
                  <c:v>2022</c:v>
                </c:pt>
                <c:pt idx="3">
                  <c:v>2023</c:v>
                </c:pt>
                <c:pt idx="4">
                  <c:v>2024</c:v>
                </c:pt>
              </c:strCache>
            </c:strRef>
          </c:cat>
          <c:val>
            <c:numRef>
              <c:f>'Graph and Charts'!$B$12:$F$12</c:f>
              <c:numCache>
                <c:formatCode>0.00%</c:formatCode>
                <c:ptCount val="5"/>
                <c:pt idx="0" formatCode="General">
                  <c:v>4.3400000000000001E-2</c:v>
                </c:pt>
                <c:pt idx="1">
                  <c:v>7.6999999999999999E-2</c:v>
                </c:pt>
                <c:pt idx="2">
                  <c:v>7.9200000000000007E-2</c:v>
                </c:pt>
                <c:pt idx="3">
                  <c:v>7.0099999999999996E-2</c:v>
                </c:pt>
                <c:pt idx="4">
                  <c:v>5.8700000000000002E-2</c:v>
                </c:pt>
              </c:numCache>
            </c:numRef>
          </c:val>
          <c:smooth val="0"/>
          <c:extLst xmlns:c16r2="http://schemas.microsoft.com/office/drawing/2015/06/chart">
            <c:ext xmlns:c16="http://schemas.microsoft.com/office/drawing/2014/chart" uri="{C3380CC4-5D6E-409C-BE32-E72D297353CC}">
              <c16:uniqueId val="{00000001-64BB-4706-81D1-16D607DD2BD7}"/>
            </c:ext>
          </c:extLst>
        </c:ser>
        <c:ser>
          <c:idx val="2"/>
          <c:order val="2"/>
          <c:tx>
            <c:strRef>
              <c:f>'Graph and Charts'!$A$13</c:f>
              <c:strCache>
                <c:ptCount val="1"/>
                <c:pt idx="0">
                  <c:v>Net Margin (%)</c:v>
                </c:pt>
              </c:strCache>
            </c:strRef>
          </c:tx>
          <c:spPr>
            <a:ln w="28440" cap="rnd">
              <a:solidFill>
                <a:srgbClr val="9BBB59"/>
              </a:solidFill>
              <a:round/>
            </a:ln>
          </c:spPr>
          <c:marker>
            <c:symbol val="none"/>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cat>
            <c:strRef>
              <c:f>'Graph and Charts'!$B$4:$F$4</c:f>
              <c:strCache>
                <c:ptCount val="5"/>
                <c:pt idx="0">
                  <c:v>2020</c:v>
                </c:pt>
                <c:pt idx="1">
                  <c:v>2021</c:v>
                </c:pt>
                <c:pt idx="2">
                  <c:v>2022</c:v>
                </c:pt>
                <c:pt idx="3">
                  <c:v>2023</c:v>
                </c:pt>
                <c:pt idx="4">
                  <c:v>2024</c:v>
                </c:pt>
              </c:strCache>
            </c:strRef>
          </c:cat>
          <c:val>
            <c:numRef>
              <c:f>'Graph and Charts'!$B$13:$F$13</c:f>
              <c:numCache>
                <c:formatCode>0.00%</c:formatCode>
                <c:ptCount val="5"/>
                <c:pt idx="0" formatCode="General">
                  <c:v>3.9600000000000003E-2</c:v>
                </c:pt>
                <c:pt idx="1">
                  <c:v>6.1699999999999998E-2</c:v>
                </c:pt>
                <c:pt idx="2">
                  <c:v>5.67E-2</c:v>
                </c:pt>
                <c:pt idx="3">
                  <c:v>5.5599999999999997E-2</c:v>
                </c:pt>
                <c:pt idx="4">
                  <c:v>3.8199999999999998E-2</c:v>
                </c:pt>
              </c:numCache>
            </c:numRef>
          </c:val>
          <c:smooth val="0"/>
          <c:extLst xmlns:c16r2="http://schemas.microsoft.com/office/drawing/2015/06/chart">
            <c:ext xmlns:c16="http://schemas.microsoft.com/office/drawing/2014/chart" uri="{C3380CC4-5D6E-409C-BE32-E72D297353CC}">
              <c16:uniqueId val="{00000002-64BB-4706-81D1-16D607DD2BD7}"/>
            </c:ext>
          </c:extLst>
        </c:ser>
        <c:dLbls>
          <c:dLblPos val="t"/>
          <c:showLegendKey val="0"/>
          <c:showVal val="1"/>
          <c:showCatName val="0"/>
          <c:showSerName val="0"/>
          <c:showPercent val="0"/>
          <c:showBubbleSize val="0"/>
        </c:dLbls>
        <c:hiLowLines>
          <c:spPr>
            <a:ln w="0">
              <a:noFill/>
            </a:ln>
          </c:spPr>
        </c:hiLowLines>
        <c:marker val="1"/>
        <c:smooth val="0"/>
        <c:axId val="301269376"/>
        <c:axId val="301272064"/>
      </c:lineChart>
      <c:catAx>
        <c:axId val="301269376"/>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sz="900" b="0" strike="noStrike" spc="-1">
                <a:solidFill>
                  <a:srgbClr val="595959"/>
                </a:solidFill>
                <a:latin typeface="Calibri"/>
              </a:defRPr>
            </a:pPr>
            <a:endParaRPr lang="en-US"/>
          </a:p>
        </c:txPr>
        <c:crossAx val="301272064"/>
        <c:crosses val="autoZero"/>
        <c:auto val="1"/>
        <c:lblAlgn val="ctr"/>
        <c:lblOffset val="100"/>
        <c:noMultiLvlLbl val="0"/>
      </c:catAx>
      <c:valAx>
        <c:axId val="301272064"/>
        <c:scaling>
          <c:orientation val="minMax"/>
        </c:scaling>
        <c:delete val="0"/>
        <c:axPos val="l"/>
        <c:majorGridlines>
          <c:spPr>
            <a:ln w="9360">
              <a:solidFill>
                <a:srgbClr val="D9D9D9"/>
              </a:solidFill>
              <a:round/>
            </a:ln>
          </c:spPr>
        </c:majorGridlines>
        <c:numFmt formatCode="0.00%" sourceLinked="0"/>
        <c:majorTickMark val="none"/>
        <c:minorTickMark val="none"/>
        <c:tickLblPos val="nextTo"/>
        <c:spPr>
          <a:ln w="9360">
            <a:noFill/>
          </a:ln>
        </c:spPr>
        <c:txPr>
          <a:bodyPr/>
          <a:lstStyle/>
          <a:p>
            <a:pPr>
              <a:defRPr sz="900" b="0" strike="noStrike" spc="-1">
                <a:solidFill>
                  <a:srgbClr val="595959"/>
                </a:solidFill>
                <a:latin typeface="Calibri"/>
              </a:defRPr>
            </a:pPr>
            <a:endParaRPr lang="en-US"/>
          </a:p>
        </c:txPr>
        <c:crossAx val="301269376"/>
        <c:crosses val="autoZero"/>
        <c:crossBetween val="between"/>
      </c:valAx>
      <c:spPr>
        <a:noFill/>
        <a:ln w="0">
          <a:noFill/>
        </a:ln>
      </c:spPr>
    </c:plotArea>
    <c:plotVisOnly val="1"/>
    <c:dispBlanksAs val="gap"/>
    <c:showDLblsOverMax val="1"/>
  </c:chart>
  <c:spPr>
    <a:solidFill>
      <a:srgbClr val="FFFFFF"/>
    </a:solidFill>
    <a:ln w="9360">
      <a:solidFill>
        <a:srgbClr val="D9D9D9"/>
      </a:solidFill>
      <a:round/>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kern="1200" spc="-1" baseline="0">
                <a:solidFill>
                  <a:srgbClr val="595959"/>
                </a:solidFill>
                <a:latin typeface="+mn-lt"/>
              </a:rPr>
              <a:t>Liquidity Analysis 2020-2024</a:t>
            </a:r>
            <a:endParaRPr lang="en-US"/>
          </a:p>
        </c:rich>
      </c:tx>
      <c:overlay val="0"/>
      <c:spPr>
        <a:noFill/>
        <a:ln>
          <a:noFill/>
        </a:ln>
        <a:effectLst/>
      </c:spPr>
    </c:title>
    <c:autoTitleDeleted val="0"/>
    <c:plotArea>
      <c:layout/>
      <c:barChart>
        <c:barDir val="col"/>
        <c:grouping val="clustered"/>
        <c:varyColors val="0"/>
        <c:ser>
          <c:idx val="0"/>
          <c:order val="0"/>
          <c:tx>
            <c:strRef>
              <c:f>'Graph and Charts'!$A$14</c:f>
              <c:strCache>
                <c:ptCount val="1"/>
                <c:pt idx="0">
                  <c:v>Current Ratio (x)</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 and Charts'!$B$4:$F$4</c:f>
              <c:strCache>
                <c:ptCount val="5"/>
                <c:pt idx="0">
                  <c:v>2020</c:v>
                </c:pt>
                <c:pt idx="1">
                  <c:v>2021</c:v>
                </c:pt>
                <c:pt idx="2">
                  <c:v>2022</c:v>
                </c:pt>
                <c:pt idx="3">
                  <c:v>2023</c:v>
                </c:pt>
                <c:pt idx="4">
                  <c:v>2024</c:v>
                </c:pt>
              </c:strCache>
            </c:strRef>
          </c:cat>
          <c:val>
            <c:numRef>
              <c:f>'Graph and Charts'!$B$14:$F$14</c:f>
              <c:numCache>
                <c:formatCode>0.00\x</c:formatCode>
                <c:ptCount val="5"/>
                <c:pt idx="0" formatCode="General">
                  <c:v>1.18</c:v>
                </c:pt>
                <c:pt idx="1">
                  <c:v>1.22</c:v>
                </c:pt>
                <c:pt idx="2">
                  <c:v>1.23</c:v>
                </c:pt>
                <c:pt idx="3">
                  <c:v>1.1599999999999999</c:v>
                </c:pt>
                <c:pt idx="4">
                  <c:v>1.1299999999999999</c:v>
                </c:pt>
              </c:numCache>
            </c:numRef>
          </c:val>
          <c:extLst xmlns:c16r2="http://schemas.microsoft.com/office/drawing/2015/06/chart">
            <c:ext xmlns:c16="http://schemas.microsoft.com/office/drawing/2014/chart" uri="{C3380CC4-5D6E-409C-BE32-E72D297353CC}">
              <c16:uniqueId val="{00000000-B2F6-42E4-A2A3-DE0549F64B5D}"/>
            </c:ext>
          </c:extLst>
        </c:ser>
        <c:ser>
          <c:idx val="1"/>
          <c:order val="1"/>
          <c:tx>
            <c:strRef>
              <c:f>'Graph and Charts'!$A$15</c:f>
              <c:strCache>
                <c:ptCount val="1"/>
                <c:pt idx="0">
                  <c:v>Quick Ratio (x)</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'Graph and Charts'!$B$4:$F$4</c:f>
              <c:strCache>
                <c:ptCount val="5"/>
                <c:pt idx="0">
                  <c:v>2020</c:v>
                </c:pt>
                <c:pt idx="1">
                  <c:v>2021</c:v>
                </c:pt>
                <c:pt idx="2">
                  <c:v>2022</c:v>
                </c:pt>
                <c:pt idx="3">
                  <c:v>2023</c:v>
                </c:pt>
                <c:pt idx="4">
                  <c:v>2024</c:v>
                </c:pt>
              </c:strCache>
            </c:strRef>
          </c:cat>
          <c:val>
            <c:numRef>
              <c:f>'Graph and Charts'!$B$15:$F$15</c:f>
              <c:numCache>
                <c:formatCode>0.00\x</c:formatCode>
                <c:ptCount val="5"/>
                <c:pt idx="0" formatCode="General">
                  <c:v>0.91</c:v>
                </c:pt>
                <c:pt idx="1">
                  <c:v>0.95</c:v>
                </c:pt>
                <c:pt idx="2">
                  <c:v>0.94</c:v>
                </c:pt>
                <c:pt idx="3">
                  <c:v>0.9</c:v>
                </c:pt>
                <c:pt idx="4">
                  <c:v>0.87</c:v>
                </c:pt>
              </c:numCache>
            </c:numRef>
          </c:val>
          <c:extLst xmlns:c16r2="http://schemas.microsoft.com/office/drawing/2015/06/chart">
            <c:ext xmlns:c16="http://schemas.microsoft.com/office/drawing/2014/chart" uri="{C3380CC4-5D6E-409C-BE32-E72D297353CC}">
              <c16:uniqueId val="{00000001-B2F6-42E4-A2A3-DE0549F64B5D}"/>
            </c:ext>
          </c:extLst>
        </c:ser>
        <c:dLbls>
          <c:dLblPos val="outEnd"/>
          <c:showLegendKey val="0"/>
          <c:showVal val="1"/>
          <c:showCatName val="0"/>
          <c:showSerName val="0"/>
          <c:showPercent val="0"/>
          <c:showBubbleSize val="0"/>
        </c:dLbls>
        <c:gapWidth val="219"/>
        <c:overlap val="-27"/>
        <c:axId val="251542912"/>
        <c:axId val="251544704"/>
      </c:barChart>
      <c:catAx>
        <c:axId val="251542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544704"/>
        <c:crosses val="autoZero"/>
        <c:auto val="1"/>
        <c:lblAlgn val="ctr"/>
        <c:lblOffset val="100"/>
        <c:noMultiLvlLbl val="0"/>
      </c:catAx>
      <c:valAx>
        <c:axId val="2515447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1542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lang="en-US" sz="1400" b="1" strike="noStrike" spc="-1">
                <a:solidFill>
                  <a:srgbClr val="595959"/>
                </a:solidFill>
                <a:latin typeface="Calibri"/>
              </a:defRPr>
            </a:pPr>
            <a:r>
              <a:rPr lang="en-US" sz="1400" b="1" strike="noStrike" spc="-1">
                <a:solidFill>
                  <a:srgbClr val="595959"/>
                </a:solidFill>
                <a:latin typeface="Calibri"/>
              </a:rPr>
              <a:t>Asset Turnover 2020-2024</a:t>
            </a:r>
          </a:p>
        </c:rich>
      </c:tx>
      <c:overlay val="0"/>
      <c:spPr>
        <a:noFill/>
        <a:ln w="0">
          <a:noFill/>
        </a:ln>
      </c:spPr>
    </c:title>
    <c:autoTitleDeleted val="0"/>
    <c:plotArea>
      <c:layout/>
      <c:lineChart>
        <c:grouping val="standard"/>
        <c:varyColors val="0"/>
        <c:ser>
          <c:idx val="0"/>
          <c:order val="0"/>
          <c:tx>
            <c:strRef>
              <c:f>'Graph and Charts'!$A$18</c:f>
              <c:strCache>
                <c:ptCount val="1"/>
                <c:pt idx="0">
                  <c:v>Inventory Days</c:v>
                </c:pt>
              </c:strCache>
            </c:strRef>
          </c:tx>
          <c:spPr>
            <a:ln w="28440" cap="rnd">
              <a:solidFill>
                <a:srgbClr val="4F81BD"/>
              </a:solidFill>
              <a:round/>
            </a:ln>
          </c:spPr>
          <c:marker>
            <c:symbol val="none"/>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val>
            <c:numRef>
              <c:f>'Graph and Charts'!$B$18:$F$18</c:f>
              <c:numCache>
                <c:formatCode>0.0" days"</c:formatCode>
                <c:ptCount val="5"/>
                <c:pt idx="0" formatCode="General">
                  <c:v>87</c:v>
                </c:pt>
                <c:pt idx="1">
                  <c:v>78.599999999999994</c:v>
                </c:pt>
                <c:pt idx="2">
                  <c:v>84.1</c:v>
                </c:pt>
                <c:pt idx="3">
                  <c:v>74.900000000000006</c:v>
                </c:pt>
                <c:pt idx="4">
                  <c:v>78.099999999999994</c:v>
                </c:pt>
              </c:numCache>
            </c:numRef>
          </c:val>
          <c:smooth val="0"/>
          <c:extLst xmlns:c16r2="http://schemas.microsoft.com/office/drawing/2015/06/chart">
            <c:ext xmlns:c16="http://schemas.microsoft.com/office/drawing/2014/chart" uri="{C3380CC4-5D6E-409C-BE32-E72D297353CC}">
              <c16:uniqueId val="{00000000-1FCF-4F55-A12B-CC3E0AE2DB60}"/>
            </c:ext>
          </c:extLst>
        </c:ser>
        <c:ser>
          <c:idx val="1"/>
          <c:order val="1"/>
          <c:tx>
            <c:strRef>
              <c:f>'Graph and Charts'!$A$19</c:f>
              <c:strCache>
                <c:ptCount val="1"/>
                <c:pt idx="0">
                  <c:v>COC (days)</c:v>
                </c:pt>
              </c:strCache>
            </c:strRef>
          </c:tx>
          <c:spPr>
            <a:ln w="28440" cap="rnd">
              <a:solidFill>
                <a:srgbClr val="C0504D"/>
              </a:solidFill>
              <a:round/>
            </a:ln>
          </c:spPr>
          <c:marker>
            <c:symbol val="none"/>
          </c:marker>
          <c:dLbls>
            <c:spPr>
              <a:noFill/>
              <a:ln>
                <a:noFill/>
              </a:ln>
              <a:effectLst/>
            </c:sp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1"/>
              </c:ext>
            </c:extLst>
          </c:dLbls>
          <c:val>
            <c:numRef>
              <c:f>'Graph and Charts'!$B$19:$F$19</c:f>
              <c:numCache>
                <c:formatCode>0.0" days"</c:formatCode>
                <c:ptCount val="5"/>
                <c:pt idx="0" formatCode="General">
                  <c:v>68.599999999999994</c:v>
                </c:pt>
                <c:pt idx="1">
                  <c:v>58.7</c:v>
                </c:pt>
                <c:pt idx="2">
                  <c:v>62.2</c:v>
                </c:pt>
                <c:pt idx="3">
                  <c:v>56.4</c:v>
                </c:pt>
                <c:pt idx="4">
                  <c:v>60.9</c:v>
                </c:pt>
              </c:numCache>
            </c:numRef>
          </c:val>
          <c:smooth val="0"/>
          <c:extLst xmlns:c16r2="http://schemas.microsoft.com/office/drawing/2015/06/chart">
            <c:ext xmlns:c16="http://schemas.microsoft.com/office/drawing/2014/chart" uri="{C3380CC4-5D6E-409C-BE32-E72D297353CC}">
              <c16:uniqueId val="{00000001-1FCF-4F55-A12B-CC3E0AE2DB60}"/>
            </c:ext>
          </c:extLst>
        </c:ser>
        <c:dLbls>
          <c:dLblPos val="t"/>
          <c:showLegendKey val="0"/>
          <c:showVal val="1"/>
          <c:showCatName val="0"/>
          <c:showSerName val="0"/>
          <c:showPercent val="0"/>
          <c:showBubbleSize val="0"/>
        </c:dLbls>
        <c:hiLowLines>
          <c:spPr>
            <a:ln w="0">
              <a:noFill/>
            </a:ln>
          </c:spPr>
        </c:hiLowLines>
        <c:marker val="1"/>
        <c:smooth val="0"/>
        <c:axId val="252345728"/>
        <c:axId val="252372096"/>
      </c:lineChart>
      <c:catAx>
        <c:axId val="252345728"/>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sz="900" b="0" strike="noStrike" spc="-1">
                <a:solidFill>
                  <a:srgbClr val="595959"/>
                </a:solidFill>
                <a:latin typeface="Calibri"/>
              </a:defRPr>
            </a:pPr>
            <a:endParaRPr lang="en-US"/>
          </a:p>
        </c:txPr>
        <c:crossAx val="252372096"/>
        <c:crosses val="autoZero"/>
        <c:auto val="1"/>
        <c:lblAlgn val="ctr"/>
        <c:lblOffset val="100"/>
        <c:noMultiLvlLbl val="0"/>
      </c:catAx>
      <c:valAx>
        <c:axId val="252372096"/>
        <c:scaling>
          <c:orientation val="minMax"/>
        </c:scaling>
        <c:delete val="0"/>
        <c:axPos val="l"/>
        <c:majorGridlines>
          <c:spPr>
            <a:ln w="9360">
              <a:solidFill>
                <a:srgbClr val="D9D9D9"/>
              </a:solidFill>
              <a:round/>
            </a:ln>
          </c:spPr>
        </c:majorGridlines>
        <c:numFmt formatCode="0.0&quot; days&quot;" sourceLinked="0"/>
        <c:majorTickMark val="none"/>
        <c:minorTickMark val="none"/>
        <c:tickLblPos val="nextTo"/>
        <c:spPr>
          <a:ln w="9360">
            <a:noFill/>
          </a:ln>
        </c:spPr>
        <c:txPr>
          <a:bodyPr/>
          <a:lstStyle/>
          <a:p>
            <a:pPr>
              <a:defRPr sz="900" b="0" strike="noStrike" spc="-1">
                <a:solidFill>
                  <a:srgbClr val="595959"/>
                </a:solidFill>
                <a:latin typeface="Calibri"/>
              </a:defRPr>
            </a:pPr>
            <a:endParaRPr lang="en-US"/>
          </a:p>
        </c:txPr>
        <c:crossAx val="252345728"/>
        <c:crosses val="autoZero"/>
        <c:crossBetween val="between"/>
      </c:valAx>
      <c:spPr>
        <a:noFill/>
        <a:ln w="0">
          <a:noFill/>
        </a:ln>
      </c:spPr>
    </c:plotArea>
    <c:legend>
      <c:legendPos val="b"/>
      <c:overlay val="0"/>
      <c:spPr>
        <a:noFill/>
        <a:ln w="0">
          <a:noFill/>
        </a:ln>
      </c:spPr>
      <c:txPr>
        <a:bodyPr/>
        <a:lstStyle/>
        <a:p>
          <a:pPr>
            <a:defRPr sz="900" b="0" strike="noStrike" spc="-1">
              <a:solidFill>
                <a:srgbClr val="595959"/>
              </a:solidFill>
              <a:latin typeface="Calibri"/>
            </a:defRPr>
          </a:pPr>
          <a:endParaRPr lang="en-US"/>
        </a:p>
      </c:txPr>
    </c:legend>
    <c:plotVisOnly val="1"/>
    <c:dispBlanksAs val="gap"/>
    <c:showDLblsOverMax val="1"/>
  </c:chart>
  <c:spPr>
    <a:solidFill>
      <a:srgbClr val="FFFFFF"/>
    </a:solidFill>
    <a:ln w="9360">
      <a:solidFill>
        <a:srgbClr val="D9D9D9"/>
      </a:solidFill>
      <a:round/>
    </a:ln>
  </c:sp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lang="en-US" sz="1400" b="1" strike="noStrike" spc="-1">
                <a:solidFill>
                  <a:srgbClr val="595959"/>
                </a:solidFill>
                <a:latin typeface="Calibri"/>
              </a:defRPr>
            </a:pPr>
            <a:r>
              <a:rPr lang="en-US" sz="1400" b="1" strike="noStrike" spc="-1">
                <a:solidFill>
                  <a:srgbClr val="595959"/>
                </a:solidFill>
                <a:latin typeface="Calibri"/>
              </a:rPr>
              <a:t>Gearing and Leverage 2020-2024</a:t>
            </a:r>
          </a:p>
        </c:rich>
      </c:tx>
      <c:layout>
        <c:manualLayout>
          <c:xMode val="edge"/>
          <c:yMode val="edge"/>
          <c:x val="0.23420329670329701"/>
          <c:y val="2.8008298755186699E-2"/>
        </c:manualLayout>
      </c:layout>
      <c:overlay val="0"/>
      <c:spPr>
        <a:noFill/>
        <a:ln w="0">
          <a:noFill/>
        </a:ln>
      </c:spPr>
    </c:title>
    <c:autoTitleDeleted val="0"/>
    <c:plotArea>
      <c:layout/>
      <c:lineChart>
        <c:grouping val="standard"/>
        <c:varyColors val="0"/>
        <c:ser>
          <c:idx val="0"/>
          <c:order val="0"/>
          <c:tx>
            <c:strRef>
              <c:f>'Graph and Charts'!$A$16</c:f>
              <c:strCache>
                <c:ptCount val="1"/>
                <c:pt idx="0">
                  <c:v>Interest Cover (x)</c:v>
                </c:pt>
              </c:strCache>
            </c:strRef>
          </c:tx>
          <c:spPr>
            <a:ln w="28440" cap="rnd">
              <a:solidFill>
                <a:srgbClr val="4F81BD"/>
              </a:solidFill>
              <a:round/>
            </a:ln>
          </c:spPr>
          <c:marker>
            <c:symbol val="circle"/>
            <c:size val="5"/>
            <c:spPr>
              <a:solidFill>
                <a:srgbClr val="4F81BD"/>
              </a:solidFill>
            </c:spPr>
          </c:marker>
          <c:dLbls>
            <c:spPr>
              <a:noFill/>
              <a:ln>
                <a:noFill/>
              </a:ln>
              <a:effectLst/>
            </c:spPr>
            <c:txPr>
              <a:bodyPr wrap="square"/>
              <a:lstStyle/>
              <a:p>
                <a:pPr>
                  <a:defRPr sz="1000" b="0" strike="noStrike" spc="-1">
                    <a:solidFill>
                      <a:srgbClr val="000000"/>
                    </a:solidFill>
                    <a:latin typeface="Calibri"/>
                  </a:defRPr>
                </a:pPr>
                <a:endParaRPr lang="en-US"/>
              </a:p>
            </c:txPr>
            <c:dLblPos val="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'Graph and Charts'!$B$4:$F$4</c:f>
              <c:strCache>
                <c:ptCount val="5"/>
                <c:pt idx="0">
                  <c:v>2020</c:v>
                </c:pt>
                <c:pt idx="1">
                  <c:v>2021</c:v>
                </c:pt>
                <c:pt idx="2">
                  <c:v>2022</c:v>
                </c:pt>
                <c:pt idx="3">
                  <c:v>2023</c:v>
                </c:pt>
                <c:pt idx="4">
                  <c:v>2024</c:v>
                </c:pt>
              </c:strCache>
            </c:strRef>
          </c:cat>
          <c:val>
            <c:numRef>
              <c:f>'Graph and Charts'!$B$16:$F$16</c:f>
              <c:numCache>
                <c:formatCode>0.00\x</c:formatCode>
                <c:ptCount val="5"/>
                <c:pt idx="0" formatCode="General">
                  <c:v>4.2</c:v>
                </c:pt>
                <c:pt idx="1">
                  <c:v>10.6</c:v>
                </c:pt>
                <c:pt idx="2">
                  <c:v>50.1</c:v>
                </c:pt>
                <c:pt idx="3">
                  <c:v>6.3</c:v>
                </c:pt>
                <c:pt idx="4">
                  <c:v>5.5</c:v>
                </c:pt>
              </c:numCache>
            </c:numRef>
          </c:val>
          <c:smooth val="0"/>
          <c:extLst xmlns:c16r2="http://schemas.microsoft.com/office/drawing/2015/06/chart">
            <c:ext xmlns:c16="http://schemas.microsoft.com/office/drawing/2014/chart" uri="{C3380CC4-5D6E-409C-BE32-E72D297353CC}">
              <c16:uniqueId val="{00000000-7A52-476A-B351-75403EEA602B}"/>
            </c:ext>
          </c:extLst>
        </c:ser>
        <c:ser>
          <c:idx val="1"/>
          <c:order val="1"/>
          <c:tx>
            <c:strRef>
              <c:f>'Graph and Charts'!$A$17</c:f>
              <c:strCache>
                <c:ptCount val="1"/>
                <c:pt idx="0">
                  <c:v>D/E Ratio (x)</c:v>
                </c:pt>
              </c:strCache>
            </c:strRef>
          </c:tx>
          <c:spPr>
            <a:ln w="28440" cap="rnd">
              <a:solidFill>
                <a:srgbClr val="C0504D"/>
              </a:solidFill>
              <a:round/>
            </a:ln>
          </c:spPr>
          <c:marker>
            <c:symbol val="circle"/>
            <c:size val="5"/>
            <c:spPr>
              <a:solidFill>
                <a:srgbClr val="C0504D"/>
              </a:solidFill>
            </c:spPr>
          </c:marker>
          <c:dLbls>
            <c:spPr>
              <a:noFill/>
              <a:ln>
                <a:noFill/>
              </a:ln>
              <a:effectLst/>
            </c:spPr>
            <c:txPr>
              <a:bodyPr wrap="square"/>
              <a:lstStyle/>
              <a:p>
                <a:pPr>
                  <a:defRPr sz="1000" b="0" strike="noStrike" spc="-1">
                    <a:solidFill>
                      <a:srgbClr val="000000"/>
                    </a:solidFill>
                    <a:latin typeface="Calibri"/>
                  </a:defRPr>
                </a:pPr>
                <a:endParaRPr lang="en-US"/>
              </a:p>
            </c:txPr>
            <c:dLblPos val="r"/>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'Graph and Charts'!$B$4:$F$4</c:f>
              <c:strCache>
                <c:ptCount val="5"/>
                <c:pt idx="0">
                  <c:v>2020</c:v>
                </c:pt>
                <c:pt idx="1">
                  <c:v>2021</c:v>
                </c:pt>
                <c:pt idx="2">
                  <c:v>2022</c:v>
                </c:pt>
                <c:pt idx="3">
                  <c:v>2023</c:v>
                </c:pt>
                <c:pt idx="4">
                  <c:v>2024</c:v>
                </c:pt>
              </c:strCache>
            </c:strRef>
          </c:cat>
          <c:val>
            <c:numRef>
              <c:f>'Graph and Charts'!$B$17:$F$17</c:f>
              <c:numCache>
                <c:formatCode>0.00\x</c:formatCode>
                <c:ptCount val="5"/>
                <c:pt idx="0" formatCode="General">
                  <c:v>1.58</c:v>
                </c:pt>
                <c:pt idx="1">
                  <c:v>1.44</c:v>
                </c:pt>
                <c:pt idx="2">
                  <c:v>1.1499999999999999</c:v>
                </c:pt>
                <c:pt idx="3">
                  <c:v>1.23</c:v>
                </c:pt>
                <c:pt idx="4">
                  <c:v>1.29</c:v>
                </c:pt>
              </c:numCache>
            </c:numRef>
          </c:val>
          <c:smooth val="0"/>
          <c:extLst xmlns:c16r2="http://schemas.microsoft.com/office/drawing/2015/06/chart">
            <c:ext xmlns:c16="http://schemas.microsoft.com/office/drawing/2014/chart" uri="{C3380CC4-5D6E-409C-BE32-E72D297353CC}">
              <c16:uniqueId val="{00000001-7A52-476A-B351-75403EEA602B}"/>
            </c:ext>
          </c:extLst>
        </c:ser>
        <c:dLbls>
          <c:showLegendKey val="0"/>
          <c:showVal val="0"/>
          <c:showCatName val="0"/>
          <c:showSerName val="0"/>
          <c:showPercent val="0"/>
          <c:showBubbleSize val="0"/>
        </c:dLbls>
        <c:hiLowLines>
          <c:spPr>
            <a:ln w="0">
              <a:noFill/>
            </a:ln>
          </c:spPr>
        </c:hiLowLines>
        <c:marker val="1"/>
        <c:smooth val="0"/>
        <c:axId val="252805120"/>
        <c:axId val="252806656"/>
      </c:lineChart>
      <c:catAx>
        <c:axId val="252805120"/>
        <c:scaling>
          <c:orientation val="minMax"/>
        </c:scaling>
        <c:delete val="0"/>
        <c:axPos val="b"/>
        <c:numFmt formatCode="General" sourceLinked="0"/>
        <c:majorTickMark val="none"/>
        <c:minorTickMark val="none"/>
        <c:tickLblPos val="nextTo"/>
        <c:spPr>
          <a:ln w="9360">
            <a:solidFill>
              <a:srgbClr val="D9D9D9"/>
            </a:solidFill>
            <a:round/>
          </a:ln>
        </c:spPr>
        <c:txPr>
          <a:bodyPr/>
          <a:lstStyle/>
          <a:p>
            <a:pPr>
              <a:defRPr sz="900" b="0" strike="noStrike" spc="-1">
                <a:solidFill>
                  <a:srgbClr val="595959"/>
                </a:solidFill>
                <a:latin typeface="Calibri"/>
              </a:defRPr>
            </a:pPr>
            <a:endParaRPr lang="en-US"/>
          </a:p>
        </c:txPr>
        <c:crossAx val="252806656"/>
        <c:crosses val="autoZero"/>
        <c:auto val="1"/>
        <c:lblAlgn val="ctr"/>
        <c:lblOffset val="100"/>
        <c:noMultiLvlLbl val="0"/>
      </c:catAx>
      <c:valAx>
        <c:axId val="252806656"/>
        <c:scaling>
          <c:orientation val="minMax"/>
        </c:scaling>
        <c:delete val="0"/>
        <c:axPos val="l"/>
        <c:majorGridlines>
          <c:spPr>
            <a:ln w="9360">
              <a:solidFill>
                <a:srgbClr val="D9D9D9"/>
              </a:solidFill>
              <a:round/>
            </a:ln>
          </c:spPr>
        </c:majorGridlines>
        <c:numFmt formatCode="0.00\x" sourceLinked="0"/>
        <c:majorTickMark val="none"/>
        <c:minorTickMark val="none"/>
        <c:tickLblPos val="nextTo"/>
        <c:spPr>
          <a:ln w="9360">
            <a:noFill/>
          </a:ln>
        </c:spPr>
        <c:txPr>
          <a:bodyPr/>
          <a:lstStyle/>
          <a:p>
            <a:pPr>
              <a:defRPr sz="900" b="0" strike="noStrike" spc="-1">
                <a:solidFill>
                  <a:srgbClr val="595959"/>
                </a:solidFill>
                <a:latin typeface="Calibri"/>
              </a:defRPr>
            </a:pPr>
            <a:endParaRPr lang="en-US"/>
          </a:p>
        </c:txPr>
        <c:crossAx val="252805120"/>
        <c:crosses val="autoZero"/>
        <c:crossBetween val="between"/>
      </c:valAx>
      <c:spPr>
        <a:noFill/>
        <a:ln w="0">
          <a:noFill/>
        </a:ln>
      </c:spPr>
    </c:plotArea>
    <c:legend>
      <c:legendPos val="b"/>
      <c:overlay val="0"/>
      <c:spPr>
        <a:noFill/>
        <a:ln w="0">
          <a:noFill/>
        </a:ln>
      </c:spPr>
      <c:txPr>
        <a:bodyPr/>
        <a:lstStyle/>
        <a:p>
          <a:pPr>
            <a:defRPr sz="900" b="0" strike="noStrike" spc="-1">
              <a:solidFill>
                <a:srgbClr val="595959"/>
              </a:solidFill>
              <a:latin typeface="Calibri"/>
            </a:defRPr>
          </a:pPr>
          <a:endParaRPr lang="en-US"/>
        </a:p>
      </c:txPr>
    </c:legend>
    <c:plotVisOnly val="1"/>
    <c:dispBlanksAs val="gap"/>
    <c:showDLblsOverMax val="1"/>
  </c:chart>
  <c:spPr>
    <a:solidFill>
      <a:srgbClr val="FFFFFF"/>
    </a:solidFill>
    <a:ln w="9360">
      <a:solidFill>
        <a:srgbClr val="D9D9D9"/>
      </a:solidFill>
      <a:round/>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a:lstStyle/>
          <a:p>
            <a:pPr>
              <a:defRPr sz="1800" b="1" strike="noStrike" spc="-1">
                <a:solidFill>
                  <a:srgbClr val="000000"/>
                </a:solidFill>
                <a:latin typeface="Calibri"/>
              </a:defRPr>
            </a:pPr>
            <a:r>
              <a:rPr lang="en-US" sz="1800" b="1" strike="noStrike" spc="-1">
                <a:solidFill>
                  <a:srgbClr val="000000"/>
                </a:solidFill>
                <a:latin typeface="Calibri"/>
              </a:rPr>
              <a:t>Project NPV Comparison (£m)</a:t>
            </a:r>
          </a:p>
        </c:rich>
      </c:tx>
      <c:overlay val="0"/>
      <c:spPr>
        <a:noFill/>
        <a:ln w="0">
          <a:noFill/>
        </a:ln>
      </c:spPr>
    </c:title>
    <c:autoTitleDeleted val="0"/>
    <c:plotArea>
      <c:layout/>
      <c:barChart>
        <c:barDir val="col"/>
        <c:grouping val="clustered"/>
        <c:varyColors val="0"/>
        <c:ser>
          <c:idx val="0"/>
          <c:order val="0"/>
          <c:tx>
            <c:strRef>
              <c:f>'D:\Sagor\Work files\2026\Appril-26\[VW_CFO_Strategic_Analysis.xlsx]5. Charts &amp; Appendix'!$B$88</c:f>
              <c:strCache>
                <c:ptCount val="1"/>
                <c:pt idx="0">
                  <c:v>NPV (£m)</c:v>
                </c:pt>
              </c:strCache>
            </c:strRef>
          </c:tx>
          <c:spPr>
            <a:solidFill>
              <a:srgbClr val="4F81BD"/>
            </a:solidFill>
            <a:ln w="9360">
              <a:solidFill>
                <a:srgbClr val="F9F9F9"/>
              </a:solidFill>
              <a:round/>
            </a:ln>
          </c:spPr>
          <c:invertIfNegative val="0"/>
          <c:dLbls>
            <c:spPr>
              <a:noFill/>
              <a:ln>
                <a:noFill/>
              </a:ln>
              <a:effectLst/>
            </c:spPr>
            <c:txPr>
              <a:bodyPr wrap="square"/>
              <a:lstStyle/>
              <a:p>
                <a:pPr>
                  <a:defRPr sz="1000" b="0" strike="noStrike" spc="-1">
                    <a:solidFill>
                      <a:srgbClr val="000000"/>
                    </a:solidFill>
                    <a:latin typeface="Arial"/>
                  </a:defRPr>
                </a:pPr>
                <a:endParaRPr lang="en-US"/>
              </a:p>
            </c:txPr>
            <c:dLblPos val="outEnd"/>
            <c:showLegendKey val="0"/>
            <c:showVal val="0"/>
            <c:showCatName val="0"/>
            <c:showSerName val="0"/>
            <c:showPercent val="0"/>
            <c:showBubbleSize val="1"/>
            <c:separator>; </c:separator>
            <c:showLeaderLines val="0"/>
            <c:extLst xmlns:c16r2="http://schemas.microsoft.com/office/drawing/2015/06/chart">
              <c:ext xmlns:c15="http://schemas.microsoft.com/office/drawing/2012/chart" uri="{CE6537A1-D6FC-4f65-9D91-7224C49458BB}">
                <c15:showLeaderLines val="1"/>
              </c:ext>
            </c:extLst>
          </c:dLbls>
          <c:cat>
            <c:strRef>
              <c:f>'D:\Sagor\Work files\2026\Appril-26\[VW_CFO_Strategic_Analysis.xlsx]5. Charts &amp; Appendix'!$A$89:$A$91</c:f>
              <c:strCache>
                <c:ptCount val="3"/>
                <c:pt idx="0">
                  <c:v>Project A</c:v>
                </c:pt>
                <c:pt idx="1">
                  <c:v>Project B</c:v>
                </c:pt>
                <c:pt idx="2">
                  <c:v>Project C</c:v>
                </c:pt>
              </c:strCache>
            </c:strRef>
          </c:cat>
          <c:val>
            <c:numRef>
              <c:f>'D:\Sagor\Work files\2026\Appril-26\[VW_CFO_Strategic_Analysis.xlsx]5. Charts &amp; Appendix'!$B$89:$B$91</c:f>
              <c:numCache>
                <c:formatCode>General</c:formatCode>
                <c:ptCount val="3"/>
                <c:pt idx="0">
                  <c:v>-8.68</c:v>
                </c:pt>
                <c:pt idx="1">
                  <c:v>-8.3000000000000007</c:v>
                </c:pt>
                <c:pt idx="2">
                  <c:v>-1.98</c:v>
                </c:pt>
              </c:numCache>
            </c:numRef>
          </c:val>
          <c:extLst xmlns:c16r2="http://schemas.microsoft.com/office/drawing/2015/06/chart">
            <c:ext xmlns:c16="http://schemas.microsoft.com/office/drawing/2014/chart" uri="{C3380CC4-5D6E-409C-BE32-E72D297353CC}">
              <c16:uniqueId val="{00000000-63C2-47B9-B3DA-7C65E1E5DD43}"/>
            </c:ext>
          </c:extLst>
        </c:ser>
        <c:dLbls>
          <c:showLegendKey val="0"/>
          <c:showVal val="0"/>
          <c:showCatName val="0"/>
          <c:showSerName val="0"/>
          <c:showPercent val="0"/>
          <c:showBubbleSize val="0"/>
        </c:dLbls>
        <c:gapWidth val="150"/>
        <c:axId val="252832000"/>
        <c:axId val="258449408"/>
      </c:barChart>
      <c:catAx>
        <c:axId val="252832000"/>
        <c:scaling>
          <c:orientation val="minMax"/>
        </c:scaling>
        <c:delete val="0"/>
        <c:axPos val="b"/>
        <c:numFmt formatCode="General" sourceLinked="0"/>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n-US"/>
          </a:p>
        </c:txPr>
        <c:crossAx val="258449408"/>
        <c:crosses val="autoZero"/>
        <c:auto val="1"/>
        <c:lblAlgn val="ctr"/>
        <c:lblOffset val="100"/>
        <c:noMultiLvlLbl val="0"/>
      </c:catAx>
      <c:valAx>
        <c:axId val="258449408"/>
        <c:scaling>
          <c:orientation val="minMax"/>
        </c:scaling>
        <c:delete val="0"/>
        <c:axPos val="l"/>
        <c:majorGridlines>
          <c:spPr>
            <a:ln w="9360">
              <a:solidFill>
                <a:srgbClr val="878787"/>
              </a:solidFill>
              <a:round/>
            </a:ln>
          </c:spPr>
        </c:majorGridlines>
        <c:numFmt formatCode="#,##0.00;\(#,##0.00\);\-" sourceLinked="0"/>
        <c:majorTickMark val="none"/>
        <c:minorTickMark val="none"/>
        <c:tickLblPos val="nextTo"/>
        <c:spPr>
          <a:ln w="9360">
            <a:solidFill>
              <a:srgbClr val="878787"/>
            </a:solidFill>
            <a:round/>
          </a:ln>
        </c:spPr>
        <c:txPr>
          <a:bodyPr/>
          <a:lstStyle/>
          <a:p>
            <a:pPr>
              <a:defRPr sz="1000" b="0" strike="noStrike" spc="-1">
                <a:solidFill>
                  <a:srgbClr val="000000"/>
                </a:solidFill>
                <a:latin typeface="Calibri"/>
              </a:defRPr>
            </a:pPr>
            <a:endParaRPr lang="en-US"/>
          </a:p>
        </c:txPr>
        <c:crossAx val="252832000"/>
        <c:crosses val="autoZero"/>
        <c:crossBetween val="between"/>
      </c:valAx>
      <c:spPr>
        <a:noFill/>
        <a:ln w="0">
          <a:noFill/>
        </a:ln>
      </c:spPr>
    </c:plotArea>
    <c:legend>
      <c:legendPos val="r"/>
      <c:overlay val="0"/>
      <c:spPr>
        <a:noFill/>
        <a:ln w="0">
          <a:noFill/>
        </a:ln>
      </c:spPr>
      <c:txPr>
        <a:bodyPr/>
        <a:lstStyle/>
        <a:p>
          <a:pPr>
            <a:defRPr sz="1000" b="0" strike="noStrike" spc="-1">
              <a:solidFill>
                <a:srgbClr val="000000"/>
              </a:solidFill>
              <a:latin typeface="Calibri"/>
            </a:defRPr>
          </a:pPr>
          <a:endParaRPr lang="en-US"/>
        </a:p>
      </c:txPr>
    </c:legend>
    <c:plotVisOnly val="1"/>
    <c:dispBlanksAs val="gap"/>
    <c:showDLblsOverMax val="1"/>
  </c:chart>
  <c:spPr>
    <a:solidFill>
      <a:srgbClr val="FFFFFF"/>
    </a:solidFill>
    <a:ln w="9360">
      <a:solidFill>
        <a:srgbClr val="D9D9D9"/>
      </a:solidFill>
      <a:round/>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7799</Words>
  <Characters>44458</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Ikhtear Mahbub</dc:creator>
  <cp:lastModifiedBy>Ikhtear Mahbub</cp:lastModifiedBy>
  <cp:revision>2</cp:revision>
  <dcterms:created xsi:type="dcterms:W3CDTF">2026-04-22T23:02:00Z</dcterms:created>
  <dcterms:modified xsi:type="dcterms:W3CDTF">2026-04-22T23:03:00Z</dcterms:modified>
</cp:coreProperties>
</file>