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06962" w:rsidRPr="00EE0E3B" w:rsidRDefault="00EE0E3B" w:rsidP="005B67A4">
      <w:pPr>
        <w:jc w:val="center"/>
        <w:rPr>
          <w:b/>
          <w:sz w:val="28"/>
          <w:szCs w:val="28"/>
        </w:rPr>
      </w:pPr>
      <w:bookmarkStart w:id="0" w:name="_GoBack"/>
      <w:bookmarkEnd w:id="0"/>
      <w:r w:rsidRPr="00EE0E3B">
        <w:rPr>
          <w:b/>
          <w:sz w:val="28"/>
          <w:szCs w:val="28"/>
        </w:rPr>
        <w:t>Offences Involving Motorcycles</w:t>
      </w:r>
    </w:p>
    <w:p w:rsidR="005B67A4" w:rsidRPr="00EE0E3B" w:rsidRDefault="005B67A4" w:rsidP="00510C9F">
      <w:pPr>
        <w:rPr>
          <w:color w:val="002060"/>
          <w:sz w:val="24"/>
          <w:szCs w:val="24"/>
        </w:rPr>
      </w:pPr>
    </w:p>
    <w:p w:rsidR="00EE0E3B" w:rsidRDefault="00510C9F" w:rsidP="00EE0E3B">
      <w:pPr>
        <w:shd w:val="clear" w:color="auto" w:fill="DEEAF6" w:themeFill="accent1" w:themeFillTint="33"/>
        <w:rPr>
          <w:color w:val="002060"/>
          <w:sz w:val="24"/>
          <w:szCs w:val="24"/>
        </w:rPr>
      </w:pPr>
      <w:r w:rsidRPr="00EE0E3B">
        <w:rPr>
          <w:b/>
          <w:color w:val="002060"/>
          <w:sz w:val="24"/>
          <w:szCs w:val="24"/>
        </w:rPr>
        <w:t>Section 16 Road Traffic Act 1988</w:t>
      </w:r>
      <w:r w:rsidRPr="00EE0E3B">
        <w:rPr>
          <w:color w:val="002060"/>
          <w:sz w:val="24"/>
          <w:szCs w:val="24"/>
        </w:rPr>
        <w:t xml:space="preserve"> </w:t>
      </w:r>
    </w:p>
    <w:p w:rsidR="00510C9F" w:rsidRPr="005B67A4" w:rsidRDefault="00EE0E3B" w:rsidP="00510C9F">
      <w:pPr>
        <w:rPr>
          <w:sz w:val="24"/>
          <w:szCs w:val="24"/>
        </w:rPr>
      </w:pPr>
      <w:r>
        <w:rPr>
          <w:sz w:val="24"/>
          <w:szCs w:val="24"/>
        </w:rPr>
        <w:t>This</w:t>
      </w:r>
      <w:r w:rsidRPr="00EE0E3B">
        <w:rPr>
          <w:sz w:val="24"/>
          <w:szCs w:val="24"/>
        </w:rPr>
        <w:t xml:space="preserve"> </w:t>
      </w:r>
      <w:r w:rsidR="00510C9F" w:rsidRPr="005B67A4">
        <w:rPr>
          <w:sz w:val="24"/>
          <w:szCs w:val="24"/>
        </w:rPr>
        <w:t>allows the Secretary of State for Transport to make regulations requiring persons driving or riding (otherwise than in sidecars) on motor cycles to wear protective headgear.</w:t>
      </w:r>
    </w:p>
    <w:p w:rsidR="00510C9F" w:rsidRPr="005B67A4" w:rsidRDefault="00510C9F" w:rsidP="00510C9F">
      <w:pPr>
        <w:rPr>
          <w:sz w:val="24"/>
          <w:szCs w:val="24"/>
        </w:rPr>
      </w:pPr>
      <w:r w:rsidRPr="005B67A4">
        <w:rPr>
          <w:sz w:val="24"/>
          <w:szCs w:val="24"/>
        </w:rPr>
        <w:t>16 (1) The Secretary of State may make regulations requiring, subject to such exceptions as may be specified in the regulations to wear protective headgear of such description as may be so specified.</w:t>
      </w:r>
    </w:p>
    <w:p w:rsidR="00510C9F" w:rsidRPr="005B67A4" w:rsidRDefault="00510C9F" w:rsidP="00510C9F">
      <w:pPr>
        <w:rPr>
          <w:sz w:val="24"/>
          <w:szCs w:val="24"/>
        </w:rPr>
      </w:pPr>
      <w:r w:rsidRPr="005B67A4">
        <w:rPr>
          <w:sz w:val="24"/>
          <w:szCs w:val="24"/>
        </w:rPr>
        <w:t>16 (2) A requirement imposed by regulations under this section shall not apply to any follower of the Sikh religion while he is wearing a turban.</w:t>
      </w:r>
    </w:p>
    <w:p w:rsidR="00510C9F" w:rsidRPr="005B67A4" w:rsidRDefault="00510C9F" w:rsidP="00510C9F">
      <w:pPr>
        <w:rPr>
          <w:sz w:val="24"/>
          <w:szCs w:val="24"/>
        </w:rPr>
      </w:pPr>
      <w:r w:rsidRPr="005B67A4">
        <w:rPr>
          <w:sz w:val="24"/>
          <w:szCs w:val="24"/>
        </w:rPr>
        <w:t>16 (3) Regulations under this section may make different provision in relation to different circumstances.</w:t>
      </w:r>
    </w:p>
    <w:p w:rsidR="00510C9F" w:rsidRPr="005B67A4" w:rsidRDefault="00510C9F" w:rsidP="00510C9F">
      <w:pPr>
        <w:rPr>
          <w:sz w:val="24"/>
          <w:szCs w:val="24"/>
        </w:rPr>
      </w:pPr>
      <w:r w:rsidRPr="005B67A4">
        <w:rPr>
          <w:sz w:val="24"/>
          <w:szCs w:val="24"/>
        </w:rPr>
        <w:t>16 (4) A person who drives or rides on a motor cycle in contravention of regulations under this section is guilty of an offence; but not withstanding any enactment or rule of law no person other than the person actually committing the contravention is a child under the age of 16 years.</w:t>
      </w:r>
    </w:p>
    <w:p w:rsidR="00510C9F" w:rsidRPr="005B67A4" w:rsidRDefault="00510C9F" w:rsidP="00510C9F">
      <w:pPr>
        <w:rPr>
          <w:i/>
          <w:sz w:val="24"/>
          <w:szCs w:val="24"/>
        </w:rPr>
      </w:pPr>
      <w:r w:rsidRPr="005B67A4">
        <w:rPr>
          <w:i/>
          <w:sz w:val="24"/>
          <w:szCs w:val="24"/>
        </w:rPr>
        <w:t>Notes</w:t>
      </w:r>
    </w:p>
    <w:p w:rsidR="00510C9F" w:rsidRPr="005B67A4" w:rsidRDefault="00510C9F" w:rsidP="00510C9F">
      <w:pPr>
        <w:pStyle w:val="ListParagraph"/>
        <w:numPr>
          <w:ilvl w:val="0"/>
          <w:numId w:val="4"/>
        </w:numPr>
        <w:rPr>
          <w:i/>
          <w:sz w:val="24"/>
          <w:szCs w:val="24"/>
        </w:rPr>
      </w:pPr>
      <w:r w:rsidRPr="005B67A4">
        <w:rPr>
          <w:i/>
          <w:sz w:val="24"/>
          <w:szCs w:val="24"/>
        </w:rPr>
        <w:t>Every person driving or riding on a motor bicycle (other than in a sidecar) on a road –</w:t>
      </w:r>
    </w:p>
    <w:p w:rsidR="00510C9F" w:rsidRPr="005B67A4" w:rsidRDefault="00510C9F" w:rsidP="00510C9F">
      <w:pPr>
        <w:pStyle w:val="ListParagraph"/>
        <w:numPr>
          <w:ilvl w:val="0"/>
          <w:numId w:val="5"/>
        </w:numPr>
        <w:rPr>
          <w:i/>
          <w:sz w:val="24"/>
          <w:szCs w:val="24"/>
        </w:rPr>
      </w:pPr>
      <w:r w:rsidRPr="005B67A4">
        <w:rPr>
          <w:i/>
          <w:sz w:val="24"/>
          <w:szCs w:val="24"/>
        </w:rPr>
        <w:t>Must wear protective headgear, which</w:t>
      </w:r>
    </w:p>
    <w:p w:rsidR="00510C9F" w:rsidRPr="005B67A4" w:rsidRDefault="00510C9F" w:rsidP="00510C9F">
      <w:pPr>
        <w:pStyle w:val="ListParagraph"/>
        <w:numPr>
          <w:ilvl w:val="0"/>
          <w:numId w:val="5"/>
        </w:numPr>
        <w:rPr>
          <w:i/>
          <w:sz w:val="24"/>
          <w:szCs w:val="24"/>
        </w:rPr>
      </w:pPr>
      <w:r w:rsidRPr="005B67A4">
        <w:rPr>
          <w:i/>
          <w:sz w:val="24"/>
          <w:szCs w:val="24"/>
        </w:rPr>
        <w:t>Must be securely fastened to the head of the wearer by means of straps or other fastening provided for that purpose (if it has a chin cup it must have an additional strap to go under the jaw), and</w:t>
      </w:r>
    </w:p>
    <w:p w:rsidR="00510C9F" w:rsidRPr="005B67A4" w:rsidRDefault="00510C9F" w:rsidP="00510C9F">
      <w:pPr>
        <w:pStyle w:val="ListParagraph"/>
        <w:numPr>
          <w:ilvl w:val="0"/>
          <w:numId w:val="5"/>
        </w:numPr>
        <w:rPr>
          <w:i/>
          <w:sz w:val="24"/>
          <w:szCs w:val="24"/>
        </w:rPr>
      </w:pPr>
      <w:r w:rsidRPr="005B67A4">
        <w:rPr>
          <w:i/>
          <w:sz w:val="24"/>
          <w:szCs w:val="24"/>
        </w:rPr>
        <w:t>Must bear a mark indication in compliance with the British Standard/equivalent EU standard, or</w:t>
      </w:r>
    </w:p>
    <w:p w:rsidR="00510C9F" w:rsidRPr="005B67A4" w:rsidRDefault="00510C9F" w:rsidP="00510C9F">
      <w:pPr>
        <w:pStyle w:val="ListParagraph"/>
        <w:numPr>
          <w:ilvl w:val="0"/>
          <w:numId w:val="5"/>
        </w:numPr>
        <w:rPr>
          <w:i/>
          <w:sz w:val="24"/>
          <w:szCs w:val="24"/>
        </w:rPr>
      </w:pPr>
      <w:r w:rsidRPr="005B67A4">
        <w:rPr>
          <w:i/>
          <w:sz w:val="24"/>
          <w:szCs w:val="24"/>
        </w:rPr>
        <w:t>Be of a type which, by virtue of its shape, material and construction could reasonably be expected to afford protection similar to, or greater than a helmet which conforms to the latest British Standard 6658:1985 (or equivalent EU standard).</w:t>
      </w:r>
    </w:p>
    <w:p w:rsidR="00510C9F" w:rsidRPr="005B67A4" w:rsidRDefault="00510C9F" w:rsidP="00510C9F">
      <w:pPr>
        <w:pStyle w:val="ListParagraph"/>
        <w:numPr>
          <w:ilvl w:val="0"/>
          <w:numId w:val="4"/>
        </w:numPr>
        <w:rPr>
          <w:i/>
          <w:sz w:val="24"/>
          <w:szCs w:val="24"/>
        </w:rPr>
      </w:pPr>
      <w:r w:rsidRPr="005B67A4">
        <w:rPr>
          <w:i/>
          <w:sz w:val="24"/>
          <w:szCs w:val="24"/>
        </w:rPr>
        <w:t>A driver who is propelling the vehicle by foot is exempt from wearing a helmet. However, if it a being propelled “scooter” style, then the rider should wear a helmet.</w:t>
      </w:r>
    </w:p>
    <w:p w:rsidR="00510C9F" w:rsidRPr="005B67A4" w:rsidRDefault="00510C9F" w:rsidP="00510C9F">
      <w:pPr>
        <w:pStyle w:val="ListParagraph"/>
        <w:numPr>
          <w:ilvl w:val="0"/>
          <w:numId w:val="4"/>
        </w:numPr>
        <w:rPr>
          <w:i/>
          <w:sz w:val="24"/>
          <w:szCs w:val="24"/>
        </w:rPr>
      </w:pPr>
      <w:r w:rsidRPr="005B67A4">
        <w:rPr>
          <w:i/>
          <w:sz w:val="24"/>
          <w:szCs w:val="24"/>
        </w:rPr>
        <w:t>Although riders of motor cycles need to wear protective helmets, surprisingly passengers in sidecars do not, even though they are often at a lower level than the cycle and therefore at greater risk from objects thrown up by other traffic such as stones.</w:t>
      </w:r>
    </w:p>
    <w:p w:rsidR="00510C9F" w:rsidRPr="005B67A4" w:rsidRDefault="00510C9F" w:rsidP="00510C9F">
      <w:pPr>
        <w:pStyle w:val="ListParagraph"/>
        <w:numPr>
          <w:ilvl w:val="0"/>
          <w:numId w:val="4"/>
        </w:numPr>
        <w:rPr>
          <w:i/>
          <w:sz w:val="24"/>
          <w:szCs w:val="24"/>
        </w:rPr>
      </w:pPr>
      <w:r w:rsidRPr="005B67A4">
        <w:rPr>
          <w:i/>
          <w:sz w:val="24"/>
          <w:szCs w:val="24"/>
        </w:rPr>
        <w:t xml:space="preserve">Motor bicycle – means a two-wheeled motor cycle with or without a sidecar attached thereto or not. The BMW – C1 (a recent innovation) which is a motor bicycle where the windscreen extends into a roof which continues behind the rider to form a kind of open sided enclosure of the rider is still a motor bicycle and the </w:t>
      </w:r>
      <w:r w:rsidRPr="005B67A4">
        <w:rPr>
          <w:i/>
          <w:sz w:val="24"/>
          <w:szCs w:val="24"/>
        </w:rPr>
        <w:lastRenderedPageBreak/>
        <w:t>Department of Public Prosecutions in the case of DPP v Parker (2005) RTR 1616, QBD on 7</w:t>
      </w:r>
      <w:r w:rsidRPr="005B67A4">
        <w:rPr>
          <w:i/>
          <w:sz w:val="24"/>
          <w:szCs w:val="24"/>
          <w:vertAlign w:val="superscript"/>
        </w:rPr>
        <w:t>th</w:t>
      </w:r>
      <w:r w:rsidRPr="005B67A4">
        <w:rPr>
          <w:i/>
          <w:sz w:val="24"/>
          <w:szCs w:val="24"/>
        </w:rPr>
        <w:t xml:space="preserve"> May 2004 i.e. there is a requirement to where a protective helmet when riding a BMW – C1.</w:t>
      </w:r>
    </w:p>
    <w:p w:rsidR="00510C9F" w:rsidRPr="005B67A4" w:rsidRDefault="00510C9F" w:rsidP="00510C9F">
      <w:pPr>
        <w:pStyle w:val="ListParagraph"/>
        <w:numPr>
          <w:ilvl w:val="0"/>
          <w:numId w:val="4"/>
        </w:numPr>
        <w:rPr>
          <w:i/>
          <w:sz w:val="24"/>
          <w:szCs w:val="24"/>
        </w:rPr>
      </w:pPr>
      <w:r w:rsidRPr="005B67A4">
        <w:rPr>
          <w:i/>
          <w:sz w:val="24"/>
          <w:szCs w:val="24"/>
        </w:rPr>
        <w:t>Exemptions</w:t>
      </w:r>
    </w:p>
    <w:p w:rsidR="00510C9F" w:rsidRPr="005B67A4" w:rsidRDefault="00510C9F" w:rsidP="00510C9F">
      <w:pPr>
        <w:pStyle w:val="ListParagraph"/>
        <w:numPr>
          <w:ilvl w:val="0"/>
          <w:numId w:val="6"/>
        </w:numPr>
        <w:rPr>
          <w:i/>
          <w:sz w:val="24"/>
          <w:szCs w:val="24"/>
        </w:rPr>
      </w:pPr>
      <w:r w:rsidRPr="005B67A4">
        <w:rPr>
          <w:i/>
          <w:sz w:val="24"/>
          <w:szCs w:val="24"/>
        </w:rPr>
        <w:t>Motor mowers, which could come within the definition of a motor cycle;</w:t>
      </w:r>
    </w:p>
    <w:p w:rsidR="00510C9F" w:rsidRPr="005B67A4" w:rsidRDefault="00510C9F" w:rsidP="00510C9F">
      <w:pPr>
        <w:pStyle w:val="ListParagraph"/>
        <w:numPr>
          <w:ilvl w:val="0"/>
          <w:numId w:val="6"/>
        </w:numPr>
        <w:rPr>
          <w:i/>
          <w:sz w:val="24"/>
          <w:szCs w:val="24"/>
        </w:rPr>
      </w:pPr>
      <w:r w:rsidRPr="005B67A4">
        <w:rPr>
          <w:i/>
          <w:sz w:val="24"/>
          <w:szCs w:val="24"/>
        </w:rPr>
        <w:t>Followers of the Sikh religion who are allowed to wear turbans whilst driving or riding motor bicycles having regard to the impracticality of Sikhs conforming with their religion and wearing protective helmets at the same time.</w:t>
      </w:r>
    </w:p>
    <w:p w:rsidR="00510C9F" w:rsidRPr="005B67A4" w:rsidRDefault="00510C9F" w:rsidP="00510C9F">
      <w:pPr>
        <w:ind w:left="1080"/>
        <w:rPr>
          <w:i/>
          <w:sz w:val="24"/>
          <w:szCs w:val="24"/>
        </w:rPr>
      </w:pPr>
      <w:r w:rsidRPr="005B67A4">
        <w:rPr>
          <w:i/>
          <w:sz w:val="24"/>
          <w:szCs w:val="24"/>
        </w:rPr>
        <w:t>It will be for the prosecution to prove that the driver or rider of a motor cycle on a road was not wearing protective headgear of the appropriate type for a prosecution to the brought.</w:t>
      </w:r>
    </w:p>
    <w:p w:rsidR="00D65EAD" w:rsidRPr="00D65EAD" w:rsidRDefault="00D65EAD" w:rsidP="00D65EAD">
      <w:pPr>
        <w:ind w:left="1080"/>
        <w:jc w:val="center"/>
        <w:rPr>
          <w:b/>
          <w:color w:val="FF0000"/>
          <w:sz w:val="24"/>
          <w:szCs w:val="24"/>
        </w:rPr>
      </w:pPr>
    </w:p>
    <w:p w:rsidR="00EE0E3B" w:rsidRDefault="00EE0E3B" w:rsidP="00EE0E3B">
      <w:pPr>
        <w:rPr>
          <w:b/>
          <w:color w:val="FF0000"/>
          <w:sz w:val="24"/>
          <w:szCs w:val="24"/>
        </w:rPr>
      </w:pPr>
    </w:p>
    <w:p w:rsidR="00EE0E3B" w:rsidRDefault="00510C9F" w:rsidP="00EE0E3B">
      <w:pPr>
        <w:shd w:val="clear" w:color="auto" w:fill="DEEAF6" w:themeFill="accent1" w:themeFillTint="33"/>
        <w:rPr>
          <w:color w:val="002060"/>
          <w:sz w:val="24"/>
          <w:szCs w:val="24"/>
        </w:rPr>
      </w:pPr>
      <w:r w:rsidRPr="00EE0E3B">
        <w:rPr>
          <w:b/>
          <w:color w:val="002060"/>
          <w:sz w:val="24"/>
          <w:szCs w:val="24"/>
        </w:rPr>
        <w:t>Section 23 Road Traffic Act 1988</w:t>
      </w:r>
      <w:r w:rsidRPr="00EE0E3B">
        <w:rPr>
          <w:color w:val="002060"/>
          <w:sz w:val="24"/>
          <w:szCs w:val="24"/>
        </w:rPr>
        <w:t xml:space="preserve"> </w:t>
      </w:r>
    </w:p>
    <w:p w:rsidR="00510C9F" w:rsidRPr="005B67A4" w:rsidRDefault="00EE0E3B" w:rsidP="00EE0E3B">
      <w:pPr>
        <w:rPr>
          <w:sz w:val="24"/>
          <w:szCs w:val="24"/>
        </w:rPr>
      </w:pPr>
      <w:r w:rsidRPr="00EE0E3B">
        <w:rPr>
          <w:sz w:val="24"/>
          <w:szCs w:val="24"/>
        </w:rPr>
        <w:t xml:space="preserve">This </w:t>
      </w:r>
      <w:r w:rsidR="00510C9F" w:rsidRPr="005B67A4">
        <w:rPr>
          <w:sz w:val="24"/>
          <w:szCs w:val="24"/>
        </w:rPr>
        <w:t>provides restrictions concerning the carriage of persons on motor cycles and creates the appropriate offences.</w:t>
      </w:r>
    </w:p>
    <w:p w:rsidR="00510C9F" w:rsidRPr="005B67A4" w:rsidRDefault="00510C9F" w:rsidP="00510C9F">
      <w:pPr>
        <w:pStyle w:val="NormalWeb"/>
        <w:spacing w:before="0" w:beforeAutospacing="0" w:after="0" w:afterAutospacing="0"/>
      </w:pPr>
      <w:r w:rsidRPr="005B67A4">
        <w:rPr>
          <w:rFonts w:asciiTheme="minorHAnsi" w:eastAsiaTheme="minorEastAsia" w:hAnsi="Calibri" w:cstheme="minorBidi"/>
          <w:color w:val="000000" w:themeColor="text1"/>
          <w:kern w:val="24"/>
        </w:rPr>
        <w:t xml:space="preserve">23(1) Not more than one person in addition to the driver may be carried on a </w:t>
      </w:r>
      <w:hyperlink r:id="rId7" w:history="1">
        <w:r w:rsidRPr="005B67A4">
          <w:rPr>
            <w:rStyle w:val="Hyperlink"/>
            <w:rFonts w:asciiTheme="minorHAnsi" w:eastAsiaTheme="minorEastAsia" w:hAnsi="Calibri" w:cstheme="minorBidi"/>
            <w:color w:val="000000" w:themeColor="text1"/>
            <w:kern w:val="24"/>
          </w:rPr>
          <w:t>motor bicycle</w:t>
        </w:r>
      </w:hyperlink>
      <w:r w:rsidRPr="005B67A4">
        <w:rPr>
          <w:rFonts w:asciiTheme="minorHAnsi" w:eastAsiaTheme="minorEastAsia" w:hAnsi="Calibri" w:cstheme="minorBidi"/>
          <w:color w:val="000000" w:themeColor="text1"/>
          <w:kern w:val="24"/>
        </w:rPr>
        <w:t xml:space="preserve">. </w:t>
      </w:r>
      <w:r w:rsidRPr="005B67A4">
        <w:rPr>
          <w:rFonts w:asciiTheme="minorHAnsi" w:eastAsiaTheme="minorEastAsia" w:hAnsi="Calibri" w:cstheme="minorBidi"/>
          <w:color w:val="000000" w:themeColor="text1"/>
          <w:kern w:val="24"/>
        </w:rPr>
        <w:br/>
      </w:r>
      <w:r w:rsidRPr="005B67A4">
        <w:rPr>
          <w:rFonts w:asciiTheme="minorHAnsi" w:eastAsiaTheme="minorEastAsia" w:hAnsi="Calibri" w:cstheme="minorBidi"/>
          <w:color w:val="000000" w:themeColor="text1"/>
          <w:kern w:val="24"/>
        </w:rPr>
        <w:br/>
        <w:t>23(2) No person in addition to the driver may be carried on a motor bicycle otherwise than sitting astride the motor cycle and on a proper seat securely fixed to the motor cycle behind the driver's seat.</w:t>
      </w:r>
      <w:r w:rsidRPr="005B67A4">
        <w:rPr>
          <w:rFonts w:asciiTheme="minorHAnsi" w:eastAsiaTheme="minorEastAsia" w:hAnsi="Calibri" w:cstheme="minorBidi"/>
          <w:color w:val="000000" w:themeColor="text1"/>
          <w:kern w:val="24"/>
        </w:rPr>
        <w:br/>
      </w:r>
      <w:r w:rsidRPr="005B67A4">
        <w:rPr>
          <w:rFonts w:asciiTheme="minorHAnsi" w:eastAsiaTheme="minorEastAsia" w:hAnsi="Calibri" w:cstheme="minorBidi"/>
          <w:color w:val="000000" w:themeColor="text1"/>
          <w:kern w:val="24"/>
        </w:rPr>
        <w:br/>
        <w:t>23(3) If a person is carried on a motor cycle in contravention of this section, the driver of the motor cycle is guilty of an offence.</w:t>
      </w:r>
    </w:p>
    <w:p w:rsidR="00EE0E3B" w:rsidRDefault="00EE0E3B" w:rsidP="00510C9F">
      <w:pPr>
        <w:pStyle w:val="NormalWeb"/>
        <w:spacing w:before="0" w:beforeAutospacing="0" w:after="0" w:afterAutospacing="0"/>
        <w:rPr>
          <w:rFonts w:asciiTheme="minorHAnsi" w:eastAsiaTheme="minorEastAsia" w:hAnsi="Calibri" w:cstheme="minorBidi"/>
          <w:b/>
          <w:bCs/>
          <w:color w:val="000000" w:themeColor="text1"/>
          <w:kern w:val="24"/>
        </w:rPr>
      </w:pPr>
    </w:p>
    <w:p w:rsidR="00510C9F" w:rsidRPr="005B67A4" w:rsidRDefault="00510C9F" w:rsidP="00510C9F">
      <w:pPr>
        <w:pStyle w:val="NormalWeb"/>
        <w:spacing w:before="0" w:beforeAutospacing="0" w:after="0" w:afterAutospacing="0"/>
      </w:pPr>
      <w:r w:rsidRPr="005B67A4">
        <w:rPr>
          <w:rFonts w:asciiTheme="minorHAnsi" w:eastAsiaTheme="minorEastAsia" w:hAnsi="Calibri" w:cstheme="minorBidi"/>
          <w:b/>
          <w:bCs/>
          <w:color w:val="000000" w:themeColor="text1"/>
          <w:kern w:val="24"/>
        </w:rPr>
        <w:t>Notes</w:t>
      </w:r>
      <w:r w:rsidRPr="005B67A4">
        <w:rPr>
          <w:rFonts w:asciiTheme="minorHAnsi" w:eastAsiaTheme="minorEastAsia" w:hAnsi="Calibri" w:cstheme="minorBidi"/>
          <w:b/>
          <w:bCs/>
          <w:color w:val="000000" w:themeColor="text1"/>
          <w:kern w:val="24"/>
        </w:rPr>
        <w:br/>
      </w:r>
      <w:r w:rsidRPr="005B67A4">
        <w:rPr>
          <w:rFonts w:asciiTheme="minorHAnsi" w:eastAsiaTheme="minorEastAsia" w:hAnsi="Calibri" w:cstheme="minorBidi"/>
          <w:i/>
          <w:iCs/>
          <w:color w:val="000000" w:themeColor="text1"/>
          <w:kern w:val="24"/>
        </w:rPr>
        <w:t>(</w:t>
      </w:r>
      <w:proofErr w:type="spellStart"/>
      <w:r w:rsidRPr="005B67A4">
        <w:rPr>
          <w:rFonts w:asciiTheme="minorHAnsi" w:eastAsiaTheme="minorEastAsia" w:hAnsi="Calibri" w:cstheme="minorBidi"/>
          <w:i/>
          <w:iCs/>
          <w:color w:val="000000" w:themeColor="text1"/>
          <w:kern w:val="24"/>
        </w:rPr>
        <w:t>i</w:t>
      </w:r>
      <w:proofErr w:type="spellEnd"/>
      <w:r w:rsidRPr="005B67A4">
        <w:rPr>
          <w:rFonts w:asciiTheme="minorHAnsi" w:eastAsiaTheme="minorEastAsia" w:hAnsi="Calibri" w:cstheme="minorBidi"/>
          <w:i/>
          <w:iCs/>
          <w:color w:val="000000" w:themeColor="text1"/>
          <w:kern w:val="24"/>
        </w:rPr>
        <w:t>) The carriage of passengers on a motor bicycle is therefore limited to the carriage of one passenger who must be sitting astride the motor bicycle on a proper seat, fixed behind the driver's seat, and supports or footrests must be provided for his feet. There is no requirement that such a passenger need be facing the front. It is more than likely that this has never been considered.</w:t>
      </w:r>
      <w:r w:rsidRPr="005B67A4">
        <w:rPr>
          <w:rFonts w:asciiTheme="minorHAnsi" w:eastAsiaTheme="minorEastAsia" w:hAnsi="Calibri" w:cstheme="minorBidi"/>
          <w:i/>
          <w:iCs/>
          <w:color w:val="000000" w:themeColor="text1"/>
          <w:kern w:val="24"/>
        </w:rPr>
        <w:br/>
        <w:t xml:space="preserve">(ii) A person being carried in contravention of these requirements may be proceeded against for </w:t>
      </w:r>
      <w:hyperlink r:id="rId8" w:history="1">
        <w:r w:rsidRPr="005B67A4">
          <w:rPr>
            <w:rStyle w:val="Hyperlink"/>
            <w:rFonts w:asciiTheme="minorHAnsi" w:eastAsiaTheme="minorEastAsia" w:hAnsi="Calibri" w:cstheme="minorBidi"/>
            <w:i/>
            <w:iCs/>
            <w:color w:val="000000" w:themeColor="text1"/>
            <w:kern w:val="24"/>
          </w:rPr>
          <w:t>aiding, abetting, counselling or procuring</w:t>
        </w:r>
      </w:hyperlink>
      <w:r w:rsidRPr="005B67A4">
        <w:rPr>
          <w:rFonts w:asciiTheme="minorHAnsi" w:eastAsiaTheme="minorEastAsia" w:hAnsi="Calibri" w:cstheme="minorBidi"/>
          <w:i/>
          <w:iCs/>
          <w:color w:val="000000" w:themeColor="text1"/>
          <w:kern w:val="24"/>
        </w:rPr>
        <w:t xml:space="preserve"> the offence.</w:t>
      </w:r>
      <w:r w:rsidRPr="005B67A4">
        <w:rPr>
          <w:rFonts w:asciiTheme="minorHAnsi" w:eastAsiaTheme="minorEastAsia" w:hAnsi="Calibri" w:cstheme="minorBidi"/>
          <w:i/>
          <w:iCs/>
          <w:color w:val="000000" w:themeColor="text1"/>
          <w:kern w:val="24"/>
        </w:rPr>
        <w:br/>
        <w:t xml:space="preserve">(iii) In addition to the above, the Road Vehicles (Construction and Use) Regulations 1986 reg. 102 prohibits the </w:t>
      </w:r>
      <w:hyperlink r:id="rId9" w:history="1">
        <w:r w:rsidRPr="005B67A4">
          <w:rPr>
            <w:rStyle w:val="Hyperlink"/>
            <w:rFonts w:asciiTheme="minorHAnsi" w:eastAsiaTheme="minorEastAsia" w:hAnsi="Calibri" w:cstheme="minorBidi"/>
            <w:i/>
            <w:iCs/>
            <w:color w:val="000000" w:themeColor="text1"/>
            <w:kern w:val="24"/>
          </w:rPr>
          <w:t>carriage of a passenger</w:t>
        </w:r>
      </w:hyperlink>
      <w:r w:rsidRPr="005B67A4">
        <w:rPr>
          <w:rFonts w:asciiTheme="minorHAnsi" w:eastAsiaTheme="minorEastAsia" w:hAnsi="Calibri" w:cstheme="minorBidi"/>
          <w:i/>
          <w:iCs/>
          <w:color w:val="000000" w:themeColor="text1"/>
          <w:kern w:val="24"/>
        </w:rPr>
        <w:t xml:space="preserve"> on a two-wheeled motor cycle (whether it has a sidecar attached to it or not) on which there is not available suitable supports or rests for the feet of such passenger.</w:t>
      </w:r>
      <w:r w:rsidRPr="005B67A4">
        <w:rPr>
          <w:rFonts w:asciiTheme="minorHAnsi" w:eastAsiaTheme="minorEastAsia" w:hAnsi="Calibri" w:cstheme="minorBidi"/>
          <w:i/>
          <w:iCs/>
          <w:color w:val="000000" w:themeColor="text1"/>
          <w:kern w:val="24"/>
        </w:rPr>
        <w:br/>
        <w:t xml:space="preserve">(iv) There is very little scope for defence; however, given the tendency of some motor cyclists for "off road" riding the question of the venue of the alleged offence is often critical and the status of any land which is not obviously a road needs consideration in the light of the definition of a </w:t>
      </w:r>
      <w:hyperlink r:id="rId10" w:history="1">
        <w:r w:rsidRPr="005B67A4">
          <w:rPr>
            <w:rStyle w:val="Hyperlink"/>
            <w:rFonts w:asciiTheme="minorHAnsi" w:eastAsiaTheme="minorEastAsia" w:hAnsi="Calibri" w:cstheme="minorBidi"/>
            <w:i/>
            <w:iCs/>
            <w:color w:val="000000" w:themeColor="text1"/>
            <w:kern w:val="24"/>
          </w:rPr>
          <w:t>road</w:t>
        </w:r>
      </w:hyperlink>
      <w:r w:rsidRPr="005B67A4">
        <w:rPr>
          <w:rFonts w:asciiTheme="minorHAnsi" w:eastAsiaTheme="minorEastAsia" w:hAnsi="Calibri" w:cstheme="minorBidi"/>
          <w:i/>
          <w:iCs/>
          <w:color w:val="000000" w:themeColor="text1"/>
          <w:kern w:val="24"/>
        </w:rPr>
        <w:t>. Likewise the "</w:t>
      </w:r>
      <w:hyperlink r:id="rId11" w:history="1">
        <w:r w:rsidRPr="005B67A4">
          <w:rPr>
            <w:rStyle w:val="Hyperlink"/>
            <w:rFonts w:asciiTheme="minorHAnsi" w:eastAsiaTheme="minorEastAsia" w:hAnsi="Calibri" w:cstheme="minorBidi"/>
            <w:i/>
            <w:iCs/>
            <w:color w:val="000000" w:themeColor="text1"/>
            <w:kern w:val="24"/>
          </w:rPr>
          <w:t>driving</w:t>
        </w:r>
      </w:hyperlink>
      <w:r w:rsidRPr="005B67A4">
        <w:rPr>
          <w:rFonts w:asciiTheme="minorHAnsi" w:eastAsiaTheme="minorEastAsia" w:hAnsi="Calibri" w:cstheme="minorBidi"/>
          <w:i/>
          <w:iCs/>
          <w:color w:val="000000" w:themeColor="text1"/>
          <w:kern w:val="24"/>
        </w:rPr>
        <w:t xml:space="preserve">" element of the offence can often be critical given the capacity for propelling motor cycles by scooting. A person who propels a motor cycle or </w:t>
      </w:r>
      <w:r w:rsidRPr="005B67A4">
        <w:rPr>
          <w:rFonts w:asciiTheme="minorHAnsi" w:eastAsiaTheme="minorEastAsia" w:hAnsi="Calibri" w:cstheme="minorBidi"/>
          <w:i/>
          <w:iCs/>
          <w:color w:val="000000" w:themeColor="text1"/>
          <w:kern w:val="24"/>
        </w:rPr>
        <w:lastRenderedPageBreak/>
        <w:t>moped by "paddling" with his feet, drives that vehicle even where the engine is not running and will not start, if his hands are on the handlebars and he is controlling the movement of the vehicle.</w:t>
      </w:r>
    </w:p>
    <w:p w:rsidR="00510C9F" w:rsidRPr="00EE0E3B" w:rsidRDefault="00510C9F" w:rsidP="00510C9F">
      <w:pPr>
        <w:pStyle w:val="NormalWeb"/>
        <w:spacing w:before="0" w:beforeAutospacing="0" w:after="0" w:afterAutospacing="0"/>
        <w:rPr>
          <w:color w:val="0070C0"/>
        </w:rPr>
      </w:pPr>
      <w:r w:rsidRPr="00EE0E3B">
        <w:rPr>
          <w:rFonts w:asciiTheme="minorHAnsi" w:eastAsiaTheme="minorEastAsia" w:hAnsi="Calibri" w:cstheme="minorBidi"/>
          <w:b/>
          <w:bCs/>
          <w:color w:val="0070C0"/>
          <w:kern w:val="24"/>
        </w:rPr>
        <w:t>**note that it is the driver who will be guilty for passenger offences, however, the passenger can be convicted of aid and abet**</w:t>
      </w:r>
    </w:p>
    <w:p w:rsidR="00EE0E3B" w:rsidRDefault="00EE0E3B" w:rsidP="00510C9F">
      <w:pPr>
        <w:pStyle w:val="NormalWeb"/>
        <w:spacing w:before="0" w:beforeAutospacing="0" w:after="0" w:afterAutospacing="0"/>
        <w:rPr>
          <w:rFonts w:asciiTheme="minorHAnsi" w:eastAsiaTheme="minorEastAsia" w:hAnsi="Calibri" w:cstheme="minorBidi"/>
          <w:color w:val="000000" w:themeColor="text1"/>
          <w:kern w:val="24"/>
        </w:rPr>
      </w:pPr>
    </w:p>
    <w:p w:rsidR="00510C9F" w:rsidRPr="005B67A4" w:rsidRDefault="00510C9F" w:rsidP="00510C9F">
      <w:pPr>
        <w:pStyle w:val="NormalWeb"/>
        <w:spacing w:before="0" w:beforeAutospacing="0" w:after="0" w:afterAutospacing="0"/>
      </w:pPr>
      <w:r w:rsidRPr="00EE0E3B">
        <w:rPr>
          <w:rFonts w:asciiTheme="minorHAnsi" w:eastAsiaTheme="minorEastAsia" w:hAnsi="Calibri" w:cstheme="minorBidi"/>
          <w:b/>
          <w:color w:val="000000" w:themeColor="text1"/>
          <w:kern w:val="24"/>
        </w:rPr>
        <w:t>Summary:</w:t>
      </w:r>
      <w:r w:rsidRPr="005B67A4">
        <w:rPr>
          <w:rFonts w:asciiTheme="minorHAnsi" w:eastAsiaTheme="minorEastAsia" w:hAnsi="Calibri" w:cstheme="minorBidi"/>
          <w:color w:val="000000" w:themeColor="text1"/>
          <w:kern w:val="24"/>
        </w:rPr>
        <w:t xml:space="preserve"> A fine not exceeding level three on the </w:t>
      </w:r>
      <w:hyperlink r:id="rId12" w:history="1">
        <w:r w:rsidRPr="005B67A4">
          <w:rPr>
            <w:rStyle w:val="Hyperlink"/>
            <w:rFonts w:asciiTheme="minorHAnsi" w:eastAsiaTheme="minorEastAsia" w:hAnsi="Calibri" w:cstheme="minorBidi"/>
            <w:color w:val="000000" w:themeColor="text1"/>
            <w:kern w:val="24"/>
          </w:rPr>
          <w:t>standard scale</w:t>
        </w:r>
        <w:r w:rsidRPr="005B67A4">
          <w:rPr>
            <w:rFonts w:asciiTheme="minorHAnsi" w:eastAsiaTheme="minorEastAsia" w:hAnsi="Calibri" w:cstheme="minorBidi"/>
            <w:color w:val="000000" w:themeColor="text1"/>
            <w:kern w:val="24"/>
            <w:u w:val="single"/>
          </w:rPr>
          <w:br/>
        </w:r>
      </w:hyperlink>
      <w:r w:rsidRPr="005B67A4">
        <w:rPr>
          <w:rFonts w:asciiTheme="minorHAnsi" w:eastAsiaTheme="minorEastAsia" w:hAnsi="Calibri" w:cstheme="minorBidi"/>
          <w:color w:val="000000" w:themeColor="text1"/>
          <w:kern w:val="24"/>
        </w:rPr>
        <w:t>Discretionary disqualification</w:t>
      </w:r>
      <w:r w:rsidRPr="005B67A4">
        <w:rPr>
          <w:rFonts w:asciiTheme="minorHAnsi" w:eastAsiaTheme="minorEastAsia" w:hAnsi="Calibri" w:cstheme="minorBidi"/>
          <w:color w:val="000000" w:themeColor="text1"/>
          <w:kern w:val="24"/>
        </w:rPr>
        <w:br/>
        <w:t>Obligatory endorsement - licence</w:t>
      </w:r>
      <w:r w:rsidR="00EE0E3B">
        <w:rPr>
          <w:rFonts w:asciiTheme="minorHAnsi" w:eastAsiaTheme="minorEastAsia" w:hAnsi="Calibri" w:cstheme="minorBidi"/>
          <w:color w:val="000000" w:themeColor="text1"/>
          <w:kern w:val="24"/>
        </w:rPr>
        <w:t xml:space="preserve"> endorsed three penalty points</w:t>
      </w:r>
      <w:r w:rsidR="00EE0E3B">
        <w:rPr>
          <w:rFonts w:asciiTheme="minorHAnsi" w:eastAsiaTheme="minorEastAsia" w:hAnsi="Calibri" w:cstheme="minorBidi"/>
          <w:color w:val="000000" w:themeColor="text1"/>
          <w:kern w:val="24"/>
        </w:rPr>
        <w:br/>
      </w:r>
      <w:r w:rsidRPr="005B67A4">
        <w:rPr>
          <w:rFonts w:asciiTheme="minorHAnsi" w:eastAsiaTheme="minorEastAsia" w:hAnsi="Calibri" w:cstheme="minorBidi"/>
          <w:color w:val="000000" w:themeColor="text1"/>
          <w:kern w:val="24"/>
        </w:rPr>
        <w:t>Fixed penalty offence.</w:t>
      </w:r>
    </w:p>
    <w:p w:rsidR="00EF0E09" w:rsidRDefault="00EF0E09"/>
    <w:sectPr w:rsidR="00EF0E09" w:rsidSect="00510C9F">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10C9F" w:rsidRDefault="00510C9F" w:rsidP="00510C9F">
      <w:pPr>
        <w:spacing w:after="0" w:line="240" w:lineRule="auto"/>
      </w:pPr>
      <w:r>
        <w:separator/>
      </w:r>
    </w:p>
  </w:endnote>
  <w:endnote w:type="continuationSeparator" w:id="0">
    <w:p w:rsidR="00510C9F" w:rsidRDefault="00510C9F" w:rsidP="00510C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E0E3B" w:rsidRDefault="00EE0E3B" w:rsidP="00EE0E3B">
    <w:pPr>
      <w:pStyle w:val="Footer"/>
      <w:rPr>
        <w:color w:val="000000"/>
        <w:sz w:val="17"/>
      </w:rPr>
    </w:pPr>
    <w:bookmarkStart w:id="3" w:name="TITUS1FooterEvenPages"/>
    <w:r>
      <w:rPr>
        <w:color w:val="000000"/>
        <w:sz w:val="17"/>
      </w:rPr>
      <w:t> </w:t>
    </w:r>
  </w:p>
  <w:bookmarkEnd w:id="3"/>
  <w:p w:rsidR="00EE0E3B" w:rsidRPr="00EE0E3B" w:rsidRDefault="00EE0E3B" w:rsidP="00EE0E3B">
    <w:pPr>
      <w:pStyle w:val="Footer"/>
      <w:rPr>
        <w:color w:val="000000"/>
        <w:sz w:val="17"/>
      </w:rPr>
    </w:pPr>
    <w:r w:rsidRPr="00EE0E3B">
      <w:rPr>
        <w:sz w:val="20"/>
        <w:szCs w:val="20"/>
      </w:rPr>
      <w:t>AJW54949</w:t>
    </w:r>
    <w:r w:rsidRPr="00EE0E3B">
      <w:rPr>
        <w:sz w:val="20"/>
        <w:szCs w:val="20"/>
      </w:rPr>
      <w:ptab w:relativeTo="margin" w:alignment="center" w:leader="none"/>
    </w:r>
    <w:r w:rsidRPr="00EE0E3B">
      <w:rPr>
        <w:sz w:val="20"/>
        <w:szCs w:val="20"/>
      </w:rPr>
      <w:t>Version 1.0</w:t>
    </w:r>
    <w:r w:rsidRPr="00EE0E3B">
      <w:rPr>
        <w:sz w:val="20"/>
        <w:szCs w:val="20"/>
      </w:rPr>
      <w:ptab w:relativeTo="margin" w:alignment="right" w:leader="none"/>
    </w:r>
  </w:p>
  <w:p w:rsidR="00EE0E3B" w:rsidRPr="00EE0E3B" w:rsidRDefault="00EE0E3B" w:rsidP="00EE0E3B">
    <w:pPr>
      <w:pStyle w:val="Footer"/>
      <w:rPr>
        <w:sz w:val="20"/>
        <w:szCs w:val="20"/>
      </w:rPr>
    </w:pPr>
    <w:r w:rsidRPr="00EE0E3B">
      <w:rPr>
        <w:sz w:val="20"/>
        <w:szCs w:val="20"/>
      </w:rPr>
      <w:t>March 2019</w:t>
    </w:r>
  </w:p>
  <w:p w:rsidR="00510C9F" w:rsidRDefault="00510C9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E0E3B" w:rsidRDefault="00EE0E3B" w:rsidP="00EE0E3B">
    <w:pPr>
      <w:pStyle w:val="Footer"/>
      <w:rPr>
        <w:color w:val="000000"/>
        <w:sz w:val="17"/>
        <w:szCs w:val="20"/>
      </w:rPr>
    </w:pPr>
    <w:bookmarkStart w:id="4" w:name="TITUS1FooterPrimary"/>
    <w:r w:rsidRPr="00EE0E3B">
      <w:rPr>
        <w:color w:val="000000"/>
        <w:sz w:val="17"/>
        <w:szCs w:val="20"/>
      </w:rPr>
      <w:t> </w:t>
    </w:r>
  </w:p>
  <w:bookmarkEnd w:id="4"/>
  <w:p w:rsidR="00510C9F" w:rsidRPr="00EE0E3B" w:rsidRDefault="00EE0E3B">
    <w:pPr>
      <w:pStyle w:val="Footer"/>
      <w:rPr>
        <w:sz w:val="20"/>
        <w:szCs w:val="20"/>
      </w:rPr>
    </w:pPr>
    <w:r w:rsidRPr="00EE0E3B">
      <w:rPr>
        <w:sz w:val="20"/>
        <w:szCs w:val="20"/>
      </w:rPr>
      <w:t>AJW54949</w:t>
    </w:r>
    <w:r w:rsidRPr="00EE0E3B">
      <w:rPr>
        <w:sz w:val="20"/>
        <w:szCs w:val="20"/>
      </w:rPr>
      <w:ptab w:relativeTo="margin" w:alignment="center" w:leader="none"/>
    </w:r>
    <w:r w:rsidRPr="00EE0E3B">
      <w:rPr>
        <w:sz w:val="20"/>
        <w:szCs w:val="20"/>
      </w:rPr>
      <w:t>Version 1.0</w:t>
    </w:r>
    <w:r w:rsidRPr="00EE0E3B">
      <w:rPr>
        <w:sz w:val="20"/>
        <w:szCs w:val="20"/>
      </w:rPr>
      <w:ptab w:relativeTo="margin" w:alignment="right" w:leader="none"/>
    </w:r>
  </w:p>
  <w:p w:rsidR="00EE0E3B" w:rsidRPr="00EE0E3B" w:rsidRDefault="00EE0E3B">
    <w:pPr>
      <w:pStyle w:val="Footer"/>
      <w:rPr>
        <w:sz w:val="20"/>
        <w:szCs w:val="20"/>
      </w:rPr>
    </w:pPr>
    <w:r w:rsidRPr="00EE0E3B">
      <w:rPr>
        <w:sz w:val="20"/>
        <w:szCs w:val="20"/>
      </w:rPr>
      <w:t>March 2019</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10C9F" w:rsidRDefault="00EE0E3B" w:rsidP="00EE0E3B">
    <w:pPr>
      <w:pStyle w:val="Footer"/>
      <w:rPr>
        <w:color w:val="000000"/>
        <w:sz w:val="17"/>
      </w:rPr>
    </w:pPr>
    <w:bookmarkStart w:id="6" w:name="TITUS1FooterFirstPage"/>
    <w:r>
      <w:rPr>
        <w:color w:val="000000"/>
        <w:sz w:val="17"/>
      </w:rPr>
      <w:t> </w:t>
    </w:r>
  </w:p>
  <w:bookmarkEnd w:id="6"/>
  <w:p w:rsidR="00510C9F" w:rsidRDefault="00510C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10C9F" w:rsidRDefault="00510C9F" w:rsidP="00510C9F">
      <w:pPr>
        <w:spacing w:after="0" w:line="240" w:lineRule="auto"/>
      </w:pPr>
      <w:r>
        <w:separator/>
      </w:r>
    </w:p>
  </w:footnote>
  <w:footnote w:type="continuationSeparator" w:id="0">
    <w:p w:rsidR="00510C9F" w:rsidRDefault="00510C9F" w:rsidP="00510C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A1509" w:rsidRDefault="00EE0E3B" w:rsidP="00EE0E3B">
    <w:pPr>
      <w:pStyle w:val="Header"/>
      <w:rPr>
        <w:color w:val="000000"/>
        <w:sz w:val="17"/>
      </w:rPr>
    </w:pPr>
    <w:bookmarkStart w:id="1" w:name="TITUS1HeaderEvenPages"/>
    <w:r>
      <w:rPr>
        <w:color w:val="000000"/>
        <w:sz w:val="17"/>
      </w:rPr>
      <w:t> </w:t>
    </w:r>
  </w:p>
  <w:bookmarkEnd w:id="1"/>
  <w:p w:rsidR="00DA1509" w:rsidRDefault="00DA1509" w:rsidP="00DA1509">
    <w:pPr>
      <w:pStyle w:val="Header"/>
    </w:pPr>
  </w:p>
  <w:p w:rsidR="00510C9F" w:rsidRDefault="00510C9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10C9F" w:rsidRDefault="00EE0E3B" w:rsidP="00EE0E3B">
    <w:pPr>
      <w:pStyle w:val="Header"/>
      <w:rPr>
        <w:color w:val="000000"/>
        <w:sz w:val="17"/>
      </w:rPr>
    </w:pPr>
    <w:bookmarkStart w:id="2" w:name="TITUS1HeaderPrimary"/>
    <w:r>
      <w:rPr>
        <w:color w:val="000000"/>
        <w:sz w:val="17"/>
      </w:rPr>
      <w:t> </w:t>
    </w:r>
  </w:p>
  <w:bookmarkEnd w:id="2"/>
  <w:p w:rsidR="00510C9F" w:rsidRDefault="00510C9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10C9F" w:rsidRDefault="00EE0E3B" w:rsidP="00EE0E3B">
    <w:pPr>
      <w:pStyle w:val="Header"/>
      <w:rPr>
        <w:color w:val="000000"/>
        <w:sz w:val="17"/>
      </w:rPr>
    </w:pPr>
    <w:bookmarkStart w:id="5" w:name="TITUS1HeaderFirstPage"/>
    <w:r>
      <w:rPr>
        <w:color w:val="000000"/>
        <w:sz w:val="17"/>
      </w:rPr>
      <w:t> </w:t>
    </w:r>
  </w:p>
  <w:bookmarkEnd w:id="5"/>
  <w:p w:rsidR="00510C9F" w:rsidRDefault="00510C9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7667A0"/>
    <w:multiLevelType w:val="hybridMultilevel"/>
    <w:tmpl w:val="EF985274"/>
    <w:lvl w:ilvl="0" w:tplc="3B9AFCB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5E0BE3"/>
    <w:multiLevelType w:val="hybridMultilevel"/>
    <w:tmpl w:val="5414ECA8"/>
    <w:lvl w:ilvl="0" w:tplc="01B49FC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237842"/>
    <w:multiLevelType w:val="hybridMultilevel"/>
    <w:tmpl w:val="492CB040"/>
    <w:lvl w:ilvl="0" w:tplc="C1C88CE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256394A"/>
    <w:multiLevelType w:val="hybridMultilevel"/>
    <w:tmpl w:val="71647328"/>
    <w:lvl w:ilvl="0" w:tplc="EF12157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66DA0821"/>
    <w:multiLevelType w:val="hybridMultilevel"/>
    <w:tmpl w:val="96B89078"/>
    <w:lvl w:ilvl="0" w:tplc="4F0A949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6D51E4F"/>
    <w:multiLevelType w:val="hybridMultilevel"/>
    <w:tmpl w:val="61184B4C"/>
    <w:lvl w:ilvl="0" w:tplc="3446A9C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5"/>
  </w:num>
  <w:num w:numId="3">
    <w:abstractNumId w:val="2"/>
  </w:num>
  <w:num w:numId="4">
    <w:abstractNumId w:val="1"/>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writeProtection w:cryptProviderType="rsaAES" w:cryptAlgorithmClass="hash" w:cryptAlgorithmType="typeAny" w:cryptAlgorithmSid="14" w:cryptSpinCount="100000" w:hash="hnmPJX8/vOY+KBCHFcZReTn7UH2VUVPy3NE7FuDdpvIbc6QJAx1+8v2IgbYl7CYQ/xgYjOus6nE4UqRvqM6saQ==" w:salt="amu83w6LocTs7TXX1yCSEg=="/>
  <w:zoom w:percent="89"/>
  <w:proofState w:spelling="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10C9F"/>
    <w:rsid w:val="00043FC3"/>
    <w:rsid w:val="00165718"/>
    <w:rsid w:val="00510C9F"/>
    <w:rsid w:val="005B67A4"/>
    <w:rsid w:val="00730A3A"/>
    <w:rsid w:val="00A06962"/>
    <w:rsid w:val="00D65EAD"/>
    <w:rsid w:val="00DA1509"/>
    <w:rsid w:val="00EE0E3B"/>
    <w:rsid w:val="00EF0E09"/>
    <w:rsid w:val="00F87D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5:chartTrackingRefBased/>
  <w15:docId w15:val="{57B80FA0-5E4B-4D1E-B8D1-9EFF74C9DA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10C9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10C9F"/>
    <w:pPr>
      <w:ind w:left="720"/>
      <w:contextualSpacing/>
    </w:pPr>
  </w:style>
  <w:style w:type="paragraph" w:styleId="NormalWeb">
    <w:name w:val="Normal (Web)"/>
    <w:basedOn w:val="Normal"/>
    <w:uiPriority w:val="99"/>
    <w:semiHidden/>
    <w:unhideWhenUsed/>
    <w:rsid w:val="00510C9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510C9F"/>
    <w:rPr>
      <w:color w:val="0000FF"/>
      <w:u w:val="single"/>
    </w:rPr>
  </w:style>
  <w:style w:type="paragraph" w:styleId="Header">
    <w:name w:val="header"/>
    <w:basedOn w:val="Normal"/>
    <w:link w:val="HeaderChar"/>
    <w:uiPriority w:val="99"/>
    <w:unhideWhenUsed/>
    <w:rsid w:val="00510C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0C9F"/>
  </w:style>
  <w:style w:type="paragraph" w:styleId="Footer">
    <w:name w:val="footer"/>
    <w:basedOn w:val="Normal"/>
    <w:link w:val="FooterChar"/>
    <w:uiPriority w:val="99"/>
    <w:unhideWhenUsed/>
    <w:rsid w:val="00510C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0C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cmanager.pnld.co.uk/content/D920.htm" TargetMode="Externa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s://docmanager.pnld.co.uk/content/D2510.htm" TargetMode="External"/><Relationship Id="rId12" Type="http://schemas.openxmlformats.org/officeDocument/2006/relationships/hyperlink" Target="https://docmanager.pnld.co.uk/content/D790.htm" TargetMode="External"/><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cmanager.pnld.co.uk/content/D165.htm"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docmanager.pnld.co.uk/content/D169.htm"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cmanager.pnld.co.uk/content/D2684.htm"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875</Words>
  <Characters>4991</Characters>
  <Application>Microsoft Office Word</Application>
  <DocSecurity>4</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Bristow,Richard swp3995</dc:creator>
  <cp:keywords/>
  <dc:description/>
  <cp:lastModifiedBy>Jones,Sarah swp5354</cp:lastModifiedBy>
  <cp:revision>2</cp:revision>
  <dcterms:created xsi:type="dcterms:W3CDTF">2019-04-02T10:48:00Z</dcterms:created>
  <dcterms:modified xsi:type="dcterms:W3CDTF">2019-04-02T10:48:00Z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0087e54d-2ce9-48ac-ace0-9d18c3de1871</vt:lpwstr>
  </property>
  <property fmtid="{D5CDD505-2E9C-101B-9397-08002B2CF9AE}" pid="3" name="Classification">
    <vt:lpwstr>OFFICIAL</vt:lpwstr>
  </property>
  <property fmtid="{D5CDD505-2E9C-101B-9397-08002B2CF9AE}" pid="4" name="Visibility">
    <vt:lpwstr>NOT VISIBLE</vt:lpwstr>
  </property>
</Properties>
</file>