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C0B59" w14:textId="2C946418" w:rsidR="00FD5265" w:rsidRDefault="00FD5265">
      <w:r>
        <w:t>The archaeological evidence from Bronze Age Egypt provides</w:t>
      </w:r>
      <w:r w:rsidR="0020340D">
        <w:t xml:space="preserve"> a varied insight into the complexity of the society that was developing during this period. </w:t>
      </w:r>
      <w:r w:rsidR="00143022">
        <w:t xml:space="preserve">This evidence can be used to </w:t>
      </w:r>
      <w:r w:rsidR="00BB15F2">
        <w:t xml:space="preserve">discuss how this community may be described, is it a chiefdom or state? </w:t>
      </w:r>
    </w:p>
    <w:p w14:paraId="40A5EAE9" w14:textId="1CAE5EB8" w:rsidR="0016304F" w:rsidRDefault="006B3F97">
      <w:r>
        <w:t>A chiefdom or state can be defined in various ways. Childe uses a variety of criteria in his article</w:t>
      </w:r>
      <w:r w:rsidR="00AE3663">
        <w:t xml:space="preserve">, The Urban Revolution </w:t>
      </w:r>
      <w:sdt>
        <w:sdtPr>
          <w:id w:val="-1232541017"/>
          <w:citation/>
        </w:sdtPr>
        <w:sdtContent>
          <w:r w:rsidR="00AE3663">
            <w:fldChar w:fldCharType="begin"/>
          </w:r>
          <w:r w:rsidR="00AE3663">
            <w:instrText xml:space="preserve">CITATION Chi50 \n  \l 2057 </w:instrText>
          </w:r>
          <w:r w:rsidR="00AE3663">
            <w:fldChar w:fldCharType="separate"/>
          </w:r>
          <w:r w:rsidR="00AE3663" w:rsidRPr="00AE3663">
            <w:rPr>
              <w:noProof/>
            </w:rPr>
            <w:t>(1950)</w:t>
          </w:r>
          <w:r w:rsidR="00AE3663">
            <w:fldChar w:fldCharType="end"/>
          </w:r>
        </w:sdtContent>
      </w:sdt>
      <w:r w:rsidR="0078677D">
        <w:t xml:space="preserve">, although his descriptive language and explanations contain what is now seen as derogatory language, the base message and details that he puts forward could aid in the determination of a state or chiefdom. For example, Childe focuses a lot on how population density is one of the driving forces behind the development of a </w:t>
      </w:r>
      <w:r w:rsidR="00F04DDB">
        <w:t xml:space="preserve">“city”. Childe discusses how this growth in population affects how the society must become more complex in order to support the growth, through means such as </w:t>
      </w:r>
      <w:r w:rsidR="002206AB">
        <w:t xml:space="preserve">different “classes among the population, general agricultural workers and then specialist craftsmen, and the introduction and use of monumental architecture. These along with advancement in trade and the storage of surplus, agricultural and otherwise, are what Childe states make a “city” distinguishable from a village. </w:t>
      </w:r>
      <w:sdt>
        <w:sdtPr>
          <w:id w:val="363416681"/>
          <w:citation/>
        </w:sdtPr>
        <w:sdtContent>
          <w:r w:rsidR="002206AB">
            <w:fldChar w:fldCharType="begin"/>
          </w:r>
          <w:r w:rsidR="002206AB">
            <w:instrText xml:space="preserve">CITATION Chi50 \n  \l 2057 </w:instrText>
          </w:r>
          <w:r w:rsidR="002206AB">
            <w:fldChar w:fldCharType="separate"/>
          </w:r>
          <w:r w:rsidR="002206AB" w:rsidRPr="002206AB">
            <w:rPr>
              <w:noProof/>
            </w:rPr>
            <w:t>(1950)</w:t>
          </w:r>
          <w:r w:rsidR="002206AB">
            <w:fldChar w:fldCharType="end"/>
          </w:r>
        </w:sdtContent>
      </w:sdt>
      <w:r w:rsidR="004318C6">
        <w:t xml:space="preserve"> While these criteria that Childe uses were written at a time that </w:t>
      </w:r>
      <w:r w:rsidR="003A1D7D">
        <w:t xml:space="preserve">was not privy to all the archaeological evidence that we now have, they </w:t>
      </w:r>
      <w:r w:rsidR="00BE41A8">
        <w:t xml:space="preserve">do have merit when studying the social complexity of Bronze Age Egypt. </w:t>
      </w:r>
    </w:p>
    <w:p w14:paraId="68747575" w14:textId="555A023A" w:rsidR="00BE41A8" w:rsidRDefault="00610D6F">
      <w:r w:rsidRPr="00961E72">
        <w:t xml:space="preserve">The Bronze Age in Egypt was a varied time in terms of archaeological </w:t>
      </w:r>
      <w:r w:rsidR="00F66302" w:rsidRPr="00961E72">
        <w:t xml:space="preserve">evidence. Some of the major examples being the monumental architecture, with the most famous being the Pyramids. </w:t>
      </w:r>
      <w:r w:rsidR="003F796F" w:rsidRPr="00961E72">
        <w:t xml:space="preserve">The monumental architecture provides insight as to the complexity of the society because the building of such ornate and extensive buildings requires </w:t>
      </w:r>
      <w:r w:rsidR="00B419DE" w:rsidRPr="00961E72">
        <w:t>major planning and the backing of a very influential individual such as a governor of a region or the pharaoh himself.</w:t>
      </w:r>
      <w:r w:rsidR="00B419DE">
        <w:t xml:space="preserve"> </w:t>
      </w:r>
      <w:r w:rsidR="00961E72">
        <w:t xml:space="preserve"> The use of planning for monumental structures furthers the idea for social complexity because it would require basic engineering and architectural abilities in the least to be able to build structures such as the pyramids and temples such as those at Abu Simbel, a society with this knowledge and the ability to use it in such</w:t>
      </w:r>
      <w:r w:rsidR="00847105">
        <w:t xml:space="preserve"> </w:t>
      </w:r>
      <w:r w:rsidR="00961E72">
        <w:t xml:space="preserve">a constructive way </w:t>
      </w:r>
      <w:r w:rsidR="00847105">
        <w:t xml:space="preserve">cannot be denied social complexity, the knowledge must have been learned and then taught to others for the amount of monumental structures built over the period and therefore there must have been at least some form of education system, and that there had to be a generous benefactor of wealth to any project to support and fund an entire community that would ned to be developed around the site in order to build. </w:t>
      </w:r>
    </w:p>
    <w:p w14:paraId="71BE2CF4" w14:textId="4179EB50" w:rsidR="003F796F" w:rsidRDefault="003F796F">
      <w:r>
        <w:t xml:space="preserve">Another example for social complexity within Bronze Age Egypt is the </w:t>
      </w:r>
      <w:r w:rsidR="00EC6F02">
        <w:t xml:space="preserve">evidence </w:t>
      </w:r>
      <w:r w:rsidR="00792018">
        <w:t xml:space="preserve">for the ruling class, in this case the Pharaohs. As shown through finds such as the </w:t>
      </w:r>
      <w:r w:rsidR="00A60D92">
        <w:t>pyramids and through other royal tombs. The extensive designs and structure of these tombs</w:t>
      </w:r>
      <w:r w:rsidR="00C96515">
        <w:t xml:space="preserve"> </w:t>
      </w:r>
      <w:r w:rsidR="00A60D92">
        <w:t xml:space="preserve">show that the country was being brought </w:t>
      </w:r>
      <w:r w:rsidR="00B419DE">
        <w:t xml:space="preserve">to unity through the </w:t>
      </w:r>
      <w:r w:rsidR="0056301E">
        <w:t xml:space="preserve">designation of a “singular” ruler. </w:t>
      </w:r>
      <w:r w:rsidR="00C96515">
        <w:t>As Naville discusses in his article on Abydos</w:t>
      </w:r>
      <w:r w:rsidR="00EC5175">
        <w:t xml:space="preserve">, </w:t>
      </w:r>
      <w:r w:rsidR="00EC5175">
        <w:t xml:space="preserve">, </w:t>
      </w:r>
      <w:r w:rsidR="00EC5175">
        <w:t xml:space="preserve">and </w:t>
      </w:r>
      <w:r w:rsidR="00EC5175">
        <w:t>the tombs of the rulers from the first three dynasties</w:t>
      </w:r>
      <w:sdt>
        <w:sdtPr>
          <w:id w:val="697519637"/>
          <w:citation/>
        </w:sdtPr>
        <w:sdtContent>
          <w:r w:rsidR="00C96515">
            <w:fldChar w:fldCharType="begin"/>
          </w:r>
          <w:r w:rsidR="00C96515">
            <w:instrText xml:space="preserve">CITATION Nav14 \n  \l 2057 </w:instrText>
          </w:r>
          <w:r w:rsidR="00C96515">
            <w:fldChar w:fldCharType="separate"/>
          </w:r>
          <w:r w:rsidR="00C96515">
            <w:rPr>
              <w:noProof/>
            </w:rPr>
            <w:t xml:space="preserve"> </w:t>
          </w:r>
          <w:r w:rsidR="00C96515" w:rsidRPr="00C96515">
            <w:rPr>
              <w:noProof/>
            </w:rPr>
            <w:t>(1914)</w:t>
          </w:r>
          <w:r w:rsidR="00C96515">
            <w:fldChar w:fldCharType="end"/>
          </w:r>
        </w:sdtContent>
      </w:sdt>
      <w:r w:rsidR="00C96515">
        <w:t>, the tombs were not all necessarily built solely as tombs but also as places of worship for those specific pharaohs</w:t>
      </w:r>
      <w:r w:rsidR="00EC5175">
        <w:t>.</w:t>
      </w:r>
      <w:r w:rsidR="00C96515">
        <w:t xml:space="preserve"> This is because it was very common for a pharaoh to become deified after death, although this was not always the case. This practice provides further evidence for social complexity because it provides insight into how the society viewed death among those in the elite and how their belief system views the elite themselves before death, if death leads to the deification then perhaps when alive they are believed to be very close to the gods anyway.</w:t>
      </w:r>
      <w:r w:rsidR="00266D1B">
        <w:t xml:space="preserve"> This relationship between the king and the deities is also discussed in Shaw’s book</w:t>
      </w:r>
      <w:sdt>
        <w:sdtPr>
          <w:id w:val="1474713995"/>
          <w:citation/>
        </w:sdtPr>
        <w:sdtContent>
          <w:r w:rsidR="00266D1B">
            <w:fldChar w:fldCharType="begin"/>
          </w:r>
          <w:r w:rsidR="00266D1B">
            <w:instrText xml:space="preserve">CITATION Sha04 \n  \l 2057 </w:instrText>
          </w:r>
          <w:r w:rsidR="00266D1B">
            <w:fldChar w:fldCharType="separate"/>
          </w:r>
          <w:r w:rsidR="00266D1B">
            <w:rPr>
              <w:noProof/>
            </w:rPr>
            <w:t xml:space="preserve"> </w:t>
          </w:r>
          <w:r w:rsidR="00266D1B" w:rsidRPr="00266D1B">
            <w:rPr>
              <w:noProof/>
            </w:rPr>
            <w:t>(2004)</w:t>
          </w:r>
          <w:r w:rsidR="00266D1B">
            <w:fldChar w:fldCharType="end"/>
          </w:r>
        </w:sdtContent>
      </w:sdt>
      <w:r w:rsidR="00266D1B">
        <w:t xml:space="preserve">, and how it is displayed on the </w:t>
      </w:r>
      <w:r w:rsidR="00253314">
        <w:t>Narmer</w:t>
      </w:r>
      <w:r w:rsidR="00266D1B">
        <w:t xml:space="preserve"> Palette, which displays interaction between the king and the god Horus.  </w:t>
      </w:r>
      <w:r w:rsidR="00C75B54">
        <w:t>Shaw also talks about how the few female rulers that have been identified were treated by the society. Shaw</w:t>
      </w:r>
      <w:sdt>
        <w:sdtPr>
          <w:id w:val="-1954856043"/>
          <w:citation/>
        </w:sdtPr>
        <w:sdtContent>
          <w:r w:rsidR="00253314">
            <w:fldChar w:fldCharType="begin"/>
          </w:r>
          <w:r w:rsidR="00253314">
            <w:instrText xml:space="preserve">CITATION Sha04 \n  \l 2057 </w:instrText>
          </w:r>
          <w:r w:rsidR="00253314">
            <w:fldChar w:fldCharType="separate"/>
          </w:r>
          <w:r w:rsidR="00253314">
            <w:rPr>
              <w:noProof/>
            </w:rPr>
            <w:t xml:space="preserve"> </w:t>
          </w:r>
          <w:r w:rsidR="00253314" w:rsidRPr="00253314">
            <w:rPr>
              <w:noProof/>
            </w:rPr>
            <w:t>(2004)</w:t>
          </w:r>
          <w:r w:rsidR="00253314">
            <w:fldChar w:fldCharType="end"/>
          </w:r>
        </w:sdtContent>
      </w:sdt>
      <w:r w:rsidR="00C75B54">
        <w:t xml:space="preserve"> explains that there was no word that meant female ruler and that the words that were used for female members of the royal family implied marriage or mother of the king, it is then explained how the women how became rulers in their own right were then forced to adopt male </w:t>
      </w:r>
      <w:r w:rsidR="00253314">
        <w:t xml:space="preserve">mannerisms and attire in order to be recognised as a ruler. </w:t>
      </w:r>
      <w:r w:rsidR="00C96515">
        <w:t xml:space="preserve"> </w:t>
      </w:r>
      <w:r w:rsidR="00500B6E">
        <w:t xml:space="preserve">Naville also explains how it was common for those who died after the ruler to be buried near </w:t>
      </w:r>
      <w:r w:rsidR="00500B6E">
        <w:lastRenderedPageBreak/>
        <w:t xml:space="preserve">the ruler, this furthers the idea of social complexity </w:t>
      </w:r>
      <w:r w:rsidR="00815080">
        <w:t xml:space="preserve">because it implies that there was some sort of belief that being near to the ruler would perhaps benefit them in </w:t>
      </w:r>
      <w:r w:rsidR="00C96515">
        <w:t xml:space="preserve"> </w:t>
      </w:r>
      <w:r w:rsidR="00815080">
        <w:t>the afterlife. Naville also furthers this by saying that “the deceased king did not like to be alone.”</w:t>
      </w:r>
      <w:sdt>
        <w:sdtPr>
          <w:id w:val="1903020339"/>
          <w:citation/>
        </w:sdtPr>
        <w:sdtContent>
          <w:r w:rsidR="00815080">
            <w:fldChar w:fldCharType="begin"/>
          </w:r>
          <w:r w:rsidR="00815080">
            <w:instrText xml:space="preserve">CITATION Nav14 \p 4 \n  \l 2057 </w:instrText>
          </w:r>
          <w:r w:rsidR="00815080">
            <w:fldChar w:fldCharType="separate"/>
          </w:r>
          <w:r w:rsidR="00815080">
            <w:rPr>
              <w:noProof/>
            </w:rPr>
            <w:t xml:space="preserve"> </w:t>
          </w:r>
          <w:r w:rsidR="00815080" w:rsidRPr="00815080">
            <w:rPr>
              <w:noProof/>
            </w:rPr>
            <w:t>(1914, p. 4)</w:t>
          </w:r>
          <w:r w:rsidR="00815080">
            <w:fldChar w:fldCharType="end"/>
          </w:r>
        </w:sdtContent>
      </w:sdt>
      <w:r w:rsidR="00815080">
        <w:t xml:space="preserve"> This section of the passage also discusses how the officials and the priests were ones who would be the ones who wanted to be nearest the ruler, this also provides the knowledge that while there was a singular ruler, this was not the sum total of the elite class. </w:t>
      </w:r>
    </w:p>
    <w:p w14:paraId="49083118" w14:textId="5278C347" w:rsidR="00253314" w:rsidRDefault="00253314">
      <w:r>
        <w:t xml:space="preserve">Another example of social complexity is the evidence for an extensive trade network. </w:t>
      </w:r>
      <w:r w:rsidR="001B4719">
        <w:t xml:space="preserve">While the greatest reach in terms of foreign trade would not be achieved until the later dynasties, there was always an intent to extend the influence of Egypt throughout the surrounding areas.  Although Moreno </w:t>
      </w:r>
      <w:sdt>
        <w:sdtPr>
          <w:id w:val="1346668243"/>
          <w:citation/>
        </w:sdtPr>
        <w:sdtContent>
          <w:r w:rsidR="001922A4">
            <w:fldChar w:fldCharType="begin"/>
          </w:r>
          <w:r w:rsidR="001922A4">
            <w:instrText xml:space="preserve">CITATION Mor17 \n  \l 2057 </w:instrText>
          </w:r>
          <w:r w:rsidR="001922A4">
            <w:fldChar w:fldCharType="separate"/>
          </w:r>
          <w:r w:rsidR="001922A4" w:rsidRPr="001922A4">
            <w:rPr>
              <w:noProof/>
            </w:rPr>
            <w:t>(2017)</w:t>
          </w:r>
          <w:r w:rsidR="001922A4">
            <w:fldChar w:fldCharType="end"/>
          </w:r>
        </w:sdtContent>
      </w:sdt>
      <w:r w:rsidR="001B4719">
        <w:t xml:space="preserve">discusses how </w:t>
      </w:r>
      <w:r w:rsidR="004D2BDB">
        <w:t>there is a lot of focus within Egypt on the domestic movement of goods, how those goods were used to pay wages and how the infrastructure of Egypt itself depended on</w:t>
      </w:r>
      <w:r w:rsidR="001922A4">
        <w:t xml:space="preserve"> it. </w:t>
      </w:r>
      <w:r w:rsidR="001B4719">
        <w:t xml:space="preserve"> </w:t>
      </w:r>
      <w:r w:rsidR="001922A4">
        <w:t>Moreno also describes how often foreign trade was used by the royals as a method of diplomacy and as a method of displaying wealth and power.</w:t>
      </w:r>
      <w:sdt>
        <w:sdtPr>
          <w:id w:val="-1881233964"/>
          <w:citation/>
        </w:sdtPr>
        <w:sdtContent>
          <w:r w:rsidR="001922A4">
            <w:fldChar w:fldCharType="begin"/>
          </w:r>
          <w:r w:rsidR="001922A4">
            <w:instrText xml:space="preserve">CITATION Mor17 \n  \l 2057 </w:instrText>
          </w:r>
          <w:r w:rsidR="001922A4">
            <w:fldChar w:fldCharType="separate"/>
          </w:r>
          <w:r w:rsidR="001922A4">
            <w:rPr>
              <w:noProof/>
            </w:rPr>
            <w:t xml:space="preserve"> </w:t>
          </w:r>
          <w:r w:rsidR="001922A4" w:rsidRPr="001922A4">
            <w:rPr>
              <w:noProof/>
            </w:rPr>
            <w:t>(2017)</w:t>
          </w:r>
          <w:r w:rsidR="001922A4">
            <w:fldChar w:fldCharType="end"/>
          </w:r>
        </w:sdtContent>
      </w:sdt>
      <w:r w:rsidR="001922A4">
        <w:t xml:space="preserve"> It is further explained in the article that the commercial trade is underrepresented in </w:t>
      </w:r>
      <w:r w:rsidR="008C58D7">
        <w:t xml:space="preserve">the literature from the time because of </w:t>
      </w:r>
      <w:r w:rsidR="006C2309">
        <w:t xml:space="preserve">trade within the elite circuits and the movement within the country itself. </w:t>
      </w:r>
      <w:r w:rsidR="0075360A">
        <w:t xml:space="preserve">This extensive trade movement both internally and externally shows socially complexity because it implies extensive administration and </w:t>
      </w:r>
      <w:r w:rsidR="008E418F">
        <w:t xml:space="preserve">the influence of many individuals at varying levels of authority. This requires cooperation from all levels of society in order for the supply chain to continue effectively and to maintain levels of production high enough to not only sustain the requirements of the country but also the external demands for the surplus goods produced. </w:t>
      </w:r>
    </w:p>
    <w:p w14:paraId="7D37E64A" w14:textId="796269B5" w:rsidR="00253314" w:rsidRDefault="008E418F">
      <w:r>
        <w:t xml:space="preserve">The writing systems used during this period also provide evidence for </w:t>
      </w:r>
      <w:r w:rsidR="009A0385">
        <w:t>social complexity because it provides a deeper knowledge of the influence of certain material objects through the annotations on them. As Shaw explains, the use of hieroglyphics meant that “the connections between writing and art were much stronger in pharaonic Egypt than many other cultures.”</w:t>
      </w:r>
      <w:sdt>
        <w:sdtPr>
          <w:id w:val="1341668668"/>
          <w:citation/>
        </w:sdtPr>
        <w:sdtContent>
          <w:r w:rsidR="009A0385">
            <w:fldChar w:fldCharType="begin"/>
          </w:r>
          <w:r w:rsidR="009A0385">
            <w:instrText xml:space="preserve">CITATION Sha04 \p 72 \n  \l 2057 </w:instrText>
          </w:r>
          <w:r w:rsidR="009A0385">
            <w:fldChar w:fldCharType="separate"/>
          </w:r>
          <w:r w:rsidR="009A0385">
            <w:rPr>
              <w:noProof/>
            </w:rPr>
            <w:t xml:space="preserve"> </w:t>
          </w:r>
          <w:r w:rsidR="009A0385" w:rsidRPr="009A0385">
            <w:rPr>
              <w:noProof/>
            </w:rPr>
            <w:t>(2004, p. 72)</w:t>
          </w:r>
          <w:r w:rsidR="009A0385">
            <w:fldChar w:fldCharType="end"/>
          </w:r>
        </w:sdtContent>
      </w:sdt>
      <w:r w:rsidR="009A0385">
        <w:t xml:space="preserve"> This </w:t>
      </w:r>
      <w:r w:rsidR="005D7E29">
        <w:t xml:space="preserve">provides evidence for social complexity because the society was providing a form of communication and connecting it to their artforms. Although many of the pieces of text that have survived are found on the walls and objects found in the temples and tombs </w:t>
      </w:r>
      <w:sdt>
        <w:sdtPr>
          <w:id w:val="100227392"/>
          <w:citation/>
        </w:sdtPr>
        <w:sdtContent>
          <w:r w:rsidR="005D7E29">
            <w:fldChar w:fldCharType="begin"/>
          </w:r>
          <w:r w:rsidR="005D7E29">
            <w:instrText xml:space="preserve"> CITATION Sha04 \l 2057 </w:instrText>
          </w:r>
          <w:r w:rsidR="005D7E29">
            <w:fldChar w:fldCharType="separate"/>
          </w:r>
          <w:r w:rsidR="005D7E29" w:rsidRPr="005D7E29">
            <w:rPr>
              <w:noProof/>
            </w:rPr>
            <w:t>(Shaw, 2004)</w:t>
          </w:r>
          <w:r w:rsidR="005D7E29">
            <w:fldChar w:fldCharType="end"/>
          </w:r>
        </w:sdtContent>
      </w:sdt>
      <w:r w:rsidR="005D7E29">
        <w:t>, this could suggest that although the evidence of the complex writing system does provide evidence of an evolving society, it does also show that the use of the writing was not as easily accessible to the lower classes of society. Also the relationship between the writing and the context it is found, temples and tombs, provides evidence as Shaw explains that there is a close link between the writing and “religious beliefs and funerary practices.”</w:t>
      </w:r>
      <w:sdt>
        <w:sdtPr>
          <w:id w:val="-433139244"/>
          <w:citation/>
        </w:sdtPr>
        <w:sdtContent>
          <w:r w:rsidR="005D7E29">
            <w:fldChar w:fldCharType="begin"/>
          </w:r>
          <w:r w:rsidR="005D7E29">
            <w:instrText xml:space="preserve">CITATION Sha04 \p 73 \n  \l 2057 </w:instrText>
          </w:r>
          <w:r w:rsidR="005D7E29">
            <w:fldChar w:fldCharType="separate"/>
          </w:r>
          <w:r w:rsidR="005D7E29">
            <w:rPr>
              <w:noProof/>
            </w:rPr>
            <w:t xml:space="preserve"> </w:t>
          </w:r>
          <w:r w:rsidR="005D7E29" w:rsidRPr="005D7E29">
            <w:rPr>
              <w:noProof/>
            </w:rPr>
            <w:t>(2004, p. 73)</w:t>
          </w:r>
          <w:r w:rsidR="005D7E29">
            <w:fldChar w:fldCharType="end"/>
          </w:r>
        </w:sdtContent>
      </w:sdt>
      <w:r w:rsidR="005D7E29">
        <w:t xml:space="preserve"> </w:t>
      </w:r>
      <w:r w:rsidR="00750B72">
        <w:t xml:space="preserve">Again, this shows the complexity of the society </w:t>
      </w:r>
      <w:r w:rsidR="00961E72">
        <w:t xml:space="preserve">because it links many aspects of the culture together through a singular method of communication. It also could be used to explain how the classes were divided through means other than wealth, those that could use the written language and those that could not. </w:t>
      </w:r>
    </w:p>
    <w:p w14:paraId="48EB493E" w14:textId="0415C548" w:rsidR="00253314" w:rsidRDefault="00785903">
      <w:r>
        <w:t xml:space="preserve">A further example of how Egypt was socially complex during the bronze age is the material culture and how trade specialisation affects the community. </w:t>
      </w:r>
      <w:r w:rsidR="005A70B1">
        <w:t xml:space="preserve">The extravagance of the artefacts from this period such as the Narmer palette and grave goods found in tombs, such as the funerary mask of Tutankhamun and the bust of Nefertiti, show that the society had moved from simply producing goods for everyday use to having the ability </w:t>
      </w:r>
      <w:r w:rsidR="00D0498A">
        <w:t xml:space="preserve">and opportunity to create goods for luxury use. The creation of these artefacts brings into question the idea of craft specialisation within the society, in order for someone to create such detailed objects, there must be some form of specialisation. These objects and ones like it are not objects that can be made by the average person and having a specialist making them would most likely increase the value of them making them more luxury items and preventing mass circulation of the more expensive. </w:t>
      </w:r>
      <w:r w:rsidR="00FC23FD">
        <w:t xml:space="preserve">In relation to this specialisation, comes expectation of excellence from royalty, as Moreno </w:t>
      </w:r>
      <w:sdt>
        <w:sdtPr>
          <w:id w:val="-190151268"/>
          <w:citation/>
        </w:sdtPr>
        <w:sdtContent>
          <w:r w:rsidR="00FC23FD">
            <w:fldChar w:fldCharType="begin"/>
          </w:r>
          <w:r w:rsidR="00FC23FD">
            <w:instrText xml:space="preserve">CITATION Mor17 \n  \l 2057 </w:instrText>
          </w:r>
          <w:r w:rsidR="00FC23FD">
            <w:fldChar w:fldCharType="separate"/>
          </w:r>
          <w:r w:rsidR="00FC23FD" w:rsidRPr="00FC23FD">
            <w:rPr>
              <w:noProof/>
            </w:rPr>
            <w:t>(2017)</w:t>
          </w:r>
          <w:r w:rsidR="00FC23FD">
            <w:fldChar w:fldCharType="end"/>
          </w:r>
        </w:sdtContent>
      </w:sdt>
      <w:r w:rsidR="00FC23FD">
        <w:t xml:space="preserve"> explains, and there are indications in the </w:t>
      </w:r>
      <w:r w:rsidR="00FC23FD">
        <w:lastRenderedPageBreak/>
        <w:t xml:space="preserve">material culture that when the delivered result is less than the expectation it parallels the decline in power for the royal household. This provides evidence for social complexity because it shows that the country was not always dependent on the king for social stability, that there were times when the society was more than the elite few. Although this sort of social upheaval could be used as a detrimental effect against social complexity because it would threaten the systems, beliefs and economic, in place and could potentially cause the collapse of the entire thing. </w:t>
      </w:r>
    </w:p>
    <w:p w14:paraId="66765F59" w14:textId="4C50472F" w:rsidR="00B419DE" w:rsidRDefault="00FC23FD">
      <w:r>
        <w:t>The expansions made to the Egyptian Empire during the Bronze Age can also be used as evidence for social complexity</w:t>
      </w:r>
      <w:r w:rsidR="00E572D6">
        <w:t>. This is because to expand and maintain new lands within an empire not only requires a strong military presence which is expensive and draining on a countries resources, but also it requires a country to have a certain degree of economic and social stability in order for the migration of population into this newly acquired land to be successful.  The expansion of the empire could have been made easier by the foreign trade networks that were being and had been set up, with a foothold in a region already it was perhaps easier to insert more of the Egyptian culture into a community and take it for Egypt. However, as Moreno points out</w:t>
      </w:r>
      <w:sdt>
        <w:sdtPr>
          <w:id w:val="1952208955"/>
          <w:citation/>
        </w:sdtPr>
        <w:sdtContent>
          <w:r w:rsidR="00E572D6">
            <w:fldChar w:fldCharType="begin"/>
          </w:r>
          <w:r w:rsidR="00E572D6">
            <w:instrText xml:space="preserve">CITATION Mor17 \n  \l 2057 </w:instrText>
          </w:r>
          <w:r w:rsidR="00E572D6">
            <w:fldChar w:fldCharType="separate"/>
          </w:r>
          <w:r w:rsidR="00E572D6">
            <w:rPr>
              <w:noProof/>
            </w:rPr>
            <w:t xml:space="preserve"> </w:t>
          </w:r>
          <w:r w:rsidR="00E572D6" w:rsidRPr="00E572D6">
            <w:rPr>
              <w:noProof/>
            </w:rPr>
            <w:t>(2017)</w:t>
          </w:r>
          <w:r w:rsidR="00E572D6">
            <w:fldChar w:fldCharType="end"/>
          </w:r>
        </w:sdtContent>
      </w:sdt>
      <w:r w:rsidR="00E572D6">
        <w:t>, there is</w:t>
      </w:r>
      <w:r w:rsidR="00CD7999">
        <w:t xml:space="preserve"> often</w:t>
      </w:r>
      <w:r w:rsidR="00E572D6">
        <w:t xml:space="preserve"> a lot of local political autonomy </w:t>
      </w:r>
      <w:r w:rsidR="00CD7999">
        <w:t xml:space="preserve">at times </w:t>
      </w:r>
      <w:r w:rsidR="00E572D6">
        <w:t xml:space="preserve">which means that it was potentially more easy for corruption and disloyalty to take hold of the country and prevent expansion from being as easy as it could be for a large and wealthy country such as Egypt. </w:t>
      </w:r>
      <w:r w:rsidR="00FA65A8">
        <w:t xml:space="preserve"> Although either way, this is still evidence for social complexity because it shows the power and strength of a unified Egypt from the wealth of a pharaoh to the work of a soldier and it also shows the weaknesses of the society that while local political autonomy aides the pharaoh in the day to day running it also provides more freedom for corruption and disloyalty. </w:t>
      </w:r>
    </w:p>
    <w:p w14:paraId="62BF4F52" w14:textId="06C1EADA" w:rsidR="00B419DE" w:rsidRDefault="00750B72">
      <w:r>
        <w:t xml:space="preserve">The evidence provided in the above essay can be used to assess and prove the argument for Egypt during the Bronze Age being socially complex, it can also be used to understand why Egypt may successfully be described as a State. The evidence for </w:t>
      </w:r>
      <w:r w:rsidR="00961E72">
        <w:t xml:space="preserve">example shows that there was the unification for long periods of time under a singular ruler, over several dynasties, and the use of the writing system and the links it had to religious beliefs and funerary practices, the trade specialisation and material culture along with the evidence for trade show that Egypt was beyond the point at which a society can be classed as a state. </w:t>
      </w:r>
    </w:p>
    <w:sdt>
      <w:sdtPr>
        <w:id w:val="-73477669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023F46A" w14:textId="628381E2" w:rsidR="00557A03" w:rsidRDefault="00557A03">
          <w:pPr>
            <w:pStyle w:val="Heading1"/>
          </w:pPr>
          <w:r>
            <w:t>Bibliography</w:t>
          </w:r>
        </w:p>
        <w:sdt>
          <w:sdtPr>
            <w:id w:val="111145805"/>
            <w:bibliography/>
          </w:sdtPr>
          <w:sdtContent>
            <w:p w14:paraId="33960BE2" w14:textId="77777777" w:rsidR="00557A03" w:rsidRDefault="00557A03" w:rsidP="00557A03">
              <w:pPr>
                <w:pStyle w:val="Bibliography"/>
                <w:rPr>
                  <w:noProof/>
                  <w:sz w:val="24"/>
                  <w:szCs w:val="24"/>
                  <w:lang w:val="en-US"/>
                </w:rPr>
              </w:pPr>
              <w:r>
                <w:fldChar w:fldCharType="begin"/>
              </w:r>
              <w:r>
                <w:instrText xml:space="preserve"> BIBLIOGRAPHY </w:instrText>
              </w:r>
              <w:r>
                <w:fldChar w:fldCharType="separate"/>
              </w:r>
              <w:r>
                <w:rPr>
                  <w:noProof/>
                  <w:lang w:val="en-US"/>
                </w:rPr>
                <w:t xml:space="preserve">Childe, G. V., 1950. The Urban Revolution. </w:t>
              </w:r>
              <w:r>
                <w:rPr>
                  <w:i/>
                  <w:iCs/>
                  <w:noProof/>
                  <w:lang w:val="en-US"/>
                </w:rPr>
                <w:t xml:space="preserve">The Town Planning Review, </w:t>
              </w:r>
              <w:r>
                <w:rPr>
                  <w:noProof/>
                  <w:lang w:val="en-US"/>
                </w:rPr>
                <w:t>21(1), pp. 3-17.</w:t>
              </w:r>
            </w:p>
            <w:p w14:paraId="1E529DC4" w14:textId="77777777" w:rsidR="00557A03" w:rsidRDefault="00557A03" w:rsidP="00557A03">
              <w:pPr>
                <w:pStyle w:val="Bibliography"/>
                <w:rPr>
                  <w:noProof/>
                  <w:lang w:val="en-US"/>
                </w:rPr>
              </w:pPr>
              <w:r>
                <w:rPr>
                  <w:noProof/>
                  <w:lang w:val="en-US"/>
                </w:rPr>
                <w:t xml:space="preserve">Moreno García, J., 2017. Trade and Power in Ancient Egypt: Middle Egypt in the Late Third/Early Second Millennium BC.. </w:t>
              </w:r>
              <w:r>
                <w:rPr>
                  <w:i/>
                  <w:iCs/>
                  <w:noProof/>
                  <w:lang w:val="en-US"/>
                </w:rPr>
                <w:t xml:space="preserve">Journal of Archaeological Research, </w:t>
              </w:r>
              <w:r>
                <w:rPr>
                  <w:noProof/>
                  <w:lang w:val="en-US"/>
                </w:rPr>
                <w:t>Volume 25, pp. 87-132.</w:t>
              </w:r>
            </w:p>
            <w:p w14:paraId="627B38AD" w14:textId="77777777" w:rsidR="00557A03" w:rsidRDefault="00557A03" w:rsidP="00557A03">
              <w:pPr>
                <w:pStyle w:val="Bibliography"/>
                <w:rPr>
                  <w:noProof/>
                  <w:lang w:val="en-US"/>
                </w:rPr>
              </w:pPr>
              <w:r>
                <w:rPr>
                  <w:noProof/>
                  <w:lang w:val="en-US"/>
                </w:rPr>
                <w:t xml:space="preserve">Naville, E., 1914. Abydos. </w:t>
              </w:r>
              <w:r>
                <w:rPr>
                  <w:i/>
                  <w:iCs/>
                  <w:noProof/>
                  <w:lang w:val="en-US"/>
                </w:rPr>
                <w:t xml:space="preserve">The Journal of Egyptian Archaeology, </w:t>
              </w:r>
              <w:r>
                <w:rPr>
                  <w:noProof/>
                  <w:lang w:val="en-US"/>
                </w:rPr>
                <w:t>1(1), pp. 2-8.</w:t>
              </w:r>
            </w:p>
            <w:p w14:paraId="2C3A21D6" w14:textId="77777777" w:rsidR="00557A03" w:rsidRDefault="00557A03" w:rsidP="00557A03">
              <w:pPr>
                <w:pStyle w:val="Bibliography"/>
                <w:rPr>
                  <w:noProof/>
                  <w:lang w:val="en-US"/>
                </w:rPr>
              </w:pPr>
              <w:r>
                <w:rPr>
                  <w:noProof/>
                  <w:lang w:val="en-US"/>
                </w:rPr>
                <w:t xml:space="preserve">Shaw, I., 2004. </w:t>
              </w:r>
              <w:r>
                <w:rPr>
                  <w:i/>
                  <w:iCs/>
                  <w:noProof/>
                  <w:lang w:val="en-US"/>
                </w:rPr>
                <w:t xml:space="preserve">Ancient Egypt; A Very Short Introduction. </w:t>
              </w:r>
              <w:r>
                <w:rPr>
                  <w:noProof/>
                  <w:lang w:val="en-US"/>
                </w:rPr>
                <w:t>New York: Oxford University Press.</w:t>
              </w:r>
            </w:p>
            <w:p w14:paraId="7E644299" w14:textId="30DE7D8E" w:rsidR="00557A03" w:rsidRDefault="00557A03" w:rsidP="00557A03">
              <w:r>
                <w:rPr>
                  <w:b/>
                  <w:bCs/>
                  <w:noProof/>
                </w:rPr>
                <w:fldChar w:fldCharType="end"/>
              </w:r>
            </w:p>
          </w:sdtContent>
        </w:sdt>
      </w:sdtContent>
    </w:sdt>
    <w:p w14:paraId="585B50EF" w14:textId="77777777" w:rsidR="00557A03" w:rsidRDefault="00557A03"/>
    <w:sectPr w:rsidR="00557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265"/>
    <w:rsid w:val="00143022"/>
    <w:rsid w:val="0016304F"/>
    <w:rsid w:val="001922A4"/>
    <w:rsid w:val="001B4719"/>
    <w:rsid w:val="0020340D"/>
    <w:rsid w:val="002206AB"/>
    <w:rsid w:val="00253314"/>
    <w:rsid w:val="00266D1B"/>
    <w:rsid w:val="003A1D7D"/>
    <w:rsid w:val="003F796F"/>
    <w:rsid w:val="004318C6"/>
    <w:rsid w:val="004D2BDB"/>
    <w:rsid w:val="00500B6E"/>
    <w:rsid w:val="00557A03"/>
    <w:rsid w:val="0056301E"/>
    <w:rsid w:val="005A70B1"/>
    <w:rsid w:val="005D7E29"/>
    <w:rsid w:val="00610D6F"/>
    <w:rsid w:val="006B3F97"/>
    <w:rsid w:val="006C2309"/>
    <w:rsid w:val="00711ED1"/>
    <w:rsid w:val="00750B72"/>
    <w:rsid w:val="0075360A"/>
    <w:rsid w:val="00785903"/>
    <w:rsid w:val="0078677D"/>
    <w:rsid w:val="00792018"/>
    <w:rsid w:val="00815080"/>
    <w:rsid w:val="00847105"/>
    <w:rsid w:val="008C58D7"/>
    <w:rsid w:val="008E418F"/>
    <w:rsid w:val="009043D2"/>
    <w:rsid w:val="00961E72"/>
    <w:rsid w:val="009A0385"/>
    <w:rsid w:val="00A60D92"/>
    <w:rsid w:val="00AE3663"/>
    <w:rsid w:val="00B419DE"/>
    <w:rsid w:val="00BB15F2"/>
    <w:rsid w:val="00BE41A8"/>
    <w:rsid w:val="00C659BC"/>
    <w:rsid w:val="00C75B54"/>
    <w:rsid w:val="00C96515"/>
    <w:rsid w:val="00CD7999"/>
    <w:rsid w:val="00D0498A"/>
    <w:rsid w:val="00E572D6"/>
    <w:rsid w:val="00EC5175"/>
    <w:rsid w:val="00EC64D6"/>
    <w:rsid w:val="00EC6F02"/>
    <w:rsid w:val="00F04DDB"/>
    <w:rsid w:val="00F66302"/>
    <w:rsid w:val="00FA65A8"/>
    <w:rsid w:val="00FC23FD"/>
    <w:rsid w:val="00FD3F07"/>
    <w:rsid w:val="00FD5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EBCDC"/>
  <w15:chartTrackingRefBased/>
  <w15:docId w15:val="{CAC22D77-F864-4D05-A5BE-93907CF9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A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A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7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955160">
      <w:bodyDiv w:val="1"/>
      <w:marLeft w:val="0"/>
      <w:marRight w:val="0"/>
      <w:marTop w:val="0"/>
      <w:marBottom w:val="0"/>
      <w:divBdr>
        <w:top w:val="none" w:sz="0" w:space="0" w:color="auto"/>
        <w:left w:val="none" w:sz="0" w:space="0" w:color="auto"/>
        <w:bottom w:val="none" w:sz="0" w:space="0" w:color="auto"/>
        <w:right w:val="none" w:sz="0" w:space="0" w:color="auto"/>
      </w:divBdr>
    </w:div>
    <w:div w:id="269823060">
      <w:bodyDiv w:val="1"/>
      <w:marLeft w:val="0"/>
      <w:marRight w:val="0"/>
      <w:marTop w:val="0"/>
      <w:marBottom w:val="0"/>
      <w:divBdr>
        <w:top w:val="none" w:sz="0" w:space="0" w:color="auto"/>
        <w:left w:val="none" w:sz="0" w:space="0" w:color="auto"/>
        <w:bottom w:val="none" w:sz="0" w:space="0" w:color="auto"/>
        <w:right w:val="none" w:sz="0" w:space="0" w:color="auto"/>
      </w:divBdr>
    </w:div>
    <w:div w:id="322129631">
      <w:bodyDiv w:val="1"/>
      <w:marLeft w:val="0"/>
      <w:marRight w:val="0"/>
      <w:marTop w:val="0"/>
      <w:marBottom w:val="0"/>
      <w:divBdr>
        <w:top w:val="none" w:sz="0" w:space="0" w:color="auto"/>
        <w:left w:val="none" w:sz="0" w:space="0" w:color="auto"/>
        <w:bottom w:val="none" w:sz="0" w:space="0" w:color="auto"/>
        <w:right w:val="none" w:sz="0" w:space="0" w:color="auto"/>
      </w:divBdr>
    </w:div>
    <w:div w:id="374236558">
      <w:bodyDiv w:val="1"/>
      <w:marLeft w:val="0"/>
      <w:marRight w:val="0"/>
      <w:marTop w:val="0"/>
      <w:marBottom w:val="0"/>
      <w:divBdr>
        <w:top w:val="none" w:sz="0" w:space="0" w:color="auto"/>
        <w:left w:val="none" w:sz="0" w:space="0" w:color="auto"/>
        <w:bottom w:val="none" w:sz="0" w:space="0" w:color="auto"/>
        <w:right w:val="none" w:sz="0" w:space="0" w:color="auto"/>
      </w:divBdr>
    </w:div>
    <w:div w:id="602231823">
      <w:bodyDiv w:val="1"/>
      <w:marLeft w:val="0"/>
      <w:marRight w:val="0"/>
      <w:marTop w:val="0"/>
      <w:marBottom w:val="0"/>
      <w:divBdr>
        <w:top w:val="none" w:sz="0" w:space="0" w:color="auto"/>
        <w:left w:val="none" w:sz="0" w:space="0" w:color="auto"/>
        <w:bottom w:val="none" w:sz="0" w:space="0" w:color="auto"/>
        <w:right w:val="none" w:sz="0" w:space="0" w:color="auto"/>
      </w:divBdr>
    </w:div>
    <w:div w:id="665059889">
      <w:bodyDiv w:val="1"/>
      <w:marLeft w:val="0"/>
      <w:marRight w:val="0"/>
      <w:marTop w:val="0"/>
      <w:marBottom w:val="0"/>
      <w:divBdr>
        <w:top w:val="none" w:sz="0" w:space="0" w:color="auto"/>
        <w:left w:val="none" w:sz="0" w:space="0" w:color="auto"/>
        <w:bottom w:val="none" w:sz="0" w:space="0" w:color="auto"/>
        <w:right w:val="none" w:sz="0" w:space="0" w:color="auto"/>
      </w:divBdr>
    </w:div>
    <w:div w:id="686637629">
      <w:bodyDiv w:val="1"/>
      <w:marLeft w:val="0"/>
      <w:marRight w:val="0"/>
      <w:marTop w:val="0"/>
      <w:marBottom w:val="0"/>
      <w:divBdr>
        <w:top w:val="none" w:sz="0" w:space="0" w:color="auto"/>
        <w:left w:val="none" w:sz="0" w:space="0" w:color="auto"/>
        <w:bottom w:val="none" w:sz="0" w:space="0" w:color="auto"/>
        <w:right w:val="none" w:sz="0" w:space="0" w:color="auto"/>
      </w:divBdr>
    </w:div>
    <w:div w:id="763114398">
      <w:bodyDiv w:val="1"/>
      <w:marLeft w:val="0"/>
      <w:marRight w:val="0"/>
      <w:marTop w:val="0"/>
      <w:marBottom w:val="0"/>
      <w:divBdr>
        <w:top w:val="none" w:sz="0" w:space="0" w:color="auto"/>
        <w:left w:val="none" w:sz="0" w:space="0" w:color="auto"/>
        <w:bottom w:val="none" w:sz="0" w:space="0" w:color="auto"/>
        <w:right w:val="none" w:sz="0" w:space="0" w:color="auto"/>
      </w:divBdr>
    </w:div>
    <w:div w:id="848832734">
      <w:bodyDiv w:val="1"/>
      <w:marLeft w:val="0"/>
      <w:marRight w:val="0"/>
      <w:marTop w:val="0"/>
      <w:marBottom w:val="0"/>
      <w:divBdr>
        <w:top w:val="none" w:sz="0" w:space="0" w:color="auto"/>
        <w:left w:val="none" w:sz="0" w:space="0" w:color="auto"/>
        <w:bottom w:val="none" w:sz="0" w:space="0" w:color="auto"/>
        <w:right w:val="none" w:sz="0" w:space="0" w:color="auto"/>
      </w:divBdr>
    </w:div>
    <w:div w:id="913590805">
      <w:bodyDiv w:val="1"/>
      <w:marLeft w:val="0"/>
      <w:marRight w:val="0"/>
      <w:marTop w:val="0"/>
      <w:marBottom w:val="0"/>
      <w:divBdr>
        <w:top w:val="none" w:sz="0" w:space="0" w:color="auto"/>
        <w:left w:val="none" w:sz="0" w:space="0" w:color="auto"/>
        <w:bottom w:val="none" w:sz="0" w:space="0" w:color="auto"/>
        <w:right w:val="none" w:sz="0" w:space="0" w:color="auto"/>
      </w:divBdr>
    </w:div>
    <w:div w:id="986399466">
      <w:bodyDiv w:val="1"/>
      <w:marLeft w:val="0"/>
      <w:marRight w:val="0"/>
      <w:marTop w:val="0"/>
      <w:marBottom w:val="0"/>
      <w:divBdr>
        <w:top w:val="none" w:sz="0" w:space="0" w:color="auto"/>
        <w:left w:val="none" w:sz="0" w:space="0" w:color="auto"/>
        <w:bottom w:val="none" w:sz="0" w:space="0" w:color="auto"/>
        <w:right w:val="none" w:sz="0" w:space="0" w:color="auto"/>
      </w:divBdr>
    </w:div>
    <w:div w:id="1053575585">
      <w:bodyDiv w:val="1"/>
      <w:marLeft w:val="0"/>
      <w:marRight w:val="0"/>
      <w:marTop w:val="0"/>
      <w:marBottom w:val="0"/>
      <w:divBdr>
        <w:top w:val="none" w:sz="0" w:space="0" w:color="auto"/>
        <w:left w:val="none" w:sz="0" w:space="0" w:color="auto"/>
        <w:bottom w:val="none" w:sz="0" w:space="0" w:color="auto"/>
        <w:right w:val="none" w:sz="0" w:space="0" w:color="auto"/>
      </w:divBdr>
    </w:div>
    <w:div w:id="1125274771">
      <w:bodyDiv w:val="1"/>
      <w:marLeft w:val="0"/>
      <w:marRight w:val="0"/>
      <w:marTop w:val="0"/>
      <w:marBottom w:val="0"/>
      <w:divBdr>
        <w:top w:val="none" w:sz="0" w:space="0" w:color="auto"/>
        <w:left w:val="none" w:sz="0" w:space="0" w:color="auto"/>
        <w:bottom w:val="none" w:sz="0" w:space="0" w:color="auto"/>
        <w:right w:val="none" w:sz="0" w:space="0" w:color="auto"/>
      </w:divBdr>
    </w:div>
    <w:div w:id="1236629073">
      <w:bodyDiv w:val="1"/>
      <w:marLeft w:val="0"/>
      <w:marRight w:val="0"/>
      <w:marTop w:val="0"/>
      <w:marBottom w:val="0"/>
      <w:divBdr>
        <w:top w:val="none" w:sz="0" w:space="0" w:color="auto"/>
        <w:left w:val="none" w:sz="0" w:space="0" w:color="auto"/>
        <w:bottom w:val="none" w:sz="0" w:space="0" w:color="auto"/>
        <w:right w:val="none" w:sz="0" w:space="0" w:color="auto"/>
      </w:divBdr>
    </w:div>
    <w:div w:id="1272086027">
      <w:bodyDiv w:val="1"/>
      <w:marLeft w:val="0"/>
      <w:marRight w:val="0"/>
      <w:marTop w:val="0"/>
      <w:marBottom w:val="0"/>
      <w:divBdr>
        <w:top w:val="none" w:sz="0" w:space="0" w:color="auto"/>
        <w:left w:val="none" w:sz="0" w:space="0" w:color="auto"/>
        <w:bottom w:val="none" w:sz="0" w:space="0" w:color="auto"/>
        <w:right w:val="none" w:sz="0" w:space="0" w:color="auto"/>
      </w:divBdr>
    </w:div>
    <w:div w:id="1308129807">
      <w:bodyDiv w:val="1"/>
      <w:marLeft w:val="0"/>
      <w:marRight w:val="0"/>
      <w:marTop w:val="0"/>
      <w:marBottom w:val="0"/>
      <w:divBdr>
        <w:top w:val="none" w:sz="0" w:space="0" w:color="auto"/>
        <w:left w:val="none" w:sz="0" w:space="0" w:color="auto"/>
        <w:bottom w:val="none" w:sz="0" w:space="0" w:color="auto"/>
        <w:right w:val="none" w:sz="0" w:space="0" w:color="auto"/>
      </w:divBdr>
    </w:div>
    <w:div w:id="1330133681">
      <w:bodyDiv w:val="1"/>
      <w:marLeft w:val="0"/>
      <w:marRight w:val="0"/>
      <w:marTop w:val="0"/>
      <w:marBottom w:val="0"/>
      <w:divBdr>
        <w:top w:val="none" w:sz="0" w:space="0" w:color="auto"/>
        <w:left w:val="none" w:sz="0" w:space="0" w:color="auto"/>
        <w:bottom w:val="none" w:sz="0" w:space="0" w:color="auto"/>
        <w:right w:val="none" w:sz="0" w:space="0" w:color="auto"/>
      </w:divBdr>
    </w:div>
    <w:div w:id="1504320333">
      <w:bodyDiv w:val="1"/>
      <w:marLeft w:val="0"/>
      <w:marRight w:val="0"/>
      <w:marTop w:val="0"/>
      <w:marBottom w:val="0"/>
      <w:divBdr>
        <w:top w:val="none" w:sz="0" w:space="0" w:color="auto"/>
        <w:left w:val="none" w:sz="0" w:space="0" w:color="auto"/>
        <w:bottom w:val="none" w:sz="0" w:space="0" w:color="auto"/>
        <w:right w:val="none" w:sz="0" w:space="0" w:color="auto"/>
      </w:divBdr>
    </w:div>
    <w:div w:id="1668826421">
      <w:bodyDiv w:val="1"/>
      <w:marLeft w:val="0"/>
      <w:marRight w:val="0"/>
      <w:marTop w:val="0"/>
      <w:marBottom w:val="0"/>
      <w:divBdr>
        <w:top w:val="none" w:sz="0" w:space="0" w:color="auto"/>
        <w:left w:val="none" w:sz="0" w:space="0" w:color="auto"/>
        <w:bottom w:val="none" w:sz="0" w:space="0" w:color="auto"/>
        <w:right w:val="none" w:sz="0" w:space="0" w:color="auto"/>
      </w:divBdr>
    </w:div>
    <w:div w:id="1732458892">
      <w:bodyDiv w:val="1"/>
      <w:marLeft w:val="0"/>
      <w:marRight w:val="0"/>
      <w:marTop w:val="0"/>
      <w:marBottom w:val="0"/>
      <w:divBdr>
        <w:top w:val="none" w:sz="0" w:space="0" w:color="auto"/>
        <w:left w:val="none" w:sz="0" w:space="0" w:color="auto"/>
        <w:bottom w:val="none" w:sz="0" w:space="0" w:color="auto"/>
        <w:right w:val="none" w:sz="0" w:space="0" w:color="auto"/>
      </w:divBdr>
    </w:div>
    <w:div w:id="1734035963">
      <w:bodyDiv w:val="1"/>
      <w:marLeft w:val="0"/>
      <w:marRight w:val="0"/>
      <w:marTop w:val="0"/>
      <w:marBottom w:val="0"/>
      <w:divBdr>
        <w:top w:val="none" w:sz="0" w:space="0" w:color="auto"/>
        <w:left w:val="none" w:sz="0" w:space="0" w:color="auto"/>
        <w:bottom w:val="none" w:sz="0" w:space="0" w:color="auto"/>
        <w:right w:val="none" w:sz="0" w:space="0" w:color="auto"/>
      </w:divBdr>
    </w:div>
    <w:div w:id="1816216804">
      <w:bodyDiv w:val="1"/>
      <w:marLeft w:val="0"/>
      <w:marRight w:val="0"/>
      <w:marTop w:val="0"/>
      <w:marBottom w:val="0"/>
      <w:divBdr>
        <w:top w:val="none" w:sz="0" w:space="0" w:color="auto"/>
        <w:left w:val="none" w:sz="0" w:space="0" w:color="auto"/>
        <w:bottom w:val="none" w:sz="0" w:space="0" w:color="auto"/>
        <w:right w:val="none" w:sz="0" w:space="0" w:color="auto"/>
      </w:divBdr>
    </w:div>
    <w:div w:id="1920870858">
      <w:bodyDiv w:val="1"/>
      <w:marLeft w:val="0"/>
      <w:marRight w:val="0"/>
      <w:marTop w:val="0"/>
      <w:marBottom w:val="0"/>
      <w:divBdr>
        <w:top w:val="none" w:sz="0" w:space="0" w:color="auto"/>
        <w:left w:val="none" w:sz="0" w:space="0" w:color="auto"/>
        <w:bottom w:val="none" w:sz="0" w:space="0" w:color="auto"/>
        <w:right w:val="none" w:sz="0" w:space="0" w:color="auto"/>
      </w:divBdr>
    </w:div>
    <w:div w:id="1930917746">
      <w:bodyDiv w:val="1"/>
      <w:marLeft w:val="0"/>
      <w:marRight w:val="0"/>
      <w:marTop w:val="0"/>
      <w:marBottom w:val="0"/>
      <w:divBdr>
        <w:top w:val="none" w:sz="0" w:space="0" w:color="auto"/>
        <w:left w:val="none" w:sz="0" w:space="0" w:color="auto"/>
        <w:bottom w:val="none" w:sz="0" w:space="0" w:color="auto"/>
        <w:right w:val="none" w:sz="0" w:space="0" w:color="auto"/>
      </w:divBdr>
    </w:div>
    <w:div w:id="1949697492">
      <w:bodyDiv w:val="1"/>
      <w:marLeft w:val="0"/>
      <w:marRight w:val="0"/>
      <w:marTop w:val="0"/>
      <w:marBottom w:val="0"/>
      <w:divBdr>
        <w:top w:val="none" w:sz="0" w:space="0" w:color="auto"/>
        <w:left w:val="none" w:sz="0" w:space="0" w:color="auto"/>
        <w:bottom w:val="none" w:sz="0" w:space="0" w:color="auto"/>
        <w:right w:val="none" w:sz="0" w:space="0" w:color="auto"/>
      </w:divBdr>
    </w:div>
    <w:div w:id="1987855400">
      <w:bodyDiv w:val="1"/>
      <w:marLeft w:val="0"/>
      <w:marRight w:val="0"/>
      <w:marTop w:val="0"/>
      <w:marBottom w:val="0"/>
      <w:divBdr>
        <w:top w:val="none" w:sz="0" w:space="0" w:color="auto"/>
        <w:left w:val="none" w:sz="0" w:space="0" w:color="auto"/>
        <w:bottom w:val="none" w:sz="0" w:space="0" w:color="auto"/>
        <w:right w:val="none" w:sz="0" w:space="0" w:color="auto"/>
      </w:divBdr>
    </w:div>
    <w:div w:id="2056003991">
      <w:bodyDiv w:val="1"/>
      <w:marLeft w:val="0"/>
      <w:marRight w:val="0"/>
      <w:marTop w:val="0"/>
      <w:marBottom w:val="0"/>
      <w:divBdr>
        <w:top w:val="none" w:sz="0" w:space="0" w:color="auto"/>
        <w:left w:val="none" w:sz="0" w:space="0" w:color="auto"/>
        <w:bottom w:val="none" w:sz="0" w:space="0" w:color="auto"/>
        <w:right w:val="none" w:sz="0" w:space="0" w:color="auto"/>
      </w:divBdr>
    </w:div>
    <w:div w:id="21172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Chi50</b:Tag>
    <b:SourceType>JournalArticle</b:SourceType>
    <b:Guid>{D30E442D-A662-4967-9D99-CA8B95F0AA5A}</b:Guid>
    <b:Author>
      <b:Author>
        <b:NameList>
          <b:Person>
            <b:Last>Childe</b:Last>
            <b:First>Gordon</b:First>
            <b:Middle>V.</b:Middle>
          </b:Person>
        </b:NameList>
      </b:Author>
    </b:Author>
    <b:Title>The Urban Revolution</b:Title>
    <b:JournalName>The Town Planning Review</b:JournalName>
    <b:Year>1950</b:Year>
    <b:Pages>3-17</b:Pages>
    <b:Volume>21</b:Volume>
    <b:Issue>1</b:Issue>
    <b:RefOrder>1</b:RefOrder>
  </b:Source>
  <b:Source>
    <b:Tag>Nav14</b:Tag>
    <b:SourceType>JournalArticle</b:SourceType>
    <b:Guid>{95ED7CF5-36E6-4E17-81A7-2DA120B5C4FB}</b:Guid>
    <b:Author>
      <b:Author>
        <b:NameList>
          <b:Person>
            <b:Last>Naville</b:Last>
            <b:First>Edouard</b:First>
          </b:Person>
        </b:NameList>
      </b:Author>
    </b:Author>
    <b:Title>Abydos</b:Title>
    <b:JournalName>The Journal of Egyptian Archaeology</b:JournalName>
    <b:Year>1914</b:Year>
    <b:Pages>2-8</b:Pages>
    <b:Volume>1</b:Volume>
    <b:Issue>1</b:Issue>
    <b:RefOrder>2</b:RefOrder>
  </b:Source>
  <b:Source>
    <b:Tag>Sha04</b:Tag>
    <b:SourceType>Book</b:SourceType>
    <b:Guid>{F0AD0736-D85C-4F77-A7B1-5C31EBBF8D04}</b:Guid>
    <b:Title>Ancient Egypt; A Very Short Introduction</b:Title>
    <b:Year>2004</b:Year>
    <b:Author>
      <b:Author>
        <b:NameList>
          <b:Person>
            <b:Last>Shaw</b:Last>
            <b:First>Ian</b:First>
          </b:Person>
        </b:NameList>
      </b:Author>
    </b:Author>
    <b:City>New York</b:City>
    <b:Publisher>Oxford University Press</b:Publisher>
    <b:RefOrder>3</b:RefOrder>
  </b:Source>
  <b:Source>
    <b:Tag>Mor17</b:Tag>
    <b:SourceType>JournalArticle</b:SourceType>
    <b:Guid>{83806780-E2BB-46EB-BBFF-B552ACFFDC85}</b:Guid>
    <b:Title>Trade and Power in Ancient Egypt: Middle Egypt in the Late Third/Early Second Millennium BC. </b:Title>
    <b:Year>2017</b:Year>
    <b:Author>
      <b:Author>
        <b:NameList>
          <b:Person>
            <b:Last>Moreno García</b:Last>
            <b:First>J.C.</b:First>
          </b:Person>
        </b:NameList>
      </b:Author>
    </b:Author>
    <b:JournalName>Journal of Archaeological Research</b:JournalName>
    <b:Pages>87-132</b:Pages>
    <b:Volume>25</b:Volume>
    <b:RefOrder>4</b:RefOrder>
  </b:Source>
</b:Sources>
</file>

<file path=customXml/itemProps1.xml><?xml version="1.0" encoding="utf-8"?>
<ds:datastoreItem xmlns:ds="http://schemas.openxmlformats.org/officeDocument/2006/customXml" ds:itemID="{BAFCBC4B-5B65-4A73-8703-299E79078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3164</TotalTime>
  <Pages>3</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dc:creator>
  <cp:keywords/>
  <dc:description/>
  <cp:lastModifiedBy>Naome Wrightson</cp:lastModifiedBy>
  <cp:revision>12</cp:revision>
  <dcterms:created xsi:type="dcterms:W3CDTF">2020-04-20T09:40:00Z</dcterms:created>
  <dcterms:modified xsi:type="dcterms:W3CDTF">2020-04-22T14:24:00Z</dcterms:modified>
</cp:coreProperties>
</file>