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A3E60" w14:textId="77777777" w:rsidR="00D0190B" w:rsidRPr="00D0190B" w:rsidRDefault="00D0190B" w:rsidP="00D0190B">
      <w:pPr>
        <w:jc w:val="center"/>
        <w:rPr>
          <w:rFonts w:ascii="Arial" w:hAnsi="Arial" w:cs="Arial"/>
          <w:b/>
          <w:bCs/>
          <w:sz w:val="28"/>
          <w:szCs w:val="28"/>
        </w:rPr>
      </w:pPr>
      <w:r w:rsidRPr="00D0190B">
        <w:rPr>
          <w:rFonts w:ascii="Arial" w:hAnsi="Arial" w:cs="Arial"/>
          <w:b/>
          <w:bCs/>
          <w:sz w:val="28"/>
          <w:szCs w:val="28"/>
        </w:rPr>
        <w:t>Well-being, care and healthy living</w:t>
      </w:r>
    </w:p>
    <w:p w14:paraId="7321CD55" w14:textId="77777777" w:rsidR="0000523D" w:rsidRPr="00777385" w:rsidRDefault="0000523D" w:rsidP="00AF4D82">
      <w:pPr>
        <w:jc w:val="center"/>
        <w:rPr>
          <w:rFonts w:ascii="Arial" w:hAnsi="Arial" w:cs="Arial"/>
        </w:rPr>
      </w:pPr>
    </w:p>
    <w:p w14:paraId="12ED2EDC" w14:textId="7BF74986" w:rsidR="0000523D" w:rsidRPr="00777385" w:rsidRDefault="00D0190B" w:rsidP="00D0190B">
      <w:pPr>
        <w:pStyle w:val="ListParagraph"/>
        <w:numPr>
          <w:ilvl w:val="0"/>
          <w:numId w:val="3"/>
        </w:numPr>
        <w:rPr>
          <w:rFonts w:ascii="Arial" w:hAnsi="Arial" w:cs="Arial"/>
        </w:rPr>
      </w:pPr>
      <w:r w:rsidRPr="00777385">
        <w:rPr>
          <w:rFonts w:ascii="Arial" w:hAnsi="Arial" w:cs="Arial"/>
        </w:rPr>
        <w:t>Page 2</w:t>
      </w:r>
      <w:r w:rsidR="00692293" w:rsidRPr="00777385">
        <w:rPr>
          <w:rFonts w:ascii="Arial" w:hAnsi="Arial" w:cs="Arial"/>
        </w:rPr>
        <w:t xml:space="preserve"> </w:t>
      </w:r>
      <w:r w:rsidRPr="00777385">
        <w:rPr>
          <w:rFonts w:ascii="Arial" w:hAnsi="Arial" w:cs="Arial"/>
        </w:rPr>
        <w:t xml:space="preserve">- </w:t>
      </w:r>
      <w:r w:rsidR="00692293" w:rsidRPr="00777385">
        <w:rPr>
          <w:rFonts w:ascii="Arial" w:hAnsi="Arial" w:cs="Arial"/>
        </w:rPr>
        <w:t>S</w:t>
      </w:r>
      <w:r w:rsidRPr="00777385">
        <w:rPr>
          <w:rFonts w:ascii="Arial" w:hAnsi="Arial" w:cs="Arial"/>
        </w:rPr>
        <w:t>cript</w:t>
      </w:r>
    </w:p>
    <w:p w14:paraId="44189687" w14:textId="24127E4B" w:rsidR="00D0190B" w:rsidRPr="00777385" w:rsidRDefault="00D0190B" w:rsidP="00D0190B">
      <w:pPr>
        <w:pStyle w:val="ListParagraph"/>
        <w:numPr>
          <w:ilvl w:val="0"/>
          <w:numId w:val="3"/>
        </w:numPr>
        <w:rPr>
          <w:rFonts w:ascii="Arial" w:hAnsi="Arial" w:cs="Arial"/>
        </w:rPr>
      </w:pPr>
      <w:r w:rsidRPr="00777385">
        <w:rPr>
          <w:rFonts w:ascii="Arial" w:hAnsi="Arial" w:cs="Arial"/>
        </w:rPr>
        <w:t xml:space="preserve">Page </w:t>
      </w:r>
      <w:r w:rsidR="00692293" w:rsidRPr="00777385">
        <w:rPr>
          <w:rFonts w:ascii="Arial" w:hAnsi="Arial" w:cs="Arial"/>
        </w:rPr>
        <w:t>6</w:t>
      </w:r>
      <w:r w:rsidRPr="00777385">
        <w:rPr>
          <w:rFonts w:ascii="Arial" w:hAnsi="Arial" w:cs="Arial"/>
        </w:rPr>
        <w:t xml:space="preserve"> - </w:t>
      </w:r>
      <w:r w:rsidR="00692293" w:rsidRPr="00777385">
        <w:rPr>
          <w:rFonts w:ascii="Arial" w:hAnsi="Arial" w:cs="Arial"/>
        </w:rPr>
        <w:t>V</w:t>
      </w:r>
      <w:r w:rsidRPr="00777385">
        <w:rPr>
          <w:rFonts w:ascii="Arial" w:hAnsi="Arial" w:cs="Arial"/>
        </w:rPr>
        <w:t xml:space="preserve">ideo link </w:t>
      </w:r>
    </w:p>
    <w:p w14:paraId="0FBAE75B" w14:textId="7483B658" w:rsidR="00D0190B" w:rsidRPr="00777385" w:rsidRDefault="00D0190B" w:rsidP="00D0190B">
      <w:pPr>
        <w:pStyle w:val="ListParagraph"/>
        <w:numPr>
          <w:ilvl w:val="0"/>
          <w:numId w:val="3"/>
        </w:numPr>
        <w:rPr>
          <w:rFonts w:ascii="Arial" w:hAnsi="Arial" w:cs="Arial"/>
        </w:rPr>
      </w:pPr>
      <w:r w:rsidRPr="00777385">
        <w:rPr>
          <w:rFonts w:ascii="Arial" w:hAnsi="Arial" w:cs="Arial"/>
        </w:rPr>
        <w:t xml:space="preserve">Page </w:t>
      </w:r>
      <w:r w:rsidR="00692293" w:rsidRPr="00777385">
        <w:rPr>
          <w:rFonts w:ascii="Arial" w:hAnsi="Arial" w:cs="Arial"/>
        </w:rPr>
        <w:t>7</w:t>
      </w:r>
      <w:r w:rsidRPr="00777385">
        <w:rPr>
          <w:rFonts w:ascii="Arial" w:hAnsi="Arial" w:cs="Arial"/>
        </w:rPr>
        <w:t xml:space="preserve"> -</w:t>
      </w:r>
      <w:r w:rsidR="00692293" w:rsidRPr="00777385">
        <w:rPr>
          <w:rFonts w:ascii="Arial" w:hAnsi="Arial" w:cs="Arial"/>
        </w:rPr>
        <w:t>Reference list</w:t>
      </w:r>
    </w:p>
    <w:p w14:paraId="0A8C6002" w14:textId="77777777" w:rsidR="0000523D" w:rsidRPr="00777385" w:rsidRDefault="0000523D" w:rsidP="0041166B">
      <w:pPr>
        <w:rPr>
          <w:rFonts w:ascii="Arial" w:hAnsi="Arial" w:cs="Arial"/>
        </w:rPr>
      </w:pPr>
    </w:p>
    <w:p w14:paraId="671BC59D" w14:textId="77777777" w:rsidR="0000523D" w:rsidRPr="00777385" w:rsidRDefault="0000523D" w:rsidP="0041166B">
      <w:pPr>
        <w:rPr>
          <w:rFonts w:ascii="Arial" w:hAnsi="Arial" w:cs="Arial"/>
        </w:rPr>
      </w:pPr>
    </w:p>
    <w:p w14:paraId="50CF4E6C" w14:textId="20B44396" w:rsidR="0000523D" w:rsidRPr="00777385" w:rsidRDefault="00777385" w:rsidP="00777385">
      <w:pPr>
        <w:jc w:val="center"/>
        <w:rPr>
          <w:rFonts w:ascii="Arial" w:hAnsi="Arial" w:cs="Arial"/>
        </w:rPr>
      </w:pPr>
      <w:r w:rsidRPr="00777385">
        <w:rPr>
          <w:rFonts w:ascii="Arial" w:hAnsi="Arial" w:cs="Arial"/>
        </w:rPr>
        <w:t>I have not used AI for this assignment.</w:t>
      </w:r>
    </w:p>
    <w:p w14:paraId="75A269B1" w14:textId="77777777" w:rsidR="0000523D" w:rsidRDefault="0000523D" w:rsidP="0041166B"/>
    <w:p w14:paraId="70105520" w14:textId="77777777" w:rsidR="0000523D" w:rsidRDefault="0000523D" w:rsidP="0041166B"/>
    <w:p w14:paraId="0BB50EA1" w14:textId="77777777" w:rsidR="0000523D" w:rsidRDefault="0000523D" w:rsidP="0041166B"/>
    <w:p w14:paraId="3BD8AC1F" w14:textId="77777777" w:rsidR="0000523D" w:rsidRDefault="0000523D" w:rsidP="0041166B"/>
    <w:p w14:paraId="4FAED9A5" w14:textId="77777777" w:rsidR="0000523D" w:rsidRDefault="0000523D" w:rsidP="0041166B"/>
    <w:p w14:paraId="1A543B7F" w14:textId="77777777" w:rsidR="0000523D" w:rsidRDefault="0000523D" w:rsidP="0041166B"/>
    <w:p w14:paraId="0D9A20A4" w14:textId="77777777" w:rsidR="0000523D" w:rsidRDefault="0000523D" w:rsidP="0041166B"/>
    <w:p w14:paraId="5B110FDD" w14:textId="77777777" w:rsidR="0000523D" w:rsidRDefault="0000523D" w:rsidP="0041166B"/>
    <w:p w14:paraId="1A035A28" w14:textId="77777777" w:rsidR="0000523D" w:rsidRDefault="0000523D" w:rsidP="0041166B"/>
    <w:p w14:paraId="46F508C1" w14:textId="77777777" w:rsidR="0000523D" w:rsidRDefault="0000523D" w:rsidP="0041166B"/>
    <w:p w14:paraId="4431A0EE" w14:textId="77777777" w:rsidR="0000523D" w:rsidRDefault="0000523D" w:rsidP="0041166B"/>
    <w:p w14:paraId="3DD42ABB" w14:textId="77777777" w:rsidR="0000523D" w:rsidRDefault="0000523D" w:rsidP="0041166B"/>
    <w:p w14:paraId="0E2A80D0" w14:textId="77777777" w:rsidR="0000523D" w:rsidRDefault="0000523D" w:rsidP="0041166B"/>
    <w:p w14:paraId="7DCB8ABB" w14:textId="77777777" w:rsidR="0000523D" w:rsidRDefault="0000523D" w:rsidP="0041166B"/>
    <w:p w14:paraId="0FC815E1" w14:textId="77777777" w:rsidR="0000523D" w:rsidRDefault="0000523D" w:rsidP="0041166B"/>
    <w:p w14:paraId="258D0A3B" w14:textId="77777777" w:rsidR="0000523D" w:rsidRDefault="0000523D" w:rsidP="0041166B"/>
    <w:p w14:paraId="3B40E2E8" w14:textId="77777777" w:rsidR="0000523D" w:rsidRDefault="0000523D" w:rsidP="0041166B"/>
    <w:p w14:paraId="157287E5" w14:textId="77777777" w:rsidR="0000523D" w:rsidRDefault="0000523D" w:rsidP="0041166B"/>
    <w:p w14:paraId="178E9513" w14:textId="77777777" w:rsidR="0000523D" w:rsidRDefault="0000523D" w:rsidP="0041166B"/>
    <w:p w14:paraId="2E7FBCC3" w14:textId="77777777" w:rsidR="0000523D" w:rsidRDefault="0000523D" w:rsidP="0041166B"/>
    <w:p w14:paraId="5B274B22" w14:textId="4902D292" w:rsidR="0041166B" w:rsidRPr="0041166B" w:rsidRDefault="0041166B" w:rsidP="0041166B">
      <w:pPr>
        <w:rPr>
          <w:rFonts w:ascii="Arial" w:hAnsi="Arial" w:cs="Arial"/>
        </w:rPr>
      </w:pPr>
      <w:r w:rsidRPr="0041166B">
        <w:rPr>
          <w:rFonts w:ascii="Arial" w:hAnsi="Arial" w:cs="Arial"/>
        </w:rPr>
        <w:t xml:space="preserve">Good </w:t>
      </w:r>
      <w:r w:rsidRPr="00692293">
        <w:rPr>
          <w:rFonts w:ascii="Arial" w:hAnsi="Arial" w:cs="Arial"/>
        </w:rPr>
        <w:t>afternoon and</w:t>
      </w:r>
      <w:r w:rsidRPr="0041166B">
        <w:rPr>
          <w:rFonts w:ascii="Arial" w:hAnsi="Arial" w:cs="Arial"/>
        </w:rPr>
        <w:t xml:space="preserve"> </w:t>
      </w:r>
      <w:r w:rsidRPr="00692293">
        <w:rPr>
          <w:rFonts w:ascii="Arial" w:hAnsi="Arial" w:cs="Arial"/>
        </w:rPr>
        <w:t>thank you for listening</w:t>
      </w:r>
      <w:r w:rsidRPr="0041166B">
        <w:rPr>
          <w:rFonts w:ascii="Arial" w:hAnsi="Arial" w:cs="Arial"/>
        </w:rPr>
        <w:t>. Today, I will be exploring the topic of children’s mental health and emotional well-being. This subject has gained increasing attention in recent years, particularly in education and health sectors, as more evidence emerges about how deeply it impacts learning, development, and lifelong outcomes. It is no longer acceptable to view mental health as secondary to physical health. Emotional well-being underpins all aspects of a child’s experience, from building friendships to learning to read, and understanding their own identity. We live in a time where children are growing up in a world full of stimulation, pressures, and uncertainties, making emotional support more important than ever.</w:t>
      </w:r>
    </w:p>
    <w:p w14:paraId="0D7A48DF" w14:textId="77777777" w:rsidR="0041166B" w:rsidRPr="0041166B" w:rsidRDefault="0041166B" w:rsidP="0041166B">
      <w:pPr>
        <w:rPr>
          <w:rFonts w:ascii="Arial" w:hAnsi="Arial" w:cs="Arial"/>
        </w:rPr>
      </w:pPr>
      <w:r w:rsidRPr="0041166B">
        <w:rPr>
          <w:rFonts w:ascii="Arial" w:hAnsi="Arial" w:cs="Arial"/>
        </w:rPr>
        <w:t>My focus today will be on the importance of early intervention, the role of education settings, the influence of social and economic factors, and strategies we can apply to support children’s mental health effectively. I will also reflect on real-life examples and draw from a wide base of academic, policy, and professional literature to underpin this discussion.</w:t>
      </w:r>
    </w:p>
    <w:p w14:paraId="274A4D9C" w14:textId="77777777" w:rsidR="0041166B" w:rsidRPr="0041166B" w:rsidRDefault="0041166B" w:rsidP="0041166B">
      <w:pPr>
        <w:rPr>
          <w:rFonts w:ascii="Arial" w:hAnsi="Arial" w:cs="Arial"/>
        </w:rPr>
      </w:pPr>
      <w:r w:rsidRPr="0041166B">
        <w:rPr>
          <w:rFonts w:ascii="Arial" w:hAnsi="Arial" w:cs="Arial"/>
        </w:rPr>
        <w:t>Let us begin by defining the topic.</w:t>
      </w:r>
    </w:p>
    <w:p w14:paraId="68900ECB" w14:textId="77777777" w:rsidR="0041166B" w:rsidRPr="0041166B" w:rsidRDefault="0041166B" w:rsidP="0041166B">
      <w:pPr>
        <w:rPr>
          <w:rFonts w:ascii="Arial" w:hAnsi="Arial" w:cs="Arial"/>
        </w:rPr>
      </w:pPr>
      <w:r w:rsidRPr="0041166B">
        <w:rPr>
          <w:rFonts w:ascii="Arial" w:hAnsi="Arial" w:cs="Arial"/>
        </w:rPr>
        <w:t>According to the World Health Organization (2021), mental health is a state of well-being in which every individual realises their own potential, can cope with the normal stresses of life, and can contribute to their community. In childhood, this includes the ability to manage emotions, form healthy relationships, and participate fully in school and play (Howard et al., 2020).</w:t>
      </w:r>
    </w:p>
    <w:p w14:paraId="799479A1" w14:textId="77777777" w:rsidR="0041166B" w:rsidRPr="0041166B" w:rsidRDefault="0041166B" w:rsidP="0041166B">
      <w:pPr>
        <w:rPr>
          <w:rFonts w:ascii="Arial" w:hAnsi="Arial" w:cs="Arial"/>
        </w:rPr>
      </w:pPr>
      <w:r w:rsidRPr="0041166B">
        <w:rPr>
          <w:rFonts w:ascii="Arial" w:hAnsi="Arial" w:cs="Arial"/>
        </w:rPr>
        <w:t>Emotional well-being refers more specifically to how secure and valued a child feels, their self-esteem, and their ability to express and regulate emotions appropriately (Mainstone-Cotton, 2017). While mental health may involve a spectrum from illness to wellness, emotional well-being is about creating the foundations for resilience and happiness.</w:t>
      </w:r>
    </w:p>
    <w:p w14:paraId="500B074E" w14:textId="77777777" w:rsidR="0041166B" w:rsidRPr="0041166B" w:rsidRDefault="0041166B" w:rsidP="0041166B">
      <w:pPr>
        <w:rPr>
          <w:rFonts w:ascii="Arial" w:hAnsi="Arial" w:cs="Arial"/>
        </w:rPr>
      </w:pPr>
      <w:r w:rsidRPr="0041166B">
        <w:rPr>
          <w:rFonts w:ascii="Arial" w:hAnsi="Arial" w:cs="Arial"/>
        </w:rPr>
        <w:t>Importantly, mental health is not simply the absence of mental illness. Even children who appear outwardly calm may struggle with internal anxiety, shame, or insecurity (Musgrave, 2017). It is therefore vital that practitioners take a proactive and relational approach to mental health.</w:t>
      </w:r>
    </w:p>
    <w:p w14:paraId="522411E1" w14:textId="77777777" w:rsidR="0041166B" w:rsidRPr="0041166B" w:rsidRDefault="0041166B" w:rsidP="0041166B">
      <w:pPr>
        <w:rPr>
          <w:rFonts w:ascii="Arial" w:hAnsi="Arial" w:cs="Arial"/>
        </w:rPr>
      </w:pPr>
      <w:r w:rsidRPr="0041166B">
        <w:rPr>
          <w:rFonts w:ascii="Arial" w:hAnsi="Arial" w:cs="Arial"/>
        </w:rPr>
        <w:t>Mental health difficulties in children are unfortunately common. Public Health England (2016) reported that one in eight children aged 5 to 19 in England has a diagnosable mental health condition. However, many more experience significant emotional difficulties that go unrecognised or untreated.</w:t>
      </w:r>
    </w:p>
    <w:p w14:paraId="4CCEB6B6" w14:textId="77777777" w:rsidR="0041166B" w:rsidRPr="0041166B" w:rsidRDefault="0041166B" w:rsidP="0041166B">
      <w:pPr>
        <w:rPr>
          <w:rFonts w:ascii="Arial" w:hAnsi="Arial" w:cs="Arial"/>
        </w:rPr>
      </w:pPr>
      <w:r w:rsidRPr="0041166B">
        <w:rPr>
          <w:rFonts w:ascii="Arial" w:hAnsi="Arial" w:cs="Arial"/>
        </w:rPr>
        <w:t xml:space="preserve">The early years are crucial because brain development is at its most rapid during this period. Experiences shape neural pathways that influence emotional regulation, attachment, and stress responses for life (Maholmes, 2014). Children who experience </w:t>
      </w:r>
      <w:r w:rsidRPr="0041166B">
        <w:rPr>
          <w:rFonts w:ascii="Arial" w:hAnsi="Arial" w:cs="Arial"/>
        </w:rPr>
        <w:lastRenderedPageBreak/>
        <w:t>trauma, instability, or neglect are more likely to have heightened cortisol levels and disrupted development of key brain areas like the prefrontal cortex and amygdala.</w:t>
      </w:r>
    </w:p>
    <w:p w14:paraId="31443305" w14:textId="77777777" w:rsidR="0041166B" w:rsidRPr="0041166B" w:rsidRDefault="0041166B" w:rsidP="0041166B">
      <w:pPr>
        <w:rPr>
          <w:rFonts w:ascii="Arial" w:hAnsi="Arial" w:cs="Arial"/>
        </w:rPr>
      </w:pPr>
      <w:r w:rsidRPr="0041166B">
        <w:rPr>
          <w:rFonts w:ascii="Arial" w:hAnsi="Arial" w:cs="Arial"/>
        </w:rPr>
        <w:t>Furthermore, children with poor emotional well-being may show signs through behaviour – for example, difficulty following rules, social withdrawal, hyperactivity, or aggression. These are often misunderstood as ‘bad behaviour’ rather than signs of distress or unmet emotional needs (Howard et al., 2020).</w:t>
      </w:r>
    </w:p>
    <w:p w14:paraId="2066048F" w14:textId="77777777" w:rsidR="0041166B" w:rsidRPr="0041166B" w:rsidRDefault="0041166B" w:rsidP="0041166B">
      <w:pPr>
        <w:rPr>
          <w:rFonts w:ascii="Arial" w:hAnsi="Arial" w:cs="Arial"/>
        </w:rPr>
      </w:pPr>
      <w:r w:rsidRPr="0041166B">
        <w:rPr>
          <w:rFonts w:ascii="Arial" w:hAnsi="Arial" w:cs="Arial"/>
        </w:rPr>
        <w:t>Emotional difficulties can also impact learning. A child who feels unsafe or anxious is less likely to engage, concentrate, or remember new information (Musgrave, 2017). This creates a compounding effect, where poor well-being leads to poor outcomes, which further damage confidence and motivation.</w:t>
      </w:r>
    </w:p>
    <w:p w14:paraId="04C9AF34" w14:textId="77777777" w:rsidR="0041166B" w:rsidRPr="0041166B" w:rsidRDefault="0041166B" w:rsidP="0041166B">
      <w:pPr>
        <w:rPr>
          <w:rFonts w:ascii="Arial" w:hAnsi="Arial" w:cs="Arial"/>
        </w:rPr>
      </w:pPr>
      <w:r w:rsidRPr="0041166B">
        <w:rPr>
          <w:rFonts w:ascii="Arial" w:hAnsi="Arial" w:cs="Arial"/>
        </w:rPr>
        <w:t>Not all children face the same risks. Children growing up in poverty, experiencing domestic violence, or with unstable home lives are disproportionately likely to suffer mental health challenges (Maholmes, 2014). The Well-being of Children in the UK report (Policy Press, 2016) found that children in low-income households were significantly more likely to experience low self-esteem, depression, and behavioural difficulties.</w:t>
      </w:r>
    </w:p>
    <w:p w14:paraId="48531BC8" w14:textId="77777777" w:rsidR="0041166B" w:rsidRPr="0041166B" w:rsidRDefault="0041166B" w:rsidP="0041166B">
      <w:pPr>
        <w:rPr>
          <w:rFonts w:ascii="Arial" w:hAnsi="Arial" w:cs="Arial"/>
        </w:rPr>
      </w:pPr>
      <w:r w:rsidRPr="0041166B">
        <w:rPr>
          <w:rFonts w:ascii="Arial" w:hAnsi="Arial" w:cs="Arial"/>
        </w:rPr>
        <w:t>In addition, children with special educational needs, those in care, or those who have experienced trauma are at greater risk. These groups may struggle with emotional regulation due to previous attachment disruptions or adverse childhood experiences (ACEs), as highlighted by Mainstone-Cotton (2017).</w:t>
      </w:r>
    </w:p>
    <w:p w14:paraId="375DA2D8" w14:textId="77777777" w:rsidR="0041166B" w:rsidRPr="0041166B" w:rsidRDefault="0041166B" w:rsidP="0041166B">
      <w:pPr>
        <w:rPr>
          <w:rFonts w:ascii="Arial" w:hAnsi="Arial" w:cs="Arial"/>
        </w:rPr>
      </w:pPr>
      <w:r w:rsidRPr="0041166B">
        <w:rPr>
          <w:rFonts w:ascii="Arial" w:hAnsi="Arial" w:cs="Arial"/>
        </w:rPr>
        <w:t>UNICEF (2020) also warns that even in high-income countries like the UK, children report lower life satisfaction than their peers in other nations. This suggests that economic prosperity alone does not guarantee emotional health. Factors like academic pressure, screen time, social media, and lack of outdoor play all contribute to emotional stress.</w:t>
      </w:r>
    </w:p>
    <w:p w14:paraId="1E3D147C" w14:textId="77777777" w:rsidR="0041166B" w:rsidRPr="0041166B" w:rsidRDefault="0041166B" w:rsidP="0041166B">
      <w:pPr>
        <w:rPr>
          <w:rFonts w:ascii="Arial" w:hAnsi="Arial" w:cs="Arial"/>
        </w:rPr>
      </w:pPr>
      <w:r w:rsidRPr="0041166B">
        <w:rPr>
          <w:rFonts w:ascii="Arial" w:hAnsi="Arial" w:cs="Arial"/>
        </w:rPr>
        <w:t>The COVID-19 pandemic has further exacerbated mental health concerns in children. Disrupted routines, social isolation, and increased family stress have led to rising anxiety levels, sleep disturbances, and behavioural regression in many young children (Howard et al., 2020).</w:t>
      </w:r>
    </w:p>
    <w:p w14:paraId="28478E9F" w14:textId="77777777" w:rsidR="0041166B" w:rsidRPr="0041166B" w:rsidRDefault="0041166B" w:rsidP="0041166B">
      <w:pPr>
        <w:rPr>
          <w:rFonts w:ascii="Arial" w:hAnsi="Arial" w:cs="Arial"/>
        </w:rPr>
      </w:pPr>
      <w:r w:rsidRPr="0041166B">
        <w:rPr>
          <w:rFonts w:ascii="Arial" w:hAnsi="Arial" w:cs="Arial"/>
        </w:rPr>
        <w:t>In Wales, mental and emotional well-being is firmly embedded in both policy and curriculum. The Curriculum for Wales (Welsh Government, 2022) identifies Health and Well-being as one of six mandatory Areas of Learning and Experience. This area encourages children to become confident, capable, and caring individuals. It promotes self-awareness, emotional literacy, and the skills needed to navigate relationships and challenges.</w:t>
      </w:r>
    </w:p>
    <w:p w14:paraId="5C373EBB" w14:textId="77777777" w:rsidR="0041166B" w:rsidRPr="0041166B" w:rsidRDefault="0041166B" w:rsidP="0041166B">
      <w:pPr>
        <w:rPr>
          <w:rFonts w:ascii="Arial" w:hAnsi="Arial" w:cs="Arial"/>
        </w:rPr>
      </w:pPr>
      <w:r w:rsidRPr="0041166B">
        <w:rPr>
          <w:rFonts w:ascii="Arial" w:hAnsi="Arial" w:cs="Arial"/>
        </w:rPr>
        <w:t>The Well-being of Future Generations (Wales) Act 2015 further reinforces the need for public bodies to act in the long-term interests of Welsh citizens’ well-being. It demands cross-sector collaboration to improve the health, equity, and sustainability of society.</w:t>
      </w:r>
    </w:p>
    <w:p w14:paraId="4E6E6506" w14:textId="77777777" w:rsidR="0041166B" w:rsidRPr="0041166B" w:rsidRDefault="0041166B" w:rsidP="0041166B">
      <w:pPr>
        <w:rPr>
          <w:rFonts w:ascii="Arial" w:hAnsi="Arial" w:cs="Arial"/>
        </w:rPr>
      </w:pPr>
      <w:r w:rsidRPr="0041166B">
        <w:rPr>
          <w:rFonts w:ascii="Arial" w:hAnsi="Arial" w:cs="Arial"/>
        </w:rPr>
        <w:lastRenderedPageBreak/>
        <w:t>These policies show that mental health is not just a matter for individuals—it is a societal concern, a public health issue, and a moral obligation.</w:t>
      </w:r>
    </w:p>
    <w:p w14:paraId="7C266FE4" w14:textId="77777777" w:rsidR="0041166B" w:rsidRPr="0041166B" w:rsidRDefault="0041166B" w:rsidP="0041166B">
      <w:pPr>
        <w:rPr>
          <w:rFonts w:ascii="Arial" w:hAnsi="Arial" w:cs="Arial"/>
        </w:rPr>
      </w:pPr>
      <w:r w:rsidRPr="0041166B">
        <w:rPr>
          <w:rFonts w:ascii="Arial" w:hAnsi="Arial" w:cs="Arial"/>
        </w:rPr>
        <w:t>Numerous studies support the role of schools and early years settings in promoting mental well-being. Howard et al. (2020) advocate a whole-school approach, where mental health is seen as everyone’s responsibility. This involves training staff to identify emotional needs, integrating emotional skills into daily routines, and developing clear systems of support and referral.</w:t>
      </w:r>
    </w:p>
    <w:p w14:paraId="699F806D" w14:textId="77777777" w:rsidR="0041166B" w:rsidRPr="0041166B" w:rsidRDefault="0041166B" w:rsidP="0041166B">
      <w:pPr>
        <w:rPr>
          <w:rFonts w:ascii="Arial" w:hAnsi="Arial" w:cs="Arial"/>
        </w:rPr>
      </w:pPr>
      <w:r w:rsidRPr="0041166B">
        <w:rPr>
          <w:rFonts w:ascii="Arial" w:hAnsi="Arial" w:cs="Arial"/>
        </w:rPr>
        <w:t>Mainstone-Cotton (2017) focuses on the practitioner-child relationship. Children who experience warmth, empathy, and predictability from adults are more likely to develop secure attachments, trust others, and regulate their own emotions. Simple strategies such as sitting beside a child at their level, validating their feelings, and offering visual emotion aids can be transformative.</w:t>
      </w:r>
    </w:p>
    <w:p w14:paraId="270EC684" w14:textId="77777777" w:rsidR="0041166B" w:rsidRPr="0041166B" w:rsidRDefault="0041166B" w:rsidP="0041166B">
      <w:pPr>
        <w:rPr>
          <w:rFonts w:ascii="Arial" w:hAnsi="Arial" w:cs="Arial"/>
        </w:rPr>
      </w:pPr>
      <w:r w:rsidRPr="0041166B">
        <w:rPr>
          <w:rFonts w:ascii="Arial" w:hAnsi="Arial" w:cs="Arial"/>
        </w:rPr>
        <w:t>Musgrave (2017) adds that physical health, nutrition, and rest also influence emotional well-being. Sleep deprivation, hunger, or poor diet can lead to irritability, low energy, and reduced resilience. Therefore, holistic care is essential.</w:t>
      </w:r>
    </w:p>
    <w:p w14:paraId="7CE28586" w14:textId="77777777" w:rsidR="0041166B" w:rsidRPr="0041166B" w:rsidRDefault="0041166B" w:rsidP="0041166B">
      <w:pPr>
        <w:rPr>
          <w:rFonts w:ascii="Arial" w:hAnsi="Arial" w:cs="Arial"/>
        </w:rPr>
      </w:pPr>
      <w:r w:rsidRPr="0041166B">
        <w:rPr>
          <w:rFonts w:ascii="Arial" w:hAnsi="Arial" w:cs="Arial"/>
        </w:rPr>
        <w:t>Maholmes (2014) underscores the importance of building resilience – the ability to bounce back from adversity. She argues that resilience is not a trait, but a set of behaviours and beliefs that can be nurtured, particularly through consistent relationships and positive role models.</w:t>
      </w:r>
    </w:p>
    <w:p w14:paraId="19296223" w14:textId="2C3F5ED7" w:rsidR="0041166B" w:rsidRPr="0041166B" w:rsidRDefault="0041166B" w:rsidP="0041166B">
      <w:pPr>
        <w:rPr>
          <w:rFonts w:ascii="Arial" w:hAnsi="Arial" w:cs="Arial"/>
        </w:rPr>
      </w:pPr>
      <w:r w:rsidRPr="0041166B">
        <w:rPr>
          <w:rFonts w:ascii="Arial" w:hAnsi="Arial" w:cs="Arial"/>
        </w:rPr>
        <w:t xml:space="preserve">Now </w:t>
      </w:r>
      <w:r w:rsidRPr="00692293">
        <w:rPr>
          <w:rFonts w:ascii="Arial" w:hAnsi="Arial" w:cs="Arial"/>
        </w:rPr>
        <w:t>let us</w:t>
      </w:r>
      <w:r w:rsidRPr="0041166B">
        <w:rPr>
          <w:rFonts w:ascii="Arial" w:hAnsi="Arial" w:cs="Arial"/>
        </w:rPr>
        <w:t xml:space="preserve"> consider what we can do in everyday practice. Emotion coaching involves naming children’s emotions, empathising, and guiding them towards appropriate responses (Gottman and DeClaire, 1997; Mainstone-Cotton, 2017). For example: “</w:t>
      </w:r>
      <w:r w:rsidRPr="00692293">
        <w:rPr>
          <w:rFonts w:ascii="Arial" w:hAnsi="Arial" w:cs="Arial"/>
        </w:rPr>
        <w:t>You are</w:t>
      </w:r>
      <w:r w:rsidRPr="0041166B">
        <w:rPr>
          <w:rFonts w:ascii="Arial" w:hAnsi="Arial" w:cs="Arial"/>
        </w:rPr>
        <w:t xml:space="preserve"> feeling sad because your friend </w:t>
      </w:r>
      <w:r w:rsidRPr="00692293">
        <w:rPr>
          <w:rFonts w:ascii="Arial" w:hAnsi="Arial" w:cs="Arial"/>
        </w:rPr>
        <w:t>did not</w:t>
      </w:r>
      <w:r w:rsidRPr="0041166B">
        <w:rPr>
          <w:rFonts w:ascii="Arial" w:hAnsi="Arial" w:cs="Arial"/>
        </w:rPr>
        <w:t xml:space="preserve"> share. </w:t>
      </w:r>
      <w:r w:rsidRPr="00692293">
        <w:rPr>
          <w:rFonts w:ascii="Arial" w:hAnsi="Arial" w:cs="Arial"/>
        </w:rPr>
        <w:t>That is</w:t>
      </w:r>
      <w:r w:rsidRPr="0041166B">
        <w:rPr>
          <w:rFonts w:ascii="Arial" w:hAnsi="Arial" w:cs="Arial"/>
        </w:rPr>
        <w:t xml:space="preserve"> okay. </w:t>
      </w:r>
      <w:r w:rsidRPr="00692293">
        <w:rPr>
          <w:rFonts w:ascii="Arial" w:hAnsi="Arial" w:cs="Arial"/>
        </w:rPr>
        <w:t>Let us</w:t>
      </w:r>
      <w:r w:rsidRPr="0041166B">
        <w:rPr>
          <w:rFonts w:ascii="Arial" w:hAnsi="Arial" w:cs="Arial"/>
        </w:rPr>
        <w:t xml:space="preserve"> talk about how to tell them.”</w:t>
      </w:r>
    </w:p>
    <w:p w14:paraId="63A6A750" w14:textId="77777777" w:rsidR="0041166B" w:rsidRPr="0041166B" w:rsidRDefault="0041166B" w:rsidP="0041166B">
      <w:pPr>
        <w:rPr>
          <w:rFonts w:ascii="Arial" w:hAnsi="Arial" w:cs="Arial"/>
        </w:rPr>
      </w:pPr>
      <w:r w:rsidRPr="0041166B">
        <w:rPr>
          <w:rFonts w:ascii="Arial" w:hAnsi="Arial" w:cs="Arial"/>
        </w:rPr>
        <w:t>Creating quiet corners or sensory areas helps children calm themselves when overwhelmed. Items such as weighted cushions, fidget tools, and feelings cards can help children self-regulate (Musgrave, 2017).</w:t>
      </w:r>
    </w:p>
    <w:p w14:paraId="0B6D96A9" w14:textId="77777777" w:rsidR="0041166B" w:rsidRPr="0041166B" w:rsidRDefault="0041166B" w:rsidP="0041166B">
      <w:pPr>
        <w:rPr>
          <w:rFonts w:ascii="Arial" w:hAnsi="Arial" w:cs="Arial"/>
        </w:rPr>
      </w:pPr>
      <w:r w:rsidRPr="0041166B">
        <w:rPr>
          <w:rFonts w:ascii="Arial" w:hAnsi="Arial" w:cs="Arial"/>
        </w:rPr>
        <w:t>Regular group time allows children to talk about feelings, reflect on behaviour, and practise kindness. Starting the day with “how are you feeling?” check-ins gives staff insight into children’s emotional states (Howard et al., 2020). In addition to group strategies, one-to-one support from key workers or pastoral staff can help children develop trusting relationships and open up about deeper issues.</w:t>
      </w:r>
    </w:p>
    <w:p w14:paraId="063988C5" w14:textId="77777777" w:rsidR="0041166B" w:rsidRPr="0041166B" w:rsidRDefault="0041166B" w:rsidP="0041166B">
      <w:pPr>
        <w:rPr>
          <w:rFonts w:ascii="Arial" w:hAnsi="Arial" w:cs="Arial"/>
        </w:rPr>
      </w:pPr>
      <w:r w:rsidRPr="0041166B">
        <w:rPr>
          <w:rFonts w:ascii="Arial" w:hAnsi="Arial" w:cs="Arial"/>
        </w:rPr>
        <w:t>Movement and nature are proven to reduce stress and improve mood. Regular physical activity promotes better sleep and emotional regulation (Lynch, 2019). Forest schools and outdoor play spaces offer children a safe and enriching environment to explore, express themselves, and develop sensory resilience.</w:t>
      </w:r>
    </w:p>
    <w:p w14:paraId="6840A9F5" w14:textId="77777777" w:rsidR="0041166B" w:rsidRPr="0041166B" w:rsidRDefault="0041166B" w:rsidP="0041166B">
      <w:pPr>
        <w:rPr>
          <w:rFonts w:ascii="Arial" w:hAnsi="Arial" w:cs="Arial"/>
        </w:rPr>
      </w:pPr>
      <w:r w:rsidRPr="0041166B">
        <w:rPr>
          <w:rFonts w:ascii="Arial" w:hAnsi="Arial" w:cs="Arial"/>
        </w:rPr>
        <w:lastRenderedPageBreak/>
        <w:t>Practitioners should communicate openly with families, offering consistency between home and setting. Supporting parental well-being also indirectly supports the child (Wilson, 2016). This could involve signposting to local mental health services, hosting informal parent coffee mornings, or delivering workshops about child development.</w:t>
      </w:r>
    </w:p>
    <w:p w14:paraId="13C50548" w14:textId="77777777" w:rsidR="0041166B" w:rsidRPr="0041166B" w:rsidRDefault="0041166B" w:rsidP="0041166B">
      <w:pPr>
        <w:rPr>
          <w:rFonts w:ascii="Arial" w:hAnsi="Arial" w:cs="Arial"/>
        </w:rPr>
      </w:pPr>
      <w:r w:rsidRPr="0041166B">
        <w:rPr>
          <w:rFonts w:ascii="Arial" w:hAnsi="Arial" w:cs="Arial"/>
        </w:rPr>
        <w:t>Staff should access training and supervision to maintain their own emotional health. A calm, present adult is essential to co-regulate with a distressed child (Howard et al., 2020). Leadership teams should create a culture of psychological safety, where staff feel confident seeking help and reflecting on emotional challenges in their practice.</w:t>
      </w:r>
    </w:p>
    <w:p w14:paraId="08685681" w14:textId="77777777" w:rsidR="0041166B" w:rsidRPr="0041166B" w:rsidRDefault="0041166B" w:rsidP="0041166B">
      <w:pPr>
        <w:rPr>
          <w:rFonts w:ascii="Arial" w:hAnsi="Arial" w:cs="Arial"/>
        </w:rPr>
      </w:pPr>
      <w:r w:rsidRPr="0041166B">
        <w:rPr>
          <w:rFonts w:ascii="Arial" w:hAnsi="Arial" w:cs="Arial"/>
        </w:rPr>
        <w:t>To illustrate, I observed a practice where children use a “feelings board” each morning. They place their name card next to a face representing their mood. One child consistently selected “angry” until staff encouraged conversations about what anger felt like and what helped it go away. Over time, he began choosing “sad” or “tired,” which led to more targeted support.</w:t>
      </w:r>
    </w:p>
    <w:p w14:paraId="25CB40F2" w14:textId="77777777" w:rsidR="0041166B" w:rsidRPr="0041166B" w:rsidRDefault="0041166B" w:rsidP="0041166B">
      <w:pPr>
        <w:rPr>
          <w:rFonts w:ascii="Arial" w:hAnsi="Arial" w:cs="Arial"/>
        </w:rPr>
      </w:pPr>
      <w:r w:rsidRPr="0041166B">
        <w:rPr>
          <w:rFonts w:ascii="Arial" w:hAnsi="Arial" w:cs="Arial"/>
        </w:rPr>
        <w:t>This demonstrates how emotional literacy can be taught, nurtured, and used to build trust between children and practitioners.</w:t>
      </w:r>
    </w:p>
    <w:p w14:paraId="01875298" w14:textId="77777777" w:rsidR="0041166B" w:rsidRPr="0041166B" w:rsidRDefault="0041166B" w:rsidP="0041166B">
      <w:pPr>
        <w:rPr>
          <w:rFonts w:ascii="Arial" w:hAnsi="Arial" w:cs="Arial"/>
        </w:rPr>
      </w:pPr>
      <w:r w:rsidRPr="0041166B">
        <w:rPr>
          <w:rFonts w:ascii="Arial" w:hAnsi="Arial" w:cs="Arial"/>
        </w:rPr>
        <w:t>Another case involved a nurture group, where six vulnerable children spent time each morning engaging in sensory play and storytelling. Within weeks, their classroom behaviour and peer interactions had noticeably improved. This aligns with research from Bambra (2019), which shows how targeted emotional support can reduce exclusions and improve learning.</w:t>
      </w:r>
    </w:p>
    <w:p w14:paraId="3F783A0E" w14:textId="77777777" w:rsidR="0041166B" w:rsidRPr="0041166B" w:rsidRDefault="0041166B" w:rsidP="0041166B">
      <w:pPr>
        <w:rPr>
          <w:rFonts w:ascii="Arial" w:hAnsi="Arial" w:cs="Arial"/>
        </w:rPr>
      </w:pPr>
      <w:r w:rsidRPr="0041166B">
        <w:rPr>
          <w:rFonts w:ascii="Arial" w:hAnsi="Arial" w:cs="Arial"/>
        </w:rPr>
        <w:t>To conclude, supporting children’s mental health is not an added responsibility – it is an essential part of our professional role. If we ignore emotional well-being, we risk undermining learning, relationships, and even physical health. But if we invest in emotional literacy, trauma-informed practice, and meaningful relationships, we give children the tools they need to thrive—not just in school, but in life.</w:t>
      </w:r>
    </w:p>
    <w:p w14:paraId="025804B5" w14:textId="77777777" w:rsidR="0041166B" w:rsidRPr="0041166B" w:rsidRDefault="0041166B" w:rsidP="0041166B">
      <w:pPr>
        <w:rPr>
          <w:rFonts w:ascii="Arial" w:hAnsi="Arial" w:cs="Arial"/>
        </w:rPr>
      </w:pPr>
      <w:r w:rsidRPr="0041166B">
        <w:rPr>
          <w:rFonts w:ascii="Arial" w:hAnsi="Arial" w:cs="Arial"/>
        </w:rPr>
        <w:t>Let us remember that well-being is not a singular intervention, but a continuous commitment. Children need to feel that their thoughts matter, their emotions are safe to express, and their experiences are validated. Every story told, every hug offered, and every boundary set with kindness helps to build emotional security.</w:t>
      </w:r>
    </w:p>
    <w:p w14:paraId="05B935A0" w14:textId="77777777" w:rsidR="0041166B" w:rsidRPr="0041166B" w:rsidRDefault="0041166B" w:rsidP="0041166B">
      <w:pPr>
        <w:rPr>
          <w:rFonts w:ascii="Arial" w:hAnsi="Arial" w:cs="Arial"/>
        </w:rPr>
      </w:pPr>
      <w:r w:rsidRPr="0041166B">
        <w:rPr>
          <w:rFonts w:ascii="Arial" w:hAnsi="Arial" w:cs="Arial"/>
        </w:rPr>
        <w:t>As Mainstone-Cotton (2017) states, “Emotional well-being is the glue that holds everything else together.” Let us be the adults who see, hear, and value every child—not just for what they know, but for how they feel.</w:t>
      </w:r>
    </w:p>
    <w:p w14:paraId="2D4AF280" w14:textId="77777777" w:rsidR="0041166B" w:rsidRPr="0041166B" w:rsidRDefault="0041166B" w:rsidP="0041166B">
      <w:pPr>
        <w:rPr>
          <w:rFonts w:ascii="Arial" w:hAnsi="Arial" w:cs="Arial"/>
        </w:rPr>
      </w:pPr>
      <w:r w:rsidRPr="0041166B">
        <w:rPr>
          <w:rFonts w:ascii="Arial" w:hAnsi="Arial" w:cs="Arial"/>
        </w:rPr>
        <w:t>Thank you.</w:t>
      </w:r>
    </w:p>
    <w:p w14:paraId="3BA39786" w14:textId="77777777" w:rsidR="008450AF" w:rsidRDefault="008450AF">
      <w:pPr>
        <w:rPr>
          <w:rFonts w:ascii="Arial" w:hAnsi="Arial" w:cs="Arial"/>
        </w:rPr>
      </w:pPr>
    </w:p>
    <w:p w14:paraId="54ECC146" w14:textId="77777777" w:rsidR="00703D7D" w:rsidRDefault="00703D7D">
      <w:pPr>
        <w:rPr>
          <w:rFonts w:ascii="Arial" w:hAnsi="Arial" w:cs="Arial"/>
        </w:rPr>
      </w:pPr>
    </w:p>
    <w:p w14:paraId="61270960" w14:textId="77777777" w:rsidR="00703D7D" w:rsidRDefault="00703D7D">
      <w:pPr>
        <w:rPr>
          <w:rFonts w:ascii="Arial" w:hAnsi="Arial" w:cs="Arial"/>
        </w:rPr>
      </w:pPr>
    </w:p>
    <w:p w14:paraId="505F8E38" w14:textId="77777777" w:rsidR="00703D7D" w:rsidRDefault="00703D7D">
      <w:pPr>
        <w:rPr>
          <w:rFonts w:ascii="Arial" w:hAnsi="Arial" w:cs="Arial"/>
        </w:rPr>
      </w:pPr>
    </w:p>
    <w:p w14:paraId="33461074" w14:textId="77777777" w:rsidR="00703D7D" w:rsidRDefault="00703D7D">
      <w:pPr>
        <w:rPr>
          <w:rFonts w:ascii="Arial" w:hAnsi="Arial" w:cs="Arial"/>
        </w:rPr>
      </w:pPr>
    </w:p>
    <w:p w14:paraId="5A9D9211" w14:textId="77777777" w:rsidR="00703D7D" w:rsidRDefault="00703D7D">
      <w:pPr>
        <w:rPr>
          <w:rFonts w:ascii="Arial" w:hAnsi="Arial" w:cs="Arial"/>
        </w:rPr>
      </w:pPr>
    </w:p>
    <w:p w14:paraId="21ACD6BB" w14:textId="77777777" w:rsidR="00703D7D" w:rsidRDefault="00703D7D">
      <w:pPr>
        <w:rPr>
          <w:rFonts w:ascii="Arial" w:hAnsi="Arial" w:cs="Arial"/>
        </w:rPr>
      </w:pPr>
    </w:p>
    <w:p w14:paraId="3AFE3293" w14:textId="782AD33D" w:rsidR="00703D7D" w:rsidRPr="00C7514C" w:rsidRDefault="00C7514C" w:rsidP="00C7514C">
      <w:pPr>
        <w:jc w:val="center"/>
        <w:rPr>
          <w:rFonts w:ascii="Arial" w:hAnsi="Arial" w:cs="Arial"/>
          <w:b/>
          <w:bCs/>
        </w:rPr>
      </w:pPr>
      <w:r w:rsidRPr="00C7514C">
        <w:rPr>
          <w:rFonts w:ascii="Arial" w:hAnsi="Arial" w:cs="Arial"/>
          <w:b/>
          <w:bCs/>
        </w:rPr>
        <w:t>Video Link</w:t>
      </w:r>
    </w:p>
    <w:p w14:paraId="6BDE3B44" w14:textId="77777777" w:rsidR="00703D7D" w:rsidRDefault="00703D7D">
      <w:pPr>
        <w:rPr>
          <w:rFonts w:ascii="Arial" w:hAnsi="Arial" w:cs="Arial"/>
        </w:rPr>
      </w:pPr>
    </w:p>
    <w:p w14:paraId="02F34CEF" w14:textId="77777777" w:rsidR="00777385" w:rsidRPr="00777385" w:rsidRDefault="00777385" w:rsidP="00777385">
      <w:pPr>
        <w:rPr>
          <w:rFonts w:ascii="Arial" w:hAnsi="Arial" w:cs="Arial"/>
        </w:rPr>
      </w:pPr>
      <w:hyperlink r:id="rId7" w:history="1">
        <w:r w:rsidRPr="00777385">
          <w:rPr>
            <w:rStyle w:val="Hyperlink"/>
            <w:rFonts w:ascii="Arial" w:hAnsi="Arial" w:cs="Arial"/>
          </w:rPr>
          <w:t>IMG_7359.mov</w:t>
        </w:r>
      </w:hyperlink>
    </w:p>
    <w:p w14:paraId="29A5319A" w14:textId="77777777" w:rsidR="00703D7D" w:rsidRDefault="00703D7D">
      <w:pPr>
        <w:rPr>
          <w:rFonts w:ascii="Arial" w:hAnsi="Arial" w:cs="Arial"/>
        </w:rPr>
      </w:pPr>
    </w:p>
    <w:p w14:paraId="00DC7E80" w14:textId="77777777" w:rsidR="00703D7D" w:rsidRDefault="00703D7D">
      <w:pPr>
        <w:rPr>
          <w:rFonts w:ascii="Arial" w:hAnsi="Arial" w:cs="Arial"/>
        </w:rPr>
      </w:pPr>
    </w:p>
    <w:p w14:paraId="29CD8DEF" w14:textId="77777777" w:rsidR="00703D7D" w:rsidRDefault="00703D7D">
      <w:pPr>
        <w:rPr>
          <w:rFonts w:ascii="Arial" w:hAnsi="Arial" w:cs="Arial"/>
        </w:rPr>
      </w:pPr>
    </w:p>
    <w:p w14:paraId="79A58859" w14:textId="77777777" w:rsidR="00703D7D" w:rsidRDefault="00703D7D">
      <w:pPr>
        <w:rPr>
          <w:rFonts w:ascii="Arial" w:hAnsi="Arial" w:cs="Arial"/>
        </w:rPr>
      </w:pPr>
    </w:p>
    <w:p w14:paraId="0B18D37E" w14:textId="77777777" w:rsidR="00703D7D" w:rsidRDefault="00703D7D">
      <w:pPr>
        <w:rPr>
          <w:rFonts w:ascii="Arial" w:hAnsi="Arial" w:cs="Arial"/>
        </w:rPr>
      </w:pPr>
    </w:p>
    <w:p w14:paraId="1ADE6CDA" w14:textId="77777777" w:rsidR="00703D7D" w:rsidRDefault="00703D7D">
      <w:pPr>
        <w:rPr>
          <w:rFonts w:ascii="Arial" w:hAnsi="Arial" w:cs="Arial"/>
        </w:rPr>
      </w:pPr>
    </w:p>
    <w:p w14:paraId="18287357" w14:textId="77777777" w:rsidR="00703D7D" w:rsidRDefault="00703D7D">
      <w:pPr>
        <w:rPr>
          <w:rFonts w:ascii="Arial" w:hAnsi="Arial" w:cs="Arial"/>
        </w:rPr>
      </w:pPr>
    </w:p>
    <w:p w14:paraId="6AAA6290" w14:textId="77777777" w:rsidR="00703D7D" w:rsidRDefault="00703D7D">
      <w:pPr>
        <w:rPr>
          <w:rFonts w:ascii="Arial" w:hAnsi="Arial" w:cs="Arial"/>
        </w:rPr>
      </w:pPr>
    </w:p>
    <w:p w14:paraId="3BE6E7E2" w14:textId="77777777" w:rsidR="00703D7D" w:rsidRDefault="00703D7D">
      <w:pPr>
        <w:rPr>
          <w:rFonts w:ascii="Arial" w:hAnsi="Arial" w:cs="Arial"/>
        </w:rPr>
      </w:pPr>
    </w:p>
    <w:p w14:paraId="4288FBFA" w14:textId="77777777" w:rsidR="00703D7D" w:rsidRDefault="00703D7D">
      <w:pPr>
        <w:rPr>
          <w:rFonts w:ascii="Arial" w:hAnsi="Arial" w:cs="Arial"/>
        </w:rPr>
      </w:pPr>
    </w:p>
    <w:p w14:paraId="15A844E9" w14:textId="77777777" w:rsidR="00703D7D" w:rsidRDefault="00703D7D">
      <w:pPr>
        <w:rPr>
          <w:rFonts w:ascii="Arial" w:hAnsi="Arial" w:cs="Arial"/>
        </w:rPr>
      </w:pPr>
    </w:p>
    <w:p w14:paraId="03CFE4B0" w14:textId="77777777" w:rsidR="00703D7D" w:rsidRDefault="00703D7D">
      <w:pPr>
        <w:rPr>
          <w:rFonts w:ascii="Arial" w:hAnsi="Arial" w:cs="Arial"/>
        </w:rPr>
      </w:pPr>
    </w:p>
    <w:p w14:paraId="5B49D832" w14:textId="77777777" w:rsidR="00703D7D" w:rsidRDefault="00703D7D">
      <w:pPr>
        <w:rPr>
          <w:rFonts w:ascii="Arial" w:hAnsi="Arial" w:cs="Arial"/>
        </w:rPr>
      </w:pPr>
    </w:p>
    <w:p w14:paraId="51077B9E" w14:textId="77777777" w:rsidR="00703D7D" w:rsidRDefault="00703D7D">
      <w:pPr>
        <w:rPr>
          <w:rFonts w:ascii="Arial" w:hAnsi="Arial" w:cs="Arial"/>
        </w:rPr>
      </w:pPr>
    </w:p>
    <w:p w14:paraId="50F62716" w14:textId="77777777" w:rsidR="00703D7D" w:rsidRDefault="00703D7D">
      <w:pPr>
        <w:rPr>
          <w:rFonts w:ascii="Arial" w:hAnsi="Arial" w:cs="Arial"/>
        </w:rPr>
      </w:pPr>
    </w:p>
    <w:p w14:paraId="398F58F3" w14:textId="77777777" w:rsidR="00703D7D" w:rsidRDefault="00703D7D">
      <w:pPr>
        <w:rPr>
          <w:rFonts w:ascii="Arial" w:hAnsi="Arial" w:cs="Arial"/>
        </w:rPr>
      </w:pPr>
    </w:p>
    <w:p w14:paraId="78D5651A" w14:textId="77777777" w:rsidR="00703D7D" w:rsidRDefault="00703D7D">
      <w:pPr>
        <w:rPr>
          <w:rFonts w:ascii="Arial" w:hAnsi="Arial" w:cs="Arial"/>
        </w:rPr>
      </w:pPr>
    </w:p>
    <w:p w14:paraId="55854322" w14:textId="77777777" w:rsidR="00C7514C" w:rsidRDefault="00C7514C">
      <w:pPr>
        <w:rPr>
          <w:rFonts w:ascii="Arial" w:hAnsi="Arial" w:cs="Arial"/>
        </w:rPr>
      </w:pPr>
    </w:p>
    <w:p w14:paraId="1F6FB08B" w14:textId="77777777" w:rsidR="00C7514C" w:rsidRDefault="00C7514C">
      <w:pPr>
        <w:rPr>
          <w:rFonts w:ascii="Arial" w:hAnsi="Arial" w:cs="Arial"/>
        </w:rPr>
      </w:pPr>
    </w:p>
    <w:p w14:paraId="6821AE0D" w14:textId="77777777" w:rsidR="00C7514C" w:rsidRDefault="00C7514C">
      <w:pPr>
        <w:rPr>
          <w:rFonts w:ascii="Arial" w:hAnsi="Arial" w:cs="Arial"/>
        </w:rPr>
      </w:pPr>
    </w:p>
    <w:p w14:paraId="18CB2546" w14:textId="77777777" w:rsidR="00C7514C" w:rsidRDefault="00C7514C">
      <w:pPr>
        <w:rPr>
          <w:rFonts w:ascii="Arial" w:hAnsi="Arial" w:cs="Arial"/>
        </w:rPr>
      </w:pPr>
    </w:p>
    <w:p w14:paraId="71CF0477" w14:textId="77777777" w:rsidR="00C7514C" w:rsidRDefault="00C7514C">
      <w:pPr>
        <w:rPr>
          <w:rFonts w:ascii="Arial" w:hAnsi="Arial" w:cs="Arial"/>
        </w:rPr>
      </w:pPr>
    </w:p>
    <w:p w14:paraId="362DBBEB" w14:textId="77777777" w:rsidR="00C7514C" w:rsidRDefault="00C7514C">
      <w:pPr>
        <w:rPr>
          <w:rFonts w:ascii="Arial" w:hAnsi="Arial" w:cs="Arial"/>
        </w:rPr>
      </w:pPr>
    </w:p>
    <w:p w14:paraId="6D58E832" w14:textId="77777777" w:rsidR="00C7514C" w:rsidRDefault="00C7514C">
      <w:pPr>
        <w:rPr>
          <w:rFonts w:ascii="Arial" w:hAnsi="Arial" w:cs="Arial"/>
        </w:rPr>
      </w:pPr>
    </w:p>
    <w:p w14:paraId="10658C59" w14:textId="77777777" w:rsidR="00C7514C" w:rsidRDefault="00C7514C">
      <w:pPr>
        <w:rPr>
          <w:rFonts w:ascii="Arial" w:hAnsi="Arial" w:cs="Arial"/>
        </w:rPr>
      </w:pPr>
    </w:p>
    <w:p w14:paraId="4DA0261F" w14:textId="77777777" w:rsidR="00C7514C" w:rsidRDefault="00C7514C">
      <w:pPr>
        <w:rPr>
          <w:rFonts w:ascii="Arial" w:hAnsi="Arial" w:cs="Arial"/>
        </w:rPr>
      </w:pPr>
    </w:p>
    <w:p w14:paraId="26D61880" w14:textId="20D02617" w:rsidR="00C7514C" w:rsidRPr="00C7514C" w:rsidRDefault="00C7514C" w:rsidP="00C7514C">
      <w:pPr>
        <w:jc w:val="center"/>
        <w:rPr>
          <w:rFonts w:ascii="Arial" w:hAnsi="Arial" w:cs="Arial"/>
          <w:b/>
          <w:bCs/>
        </w:rPr>
      </w:pPr>
      <w:r w:rsidRPr="00C7514C">
        <w:rPr>
          <w:rFonts w:ascii="Arial" w:hAnsi="Arial" w:cs="Arial"/>
          <w:b/>
          <w:bCs/>
        </w:rPr>
        <w:t>Reference list</w:t>
      </w:r>
    </w:p>
    <w:p w14:paraId="13E352B9" w14:textId="77777777" w:rsidR="00C7514C" w:rsidRPr="00C7514C" w:rsidRDefault="00C7514C" w:rsidP="00C7514C">
      <w:pPr>
        <w:rPr>
          <w:rFonts w:ascii="Arial" w:hAnsi="Arial" w:cs="Arial"/>
        </w:rPr>
      </w:pPr>
      <w:r w:rsidRPr="00C7514C">
        <w:rPr>
          <w:rFonts w:ascii="Arial" w:hAnsi="Arial" w:cs="Arial"/>
        </w:rPr>
        <w:t xml:space="preserve">Bambra, C. (2019) </w:t>
      </w:r>
      <w:r w:rsidRPr="00C7514C">
        <w:rPr>
          <w:rFonts w:ascii="Arial" w:hAnsi="Arial" w:cs="Arial"/>
          <w:i/>
          <w:iCs/>
        </w:rPr>
        <w:t>Health in hard times: austerity and health inequalities</w:t>
      </w:r>
      <w:r w:rsidRPr="00C7514C">
        <w:rPr>
          <w:rFonts w:ascii="Arial" w:hAnsi="Arial" w:cs="Arial"/>
        </w:rPr>
        <w:t>. Bristol: Policy Press.</w:t>
      </w:r>
    </w:p>
    <w:p w14:paraId="12E9466C" w14:textId="77777777" w:rsidR="00C7514C" w:rsidRPr="00C7514C" w:rsidRDefault="00C7514C" w:rsidP="00C7514C">
      <w:pPr>
        <w:rPr>
          <w:rFonts w:ascii="Arial" w:hAnsi="Arial" w:cs="Arial"/>
        </w:rPr>
      </w:pPr>
      <w:r w:rsidRPr="00C7514C">
        <w:rPr>
          <w:rFonts w:ascii="Arial" w:hAnsi="Arial" w:cs="Arial"/>
        </w:rPr>
        <w:t xml:space="preserve">Berlinski, S. and Schady, N. (2015) </w:t>
      </w:r>
      <w:r w:rsidRPr="00C7514C">
        <w:rPr>
          <w:rFonts w:ascii="Arial" w:hAnsi="Arial" w:cs="Arial"/>
          <w:i/>
          <w:iCs/>
        </w:rPr>
        <w:t>The early years: child well-being and the role of public policy</w:t>
      </w:r>
      <w:r w:rsidRPr="00C7514C">
        <w:rPr>
          <w:rFonts w:ascii="Arial" w:hAnsi="Arial" w:cs="Arial"/>
        </w:rPr>
        <w:t>. New York: Springer Open.</w:t>
      </w:r>
    </w:p>
    <w:p w14:paraId="1A3F4E17" w14:textId="77777777" w:rsidR="00C7514C" w:rsidRPr="00C7514C" w:rsidRDefault="00C7514C" w:rsidP="00C7514C">
      <w:pPr>
        <w:rPr>
          <w:rFonts w:ascii="Arial" w:hAnsi="Arial" w:cs="Arial"/>
        </w:rPr>
      </w:pPr>
      <w:r w:rsidRPr="00C7514C">
        <w:rPr>
          <w:rFonts w:ascii="Arial" w:hAnsi="Arial" w:cs="Arial"/>
        </w:rPr>
        <w:t xml:space="preserve">Gottman, J. and DeClaire, J. (1997) </w:t>
      </w:r>
      <w:r w:rsidRPr="00C7514C">
        <w:rPr>
          <w:rFonts w:ascii="Arial" w:hAnsi="Arial" w:cs="Arial"/>
          <w:i/>
          <w:iCs/>
        </w:rPr>
        <w:t>The heart of parenting: raising an emotionally intelligent child</w:t>
      </w:r>
      <w:r w:rsidRPr="00C7514C">
        <w:rPr>
          <w:rFonts w:ascii="Arial" w:hAnsi="Arial" w:cs="Arial"/>
        </w:rPr>
        <w:t>. New York: Simon &amp; Schuster.</w:t>
      </w:r>
    </w:p>
    <w:p w14:paraId="09A38C52" w14:textId="77777777" w:rsidR="00C7514C" w:rsidRPr="00C7514C" w:rsidRDefault="00C7514C" w:rsidP="00C7514C">
      <w:pPr>
        <w:rPr>
          <w:rFonts w:ascii="Arial" w:hAnsi="Arial" w:cs="Arial"/>
        </w:rPr>
      </w:pPr>
      <w:r w:rsidRPr="00C7514C">
        <w:rPr>
          <w:rFonts w:ascii="Arial" w:hAnsi="Arial" w:cs="Arial"/>
        </w:rPr>
        <w:t xml:space="preserve">Howard, C., Burton, M. and Levermore, D. (2020) </w:t>
      </w:r>
      <w:r w:rsidRPr="00C7514C">
        <w:rPr>
          <w:rFonts w:ascii="Arial" w:hAnsi="Arial" w:cs="Arial"/>
          <w:i/>
          <w:iCs/>
        </w:rPr>
        <w:t>Children’s mental health and emotional well-being in primary schools: a whole school approach</w:t>
      </w:r>
      <w:r w:rsidRPr="00C7514C">
        <w:rPr>
          <w:rFonts w:ascii="Arial" w:hAnsi="Arial" w:cs="Arial"/>
        </w:rPr>
        <w:t>. 2nd edn. London: Learning Matters.</w:t>
      </w:r>
    </w:p>
    <w:p w14:paraId="624ACF99" w14:textId="77777777" w:rsidR="00C7514C" w:rsidRPr="00C7514C" w:rsidRDefault="00C7514C" w:rsidP="00C7514C">
      <w:pPr>
        <w:rPr>
          <w:rFonts w:ascii="Arial" w:hAnsi="Arial" w:cs="Arial"/>
        </w:rPr>
      </w:pPr>
      <w:r w:rsidRPr="00C7514C">
        <w:rPr>
          <w:rFonts w:ascii="Arial" w:hAnsi="Arial" w:cs="Arial"/>
        </w:rPr>
        <w:t xml:space="preserve">Lynch, T. (2019) </w:t>
      </w:r>
      <w:r w:rsidRPr="00C7514C">
        <w:rPr>
          <w:rFonts w:ascii="Arial" w:hAnsi="Arial" w:cs="Arial"/>
          <w:i/>
          <w:iCs/>
        </w:rPr>
        <w:t>Physical education and wellbeing: global and holistic approaches to child health</w:t>
      </w:r>
      <w:r w:rsidRPr="00C7514C">
        <w:rPr>
          <w:rFonts w:ascii="Arial" w:hAnsi="Arial" w:cs="Arial"/>
        </w:rPr>
        <w:t>. Cham: Springer International Publishing.</w:t>
      </w:r>
    </w:p>
    <w:p w14:paraId="6B0B080E" w14:textId="77777777" w:rsidR="00C7514C" w:rsidRPr="00C7514C" w:rsidRDefault="00C7514C" w:rsidP="00C7514C">
      <w:pPr>
        <w:rPr>
          <w:rFonts w:ascii="Arial" w:hAnsi="Arial" w:cs="Arial"/>
        </w:rPr>
      </w:pPr>
      <w:r w:rsidRPr="00C7514C">
        <w:rPr>
          <w:rFonts w:ascii="Arial" w:hAnsi="Arial" w:cs="Arial"/>
        </w:rPr>
        <w:t xml:space="preserve">Maholmes, V. (2014) </w:t>
      </w:r>
      <w:r w:rsidRPr="00C7514C">
        <w:rPr>
          <w:rFonts w:ascii="Arial" w:hAnsi="Arial" w:cs="Arial"/>
          <w:i/>
          <w:iCs/>
        </w:rPr>
        <w:t>Fostering resilience and well-being in children and families in poverty: why hope still matters</w:t>
      </w:r>
      <w:r w:rsidRPr="00C7514C">
        <w:rPr>
          <w:rFonts w:ascii="Arial" w:hAnsi="Arial" w:cs="Arial"/>
        </w:rPr>
        <w:t>. New York: Oxford University Press.</w:t>
      </w:r>
    </w:p>
    <w:p w14:paraId="2140FB5F" w14:textId="77777777" w:rsidR="00C7514C" w:rsidRPr="00C7514C" w:rsidRDefault="00C7514C" w:rsidP="00C7514C">
      <w:pPr>
        <w:rPr>
          <w:rFonts w:ascii="Arial" w:hAnsi="Arial" w:cs="Arial"/>
        </w:rPr>
      </w:pPr>
      <w:r w:rsidRPr="00C7514C">
        <w:rPr>
          <w:rFonts w:ascii="Arial" w:hAnsi="Arial" w:cs="Arial"/>
        </w:rPr>
        <w:t xml:space="preserve">Mainstone-Cotton, S. (2017) </w:t>
      </w:r>
      <w:r w:rsidRPr="00C7514C">
        <w:rPr>
          <w:rFonts w:ascii="Arial" w:hAnsi="Arial" w:cs="Arial"/>
          <w:i/>
          <w:iCs/>
        </w:rPr>
        <w:t>Promoting young children’s emotional health and wellbeing: a practical guide for professionals and parents</w:t>
      </w:r>
      <w:r w:rsidRPr="00C7514C">
        <w:rPr>
          <w:rFonts w:ascii="Arial" w:hAnsi="Arial" w:cs="Arial"/>
        </w:rPr>
        <w:t>. London: Jessica Kingsley Publishers.</w:t>
      </w:r>
    </w:p>
    <w:p w14:paraId="54F82FC5" w14:textId="77777777" w:rsidR="00C7514C" w:rsidRPr="00C7514C" w:rsidRDefault="00C7514C" w:rsidP="00C7514C">
      <w:pPr>
        <w:rPr>
          <w:rFonts w:ascii="Arial" w:hAnsi="Arial" w:cs="Arial"/>
        </w:rPr>
      </w:pPr>
      <w:r w:rsidRPr="00C7514C">
        <w:rPr>
          <w:rFonts w:ascii="Arial" w:hAnsi="Arial" w:cs="Arial"/>
        </w:rPr>
        <w:t xml:space="preserve">Musgrave, J. (2017) </w:t>
      </w:r>
      <w:r w:rsidRPr="00C7514C">
        <w:rPr>
          <w:rFonts w:ascii="Arial" w:hAnsi="Arial" w:cs="Arial"/>
          <w:i/>
          <w:iCs/>
        </w:rPr>
        <w:t>Supporting children’s health and wellbeing</w:t>
      </w:r>
      <w:r w:rsidRPr="00C7514C">
        <w:rPr>
          <w:rFonts w:ascii="Arial" w:hAnsi="Arial" w:cs="Arial"/>
        </w:rPr>
        <w:t>. London: SAGE Publications.</w:t>
      </w:r>
    </w:p>
    <w:p w14:paraId="504D849D" w14:textId="77777777" w:rsidR="00C7514C" w:rsidRPr="00C7514C" w:rsidRDefault="00C7514C" w:rsidP="00C7514C">
      <w:pPr>
        <w:rPr>
          <w:rFonts w:ascii="Arial" w:hAnsi="Arial" w:cs="Arial"/>
        </w:rPr>
      </w:pPr>
      <w:r w:rsidRPr="00C7514C">
        <w:rPr>
          <w:rFonts w:ascii="Arial" w:hAnsi="Arial" w:cs="Arial"/>
        </w:rPr>
        <w:t xml:space="preserve">Policy Press (2016) </w:t>
      </w:r>
      <w:r w:rsidRPr="00C7514C">
        <w:rPr>
          <w:rFonts w:ascii="Arial" w:hAnsi="Arial" w:cs="Arial"/>
          <w:i/>
          <w:iCs/>
        </w:rPr>
        <w:t>The well-being of children in the UK</w:t>
      </w:r>
      <w:r w:rsidRPr="00C7514C">
        <w:rPr>
          <w:rFonts w:ascii="Arial" w:hAnsi="Arial" w:cs="Arial"/>
        </w:rPr>
        <w:t>. 4th edn. Bristol: Policy Press.</w:t>
      </w:r>
    </w:p>
    <w:p w14:paraId="48E55207" w14:textId="77777777" w:rsidR="00C7514C" w:rsidRPr="00C7514C" w:rsidRDefault="00C7514C" w:rsidP="00C7514C">
      <w:pPr>
        <w:rPr>
          <w:rFonts w:ascii="Arial" w:hAnsi="Arial" w:cs="Arial"/>
        </w:rPr>
      </w:pPr>
      <w:r w:rsidRPr="00C7514C">
        <w:rPr>
          <w:rFonts w:ascii="Arial" w:hAnsi="Arial" w:cs="Arial"/>
        </w:rPr>
        <w:t xml:space="preserve">Public Health England (2016) </w:t>
      </w:r>
      <w:r w:rsidRPr="00C7514C">
        <w:rPr>
          <w:rFonts w:ascii="Arial" w:hAnsi="Arial" w:cs="Arial"/>
          <w:i/>
          <w:iCs/>
        </w:rPr>
        <w:t>The mental health of children and young people in England</w:t>
      </w:r>
      <w:r w:rsidRPr="00C7514C">
        <w:rPr>
          <w:rFonts w:ascii="Arial" w:hAnsi="Arial" w:cs="Arial"/>
        </w:rPr>
        <w:t>. [Online] Available at: https://www.gov.uk/government/publications/improving-mental-health-services-for-young-people (Accessed: 14 June 2025).</w:t>
      </w:r>
    </w:p>
    <w:p w14:paraId="2088ABF7" w14:textId="77777777" w:rsidR="00C7514C" w:rsidRPr="00C7514C" w:rsidRDefault="00C7514C" w:rsidP="00C7514C">
      <w:pPr>
        <w:rPr>
          <w:rFonts w:ascii="Arial" w:hAnsi="Arial" w:cs="Arial"/>
        </w:rPr>
      </w:pPr>
      <w:r w:rsidRPr="00C7514C">
        <w:rPr>
          <w:rFonts w:ascii="Arial" w:hAnsi="Arial" w:cs="Arial"/>
        </w:rPr>
        <w:t xml:space="preserve">UNICEF (2020) </w:t>
      </w:r>
      <w:r w:rsidRPr="00C7514C">
        <w:rPr>
          <w:rFonts w:ascii="Arial" w:hAnsi="Arial" w:cs="Arial"/>
          <w:i/>
          <w:iCs/>
        </w:rPr>
        <w:t>Worlds of influence: understanding what shapes child well-being in rich countries – Innocenti report card 16</w:t>
      </w:r>
      <w:r w:rsidRPr="00C7514C">
        <w:rPr>
          <w:rFonts w:ascii="Arial" w:hAnsi="Arial" w:cs="Arial"/>
        </w:rPr>
        <w:t>. Florence: UNICEF Office of Research – Innocenti.</w:t>
      </w:r>
    </w:p>
    <w:p w14:paraId="3639D8E8" w14:textId="51ED85F3" w:rsidR="00C7514C" w:rsidRPr="00C7514C" w:rsidRDefault="00C7514C" w:rsidP="00C7514C">
      <w:pPr>
        <w:rPr>
          <w:rFonts w:ascii="Arial" w:hAnsi="Arial" w:cs="Arial"/>
        </w:rPr>
      </w:pPr>
      <w:r w:rsidRPr="00C7514C">
        <w:rPr>
          <w:rFonts w:ascii="Arial" w:hAnsi="Arial" w:cs="Arial"/>
        </w:rPr>
        <w:t xml:space="preserve">Welsh Government (2015) </w:t>
      </w:r>
      <w:r w:rsidRPr="00C7514C">
        <w:rPr>
          <w:rFonts w:ascii="Arial" w:hAnsi="Arial" w:cs="Arial"/>
          <w:i/>
          <w:iCs/>
        </w:rPr>
        <w:t>Well-being of Future Generations (Wales) Act 2015</w:t>
      </w:r>
      <w:r w:rsidRPr="00C7514C">
        <w:rPr>
          <w:rFonts w:ascii="Arial" w:hAnsi="Arial" w:cs="Arial"/>
        </w:rPr>
        <w:t>. Cardiff: Welsh Government. [Online] Available at: https://www.legislation.gov.uk/anaw/2015/2/contents/enacted (Accessed: 1</w:t>
      </w:r>
      <w:r>
        <w:rPr>
          <w:rFonts w:ascii="Arial" w:hAnsi="Arial" w:cs="Arial"/>
        </w:rPr>
        <w:t>0 J</w:t>
      </w:r>
      <w:r w:rsidRPr="00C7514C">
        <w:rPr>
          <w:rFonts w:ascii="Arial" w:hAnsi="Arial" w:cs="Arial"/>
        </w:rPr>
        <w:t>une 2025).</w:t>
      </w:r>
    </w:p>
    <w:p w14:paraId="6442FC45" w14:textId="35B5E998" w:rsidR="00C7514C" w:rsidRPr="00C7514C" w:rsidRDefault="00C7514C" w:rsidP="00C7514C">
      <w:pPr>
        <w:rPr>
          <w:rFonts w:ascii="Arial" w:hAnsi="Arial" w:cs="Arial"/>
        </w:rPr>
      </w:pPr>
      <w:r w:rsidRPr="00C7514C">
        <w:rPr>
          <w:rFonts w:ascii="Arial" w:hAnsi="Arial" w:cs="Arial"/>
        </w:rPr>
        <w:t xml:space="preserve">Welsh Government (2022) </w:t>
      </w:r>
      <w:r w:rsidRPr="00C7514C">
        <w:rPr>
          <w:rFonts w:ascii="Arial" w:hAnsi="Arial" w:cs="Arial"/>
          <w:i/>
          <w:iCs/>
        </w:rPr>
        <w:t>Curriculum for Wales: guidance</w:t>
      </w:r>
      <w:r w:rsidRPr="00C7514C">
        <w:rPr>
          <w:rFonts w:ascii="Arial" w:hAnsi="Arial" w:cs="Arial"/>
        </w:rPr>
        <w:t>. Cardiff: Welsh Government. [Online] Available at: https://hwb.gov.wales/curriculum-for-wales (Accessed: 1</w:t>
      </w:r>
      <w:r>
        <w:rPr>
          <w:rFonts w:ascii="Arial" w:hAnsi="Arial" w:cs="Arial"/>
        </w:rPr>
        <w:t>0 J</w:t>
      </w:r>
      <w:r w:rsidRPr="00C7514C">
        <w:rPr>
          <w:rFonts w:ascii="Arial" w:hAnsi="Arial" w:cs="Arial"/>
        </w:rPr>
        <w:t>une 2025).</w:t>
      </w:r>
    </w:p>
    <w:p w14:paraId="78D4C18C" w14:textId="01DFC90A" w:rsidR="00C7514C" w:rsidRPr="00C7514C" w:rsidRDefault="00C7514C" w:rsidP="00C7514C">
      <w:pPr>
        <w:rPr>
          <w:rFonts w:ascii="Arial" w:hAnsi="Arial" w:cs="Arial"/>
        </w:rPr>
      </w:pPr>
      <w:r w:rsidRPr="00C7514C">
        <w:rPr>
          <w:rFonts w:ascii="Arial" w:hAnsi="Arial" w:cs="Arial"/>
        </w:rPr>
        <w:t xml:space="preserve">Wilson, T. (2016) </w:t>
      </w:r>
      <w:r w:rsidRPr="00C7514C">
        <w:rPr>
          <w:rFonts w:ascii="Arial" w:hAnsi="Arial" w:cs="Arial"/>
          <w:i/>
          <w:iCs/>
        </w:rPr>
        <w:t>Working</w:t>
      </w:r>
      <w:r w:rsidR="00C32F51">
        <w:rPr>
          <w:rFonts w:ascii="Arial" w:hAnsi="Arial" w:cs="Arial"/>
          <w:i/>
          <w:iCs/>
        </w:rPr>
        <w:t>a3</w:t>
      </w:r>
      <w:r w:rsidRPr="00C7514C">
        <w:rPr>
          <w:rFonts w:ascii="Arial" w:hAnsi="Arial" w:cs="Arial"/>
          <w:i/>
          <w:iCs/>
        </w:rPr>
        <w:t xml:space="preserve"> with parents, carers and families in the early years: the essential guide</w:t>
      </w:r>
      <w:r w:rsidRPr="00C7514C">
        <w:rPr>
          <w:rFonts w:ascii="Arial" w:hAnsi="Arial" w:cs="Arial"/>
        </w:rPr>
        <w:t>. New York: Routledge.</w:t>
      </w:r>
    </w:p>
    <w:p w14:paraId="151219F0" w14:textId="3A13C613" w:rsidR="00C7514C" w:rsidRPr="00C7514C" w:rsidRDefault="00C7514C" w:rsidP="00C7514C">
      <w:pPr>
        <w:rPr>
          <w:rFonts w:ascii="Arial" w:hAnsi="Arial" w:cs="Arial"/>
        </w:rPr>
      </w:pPr>
      <w:r w:rsidRPr="00C7514C">
        <w:rPr>
          <w:rFonts w:ascii="Arial" w:hAnsi="Arial" w:cs="Arial"/>
        </w:rPr>
        <w:t xml:space="preserve">World Health Organization (2021) </w:t>
      </w:r>
      <w:r w:rsidRPr="00C7514C">
        <w:rPr>
          <w:rFonts w:ascii="Arial" w:hAnsi="Arial" w:cs="Arial"/>
          <w:i/>
          <w:iCs/>
        </w:rPr>
        <w:t>Mental health: strengthening our response</w:t>
      </w:r>
      <w:r w:rsidRPr="00C7514C">
        <w:rPr>
          <w:rFonts w:ascii="Arial" w:hAnsi="Arial" w:cs="Arial"/>
        </w:rPr>
        <w:t xml:space="preserve">. [Online] Available at: </w:t>
      </w:r>
      <w:hyperlink r:id="rId8" w:tgtFrame="_new" w:history="1">
        <w:r w:rsidRPr="00C7514C">
          <w:rPr>
            <w:rStyle w:val="Hyperlink"/>
            <w:rFonts w:ascii="Arial" w:hAnsi="Arial" w:cs="Arial"/>
          </w:rPr>
          <w:t>https://www.who.int/news-room/fact-sheets/detail/mental-health-strengthening-our-response</w:t>
        </w:r>
      </w:hyperlink>
      <w:r w:rsidRPr="00C7514C">
        <w:rPr>
          <w:rFonts w:ascii="Arial" w:hAnsi="Arial" w:cs="Arial"/>
        </w:rPr>
        <w:t xml:space="preserve"> (Accessed: </w:t>
      </w:r>
      <w:r>
        <w:rPr>
          <w:rFonts w:ascii="Arial" w:hAnsi="Arial" w:cs="Arial"/>
        </w:rPr>
        <w:t xml:space="preserve">10 </w:t>
      </w:r>
      <w:r w:rsidRPr="00C7514C">
        <w:rPr>
          <w:rFonts w:ascii="Arial" w:hAnsi="Arial" w:cs="Arial"/>
        </w:rPr>
        <w:t>June 2025).</w:t>
      </w:r>
    </w:p>
    <w:sectPr w:rsidR="00C7514C" w:rsidRPr="00C7514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545F3" w14:textId="77777777" w:rsidR="0000523D" w:rsidRDefault="0000523D" w:rsidP="0000523D">
      <w:pPr>
        <w:spacing w:after="0" w:line="240" w:lineRule="auto"/>
      </w:pPr>
      <w:r>
        <w:separator/>
      </w:r>
    </w:p>
  </w:endnote>
  <w:endnote w:type="continuationSeparator" w:id="0">
    <w:p w14:paraId="51435604" w14:textId="77777777" w:rsidR="0000523D" w:rsidRDefault="0000523D" w:rsidP="00005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5A3FF" w14:textId="77777777" w:rsidR="0000523D" w:rsidRDefault="0000523D" w:rsidP="0000523D">
      <w:pPr>
        <w:spacing w:after="0" w:line="240" w:lineRule="auto"/>
      </w:pPr>
      <w:r>
        <w:separator/>
      </w:r>
    </w:p>
  </w:footnote>
  <w:footnote w:type="continuationSeparator" w:id="0">
    <w:p w14:paraId="63C24FBF" w14:textId="77777777" w:rsidR="0000523D" w:rsidRDefault="0000523D" w:rsidP="000052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D7B7C" w14:textId="21D6DD29" w:rsidR="0000523D" w:rsidRDefault="0000523D">
    <w:pPr>
      <w:pStyle w:val="Header"/>
    </w:pPr>
    <w:r>
      <w:t>2400032</w:t>
    </w:r>
    <w:r>
      <w:ptab w:relativeTo="margin" w:alignment="center" w:leader="none"/>
    </w:r>
    <w:r>
      <w:t>ECEY5009</w:t>
    </w:r>
    <w:r>
      <w:ptab w:relativeTo="margin" w:alignment="right" w:leader="none"/>
    </w:r>
    <w:r>
      <w:t>words-</w:t>
    </w:r>
    <w:r w:rsidR="00AF4D82">
      <w:t>1561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F0032"/>
    <w:multiLevelType w:val="multilevel"/>
    <w:tmpl w:val="7018D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B228EB"/>
    <w:multiLevelType w:val="hybridMultilevel"/>
    <w:tmpl w:val="E2DEE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447FC5"/>
    <w:multiLevelType w:val="multilevel"/>
    <w:tmpl w:val="07080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3909382">
    <w:abstractNumId w:val="2"/>
  </w:num>
  <w:num w:numId="2" w16cid:durableId="462968373">
    <w:abstractNumId w:val="0"/>
  </w:num>
  <w:num w:numId="3" w16cid:durableId="1738624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0AF"/>
    <w:rsid w:val="0000523D"/>
    <w:rsid w:val="001A20FE"/>
    <w:rsid w:val="003F3CE5"/>
    <w:rsid w:val="0041166B"/>
    <w:rsid w:val="005427AC"/>
    <w:rsid w:val="00692293"/>
    <w:rsid w:val="00703D7D"/>
    <w:rsid w:val="00777385"/>
    <w:rsid w:val="008450AF"/>
    <w:rsid w:val="00A25E7B"/>
    <w:rsid w:val="00AF4D82"/>
    <w:rsid w:val="00BF75B6"/>
    <w:rsid w:val="00C32F51"/>
    <w:rsid w:val="00C7514C"/>
    <w:rsid w:val="00D0190B"/>
    <w:rsid w:val="00D522D6"/>
    <w:rsid w:val="00EA7A25"/>
    <w:rsid w:val="00FA7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114C8"/>
  <w15:chartTrackingRefBased/>
  <w15:docId w15:val="{D504E2A1-520A-4490-B493-0ACA6FB06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0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50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0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0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0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0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0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0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0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0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50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0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0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0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0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0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0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0AF"/>
    <w:rPr>
      <w:rFonts w:eastAsiaTheme="majorEastAsia" w:cstheme="majorBidi"/>
      <w:color w:val="272727" w:themeColor="text1" w:themeTint="D8"/>
    </w:rPr>
  </w:style>
  <w:style w:type="paragraph" w:styleId="Title">
    <w:name w:val="Title"/>
    <w:basedOn w:val="Normal"/>
    <w:next w:val="Normal"/>
    <w:link w:val="TitleChar"/>
    <w:uiPriority w:val="10"/>
    <w:qFormat/>
    <w:rsid w:val="008450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0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0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0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0AF"/>
    <w:pPr>
      <w:spacing w:before="160"/>
      <w:jc w:val="center"/>
    </w:pPr>
    <w:rPr>
      <w:i/>
      <w:iCs/>
      <w:color w:val="404040" w:themeColor="text1" w:themeTint="BF"/>
    </w:rPr>
  </w:style>
  <w:style w:type="character" w:customStyle="1" w:styleId="QuoteChar">
    <w:name w:val="Quote Char"/>
    <w:basedOn w:val="DefaultParagraphFont"/>
    <w:link w:val="Quote"/>
    <w:uiPriority w:val="29"/>
    <w:rsid w:val="008450AF"/>
    <w:rPr>
      <w:i/>
      <w:iCs/>
      <w:color w:val="404040" w:themeColor="text1" w:themeTint="BF"/>
    </w:rPr>
  </w:style>
  <w:style w:type="paragraph" w:styleId="ListParagraph">
    <w:name w:val="List Paragraph"/>
    <w:basedOn w:val="Normal"/>
    <w:uiPriority w:val="34"/>
    <w:qFormat/>
    <w:rsid w:val="008450AF"/>
    <w:pPr>
      <w:ind w:left="720"/>
      <w:contextualSpacing/>
    </w:pPr>
  </w:style>
  <w:style w:type="character" w:styleId="IntenseEmphasis">
    <w:name w:val="Intense Emphasis"/>
    <w:basedOn w:val="DefaultParagraphFont"/>
    <w:uiPriority w:val="21"/>
    <w:qFormat/>
    <w:rsid w:val="008450AF"/>
    <w:rPr>
      <w:i/>
      <w:iCs/>
      <w:color w:val="0F4761" w:themeColor="accent1" w:themeShade="BF"/>
    </w:rPr>
  </w:style>
  <w:style w:type="paragraph" w:styleId="IntenseQuote">
    <w:name w:val="Intense Quote"/>
    <w:basedOn w:val="Normal"/>
    <w:next w:val="Normal"/>
    <w:link w:val="IntenseQuoteChar"/>
    <w:uiPriority w:val="30"/>
    <w:qFormat/>
    <w:rsid w:val="008450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0AF"/>
    <w:rPr>
      <w:i/>
      <w:iCs/>
      <w:color w:val="0F4761" w:themeColor="accent1" w:themeShade="BF"/>
    </w:rPr>
  </w:style>
  <w:style w:type="character" w:styleId="IntenseReference">
    <w:name w:val="Intense Reference"/>
    <w:basedOn w:val="DefaultParagraphFont"/>
    <w:uiPriority w:val="32"/>
    <w:qFormat/>
    <w:rsid w:val="008450AF"/>
    <w:rPr>
      <w:b/>
      <w:bCs/>
      <w:smallCaps/>
      <w:color w:val="0F4761" w:themeColor="accent1" w:themeShade="BF"/>
      <w:spacing w:val="5"/>
    </w:rPr>
  </w:style>
  <w:style w:type="paragraph" w:styleId="Header">
    <w:name w:val="header"/>
    <w:basedOn w:val="Normal"/>
    <w:link w:val="HeaderChar"/>
    <w:uiPriority w:val="99"/>
    <w:unhideWhenUsed/>
    <w:rsid w:val="00005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23D"/>
  </w:style>
  <w:style w:type="paragraph" w:styleId="Footer">
    <w:name w:val="footer"/>
    <w:basedOn w:val="Normal"/>
    <w:link w:val="FooterChar"/>
    <w:uiPriority w:val="99"/>
    <w:unhideWhenUsed/>
    <w:rsid w:val="00005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23D"/>
  </w:style>
  <w:style w:type="character" w:styleId="Hyperlink">
    <w:name w:val="Hyperlink"/>
    <w:basedOn w:val="DefaultParagraphFont"/>
    <w:uiPriority w:val="99"/>
    <w:unhideWhenUsed/>
    <w:rsid w:val="00C7514C"/>
    <w:rPr>
      <w:color w:val="467886" w:themeColor="hyperlink"/>
      <w:u w:val="single"/>
    </w:rPr>
  </w:style>
  <w:style w:type="character" w:styleId="UnresolvedMention">
    <w:name w:val="Unresolved Mention"/>
    <w:basedOn w:val="DefaultParagraphFont"/>
    <w:uiPriority w:val="99"/>
    <w:semiHidden/>
    <w:unhideWhenUsed/>
    <w:rsid w:val="00C751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73518">
      <w:bodyDiv w:val="1"/>
      <w:marLeft w:val="0"/>
      <w:marRight w:val="0"/>
      <w:marTop w:val="0"/>
      <w:marBottom w:val="0"/>
      <w:divBdr>
        <w:top w:val="none" w:sz="0" w:space="0" w:color="auto"/>
        <w:left w:val="none" w:sz="0" w:space="0" w:color="auto"/>
        <w:bottom w:val="none" w:sz="0" w:space="0" w:color="auto"/>
        <w:right w:val="none" w:sz="0" w:space="0" w:color="auto"/>
      </w:divBdr>
    </w:div>
    <w:div w:id="118384158">
      <w:bodyDiv w:val="1"/>
      <w:marLeft w:val="0"/>
      <w:marRight w:val="0"/>
      <w:marTop w:val="0"/>
      <w:marBottom w:val="0"/>
      <w:divBdr>
        <w:top w:val="none" w:sz="0" w:space="0" w:color="auto"/>
        <w:left w:val="none" w:sz="0" w:space="0" w:color="auto"/>
        <w:bottom w:val="none" w:sz="0" w:space="0" w:color="auto"/>
        <w:right w:val="none" w:sz="0" w:space="0" w:color="auto"/>
      </w:divBdr>
    </w:div>
    <w:div w:id="409230338">
      <w:bodyDiv w:val="1"/>
      <w:marLeft w:val="0"/>
      <w:marRight w:val="0"/>
      <w:marTop w:val="0"/>
      <w:marBottom w:val="0"/>
      <w:divBdr>
        <w:top w:val="none" w:sz="0" w:space="0" w:color="auto"/>
        <w:left w:val="none" w:sz="0" w:space="0" w:color="auto"/>
        <w:bottom w:val="none" w:sz="0" w:space="0" w:color="auto"/>
        <w:right w:val="none" w:sz="0" w:space="0" w:color="auto"/>
      </w:divBdr>
    </w:div>
    <w:div w:id="493226853">
      <w:bodyDiv w:val="1"/>
      <w:marLeft w:val="0"/>
      <w:marRight w:val="0"/>
      <w:marTop w:val="0"/>
      <w:marBottom w:val="0"/>
      <w:divBdr>
        <w:top w:val="none" w:sz="0" w:space="0" w:color="auto"/>
        <w:left w:val="none" w:sz="0" w:space="0" w:color="auto"/>
        <w:bottom w:val="none" w:sz="0" w:space="0" w:color="auto"/>
        <w:right w:val="none" w:sz="0" w:space="0" w:color="auto"/>
      </w:divBdr>
    </w:div>
    <w:div w:id="762066476">
      <w:bodyDiv w:val="1"/>
      <w:marLeft w:val="0"/>
      <w:marRight w:val="0"/>
      <w:marTop w:val="0"/>
      <w:marBottom w:val="0"/>
      <w:divBdr>
        <w:top w:val="none" w:sz="0" w:space="0" w:color="auto"/>
        <w:left w:val="none" w:sz="0" w:space="0" w:color="auto"/>
        <w:bottom w:val="none" w:sz="0" w:space="0" w:color="auto"/>
        <w:right w:val="none" w:sz="0" w:space="0" w:color="auto"/>
      </w:divBdr>
    </w:div>
    <w:div w:id="810247351">
      <w:bodyDiv w:val="1"/>
      <w:marLeft w:val="0"/>
      <w:marRight w:val="0"/>
      <w:marTop w:val="0"/>
      <w:marBottom w:val="0"/>
      <w:divBdr>
        <w:top w:val="none" w:sz="0" w:space="0" w:color="auto"/>
        <w:left w:val="none" w:sz="0" w:space="0" w:color="auto"/>
        <w:bottom w:val="none" w:sz="0" w:space="0" w:color="auto"/>
        <w:right w:val="none" w:sz="0" w:space="0" w:color="auto"/>
      </w:divBdr>
    </w:div>
    <w:div w:id="947812269">
      <w:bodyDiv w:val="1"/>
      <w:marLeft w:val="0"/>
      <w:marRight w:val="0"/>
      <w:marTop w:val="0"/>
      <w:marBottom w:val="0"/>
      <w:divBdr>
        <w:top w:val="none" w:sz="0" w:space="0" w:color="auto"/>
        <w:left w:val="none" w:sz="0" w:space="0" w:color="auto"/>
        <w:bottom w:val="none" w:sz="0" w:space="0" w:color="auto"/>
        <w:right w:val="none" w:sz="0" w:space="0" w:color="auto"/>
      </w:divBdr>
    </w:div>
    <w:div w:id="1077169981">
      <w:bodyDiv w:val="1"/>
      <w:marLeft w:val="0"/>
      <w:marRight w:val="0"/>
      <w:marTop w:val="0"/>
      <w:marBottom w:val="0"/>
      <w:divBdr>
        <w:top w:val="none" w:sz="0" w:space="0" w:color="auto"/>
        <w:left w:val="none" w:sz="0" w:space="0" w:color="auto"/>
        <w:bottom w:val="none" w:sz="0" w:space="0" w:color="auto"/>
        <w:right w:val="none" w:sz="0" w:space="0" w:color="auto"/>
      </w:divBdr>
    </w:div>
    <w:div w:id="1640108132">
      <w:bodyDiv w:val="1"/>
      <w:marLeft w:val="0"/>
      <w:marRight w:val="0"/>
      <w:marTop w:val="0"/>
      <w:marBottom w:val="0"/>
      <w:divBdr>
        <w:top w:val="none" w:sz="0" w:space="0" w:color="auto"/>
        <w:left w:val="none" w:sz="0" w:space="0" w:color="auto"/>
        <w:bottom w:val="none" w:sz="0" w:space="0" w:color="auto"/>
        <w:right w:val="none" w:sz="0" w:space="0" w:color="auto"/>
      </w:divBdr>
    </w:div>
    <w:div w:id="1736274147">
      <w:bodyDiv w:val="1"/>
      <w:marLeft w:val="0"/>
      <w:marRight w:val="0"/>
      <w:marTop w:val="0"/>
      <w:marBottom w:val="0"/>
      <w:divBdr>
        <w:top w:val="none" w:sz="0" w:space="0" w:color="auto"/>
        <w:left w:val="none" w:sz="0" w:space="0" w:color="auto"/>
        <w:bottom w:val="none" w:sz="0" w:space="0" w:color="auto"/>
        <w:right w:val="none" w:sz="0" w:space="0" w:color="auto"/>
      </w:divBdr>
    </w:div>
    <w:div w:id="1885096606">
      <w:bodyDiv w:val="1"/>
      <w:marLeft w:val="0"/>
      <w:marRight w:val="0"/>
      <w:marTop w:val="0"/>
      <w:marBottom w:val="0"/>
      <w:divBdr>
        <w:top w:val="none" w:sz="0" w:space="0" w:color="auto"/>
        <w:left w:val="none" w:sz="0" w:space="0" w:color="auto"/>
        <w:bottom w:val="none" w:sz="0" w:space="0" w:color="auto"/>
        <w:right w:val="none" w:sz="0" w:space="0" w:color="auto"/>
      </w:divBdr>
    </w:div>
    <w:div w:id="1886141073">
      <w:bodyDiv w:val="1"/>
      <w:marLeft w:val="0"/>
      <w:marRight w:val="0"/>
      <w:marTop w:val="0"/>
      <w:marBottom w:val="0"/>
      <w:divBdr>
        <w:top w:val="none" w:sz="0" w:space="0" w:color="auto"/>
        <w:left w:val="none" w:sz="0" w:space="0" w:color="auto"/>
        <w:bottom w:val="none" w:sz="0" w:space="0" w:color="auto"/>
        <w:right w:val="none" w:sz="0" w:space="0" w:color="auto"/>
      </w:divBdr>
    </w:div>
    <w:div w:id="2037345068">
      <w:bodyDiv w:val="1"/>
      <w:marLeft w:val="0"/>
      <w:marRight w:val="0"/>
      <w:marTop w:val="0"/>
      <w:marBottom w:val="0"/>
      <w:divBdr>
        <w:top w:val="none" w:sz="0" w:space="0" w:color="auto"/>
        <w:left w:val="none" w:sz="0" w:space="0" w:color="auto"/>
        <w:bottom w:val="none" w:sz="0" w:space="0" w:color="auto"/>
        <w:right w:val="none" w:sz="0" w:space="0" w:color="auto"/>
      </w:divBdr>
    </w:div>
    <w:div w:id="2078434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7" Type="http://schemas.openxmlformats.org/officeDocument/2006/relationships/hyperlink" Target="https://uowtsd-my.sharepoint.com/:v:/g/personal/2400032_student_uwtsd_ac_uk/ERafOxpB649Gjj5WW6VpIIAB0Qc-VyPH9MrO7t3O2pZTTg?nav=eyJyZWZlcnJhbEluZm8iOnsicmVmZXJyYWxBcHAiOiJPbmVEcml2ZUZvckJ1c2luZXNzIiwicmVmZXJyYWxBcHBQbGF0Zm9ybSI6IldlYiIsInJlZmVycmFsTW9kZSI6InZpZXciLCJyZWZlcnJhbFZpZXciOiJNeUZpbGVzTGlua0NvcHkifX0&amp;e=PuZlU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2046</Words>
  <Characters>11667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anna griffiths</cp:lastModifiedBy>
  <cp:revision>2</cp:revision>
  <cp:lastPrinted>2025-06-14T10:22:00Z</cp:lastPrinted>
  <dcterms:created xsi:type="dcterms:W3CDTF">2025-06-14T12:04:00Z</dcterms:created>
  <dcterms:modified xsi:type="dcterms:W3CDTF">2025-06-14T12:04:00Z</dcterms:modified>
</cp:coreProperties>
</file>