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16D7F" w14:textId="77777777" w:rsidR="005F3217" w:rsidRDefault="005F3217" w:rsidP="000A4EE5">
      <w:pPr>
        <w:spacing w:after="0" w:line="360" w:lineRule="auto"/>
        <w:jc w:val="center"/>
        <w:rPr>
          <w:rFonts w:ascii="Arial" w:eastAsia="Times New Roman" w:hAnsi="Arial" w:cs="Arial"/>
          <w:b/>
          <w:bCs/>
          <w:i/>
          <w:iCs/>
          <w:color w:val="0F58BD"/>
          <w:sz w:val="28"/>
          <w:szCs w:val="28"/>
          <w:lang w:eastAsia="en-GB"/>
        </w:rPr>
      </w:pPr>
      <w:r>
        <w:rPr>
          <w:rFonts w:ascii="Arial" w:eastAsia="Times New Roman" w:hAnsi="Arial" w:cs="Arial"/>
          <w:b/>
          <w:bCs/>
          <w:i/>
          <w:iCs/>
          <w:noProof/>
          <w:color w:val="0F58BD"/>
          <w:sz w:val="28"/>
          <w:szCs w:val="28"/>
          <w:lang w:eastAsia="en-GB"/>
        </w:rPr>
        <w:drawing>
          <wp:inline distT="0" distB="0" distL="0" distR="0" wp14:anchorId="203276F4" wp14:editId="4B0A36A5">
            <wp:extent cx="2286000" cy="749300"/>
            <wp:effectExtent l="0" t="0" r="0" b="0"/>
            <wp:docPr id="6818465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46579" name="Picture 681846579"/>
                    <pic:cNvPicPr/>
                  </pic:nvPicPr>
                  <pic:blipFill>
                    <a:blip r:embed="rId6">
                      <a:extLst>
                        <a:ext uri="{28A0092B-C50C-407E-A947-70E740481C1C}">
                          <a14:useLocalDpi xmlns:a14="http://schemas.microsoft.com/office/drawing/2010/main" val="0"/>
                        </a:ext>
                      </a:extLst>
                    </a:blip>
                    <a:stretch>
                      <a:fillRect/>
                    </a:stretch>
                  </pic:blipFill>
                  <pic:spPr>
                    <a:xfrm>
                      <a:off x="0" y="0"/>
                      <a:ext cx="2286000" cy="749300"/>
                    </a:xfrm>
                    <a:prstGeom prst="rect">
                      <a:avLst/>
                    </a:prstGeom>
                  </pic:spPr>
                </pic:pic>
              </a:graphicData>
            </a:graphic>
          </wp:inline>
        </w:drawing>
      </w:r>
    </w:p>
    <w:p w14:paraId="767CC3E0" w14:textId="77777777" w:rsidR="005F3217" w:rsidRDefault="005F3217" w:rsidP="000A4EE5">
      <w:pPr>
        <w:spacing w:after="0" w:line="360" w:lineRule="auto"/>
        <w:jc w:val="center"/>
        <w:rPr>
          <w:rFonts w:ascii="Arial" w:eastAsia="Times New Roman" w:hAnsi="Arial" w:cs="Arial"/>
          <w:b/>
          <w:bCs/>
          <w:i/>
          <w:iCs/>
          <w:color w:val="0F58BD"/>
          <w:sz w:val="28"/>
          <w:szCs w:val="28"/>
          <w:lang w:eastAsia="en-GB"/>
        </w:rPr>
      </w:pPr>
    </w:p>
    <w:p w14:paraId="50D8F081" w14:textId="77777777" w:rsidR="005F3217" w:rsidRDefault="005F3217" w:rsidP="000A4EE5">
      <w:pPr>
        <w:spacing w:after="0" w:line="360" w:lineRule="auto"/>
        <w:jc w:val="center"/>
        <w:rPr>
          <w:rFonts w:ascii="Arial" w:eastAsia="Times New Roman" w:hAnsi="Arial" w:cs="Arial"/>
          <w:b/>
          <w:bCs/>
          <w:i/>
          <w:iCs/>
          <w:color w:val="0F58BD"/>
          <w:sz w:val="28"/>
          <w:szCs w:val="28"/>
          <w:lang w:eastAsia="en-GB"/>
        </w:rPr>
      </w:pPr>
    </w:p>
    <w:p w14:paraId="6F36DC50" w14:textId="77777777" w:rsidR="005F3217" w:rsidRDefault="000A4EE5" w:rsidP="000A4EE5">
      <w:pPr>
        <w:spacing w:after="0" w:line="360" w:lineRule="auto"/>
        <w:jc w:val="center"/>
        <w:rPr>
          <w:rFonts w:ascii="Arial" w:eastAsia="Times New Roman" w:hAnsi="Arial" w:cs="Arial"/>
          <w:b/>
          <w:bCs/>
          <w:i/>
          <w:iCs/>
          <w:color w:val="0F58BD"/>
          <w:sz w:val="36"/>
          <w:szCs w:val="36"/>
          <w:lang w:eastAsia="en-GB"/>
        </w:rPr>
      </w:pPr>
      <w:r w:rsidRPr="005F3217">
        <w:rPr>
          <w:rFonts w:ascii="Arial" w:eastAsia="Times New Roman" w:hAnsi="Arial" w:cs="Arial"/>
          <w:b/>
          <w:bCs/>
          <w:i/>
          <w:iCs/>
          <w:color w:val="0F58BD"/>
          <w:sz w:val="36"/>
          <w:szCs w:val="36"/>
          <w:lang w:eastAsia="en-GB"/>
        </w:rPr>
        <w:t>Name</w:t>
      </w:r>
      <w:r w:rsidRPr="005F3217">
        <w:rPr>
          <w:rFonts w:ascii="Arial" w:eastAsia="Times New Roman" w:hAnsi="Arial" w:cs="Arial"/>
          <w:b/>
          <w:bCs/>
          <w:i/>
          <w:iCs/>
          <w:color w:val="0F58BD"/>
          <w:sz w:val="36"/>
          <w:szCs w:val="36"/>
          <w:lang w:eastAsia="en-GB"/>
        </w:rPr>
        <w:t>: Liselothe Kandinda</w:t>
      </w:r>
      <w:r w:rsidRPr="005F3217">
        <w:rPr>
          <w:rFonts w:ascii="Arial" w:eastAsia="Times New Roman" w:hAnsi="Arial" w:cs="Arial"/>
          <w:b/>
          <w:bCs/>
          <w:i/>
          <w:iCs/>
          <w:color w:val="0F58BD"/>
          <w:sz w:val="36"/>
          <w:szCs w:val="36"/>
          <w:lang w:eastAsia="en-GB"/>
        </w:rPr>
        <w:br/>
        <w:t>Student Number</w:t>
      </w:r>
      <w:r w:rsidRPr="005F3217">
        <w:rPr>
          <w:rFonts w:ascii="Arial" w:eastAsia="Times New Roman" w:hAnsi="Arial" w:cs="Arial"/>
          <w:b/>
          <w:bCs/>
          <w:i/>
          <w:iCs/>
          <w:color w:val="0F58BD"/>
          <w:sz w:val="36"/>
          <w:szCs w:val="36"/>
          <w:lang w:eastAsia="en-GB"/>
        </w:rPr>
        <w:t>:2314130</w:t>
      </w:r>
    </w:p>
    <w:p w14:paraId="0BEB8305" w14:textId="6DDEB433" w:rsidR="000A4EE5" w:rsidRPr="005F3217" w:rsidRDefault="005F3217" w:rsidP="000A4EE5">
      <w:pPr>
        <w:spacing w:after="0" w:line="360" w:lineRule="auto"/>
        <w:jc w:val="center"/>
        <w:rPr>
          <w:rFonts w:ascii="Arial" w:eastAsia="Times New Roman" w:hAnsi="Arial" w:cs="Arial"/>
          <w:b/>
          <w:bCs/>
          <w:i/>
          <w:iCs/>
          <w:color w:val="0F58BD"/>
          <w:sz w:val="36"/>
          <w:szCs w:val="36"/>
          <w:lang w:eastAsia="en-GB"/>
        </w:rPr>
      </w:pPr>
      <w:r>
        <w:rPr>
          <w:rFonts w:ascii="Arial" w:eastAsia="Times New Roman" w:hAnsi="Arial" w:cs="Arial"/>
          <w:b/>
          <w:bCs/>
          <w:i/>
          <w:iCs/>
          <w:color w:val="0F58BD"/>
          <w:sz w:val="36"/>
          <w:szCs w:val="36"/>
          <w:lang w:eastAsia="en-GB"/>
        </w:rPr>
        <w:t>Date: 8 May 2026</w:t>
      </w:r>
      <w:r w:rsidR="000A4EE5" w:rsidRPr="005F3217">
        <w:rPr>
          <w:rFonts w:ascii="Arial" w:eastAsia="Times New Roman" w:hAnsi="Arial" w:cs="Arial"/>
          <w:b/>
          <w:bCs/>
          <w:i/>
          <w:iCs/>
          <w:color w:val="0F58BD"/>
          <w:sz w:val="36"/>
          <w:szCs w:val="36"/>
          <w:lang w:eastAsia="en-GB"/>
        </w:rPr>
        <w:br/>
        <w:t>BMHP</w:t>
      </w:r>
      <w:r w:rsidR="000A4EE5" w:rsidRPr="005F3217">
        <w:rPr>
          <w:rFonts w:ascii="Arial" w:eastAsia="Times New Roman" w:hAnsi="Arial" w:cs="Arial"/>
          <w:b/>
          <w:bCs/>
          <w:i/>
          <w:iCs/>
          <w:color w:val="0F58BD"/>
          <w:sz w:val="36"/>
          <w:szCs w:val="36"/>
          <w:lang w:eastAsia="en-GB"/>
        </w:rPr>
        <w:t>6028: Facilitating Change and Managing Quality Outcomes in Health Ecosystems</w:t>
      </w:r>
    </w:p>
    <w:p w14:paraId="3BF0D150" w14:textId="2CF123D2" w:rsidR="000A4EE5" w:rsidRPr="005F3217" w:rsidRDefault="000A4EE5" w:rsidP="00930C35">
      <w:pPr>
        <w:spacing w:after="0" w:line="360" w:lineRule="auto"/>
        <w:jc w:val="center"/>
        <w:rPr>
          <w:rFonts w:ascii="Arial" w:eastAsia="Times New Roman" w:hAnsi="Arial" w:cs="Arial"/>
          <w:b/>
          <w:bCs/>
          <w:i/>
          <w:iCs/>
          <w:color w:val="0F58BD"/>
          <w:sz w:val="36"/>
          <w:szCs w:val="36"/>
          <w:lang w:val="en-GB" w:eastAsia="en-GB"/>
        </w:rPr>
      </w:pPr>
      <w:r w:rsidRPr="005F3217">
        <w:rPr>
          <w:rFonts w:ascii="Arial" w:eastAsia="Times New Roman" w:hAnsi="Arial" w:cs="Arial"/>
          <w:b/>
          <w:bCs/>
          <w:i/>
          <w:iCs/>
          <w:color w:val="0F58BD"/>
          <w:sz w:val="36"/>
          <w:szCs w:val="36"/>
          <w:lang w:eastAsia="en-GB"/>
        </w:rPr>
        <w:t>Lecturer: Heather Davies</w:t>
      </w:r>
    </w:p>
    <w:p w14:paraId="1A26A810" w14:textId="77777777" w:rsidR="000A4EE5" w:rsidRPr="005F3217" w:rsidRDefault="000A4EE5" w:rsidP="00930C35">
      <w:pPr>
        <w:spacing w:after="0" w:line="360" w:lineRule="auto"/>
        <w:jc w:val="center"/>
        <w:rPr>
          <w:rFonts w:ascii="Arial" w:eastAsia="Times New Roman" w:hAnsi="Arial" w:cs="Arial"/>
          <w:b/>
          <w:bCs/>
          <w:i/>
          <w:iCs/>
          <w:color w:val="0F58BD"/>
          <w:sz w:val="36"/>
          <w:szCs w:val="36"/>
          <w:lang w:val="en-GB" w:eastAsia="en-GB"/>
        </w:rPr>
      </w:pPr>
    </w:p>
    <w:p w14:paraId="6D20A136" w14:textId="28B746DF" w:rsidR="00930C35" w:rsidRPr="005F3217" w:rsidRDefault="00930C35" w:rsidP="00930C35">
      <w:pPr>
        <w:spacing w:after="0" w:line="360" w:lineRule="auto"/>
        <w:jc w:val="center"/>
        <w:rPr>
          <w:rFonts w:ascii="Arial" w:eastAsia="Times New Roman" w:hAnsi="Arial" w:cs="Arial"/>
          <w:b/>
          <w:bCs/>
          <w:i/>
          <w:iCs/>
          <w:color w:val="0F58BD"/>
          <w:sz w:val="36"/>
          <w:szCs w:val="36"/>
          <w:lang w:val="en-GB" w:eastAsia="en-GB"/>
        </w:rPr>
      </w:pPr>
      <w:r w:rsidRPr="005F3217">
        <w:rPr>
          <w:rFonts w:ascii="Arial" w:eastAsia="Times New Roman" w:hAnsi="Arial" w:cs="Arial"/>
          <w:b/>
          <w:bCs/>
          <w:i/>
          <w:iCs/>
          <w:color w:val="0F58BD"/>
          <w:sz w:val="36"/>
          <w:szCs w:val="36"/>
          <w:lang w:val="en-GB" w:eastAsia="en-GB"/>
        </w:rPr>
        <w:t>Topic: Change Management and Quality Outcomes in Health and Social Care</w:t>
      </w:r>
    </w:p>
    <w:p w14:paraId="01D6B1AD" w14:textId="77777777" w:rsidR="005F3217" w:rsidRPr="005F3217" w:rsidRDefault="005F3217" w:rsidP="00930C35">
      <w:pPr>
        <w:spacing w:after="0" w:line="360" w:lineRule="auto"/>
        <w:jc w:val="center"/>
        <w:rPr>
          <w:rFonts w:ascii="Arial" w:eastAsia="Times New Roman" w:hAnsi="Arial" w:cs="Arial"/>
          <w:b/>
          <w:bCs/>
          <w:i/>
          <w:iCs/>
          <w:color w:val="0F58BD"/>
          <w:sz w:val="36"/>
          <w:szCs w:val="36"/>
          <w:lang w:val="en-GB" w:eastAsia="en-GB"/>
        </w:rPr>
      </w:pPr>
    </w:p>
    <w:p w14:paraId="5794A37D" w14:textId="77777777" w:rsidR="005F3217" w:rsidRPr="005F3217" w:rsidRDefault="005F3217" w:rsidP="00930C35">
      <w:pPr>
        <w:spacing w:after="0" w:line="360" w:lineRule="auto"/>
        <w:jc w:val="center"/>
        <w:rPr>
          <w:rFonts w:ascii="Arial" w:eastAsia="Times New Roman" w:hAnsi="Arial" w:cs="Arial"/>
          <w:b/>
          <w:bCs/>
          <w:i/>
          <w:iCs/>
          <w:color w:val="0F58BD"/>
          <w:sz w:val="36"/>
          <w:szCs w:val="36"/>
          <w:lang w:val="en-GB" w:eastAsia="en-GB"/>
        </w:rPr>
      </w:pPr>
    </w:p>
    <w:p w14:paraId="470E1300" w14:textId="77777777" w:rsidR="005F3217" w:rsidRPr="005F3217" w:rsidRDefault="005F3217" w:rsidP="00930C35">
      <w:pPr>
        <w:spacing w:after="0" w:line="360" w:lineRule="auto"/>
        <w:jc w:val="center"/>
        <w:rPr>
          <w:rFonts w:ascii="Arial" w:eastAsia="Times New Roman" w:hAnsi="Arial" w:cs="Arial"/>
          <w:b/>
          <w:bCs/>
          <w:i/>
          <w:iCs/>
          <w:color w:val="0F58BD"/>
          <w:sz w:val="36"/>
          <w:szCs w:val="36"/>
          <w:lang w:val="en-GB" w:eastAsia="en-GB"/>
        </w:rPr>
      </w:pPr>
    </w:p>
    <w:p w14:paraId="3524271E"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07D90526"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47AC6768"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15E4A5B8"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0E04A47D"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6AFCCC41"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283C0832"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5227761C"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284AE24B"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0E1F7ED8" w14:textId="77777777" w:rsidR="005F3217"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02608167" w14:textId="77777777" w:rsidR="005F3217" w:rsidRPr="00930C35" w:rsidRDefault="005F3217" w:rsidP="00930C35">
      <w:pPr>
        <w:spacing w:after="0" w:line="360" w:lineRule="auto"/>
        <w:jc w:val="center"/>
        <w:rPr>
          <w:rFonts w:ascii="Arial" w:eastAsia="Times New Roman" w:hAnsi="Arial" w:cs="Arial"/>
          <w:b/>
          <w:bCs/>
          <w:i/>
          <w:iCs/>
          <w:color w:val="0F58BD"/>
          <w:sz w:val="28"/>
          <w:szCs w:val="28"/>
          <w:lang w:val="en-GB" w:eastAsia="en-GB"/>
        </w:rPr>
      </w:pPr>
    </w:p>
    <w:p w14:paraId="3A927546" w14:textId="77777777" w:rsidR="00930C35" w:rsidRPr="00930C35" w:rsidRDefault="00930C35" w:rsidP="00930C35">
      <w:pPr>
        <w:spacing w:after="0" w:line="360" w:lineRule="auto"/>
        <w:jc w:val="center"/>
        <w:rPr>
          <w:rFonts w:ascii="Arial" w:eastAsia="Times New Roman" w:hAnsi="Arial" w:cs="Arial"/>
          <w:sz w:val="24"/>
          <w:szCs w:val="24"/>
          <w:lang w:val="en-GB" w:eastAsia="en-GB"/>
        </w:rPr>
      </w:pPr>
    </w:p>
    <w:p w14:paraId="17D57A73" w14:textId="77777777" w:rsidR="00930C35" w:rsidRDefault="00930C35" w:rsidP="00930C35">
      <w:pPr>
        <w:spacing w:after="0" w:line="360" w:lineRule="auto"/>
        <w:rPr>
          <w:rFonts w:ascii="Arial" w:eastAsia="Times New Roman" w:hAnsi="Arial" w:cs="Arial"/>
          <w:b/>
          <w:bCs/>
          <w:i/>
          <w:iCs/>
          <w:sz w:val="24"/>
          <w:szCs w:val="24"/>
          <w:lang w:val="en-GB" w:eastAsia="en-GB"/>
        </w:rPr>
      </w:pPr>
      <w:r w:rsidRPr="00930C35">
        <w:rPr>
          <w:rFonts w:ascii="Arial" w:eastAsia="Times New Roman" w:hAnsi="Arial" w:cs="Arial"/>
          <w:b/>
          <w:bCs/>
          <w:i/>
          <w:iCs/>
          <w:sz w:val="24"/>
          <w:szCs w:val="24"/>
          <w:lang w:val="en-GB" w:eastAsia="en-GB"/>
        </w:rPr>
        <w:t>Introduction</w:t>
      </w:r>
    </w:p>
    <w:p w14:paraId="46B4A487"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73C73B8E"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health and social care systems operate in an environment that is becoming increasingly complex and rapidly changing due to political reform, economic pressures, technological advancement, and demographic transition. These pressures are mounting in the United Kingdom. As an illustration, in 20232024, NHS waiting lists included over 7 million patients, which is a sign of severe system overload and the necessity to introduce reforms. Meanwhile, demographic forecasts show that by 2040, almost a quarter of the UK population will be aged 65 or over and in need of long-term, integrated care services (</w:t>
      </w:r>
      <w:proofErr w:type="spellStart"/>
      <w:r w:rsidRPr="00930C35">
        <w:rPr>
          <w:rFonts w:ascii="Arial" w:eastAsia="Times New Roman" w:hAnsi="Arial" w:cs="Arial"/>
          <w:sz w:val="24"/>
          <w:szCs w:val="24"/>
          <w:lang w:val="en-GB" w:eastAsia="en-GB"/>
        </w:rPr>
        <w:t>Grosios</w:t>
      </w:r>
      <w:proofErr w:type="spellEnd"/>
      <w:r w:rsidRPr="00930C35">
        <w:rPr>
          <w:rFonts w:ascii="Arial" w:eastAsia="Times New Roman" w:hAnsi="Arial" w:cs="Arial"/>
          <w:sz w:val="24"/>
          <w:szCs w:val="24"/>
          <w:lang w:val="en-GB" w:eastAsia="en-GB"/>
        </w:rPr>
        <w:t>, Gahan and Burbidge, 2010).</w:t>
      </w:r>
    </w:p>
    <w:p w14:paraId="3D44B61D"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This has resulted in change management being a prerequisite in ensuring that healthcare systems are sustainable, efficient, and able to provide high-quality patient outcomes. Change management is a set of structured practices employed by organisations to shift their existing practices to better systems without disruptions in service delivery and patient safety. A successful change is founded on leadership, stakeholder involvement, communication and evidence-based decision-making (Hart et al., 2015).</w:t>
      </w:r>
    </w:p>
    <w:p w14:paraId="100B5639"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This essay has critically analysed the main forces of change in health and social care and evaluated the effectiveness of various change management strategies. It also discusses how quality results may be sustained even when rapid transformation is occurring. A case study of the NHS Long Term Plan demonstrates how large-scale change can be implemented in practice. The essay goes beyond description to critically examine various models and </w:t>
      </w:r>
      <w:proofErr w:type="gramStart"/>
      <w:r w:rsidRPr="00930C35">
        <w:rPr>
          <w:rFonts w:ascii="Arial" w:eastAsia="Times New Roman" w:hAnsi="Arial" w:cs="Arial"/>
          <w:sz w:val="24"/>
          <w:szCs w:val="24"/>
          <w:lang w:val="en-GB" w:eastAsia="en-GB"/>
        </w:rPr>
        <w:t>approaches, and</w:t>
      </w:r>
      <w:proofErr w:type="gramEnd"/>
      <w:r w:rsidRPr="00930C35">
        <w:rPr>
          <w:rFonts w:ascii="Arial" w:eastAsia="Times New Roman" w:hAnsi="Arial" w:cs="Arial"/>
          <w:sz w:val="24"/>
          <w:szCs w:val="24"/>
          <w:lang w:val="en-GB" w:eastAsia="en-GB"/>
        </w:rPr>
        <w:t xml:space="preserve"> compare their strengths and weaknesses in making sustainable improvements (</w:t>
      </w:r>
      <w:proofErr w:type="spellStart"/>
      <w:r w:rsidRPr="00930C35">
        <w:rPr>
          <w:rFonts w:ascii="Arial" w:eastAsia="Times New Roman" w:hAnsi="Arial" w:cs="Arial"/>
          <w:sz w:val="24"/>
          <w:szCs w:val="24"/>
          <w:lang w:val="en-GB" w:eastAsia="en-GB"/>
        </w:rPr>
        <w:t>Batalden</w:t>
      </w:r>
      <w:proofErr w:type="spellEnd"/>
      <w:r w:rsidRPr="00930C35">
        <w:rPr>
          <w:rFonts w:ascii="Arial" w:eastAsia="Times New Roman" w:hAnsi="Arial" w:cs="Arial"/>
          <w:sz w:val="24"/>
          <w:szCs w:val="24"/>
          <w:lang w:val="en-GB" w:eastAsia="en-GB"/>
        </w:rPr>
        <w:t xml:space="preserve"> and Davidoff, 2007).</w:t>
      </w:r>
    </w:p>
    <w:p w14:paraId="71DD7B5B" w14:textId="77777777" w:rsidR="00930C35" w:rsidRDefault="00930C35" w:rsidP="00930C35">
      <w:pPr>
        <w:spacing w:after="0" w:line="360" w:lineRule="auto"/>
        <w:rPr>
          <w:rFonts w:ascii="Arial" w:eastAsia="Times New Roman" w:hAnsi="Arial" w:cs="Arial"/>
          <w:sz w:val="24"/>
          <w:szCs w:val="24"/>
          <w:lang w:val="en-GB" w:eastAsia="en-GB"/>
        </w:rPr>
      </w:pPr>
    </w:p>
    <w:p w14:paraId="16EFCE6C" w14:textId="77777777" w:rsidR="00930C35" w:rsidRDefault="00930C35" w:rsidP="00930C35">
      <w:pPr>
        <w:spacing w:after="0" w:line="360" w:lineRule="auto"/>
        <w:rPr>
          <w:rFonts w:ascii="Arial" w:eastAsia="Times New Roman" w:hAnsi="Arial" w:cs="Arial"/>
          <w:sz w:val="24"/>
          <w:szCs w:val="24"/>
          <w:lang w:val="en-GB" w:eastAsia="en-GB"/>
        </w:rPr>
      </w:pPr>
    </w:p>
    <w:p w14:paraId="7D65D1BA" w14:textId="77777777" w:rsidR="00930C35" w:rsidRDefault="00930C35" w:rsidP="00930C35">
      <w:pPr>
        <w:spacing w:after="0" w:line="360" w:lineRule="auto"/>
        <w:rPr>
          <w:rFonts w:ascii="Arial" w:eastAsia="Times New Roman" w:hAnsi="Arial" w:cs="Arial"/>
          <w:sz w:val="24"/>
          <w:szCs w:val="24"/>
          <w:lang w:val="en-GB" w:eastAsia="en-GB"/>
        </w:rPr>
      </w:pPr>
    </w:p>
    <w:p w14:paraId="0D9ACC61"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1DF77A76" w14:textId="77777777" w:rsidR="00930C35" w:rsidRDefault="00930C35" w:rsidP="00930C35">
      <w:pPr>
        <w:spacing w:after="0" w:line="360" w:lineRule="auto"/>
        <w:rPr>
          <w:rFonts w:ascii="Arial" w:eastAsia="Times New Roman" w:hAnsi="Arial" w:cs="Arial"/>
          <w:b/>
          <w:bCs/>
          <w:i/>
          <w:iCs/>
          <w:sz w:val="24"/>
          <w:szCs w:val="24"/>
          <w:lang w:val="en-GB" w:eastAsia="en-GB"/>
        </w:rPr>
      </w:pPr>
      <w:r w:rsidRPr="00930C35">
        <w:rPr>
          <w:rFonts w:ascii="Arial" w:eastAsia="Times New Roman" w:hAnsi="Arial" w:cs="Arial"/>
          <w:b/>
          <w:bCs/>
          <w:i/>
          <w:iCs/>
          <w:sz w:val="24"/>
          <w:szCs w:val="24"/>
          <w:lang w:val="en-GB" w:eastAsia="en-GB"/>
        </w:rPr>
        <w:t>Drivers of Change in Health and Social Care Systems</w:t>
      </w:r>
    </w:p>
    <w:p w14:paraId="2BAAC42D"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3A21CBB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Although political, economic, and demographic drivers collectively influence healthcare change, they do not have the same impact and, in most cases, cause tension in the system. Indicatively, cost-efficiency can at times clash with the objective of providing patient-centred care, as reductions in staffing or services may result. On the same note, demographic pressures like ageing populations demand more services, but unless there is adequate funding, this will result in longer waiting time and poor quality of care.</w:t>
      </w:r>
    </w:p>
    <w:p w14:paraId="3D913D4B"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Technological drivers, in contrast, provide long-term efficiency paybacks, but they are very expensive to start up </w:t>
      </w:r>
      <w:proofErr w:type="gramStart"/>
      <w:r w:rsidRPr="00930C35">
        <w:rPr>
          <w:rFonts w:ascii="Arial" w:eastAsia="Times New Roman" w:hAnsi="Arial" w:cs="Arial"/>
          <w:sz w:val="24"/>
          <w:szCs w:val="24"/>
          <w:lang w:val="en-GB" w:eastAsia="en-GB"/>
        </w:rPr>
        <w:t>and also</w:t>
      </w:r>
      <w:proofErr w:type="gramEnd"/>
      <w:r w:rsidRPr="00930C35">
        <w:rPr>
          <w:rFonts w:ascii="Arial" w:eastAsia="Times New Roman" w:hAnsi="Arial" w:cs="Arial"/>
          <w:sz w:val="24"/>
          <w:szCs w:val="24"/>
          <w:lang w:val="en-GB" w:eastAsia="en-GB"/>
        </w:rPr>
        <w:t xml:space="preserve"> to adapt the workforce. This is one of the main shortcomings: technological innovation is often offered as the solution, but without organisational preparedness and employee training, it may not achieve the desired effects. Thus, one can argue that the economic and workforce-related factors are more direct and limiting drivers than the technological ones, as they directly affect the service capacity and the ability to implement it. (Stewart et al., 2019).</w:t>
      </w:r>
    </w:p>
    <w:p w14:paraId="170E541E"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07E92BDC"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Economic pressures still determine change. The increasing pressure from an ageing population, rising cases of chronic conditions, and the inability to pay bills necessitate that organisations be innovative. Other strategies include redesigning the services, emphasising high-impact interventions and preventive programmes such as community-based care or early intervention programmes </w:t>
      </w:r>
      <w:proofErr w:type="gramStart"/>
      <w:r w:rsidRPr="00930C35">
        <w:rPr>
          <w:rFonts w:ascii="Arial" w:eastAsia="Times New Roman" w:hAnsi="Arial" w:cs="Arial"/>
          <w:sz w:val="24"/>
          <w:szCs w:val="24"/>
          <w:lang w:val="en-GB" w:eastAsia="en-GB"/>
        </w:rPr>
        <w:t>in an effort to</w:t>
      </w:r>
      <w:proofErr w:type="gramEnd"/>
      <w:r w:rsidRPr="00930C35">
        <w:rPr>
          <w:rFonts w:ascii="Arial" w:eastAsia="Times New Roman" w:hAnsi="Arial" w:cs="Arial"/>
          <w:sz w:val="24"/>
          <w:szCs w:val="24"/>
          <w:lang w:val="en-GB" w:eastAsia="en-GB"/>
        </w:rPr>
        <w:t xml:space="preserve"> reduce hospitalisation and long-term spending (ResearchGate, n.d.). However, the lack of finances becomes a characteristic feature of the workforce and tends to limit workforce size, training options, and the timeliness of adopting new technology or infrastructure, pointing to the endless war between efficiency and quality of care (Etheredge, Jones, and Lewin, 1996). These NHS shortages exceed 100,000 positions and add to staff burnout and treatment delays in the UK's healthcare sector (The King's Fund, 2024).</w:t>
      </w:r>
    </w:p>
    <w:p w14:paraId="5818B1E6"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17444096"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However, technological innovation has altered the service delivery and evaluation. Environmental sustainability is a critical driver of transformation within the UK health and social care sectors. Factors such as pollution and climate change have contributed to a rise in respiratory illnesses, increasing demand for health services. The NHS Net Zero Strategy promotes technology adoption, waste reduction, and sustainable infrastructure England, 2022). However, implementation is constrained by budgetary and staffing limitations.</w:t>
      </w:r>
    </w:p>
    <w:p w14:paraId="78FA5C7C"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306E6DAB"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Digital solutions, including electronic health records, telemedicine, artificial intelligence, and predictive analytics, can help increase operational efficiency, care coordination, and decision-making. Telemedicine enhances access for patients with limited mobility, whereas predictive analytics supports proactive population health and resource allocation (Bergh et al., 2016). Nonetheless, implementing technological changes requires substantial financial outlays for personnel training, cybersecurity, and data protection (Etheredge, Jones, and Lewin, 1996).</w:t>
      </w:r>
    </w:p>
    <w:p w14:paraId="1D2B9A6A"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17721549"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adoption of technology has the potential to enhance efficiency and accessibility in healthcare. However, it may also contribute to or worsen health inequalities. For example, older adults and individuals with limited digital literacy may encounter barriers when accessing telehealth programs.</w:t>
      </w:r>
    </w:p>
    <w:p w14:paraId="331623E6"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0EA7550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demographic trends, especially the ageing of the population and growing cultural diversity, can be a great burden on care and require long-term, holistic, and culturally competent care. By 2040, around one in four people in the UK is expected to be aged 65 or over, increasing demand for long-term care services. Such innovations as community-based care, telehealth, and preventive programmes are more sustainable and effective but demand adequate workforce planning and resource distribution (Damschroder et al., 2009). Patient engagement has also undergone social and cultural changes as people are becoming more informed and active when it comes to </w:t>
      </w:r>
      <w:proofErr w:type="gramStart"/>
      <w:r w:rsidRPr="00930C35">
        <w:rPr>
          <w:rFonts w:ascii="Arial" w:eastAsia="Times New Roman" w:hAnsi="Arial" w:cs="Arial"/>
          <w:sz w:val="24"/>
          <w:szCs w:val="24"/>
          <w:lang w:val="en-GB" w:eastAsia="en-GB"/>
        </w:rPr>
        <w:t>making a decision</w:t>
      </w:r>
      <w:proofErr w:type="gramEnd"/>
      <w:r w:rsidRPr="00930C35">
        <w:rPr>
          <w:rFonts w:ascii="Arial" w:eastAsia="Times New Roman" w:hAnsi="Arial" w:cs="Arial"/>
          <w:sz w:val="24"/>
          <w:szCs w:val="24"/>
          <w:lang w:val="en-GB" w:eastAsia="en-GB"/>
        </w:rPr>
        <w:t xml:space="preserve"> regarding their care, which has led to patient-centred care, shared decision-</w:t>
      </w:r>
      <w:r w:rsidRPr="00930C35">
        <w:rPr>
          <w:rFonts w:ascii="Arial" w:eastAsia="Times New Roman" w:hAnsi="Arial" w:cs="Arial"/>
          <w:sz w:val="24"/>
          <w:szCs w:val="24"/>
          <w:lang w:val="en-GB" w:eastAsia="en-GB"/>
        </w:rPr>
        <w:lastRenderedPageBreak/>
        <w:t>making, and customised care planning. Equality, diversity, and inclusion consciousness demand that services need to be friendly and responsive to all population groups and that increasing attention to mental health, wellness, and prevention signifies a shift out of traditional biomedical paradigms (Kuhlmann, 2008).</w:t>
      </w:r>
    </w:p>
    <w:p w14:paraId="4475E0A2" w14:textId="0F745FEE"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For instance, the interaction of the political, economic, technological, demographic, and social drivers helps to illustrate the multidimensional character of change in health and social care. Those forces provide the opportunities to innovate and achieve better patient </w:t>
      </w:r>
      <w:r w:rsidRPr="00930C35">
        <w:rPr>
          <w:rFonts w:ascii="Arial" w:eastAsia="Times New Roman" w:hAnsi="Arial" w:cs="Arial"/>
          <w:sz w:val="24"/>
          <w:szCs w:val="24"/>
          <w:lang w:val="en-GB" w:eastAsia="en-GB"/>
        </w:rPr>
        <w:t>outcomes but</w:t>
      </w:r>
      <w:r w:rsidRPr="00930C35">
        <w:rPr>
          <w:rFonts w:ascii="Arial" w:eastAsia="Times New Roman" w:hAnsi="Arial" w:cs="Arial"/>
          <w:sz w:val="24"/>
          <w:szCs w:val="24"/>
          <w:lang w:val="en-GB" w:eastAsia="en-GB"/>
        </w:rPr>
        <w:t xml:space="preserve"> also introduce challenges that need to be addressed with the help of strategic management, workforce development, and organisational flexibility (Nih.gov, 2024). Comparing past and current drivers reveals how systems have been modified to meet society's needs and pressures. Therefore, developing such drivers is critical in anticipating future needs and introducing change in a manner that helps to achieve maximum quality, effectiveness, and sustainability of care (Kuhlmann, 2008).</w:t>
      </w:r>
    </w:p>
    <w:p w14:paraId="793780B0" w14:textId="03E44C68" w:rsidR="00930C35" w:rsidRPr="00930C35" w:rsidRDefault="00930C35" w:rsidP="00930C35">
      <w:pPr>
        <w:spacing w:after="0" w:line="360" w:lineRule="auto"/>
        <w:jc w:val="center"/>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fldChar w:fldCharType="begin"/>
      </w:r>
      <w:r w:rsidRPr="00930C35">
        <w:rPr>
          <w:rFonts w:ascii="Arial" w:eastAsia="Times New Roman" w:hAnsi="Arial" w:cs="Arial"/>
          <w:sz w:val="24"/>
          <w:szCs w:val="24"/>
          <w:lang w:val="en-GB" w:eastAsia="en-GB"/>
        </w:rPr>
        <w:instrText xml:space="preserve"> INCLUDEPICTURE "https://codahosted.io/docs/-H1nQn9ey5/blobs/bl-HmXEp93W_7/b5c52ceceaf86efb3aa92967bce7fd7fb1fb816822bf0f8ed8d6f47fc165c585d00239fe8ee701b61cdb596666f266ebcba79852b692d4491b5677964ac6a7975f1869b35de312f18c6338c393e2f77214d244b9941b1cb41e4280f5f16e636bc3d38306" \* MERGEFORMATINET </w:instrText>
      </w:r>
      <w:r w:rsidRPr="00930C35">
        <w:rPr>
          <w:rFonts w:ascii="Arial" w:eastAsia="Times New Roman" w:hAnsi="Arial" w:cs="Arial"/>
          <w:sz w:val="24"/>
          <w:szCs w:val="24"/>
          <w:lang w:val="en-GB" w:eastAsia="en-GB"/>
        </w:rPr>
        <w:fldChar w:fldCharType="separate"/>
      </w:r>
      <w:r w:rsidRPr="00930C35">
        <w:rPr>
          <w:rFonts w:ascii="Arial" w:eastAsia="Times New Roman" w:hAnsi="Arial" w:cs="Arial"/>
          <w:noProof/>
          <w:sz w:val="24"/>
          <w:szCs w:val="24"/>
          <w:lang w:val="en-GB" w:eastAsia="en-GB"/>
        </w:rPr>
        <w:drawing>
          <wp:inline distT="0" distB="0" distL="0" distR="0" wp14:anchorId="491660CD" wp14:editId="3E52A72D">
            <wp:extent cx="3162300" cy="2695575"/>
            <wp:effectExtent l="0" t="0" r="0" b="0"/>
            <wp:docPr id="1877869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2300" cy="2695575"/>
                    </a:xfrm>
                    <a:prstGeom prst="rect">
                      <a:avLst/>
                    </a:prstGeom>
                    <a:noFill/>
                    <a:ln>
                      <a:noFill/>
                    </a:ln>
                  </pic:spPr>
                </pic:pic>
              </a:graphicData>
            </a:graphic>
          </wp:inline>
        </w:drawing>
      </w:r>
      <w:r w:rsidRPr="00930C35">
        <w:rPr>
          <w:rFonts w:ascii="Arial" w:eastAsia="Times New Roman" w:hAnsi="Arial" w:cs="Arial"/>
          <w:sz w:val="24"/>
          <w:szCs w:val="24"/>
          <w:lang w:val="en-GB" w:eastAsia="en-GB"/>
        </w:rPr>
        <w:fldChar w:fldCharType="end"/>
      </w:r>
    </w:p>
    <w:p w14:paraId="6150D7F9" w14:textId="77777777" w:rsidR="00930C35" w:rsidRPr="00930C35" w:rsidRDefault="00930C35" w:rsidP="00930C35">
      <w:pPr>
        <w:spacing w:after="0" w:line="360" w:lineRule="auto"/>
        <w:rPr>
          <w:rFonts w:ascii="Arial" w:eastAsia="Times New Roman" w:hAnsi="Arial" w:cs="Arial"/>
          <w:i/>
          <w:iCs/>
          <w:sz w:val="24"/>
          <w:szCs w:val="24"/>
          <w:lang w:val="en-GB" w:eastAsia="en-GB"/>
        </w:rPr>
      </w:pPr>
      <w:r w:rsidRPr="00930C35">
        <w:rPr>
          <w:rFonts w:ascii="Arial" w:eastAsia="Times New Roman" w:hAnsi="Arial" w:cs="Arial"/>
          <w:i/>
          <w:iCs/>
          <w:sz w:val="24"/>
          <w:szCs w:val="24"/>
          <w:lang w:val="en-GB" w:eastAsia="en-GB"/>
        </w:rPr>
        <w:t>According to the diagram, the interactions among the political, economic, technological, and demographic drivers are complex, not independent, and thus hard to comprehend.</w:t>
      </w:r>
    </w:p>
    <w:p w14:paraId="1A2005AF"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757A44D8"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b/>
          <w:bCs/>
          <w:i/>
          <w:iCs/>
          <w:sz w:val="24"/>
          <w:szCs w:val="24"/>
          <w:lang w:val="en-GB" w:eastAsia="en-GB"/>
        </w:rPr>
        <w:t>Strategies for Managing Change Effectively in Health and Social Care</w:t>
      </w:r>
    </w:p>
    <w:p w14:paraId="6EB0070E"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strategies for the environment in which health and social care systems function is one of unceasing change due to demographic pressures, changing patient demands, technological advancement, and policy change. The management of change needs both a structured and flexible approach to change management, which guarantees </w:t>
      </w:r>
      <w:r w:rsidRPr="00930C35">
        <w:rPr>
          <w:rFonts w:ascii="Arial" w:eastAsia="Times New Roman" w:hAnsi="Arial" w:cs="Arial"/>
          <w:sz w:val="24"/>
          <w:szCs w:val="24"/>
          <w:lang w:val="en-GB" w:eastAsia="en-GB"/>
        </w:rPr>
        <w:lastRenderedPageBreak/>
        <w:t>successful implementation and long-term viability in service delivery. There is a model of planned change that serves as an effective basis of transition management.</w:t>
      </w:r>
    </w:p>
    <w:p w14:paraId="720B963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sequential structure of Lewin’s three-stage model is considered rigid and is often unsuitable for the dynamic nature of healthcare (Burnes, 2007). In contrast, the PDSA cycle offers adaptability and flexibility for iterative evaluation and improvement. Nevertheless, the PDSA approach may lack strategic direction without effective leadership. Integrating both models may facilitate more sustainable change within healthcare settings (</w:t>
      </w:r>
      <w:proofErr w:type="spellStart"/>
      <w:r w:rsidRPr="00930C35">
        <w:rPr>
          <w:rFonts w:ascii="Arial" w:eastAsia="Times New Roman" w:hAnsi="Arial" w:cs="Arial"/>
          <w:sz w:val="24"/>
          <w:szCs w:val="24"/>
          <w:lang w:val="en-GB" w:eastAsia="en-GB"/>
        </w:rPr>
        <w:t>Batalden</w:t>
      </w:r>
      <w:proofErr w:type="spellEnd"/>
      <w:r w:rsidRPr="00930C35">
        <w:rPr>
          <w:rFonts w:ascii="Arial" w:eastAsia="Times New Roman" w:hAnsi="Arial" w:cs="Arial"/>
          <w:sz w:val="24"/>
          <w:szCs w:val="24"/>
          <w:lang w:val="en-GB" w:eastAsia="en-GB"/>
        </w:rPr>
        <w:t xml:space="preserve"> and Davidoff, 2007).</w:t>
      </w:r>
    </w:p>
    <w:p w14:paraId="418E14F1" w14:textId="45B78831" w:rsidR="00930C35" w:rsidRPr="00930C35" w:rsidRDefault="00930C35" w:rsidP="00930C35">
      <w:pPr>
        <w:spacing w:after="0" w:line="360" w:lineRule="auto"/>
        <w:jc w:val="center"/>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fldChar w:fldCharType="begin"/>
      </w:r>
      <w:r w:rsidRPr="00930C35">
        <w:rPr>
          <w:rFonts w:ascii="Arial" w:eastAsia="Times New Roman" w:hAnsi="Arial" w:cs="Arial"/>
          <w:sz w:val="24"/>
          <w:szCs w:val="24"/>
          <w:lang w:val="en-GB" w:eastAsia="en-GB"/>
        </w:rPr>
        <w:instrText xml:space="preserve"> INCLUDEPICTURE "https://codahosted.io/docs/-H1nQn9ey5/blobs/bl-ZF-4FsAtWA/089301727fa241d41ec093e60e6838954149a31031b53a764d9024f62b2b143e415b2c0e723e8a0a7bb1a472f77ddd706652c781709c4aef191f5f92011e413dc0c7592ebf71c3936fa6426170277230309503fdccdbcf273599aa3bd21e32003c57f73b" \* MERGEFORMATINET </w:instrText>
      </w:r>
      <w:r w:rsidRPr="00930C35">
        <w:rPr>
          <w:rFonts w:ascii="Arial" w:eastAsia="Times New Roman" w:hAnsi="Arial" w:cs="Arial"/>
          <w:sz w:val="24"/>
          <w:szCs w:val="24"/>
          <w:lang w:val="en-GB" w:eastAsia="en-GB"/>
        </w:rPr>
        <w:fldChar w:fldCharType="separate"/>
      </w:r>
      <w:r w:rsidRPr="00930C35">
        <w:rPr>
          <w:rFonts w:ascii="Arial" w:eastAsia="Times New Roman" w:hAnsi="Arial" w:cs="Arial"/>
          <w:noProof/>
          <w:sz w:val="24"/>
          <w:szCs w:val="24"/>
          <w:lang w:val="en-GB" w:eastAsia="en-GB"/>
        </w:rPr>
        <w:drawing>
          <wp:inline distT="0" distB="0" distL="0" distR="0" wp14:anchorId="7A8C67AB" wp14:editId="1CF031E9">
            <wp:extent cx="3038475" cy="2628900"/>
            <wp:effectExtent l="0" t="0" r="0" b="0"/>
            <wp:docPr id="14808729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8475" cy="2628900"/>
                    </a:xfrm>
                    <a:prstGeom prst="rect">
                      <a:avLst/>
                    </a:prstGeom>
                    <a:noFill/>
                    <a:ln>
                      <a:noFill/>
                    </a:ln>
                  </pic:spPr>
                </pic:pic>
              </a:graphicData>
            </a:graphic>
          </wp:inline>
        </w:drawing>
      </w:r>
      <w:r w:rsidRPr="00930C35">
        <w:rPr>
          <w:rFonts w:ascii="Arial" w:eastAsia="Times New Roman" w:hAnsi="Arial" w:cs="Arial"/>
          <w:sz w:val="24"/>
          <w:szCs w:val="24"/>
          <w:lang w:val="en-GB" w:eastAsia="en-GB"/>
        </w:rPr>
        <w:fldChar w:fldCharType="end"/>
      </w:r>
    </w:p>
    <w:p w14:paraId="02C6497B"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As a result, transformational leadership has always been important in facilitating change. By communicating a clear vision, motivating employees, and supporting innovation, leaders can greatly contribute to the success of change processes. Collaborative leadership is a style that fosters team unity and accountability in multidisciplinary settings. They facilitate adaptation by enhancing staff confidence and encouraging innovation, which depends on good communication, building trust, and managing conflict (Improving the Quality of Health Care in the United Kingdom and the United States: A Framework for Change | Request PDF, 2026).</w:t>
      </w:r>
    </w:p>
    <w:p w14:paraId="4B844CBC"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0BFDA4B1"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Transformational leadership can motivate staff during periods of organisational change; however, its effectiveness may rely excessively on individual leaders rather than on enduring organisational structures. In high-pressure contexts, collaborative leadership may be more effective for healthcare organisations (West et al., 2017).</w:t>
      </w:r>
    </w:p>
    <w:p w14:paraId="39C4F6CD"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1CA3C5D7"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involvement of the stakeholders is a way to make the initiatives of effective change inclusive and responsive to the variety of needs. Engaging the patients, carers, professionals, and policymakers enhances the relevance and acceptability of changes. Practical insight is provided by frontline staff, whereas involvement of patients encourages person-centred care. Even though handling multiple perspectives may be challenging, efficient management leads to ownership and long-term results (Thapa, Gyawali and Kalauni, 2026).</w:t>
      </w:r>
    </w:p>
    <w:p w14:paraId="36D3A39A"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51E981AB"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Nevertheless, effective and unambiguous communication will be needed to decrease the resistance and ensure comprehension. Open communication on the reasons and effects of change will avoid confusion and panic among employees. The reliability of the communication channels, such as digital and feedback systems, enhances trust and aids the implementation as well as the further adjustment (Thapa, Gyawali and Kalauni, 2026).</w:t>
      </w:r>
    </w:p>
    <w:p w14:paraId="36215699"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64F4AC63" w14:textId="19863ED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Workforce development and continuous professional development (CPD) are essential to equip the staff to handle the changes based on the needs. Continuous training helps professionals to be competent and not hesitate to embrace new practices and technologies. Although this will involve investment and organisational commitment, it will be core in ensuring quality care and service support for future needs (Barrow and Pavan Annamaraju, 2022).</w:t>
      </w:r>
    </w:p>
    <w:p w14:paraId="0D1317D9"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20380E37"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modern health and social care delivery has been </w:t>
      </w:r>
      <w:proofErr w:type="spellStart"/>
      <w:r w:rsidRPr="00930C35">
        <w:rPr>
          <w:rFonts w:ascii="Arial" w:eastAsia="Times New Roman" w:hAnsi="Arial" w:cs="Arial"/>
          <w:sz w:val="24"/>
          <w:szCs w:val="24"/>
          <w:lang w:val="en-GB" w:eastAsia="en-GB"/>
        </w:rPr>
        <w:t>centered</w:t>
      </w:r>
      <w:proofErr w:type="spellEnd"/>
      <w:r w:rsidRPr="00930C35">
        <w:rPr>
          <w:rFonts w:ascii="Arial" w:eastAsia="Times New Roman" w:hAnsi="Arial" w:cs="Arial"/>
          <w:sz w:val="24"/>
          <w:szCs w:val="24"/>
          <w:lang w:val="en-GB" w:eastAsia="en-GB"/>
        </w:rPr>
        <w:t xml:space="preserve"> on technological integration. Electronic health records, telemedicine, and data analytics are digital tools that can enhance efficiency and coordination, </w:t>
      </w:r>
      <w:proofErr w:type="gramStart"/>
      <w:r w:rsidRPr="00930C35">
        <w:rPr>
          <w:rFonts w:ascii="Arial" w:eastAsia="Times New Roman" w:hAnsi="Arial" w:cs="Arial"/>
          <w:sz w:val="24"/>
          <w:szCs w:val="24"/>
          <w:lang w:val="en-GB" w:eastAsia="en-GB"/>
        </w:rPr>
        <w:t>provided that</w:t>
      </w:r>
      <w:proofErr w:type="gramEnd"/>
      <w:r w:rsidRPr="00930C35">
        <w:rPr>
          <w:rFonts w:ascii="Arial" w:eastAsia="Times New Roman" w:hAnsi="Arial" w:cs="Arial"/>
          <w:sz w:val="24"/>
          <w:szCs w:val="24"/>
          <w:lang w:val="en-GB" w:eastAsia="en-GB"/>
        </w:rPr>
        <w:t xml:space="preserve"> they are implemented successfully. The adoption conditions require proper infrastructure, training, and consideration of issues like digital literacy and data security to become successful (Barrow and Pavan Annamaraju, 2022).</w:t>
      </w:r>
    </w:p>
    <w:p w14:paraId="4296AAD1"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21861372"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lastRenderedPageBreak/>
        <w:t>The agile methods of change management are becoming more significant in the dynamic setting. These methods allow organisations to be responsive to new challenges by focusing on flexibility, iteration, and constant feedback. Since they need a culture that promotes innovativeness and uncertainty, they augment flexibility and perpetual enhancement (Barrow and Pavan Annamaraju, 2022).</w:t>
      </w:r>
    </w:p>
    <w:p w14:paraId="2FA4D07C"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Governance structures and alignment of policies give them the necessary structure and accountability. Regulatory standards are clear on safety and consistency, and governance systems facilitate risk management and quality assurance. But in the same breath, excessively strict structures can limit the innovation process, and it is significant to find the balance between control and flexibility (Grol and Grimshaw, 2003). Assessment in terms of the effects of change initiatives is important through monitoring and evaluation. Audits, performance indicators, and feedback mechanisms will enable organisations to leverage areas of improvement and make evidence-based decisions. The constant review facilitates improvement and helps ensure that alterations achieve the desired results (Barrow and Pavan Annamaraju, 2022).</w:t>
      </w:r>
    </w:p>
    <w:p w14:paraId="092F0180"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60DEF73E"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According to Greenhalgh et al. (2004), the success of change is strongly linked to organisational culture. Learning, collaboration, and innovation environments are more conducive to the adoption of new practices, and resistant cultures can impede this process. Positive culture needs leaders who are strong-willed and determined to achieve the desired improvement. The viability of change initiatives is based on financial planning and allocation of resources. The introduction of new systems, training programmes, and service redesign cannot be undertaken in haste. Long-term sustainable financial policies are those that allow the efficient use of resources without impacting the quality of the service and long-term organisational flexibility (Barrow and Pavan Annamaraju, 2022).</w:t>
      </w:r>
    </w:p>
    <w:p w14:paraId="5CCE6C17"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64BFE95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b/>
          <w:bCs/>
          <w:i/>
          <w:iCs/>
          <w:sz w:val="24"/>
          <w:szCs w:val="24"/>
          <w:lang w:val="en-GB" w:eastAsia="en-GB"/>
        </w:rPr>
        <w:t>Maintaining and Improving Quality Outcomes During Rapid Change</w:t>
      </w:r>
    </w:p>
    <w:p w14:paraId="31671342"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quality outcomes in health and social care during times of significant change cannot be maintained and improved without a thorough and active strategy. Quality outcomes refer to patient safety, care efficacy, patient experience, and efficiency. With the </w:t>
      </w:r>
      <w:r w:rsidRPr="00930C35">
        <w:rPr>
          <w:rFonts w:ascii="Arial" w:eastAsia="Times New Roman" w:hAnsi="Arial" w:cs="Arial"/>
          <w:sz w:val="24"/>
          <w:szCs w:val="24"/>
          <w:lang w:val="en-GB" w:eastAsia="en-GB"/>
        </w:rPr>
        <w:lastRenderedPageBreak/>
        <w:t>changing nature of the systems, it is necessary to ensure that these components remain intact and improved to provide sustainable and high-level services (McCalman et al., 2018).</w:t>
      </w:r>
    </w:p>
    <w:p w14:paraId="5A5A995A" w14:textId="66FB7882" w:rsidR="00930C35" w:rsidRPr="00930C35" w:rsidRDefault="00930C35" w:rsidP="00930C35">
      <w:pPr>
        <w:spacing w:after="0" w:line="360" w:lineRule="auto"/>
        <w:jc w:val="center"/>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fldChar w:fldCharType="begin"/>
      </w:r>
      <w:r w:rsidRPr="00930C35">
        <w:rPr>
          <w:rFonts w:ascii="Arial" w:eastAsia="Times New Roman" w:hAnsi="Arial" w:cs="Arial"/>
          <w:sz w:val="24"/>
          <w:szCs w:val="24"/>
          <w:lang w:val="en-GB" w:eastAsia="en-GB"/>
        </w:rPr>
        <w:instrText xml:space="preserve"> INCLUDEPICTURE "https://codahosted.io/docs/-H1nQn9ey5/blobs/bl-FLTERIINRK/32697c54831e425b28e1f67d44851b45c498515398b07b2f80ed16465563553a64fd6193c020b1f0623c6996167dd7ea433025a284ab10a4b56bec875f32154bdbc8584f025e7749f85b1e7759f4555219fb05299088c631fb74db526a5e70ed9962fac4" \* MERGEFORMATINET </w:instrText>
      </w:r>
      <w:r w:rsidRPr="00930C35">
        <w:rPr>
          <w:rFonts w:ascii="Arial" w:eastAsia="Times New Roman" w:hAnsi="Arial" w:cs="Arial"/>
          <w:sz w:val="24"/>
          <w:szCs w:val="24"/>
          <w:lang w:val="en-GB" w:eastAsia="en-GB"/>
        </w:rPr>
        <w:fldChar w:fldCharType="separate"/>
      </w:r>
      <w:r w:rsidRPr="00930C35">
        <w:rPr>
          <w:rFonts w:ascii="Arial" w:eastAsia="Times New Roman" w:hAnsi="Arial" w:cs="Arial"/>
          <w:noProof/>
          <w:sz w:val="24"/>
          <w:szCs w:val="24"/>
          <w:lang w:val="en-GB" w:eastAsia="en-GB"/>
        </w:rPr>
        <w:drawing>
          <wp:inline distT="0" distB="0" distL="0" distR="0" wp14:anchorId="77720B18" wp14:editId="52FA4A26">
            <wp:extent cx="2581275" cy="2562225"/>
            <wp:effectExtent l="0" t="0" r="0" b="3175"/>
            <wp:docPr id="14393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1275" cy="2562225"/>
                    </a:xfrm>
                    <a:prstGeom prst="rect">
                      <a:avLst/>
                    </a:prstGeom>
                    <a:noFill/>
                    <a:ln>
                      <a:noFill/>
                    </a:ln>
                  </pic:spPr>
                </pic:pic>
              </a:graphicData>
            </a:graphic>
          </wp:inline>
        </w:drawing>
      </w:r>
      <w:r w:rsidRPr="00930C35">
        <w:rPr>
          <w:rFonts w:ascii="Arial" w:eastAsia="Times New Roman" w:hAnsi="Arial" w:cs="Arial"/>
          <w:sz w:val="24"/>
          <w:szCs w:val="24"/>
          <w:lang w:val="en-GB" w:eastAsia="en-GB"/>
        </w:rPr>
        <w:fldChar w:fldCharType="end"/>
      </w:r>
    </w:p>
    <w:p w14:paraId="60B9EB62"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Even more flexible and iterative approaches to managing change are offered by quality improvement frameworks like the Plan-Do-Study-Act (PDSA) cycle. In contrast to the linear models, PDSA enables organisations to implement small-scale changes, assess their consequences, and improve interventions prior to their larger implementation. This minimises risk and aids in lifelong learning. Indicatively, in the NHS Long Term Plan, care models may be piloted in certain areas before they are instituted nationwide (McCalman et al., 2018).</w:t>
      </w:r>
    </w:p>
    <w:p w14:paraId="5787F8B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Nevertheless, PDSA is considerably flexible, but it might not offer the strategic focus that the Lewin model. Hence, it will be effective because of effective leadership and organisational objectives. Practically, the integration of PDSA and structured change models allows for maintaining stability and flexibility, which is vital in complex healthcare settings.</w:t>
      </w:r>
    </w:p>
    <w:p w14:paraId="165CCCA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Evidence-based practice (EBP) is paramount in upholding quality in change. The research, professional skills, and preferences of the patients should inform clinical decisions and service designs (The Improvement Guide: A Practical Approach to Enhancing Organisational Performance, 1997). With the new treatments, technologies, and car models being introduced, incorporating evidence in practice would make sure the innovations are effective and safe. Organisations need to fund research, training, </w:t>
      </w:r>
      <w:r w:rsidRPr="00930C35">
        <w:rPr>
          <w:rFonts w:ascii="Arial" w:eastAsia="Times New Roman" w:hAnsi="Arial" w:cs="Arial"/>
          <w:sz w:val="24"/>
          <w:szCs w:val="24"/>
          <w:lang w:val="en-GB" w:eastAsia="en-GB"/>
        </w:rPr>
        <w:lastRenderedPageBreak/>
        <w:t>and the spreading of knowledge that can facilitate the constant practice of evidence-based approaches. Such evidence-based commitment facilitates sustainability and flexibility in healthcare delivery (AN, 2026).</w:t>
      </w:r>
    </w:p>
    <w:p w14:paraId="01243CE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Patient-centred care has been one of the pillars of good outcomes. Services should put the needs, preferences, and values of patients first, even in the face of a rapid change. Patient involvement in the process of decision-making increases treatment adherence, satisfaction, and health outcomes (Mannion and Davies, 2018). Individualised care strategies can help in making sure that the service delivery changes are significant and positive. A patient-centred focus approach will help in long-term planning as it will ensure that services are provided in line with the changing population demands (McCalman et al., 2018).</w:t>
      </w:r>
    </w:p>
    <w:p w14:paraId="664009CE"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Employee health and vulnerability play a vital role in ensuring quality outcomes. Sudden change may put a lot of strain on the medical workers, resulting in stress and burnout, as well as poor performance. Training, mental health facilities, and supportive leadership are also effective in supporting the staff to maintain high care standards (</w:t>
      </w:r>
      <w:proofErr w:type="spellStart"/>
      <w:r w:rsidRPr="00930C35">
        <w:rPr>
          <w:rFonts w:ascii="Arial" w:eastAsia="Times New Roman" w:hAnsi="Arial" w:cs="Arial"/>
          <w:sz w:val="24"/>
          <w:szCs w:val="24"/>
          <w:lang w:val="en-GB" w:eastAsia="en-GB"/>
        </w:rPr>
        <w:t>McAlearney</w:t>
      </w:r>
      <w:proofErr w:type="spellEnd"/>
      <w:r w:rsidRPr="00930C35">
        <w:rPr>
          <w:rFonts w:ascii="Arial" w:eastAsia="Times New Roman" w:hAnsi="Arial" w:cs="Arial"/>
          <w:sz w:val="24"/>
          <w:szCs w:val="24"/>
          <w:lang w:val="en-GB" w:eastAsia="en-GB"/>
        </w:rPr>
        <w:t xml:space="preserve">, 2006). A strong workforce can better adjust to new challenges to provide non-varying results. The workforce sustainability </w:t>
      </w:r>
      <w:proofErr w:type="gramStart"/>
      <w:r w:rsidRPr="00930C35">
        <w:rPr>
          <w:rFonts w:ascii="Arial" w:eastAsia="Times New Roman" w:hAnsi="Arial" w:cs="Arial"/>
          <w:sz w:val="24"/>
          <w:szCs w:val="24"/>
          <w:lang w:val="en-GB" w:eastAsia="en-GB"/>
        </w:rPr>
        <w:t>has to</w:t>
      </w:r>
      <w:proofErr w:type="gramEnd"/>
      <w:r w:rsidRPr="00930C35">
        <w:rPr>
          <w:rFonts w:ascii="Arial" w:eastAsia="Times New Roman" w:hAnsi="Arial" w:cs="Arial"/>
          <w:sz w:val="24"/>
          <w:szCs w:val="24"/>
          <w:lang w:val="en-GB" w:eastAsia="en-GB"/>
        </w:rPr>
        <w:t xml:space="preserve"> be a major concern in the long-term strategies to guarantee the sustainability of quality care (AN, 2026).  </w:t>
      </w:r>
    </w:p>
    <w:p w14:paraId="41C51906"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use of risk management and patient safety strategies is critical in ensuring quality in transitions. New risks can be manifested </w:t>
      </w:r>
      <w:proofErr w:type="gramStart"/>
      <w:r w:rsidRPr="00930C35">
        <w:rPr>
          <w:rFonts w:ascii="Arial" w:eastAsia="Times New Roman" w:hAnsi="Arial" w:cs="Arial"/>
          <w:sz w:val="24"/>
          <w:szCs w:val="24"/>
          <w:lang w:val="en-GB" w:eastAsia="en-GB"/>
        </w:rPr>
        <w:t>as a result of</w:t>
      </w:r>
      <w:proofErr w:type="gramEnd"/>
      <w:r w:rsidRPr="00930C35">
        <w:rPr>
          <w:rFonts w:ascii="Arial" w:eastAsia="Times New Roman" w:hAnsi="Arial" w:cs="Arial"/>
          <w:sz w:val="24"/>
          <w:szCs w:val="24"/>
          <w:lang w:val="en-GB" w:eastAsia="en-GB"/>
        </w:rPr>
        <w:t xml:space="preserve"> changes in processes, technologies, or organisational structures (Scirp.org, 2026). Introducing the effective risk assessment measures, safety procedures, and reporting systems on incidents will assist in identifying and eliminating possible risks. The safety standards are maintained by regular audits and monitoring. Focusing on patient safety creates trust and makes sure that quality is not impacted during the time of change (AN, 2026).  </w:t>
      </w:r>
    </w:p>
    <w:p w14:paraId="415DE3C8"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Complex health systems must have integration and coordination of care. Fast change may entail integration of new services or care routes, which may be a source of fragmentation unless well handled. Integrated care models enhance coordination of various providers, continuity, and consistency of care. Due to good coordination, there is less duplication, efficiency, and better patient outcomes. In the case of long-term </w:t>
      </w:r>
      <w:r w:rsidRPr="00930C35">
        <w:rPr>
          <w:rFonts w:ascii="Arial" w:eastAsia="Times New Roman" w:hAnsi="Arial" w:cs="Arial"/>
          <w:sz w:val="24"/>
          <w:szCs w:val="24"/>
          <w:lang w:val="en-GB" w:eastAsia="en-GB"/>
        </w:rPr>
        <w:lastRenderedPageBreak/>
        <w:t>adaptation, systems should be made to facilitate smooth interdependence between sectors (AN, 2026).</w:t>
      </w:r>
    </w:p>
    <w:p w14:paraId="49F8390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use of data and performance measurement is important in upholding and enhancing quality. Gathering and evaluating information on patient outcomes, service efficiency, and satisfaction offers useful information on the effectiveness of care. Real-time information enables organisations to detect problems on time and establish corrective measures. The continuous improvement and accountability are supported by data-based decision-making. The long-term planning will need the data infrastructure and analytics to be invested in to promote continuous quality improvement (AN, 2026).</w:t>
      </w:r>
    </w:p>
    <w:p w14:paraId="52AFFB42"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Furthermore, innovation in technology helps in enhancing quality results. Electronic health records, telehealth services, and clinical decision-support systems are some of the digital tools that are used to improve accuracy, accessibility, and efficiency. Such technologies can be utilised to enhance communication, minimise errors, and enhance patient engagement. Nonetheless, its implementation should be planned, supported, and trained to prevent interruptions. Adoption of technology as a long-term strategy will make health and social care systems efficient and responsive (AN, 2026).</w:t>
      </w:r>
    </w:p>
    <w:p w14:paraId="35781C6B"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444704A5"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quality outcomes depend on leadership and organisational culture. Leaders who focus on quality and safety provide an environment that promotes a process of continuous improvement. Positive organisational culture encourages learning, innovation, and responsibility, which are key in ensuring that standards are maintained in cases of change (</w:t>
      </w:r>
      <w:proofErr w:type="spellStart"/>
      <w:r w:rsidRPr="00930C35">
        <w:rPr>
          <w:rFonts w:ascii="Arial" w:eastAsia="Times New Roman" w:hAnsi="Arial" w:cs="Arial"/>
          <w:sz w:val="24"/>
          <w:szCs w:val="24"/>
          <w:lang w:val="en-GB" w:eastAsia="en-GB"/>
        </w:rPr>
        <w:t>Ovretveit</w:t>
      </w:r>
      <w:proofErr w:type="spellEnd"/>
      <w:r w:rsidRPr="00930C35">
        <w:rPr>
          <w:rFonts w:ascii="Arial" w:eastAsia="Times New Roman" w:hAnsi="Arial" w:cs="Arial"/>
          <w:sz w:val="24"/>
          <w:szCs w:val="24"/>
          <w:lang w:val="en-GB" w:eastAsia="en-GB"/>
        </w:rPr>
        <w:t>, 2009). Quality should be the main priority, and this is guaranteed by strong leadership when organisations are challenged to the core. The long-term plans should focus on developing leaders and transforming the culture to maintain the quality improvements (AN, 2026).</w:t>
      </w:r>
    </w:p>
    <w:p w14:paraId="4B685F90"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7389F678"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Substandard quality, regulatory compliance, and adherence are fundamental to consistent quality. To be safe and accountable, health and social care organisations should adhere to the regulations provided by regulatory bodies. When change is great, it is easy to keep on track with these standards to avoid making mistakes, and care is </w:t>
      </w:r>
      <w:r w:rsidRPr="00930C35">
        <w:rPr>
          <w:rFonts w:ascii="Arial" w:eastAsia="Times New Roman" w:hAnsi="Arial" w:cs="Arial"/>
          <w:sz w:val="24"/>
          <w:szCs w:val="24"/>
          <w:lang w:val="en-GB" w:eastAsia="en-GB"/>
        </w:rPr>
        <w:lastRenderedPageBreak/>
        <w:t>effective. By predicting regulatory changes and aligning with them, sustainability over the long term will be achieved, as well as the chances of non-compliance (AN, 2026).</w:t>
      </w:r>
    </w:p>
    <w:p w14:paraId="0EC15335"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feedback systems should be continuous to ensure quality outcomes. The feedback obtained by collecting patient, staff, and other stakeholders' feedback gives information about service effectiveness. Feedback systems help organisations to determine areas that need improvement and undertake changes that promote quality. The promotion of open communication and the willingness to respond to feedback create a culture of constant improvement. Another major consideration in quality maintenance is resource management (Pfeffer and Sutton, 2006). The rapid changes may involve extra resources in terms of staff, equipment, and money. Effective distribution of resources will make sure that services are effective and affordable. Long-term planning is a way of creating a balance between the short-term demands and the future needs so that quality is maintained in the long term (AN, 2026).</w:t>
      </w:r>
    </w:p>
    <w:p w14:paraId="37FB2B76"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29A1C43D"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Training and education are very important in facilitating quality results. Continuous professional growth would make the staff competent and assured in care provision. The training programmes must be aimed at improving their professional skills in the medical field, as well as the use of new technologies or new systems. Investing in education helps to achieve adaptability in the long term </w:t>
      </w:r>
      <w:proofErr w:type="gramStart"/>
      <w:r w:rsidRPr="00930C35">
        <w:rPr>
          <w:rFonts w:ascii="Arial" w:eastAsia="Times New Roman" w:hAnsi="Arial" w:cs="Arial"/>
          <w:sz w:val="24"/>
          <w:szCs w:val="24"/>
          <w:lang w:val="en-GB" w:eastAsia="en-GB"/>
        </w:rPr>
        <w:t>and also</w:t>
      </w:r>
      <w:proofErr w:type="gramEnd"/>
      <w:r w:rsidRPr="00930C35">
        <w:rPr>
          <w:rFonts w:ascii="Arial" w:eastAsia="Times New Roman" w:hAnsi="Arial" w:cs="Arial"/>
          <w:sz w:val="24"/>
          <w:szCs w:val="24"/>
          <w:lang w:val="en-GB" w:eastAsia="en-GB"/>
        </w:rPr>
        <w:t xml:space="preserve"> ensures that the quality standards are being met (McCalman et al., 2018).</w:t>
      </w:r>
    </w:p>
    <w:p w14:paraId="72B6FB34"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3DF2238A"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Research and innovation help to ensure that quality results are always improved. Promoting innovation enables organisations to come up with new ways of addressing arising challenges. Research is what presents evidence in support of these innovations and makes them effective. Incorporating innovation in organisational strategy facilitates long-term expansion and flexibility (Scirp.org, 2025). The quality improvement frameworks, evidence-based practice, patient-centred care, workforce support, risk management, integrated care, data utilisation, technological innovation, leadership, regulatory compliance, feedback mechanisms, resource management, education, and innovation are essential components of quality management and improvement in rapid change scenarios. These strategies provide the ability to make health and social care </w:t>
      </w:r>
      <w:r w:rsidRPr="00930C35">
        <w:rPr>
          <w:rFonts w:ascii="Arial" w:eastAsia="Times New Roman" w:hAnsi="Arial" w:cs="Arial"/>
          <w:sz w:val="24"/>
          <w:szCs w:val="24"/>
          <w:lang w:val="en-GB" w:eastAsia="en-GB"/>
        </w:rPr>
        <w:lastRenderedPageBreak/>
        <w:t xml:space="preserve">systems effective, safe, and responsive, </w:t>
      </w:r>
      <w:proofErr w:type="gramStart"/>
      <w:r w:rsidRPr="00930C35">
        <w:rPr>
          <w:rFonts w:ascii="Arial" w:eastAsia="Times New Roman" w:hAnsi="Arial" w:cs="Arial"/>
          <w:sz w:val="24"/>
          <w:szCs w:val="24"/>
          <w:lang w:val="en-GB" w:eastAsia="en-GB"/>
        </w:rPr>
        <w:t>and also</w:t>
      </w:r>
      <w:proofErr w:type="gramEnd"/>
      <w:r w:rsidRPr="00930C35">
        <w:rPr>
          <w:rFonts w:ascii="Arial" w:eastAsia="Times New Roman" w:hAnsi="Arial" w:cs="Arial"/>
          <w:sz w:val="24"/>
          <w:szCs w:val="24"/>
          <w:lang w:val="en-GB" w:eastAsia="en-GB"/>
        </w:rPr>
        <w:t xml:space="preserve"> to tailor to the changes in demands and service delivery needs in the future (Hill et al., 2020).</w:t>
      </w:r>
    </w:p>
    <w:p w14:paraId="732AD9F3"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0D4A34A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b/>
          <w:bCs/>
          <w:i/>
          <w:iCs/>
          <w:sz w:val="24"/>
          <w:szCs w:val="24"/>
          <w:lang w:val="en-GB" w:eastAsia="en-GB"/>
        </w:rPr>
        <w:t>Real-Life Example of Strategic Change: The NHS Long-Term Plan</w:t>
      </w:r>
    </w:p>
    <w:p w14:paraId="72D1F9F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NHS Long Term Plan (LTP) is one of the most notable instances of strategic change within the UK health and care system that was initiated in 2019. This plan is a long-term commitment to change the healthcare delivery to tackle the short-term operational issues as well as structural problems that influence the sustainability of healthcare delivery services. It was drawn out of various pressures, such as demographic changes like an ageing population, rising prevalence of chronic diseases, and demand for accessible, personalised, and patient-focused care (Nih.gov, 2024). Also, its development was guided by technological developments, financial limitations, and sustainable management of resources, which have produced a framework that considers efficiency and quality results and predicts future healthcare demands.</w:t>
      </w:r>
    </w:p>
    <w:p w14:paraId="7C6FBE76"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major characteristic of the LTP is the incorporation of both health and social care, which will decrease the fragmentation and enhance continuity. Primary Care Networks (PCNs) are also important in this integration as they bridge the service provision of general practice, community health services, and social care. PCNs promote multidisciplinary teamwork, which involves the integration of physicians, nurses, allied health practitioners, and social workers in treating patients with long-term and complicated conditions in a better way. Through preventive and proactive care, PCNs have the potential to minimise hospital readmission, improve chronic illness care, and improve patient outcomes overall. This practice is indicative of a change in approach to reactive treatment to population-based care (Health, 2019).</w:t>
      </w:r>
    </w:p>
    <w:p w14:paraId="45B9B9AD"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65EAC28E"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On the other hand, another foundation of the LTP is technological innovation. Digital technology like electronic health records, telemedicine, and predictive analytics has been integrated to make access more accessible, coordinated, and efficient. EHRs enable clinicians to receive the correct patient information in various care environments, enhance decision-making, and prevent the duplication of services (Scirp.org, 2026). Telemedicine increases access to care for patients with mobility problems or in remote </w:t>
      </w:r>
      <w:r w:rsidRPr="00930C35">
        <w:rPr>
          <w:rFonts w:ascii="Arial" w:eastAsia="Times New Roman" w:hAnsi="Arial" w:cs="Arial"/>
          <w:sz w:val="24"/>
          <w:szCs w:val="24"/>
          <w:lang w:val="en-GB" w:eastAsia="en-GB"/>
        </w:rPr>
        <w:lastRenderedPageBreak/>
        <w:t>locations, whereas predictive analytics allow medical professionals to discover vulnerable population groups, optimise resource distribution, and organise preventive procedures. All these technologies enhance the workflow, facilitate proactive health management, and facilitate decision-making based on data (Health, 2019).</w:t>
      </w:r>
    </w:p>
    <w:p w14:paraId="7A36AE01"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successful execution of the LTP was dependent on planning change management. Leadership was very instrumental in spelling out a clear vision, promoting cooperation, and promoting an innovative culture. The development of the workforce was emphasised with the training programs, which should help the staff to learn skills to implement the new models of care, technological solutions, and innovative processes. The involvement of stakeholders, such as consultations with patients, front-line staff, and the local authorities, made the reforms realistic, person-centred, and responsive to local needs (Shortell, Bennett and Byck, 2026). The channels of open communication and continuous feedback provided the opportunity to monitor, adjust, and solve problems, which allowed organisations to effectively react to challenges and minimise resistance to change (Health, 2019).</w:t>
      </w:r>
    </w:p>
    <w:p w14:paraId="1EBE563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As a result, quality outcomes were another priority throughout the implementation. The introduction of mental care services to primary care, the increase of community-based prevention programs, and the creation of digital platforms for patient tracking manifest the priority of the plan towards enhancing clinical effectiveness, efficiency, and patient experience (Delivering Quality Health Services, 2018). Despite these developments, workforce scarcity, financial burdens, and digital literacy gaps are some of the issues that need continuous observation, a flexible approach, and risk mitigation to remain on track (England, 2019).</w:t>
      </w:r>
    </w:p>
    <w:p w14:paraId="06FDA358"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Therefore, the NHS Long Term Plan reflects the dynamic nature of the relationships between past and present forces of change in the healthcare system. There were previous reforms that mainly aimed at access and equity, but the LTP is more focused on patient-centred care, integrated services, and solutions based on technology. It can be used as an evidence-based strategic planning model that predicts the future needs, improves coordination, and makes the health and social care services sustainable over a long period of time. The plan provides important lessons on the ongoing and future transformation of healthcare by showing how coordinated interventions with </w:t>
      </w:r>
      <w:r w:rsidRPr="00930C35">
        <w:rPr>
          <w:rFonts w:ascii="Arial" w:eastAsia="Times New Roman" w:hAnsi="Arial" w:cs="Arial"/>
          <w:sz w:val="24"/>
          <w:szCs w:val="24"/>
          <w:lang w:val="en-GB" w:eastAsia="en-GB"/>
        </w:rPr>
        <w:lastRenderedPageBreak/>
        <w:t>demographic, technological, economic, and social considerations can enhance efficiency, quality, and patient outcomes at the same time (The King’s Fund, 2019).</w:t>
      </w:r>
    </w:p>
    <w:p w14:paraId="4B701F04"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The main limitation of the discussion is that there is no evidence of how such large-scale changes are put into practice. The NHS Long Term Plan implementation needs a step-by-step, structured approach. The first stage is the unfreezing stage, which entails preparing organisations by engaging stakeholders, training the workforce, and communicating the vision of the change. The next phase is the change phase, in which new systems like Primary Care Networks and digital technologies are slowly implemented via pilot programmes and regional trials. Last, the sustainability is ensured through the stage of refreezing as new practices are incorporated into the organisational culture with the help of policies, monitoring performance, and constant professional development.</w:t>
      </w:r>
    </w:p>
    <w:p w14:paraId="2762B133" w14:textId="77777777" w:rsid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Nonetheless, the model presented by Lewin offers a simplified framework, which might be excessively simplistic in relation to a complex healthcare system. More permissive methods like PDSA cycle enable testing and adaptation to take place repeatedly, thus being more adaptable to dynamic settings. Thus, using a combination of structured models and continuous improvement structures is a more practical and effective implementation strategy.</w:t>
      </w:r>
    </w:p>
    <w:p w14:paraId="1B001805"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1034B5B7" w14:textId="77777777" w:rsidR="00930C35" w:rsidRDefault="00930C35" w:rsidP="00930C35">
      <w:pPr>
        <w:spacing w:after="0" w:line="360" w:lineRule="auto"/>
        <w:rPr>
          <w:rFonts w:ascii="Arial" w:eastAsia="Times New Roman" w:hAnsi="Arial" w:cs="Arial"/>
          <w:b/>
          <w:bCs/>
          <w:sz w:val="24"/>
          <w:szCs w:val="24"/>
          <w:lang w:val="en-GB" w:eastAsia="en-GB"/>
        </w:rPr>
      </w:pPr>
      <w:r w:rsidRPr="00930C35">
        <w:rPr>
          <w:rFonts w:ascii="Arial" w:eastAsia="Times New Roman" w:hAnsi="Arial" w:cs="Arial"/>
          <w:b/>
          <w:bCs/>
          <w:sz w:val="24"/>
          <w:szCs w:val="24"/>
          <w:lang w:val="en-GB" w:eastAsia="en-GB"/>
        </w:rPr>
        <w:t>Conclusion</w:t>
      </w:r>
    </w:p>
    <w:p w14:paraId="1D52FCD7"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512BEC32"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Health and social care systems work in an environment of unceasing political, economic, technological, demographic, and social change. These drivers have necessitated organisations to alter services and processes in accordance with the changing needs of the population, whilst ensuring quality results. Economic, manpower, and rising needs of an ageing population have necessitated new strategies such as preventive programmes, community-based care, and maximisation of resources. There is a chance to enhance the efficiency of services and make them more accessible due to the development of technologies, including telemedicine, electronic health records, and predictive analytics, but their application requires training, infrastructure, and data security considerations. At the same time, the demographic diversity and increased </w:t>
      </w:r>
      <w:r w:rsidRPr="00930C35">
        <w:rPr>
          <w:rFonts w:ascii="Arial" w:eastAsia="Times New Roman" w:hAnsi="Arial" w:cs="Arial"/>
          <w:sz w:val="24"/>
          <w:szCs w:val="24"/>
          <w:lang w:val="en-GB" w:eastAsia="en-GB"/>
        </w:rPr>
        <w:lastRenderedPageBreak/>
        <w:t>patient expectations require culturally competent, personalised, and participatory care. It takes strategic planning, leadership, and collaboration to effectively manage such multidimensional change. Transformational and collaborative leadership types condone vision clarity, staff motivation, and interdisciplinary teamwork. The involvement of stakeholders, open communication, human resource building, and adaptable change models facilitate organisations to initiate reforms at the same time, minimising opposition and continuing service delivery. Patient safety, treatment efficacy, and satisfaction are ensured in the context of transition by quality improvement frameworks, evidence-based practices, integrated care approaches, and continuous feedback mechanisms. Moreover, risk management, monitoring, and evaluation enable organisations to detect gaps, change procedures, and make sustainable improvements. The NHS Long Term Plan is an example of a well-organised strategic change, as it merges health and social care, uses digital tools, and focuses on patient-centred models. Its application shows how an appropriate policy and workforce planning, technology, and stakeholder engagement can enhance results and respond to short-term and long-term issues. In general, effective change management of health and social care must rely on the balance between innovation, quality, and sustainability to make sure that services are effective, flexible, and able to satisfy the needs of the people with time-changing demands.</w:t>
      </w:r>
    </w:p>
    <w:p w14:paraId="1D111548" w14:textId="77777777" w:rsidR="00930C35" w:rsidRPr="00930C35" w:rsidRDefault="00930C35" w:rsidP="00930C35">
      <w:pPr>
        <w:spacing w:after="0" w:line="360" w:lineRule="auto"/>
        <w:rPr>
          <w:rFonts w:ascii="Arial" w:eastAsia="Times New Roman" w:hAnsi="Arial" w:cs="Arial"/>
          <w:sz w:val="24"/>
          <w:szCs w:val="24"/>
          <w:lang w:val="en-GB" w:eastAsia="en-GB"/>
        </w:rPr>
      </w:pPr>
    </w:p>
    <w:p w14:paraId="1D04E182"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b/>
          <w:bCs/>
          <w:sz w:val="24"/>
          <w:szCs w:val="24"/>
          <w:lang w:val="en-GB" w:eastAsia="en-GB"/>
        </w:rPr>
        <w:t>References</w:t>
      </w:r>
    </w:p>
    <w:p w14:paraId="5F4BED9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Aarons, G.A., Wells, R.S., </w:t>
      </w:r>
      <w:proofErr w:type="spellStart"/>
      <w:r w:rsidRPr="00930C35">
        <w:rPr>
          <w:rFonts w:ascii="Arial" w:eastAsia="Times New Roman" w:hAnsi="Arial" w:cs="Arial"/>
          <w:sz w:val="24"/>
          <w:szCs w:val="24"/>
          <w:lang w:val="en-GB" w:eastAsia="en-GB"/>
        </w:rPr>
        <w:t>Zagursky</w:t>
      </w:r>
      <w:proofErr w:type="spellEnd"/>
      <w:r w:rsidRPr="00930C35">
        <w:rPr>
          <w:rFonts w:ascii="Arial" w:eastAsia="Times New Roman" w:hAnsi="Arial" w:cs="Arial"/>
          <w:sz w:val="24"/>
          <w:szCs w:val="24"/>
          <w:lang w:val="en-GB" w:eastAsia="en-GB"/>
        </w:rPr>
        <w:t xml:space="preserve">, K., Fettes, D.L. and Palinkas, L.A. (2009). Implementing Evidence-Based Practice in Community Mental Health Agencies: A Multiple Stakeholder Analysis. </w:t>
      </w:r>
      <w:r w:rsidRPr="00930C35">
        <w:rPr>
          <w:rFonts w:ascii="Arial" w:eastAsia="Times New Roman" w:hAnsi="Arial" w:cs="Arial"/>
          <w:i/>
          <w:iCs/>
          <w:sz w:val="24"/>
          <w:szCs w:val="24"/>
          <w:lang w:val="en-GB" w:eastAsia="en-GB"/>
        </w:rPr>
        <w:t>American Journal of Public Health</w:t>
      </w:r>
      <w:r w:rsidRPr="00930C35">
        <w:rPr>
          <w:rFonts w:ascii="Arial" w:eastAsia="Times New Roman" w:hAnsi="Arial" w:cs="Arial"/>
          <w:sz w:val="24"/>
          <w:szCs w:val="24"/>
          <w:lang w:val="en-GB" w:eastAsia="en-GB"/>
        </w:rPr>
        <w:t>, [online] 99(11), pp.2087–2095. doi:10.2105/ajph.2009.161711.</w:t>
      </w:r>
    </w:p>
    <w:p w14:paraId="7EE606D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‌AN, G.S. (2026). Evidence-based healthcare and quality improvement. </w:t>
      </w:r>
      <w:r w:rsidRPr="00930C35">
        <w:rPr>
          <w:rFonts w:ascii="Arial" w:eastAsia="Times New Roman" w:hAnsi="Arial" w:cs="Arial"/>
          <w:i/>
          <w:iCs/>
          <w:sz w:val="24"/>
          <w:szCs w:val="24"/>
          <w:lang w:val="en-GB" w:eastAsia="en-GB"/>
        </w:rPr>
        <w:t>Quality in primary care</w:t>
      </w:r>
      <w:r w:rsidRPr="00930C35">
        <w:rPr>
          <w:rFonts w:ascii="Arial" w:eastAsia="Times New Roman" w:hAnsi="Arial" w:cs="Arial"/>
          <w:sz w:val="24"/>
          <w:szCs w:val="24"/>
          <w:lang w:val="en-GB" w:eastAsia="en-GB"/>
        </w:rPr>
        <w:t>, [online] 22(3). Available at: https://pubmed.ncbi.nlm.nih.gov/24865339/ [Accessed 18 Mar. 2026].</w:t>
      </w:r>
    </w:p>
    <w:p w14:paraId="59A0D878"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‌Barrow, J.M. and Pavan </w:t>
      </w:r>
      <w:proofErr w:type="spellStart"/>
      <w:r w:rsidRPr="00930C35">
        <w:rPr>
          <w:rFonts w:ascii="Arial" w:eastAsia="Times New Roman" w:hAnsi="Arial" w:cs="Arial"/>
          <w:sz w:val="24"/>
          <w:szCs w:val="24"/>
          <w:lang w:val="en-GB" w:eastAsia="en-GB"/>
        </w:rPr>
        <w:t>Annamaraju</w:t>
      </w:r>
      <w:proofErr w:type="spellEnd"/>
      <w:r w:rsidRPr="00930C35">
        <w:rPr>
          <w:rFonts w:ascii="Arial" w:eastAsia="Times New Roman" w:hAnsi="Arial" w:cs="Arial"/>
          <w:sz w:val="24"/>
          <w:szCs w:val="24"/>
          <w:lang w:val="en-GB" w:eastAsia="en-GB"/>
        </w:rPr>
        <w:t xml:space="preserve"> (2022). </w:t>
      </w:r>
      <w:r w:rsidRPr="00930C35">
        <w:rPr>
          <w:rFonts w:ascii="Arial" w:eastAsia="Times New Roman" w:hAnsi="Arial" w:cs="Arial"/>
          <w:i/>
          <w:iCs/>
          <w:sz w:val="24"/>
          <w:szCs w:val="24"/>
          <w:lang w:val="en-GB" w:eastAsia="en-GB"/>
        </w:rPr>
        <w:t xml:space="preserve">Change Management </w:t>
      </w:r>
      <w:proofErr w:type="gramStart"/>
      <w:r w:rsidRPr="00930C35">
        <w:rPr>
          <w:rFonts w:ascii="Arial" w:eastAsia="Times New Roman" w:hAnsi="Arial" w:cs="Arial"/>
          <w:i/>
          <w:iCs/>
          <w:sz w:val="24"/>
          <w:szCs w:val="24"/>
          <w:lang w:val="en-GB" w:eastAsia="en-GB"/>
        </w:rPr>
        <w:t>In</w:t>
      </w:r>
      <w:proofErr w:type="gramEnd"/>
      <w:r w:rsidRPr="00930C35">
        <w:rPr>
          <w:rFonts w:ascii="Arial" w:eastAsia="Times New Roman" w:hAnsi="Arial" w:cs="Arial"/>
          <w:i/>
          <w:iCs/>
          <w:sz w:val="24"/>
          <w:szCs w:val="24"/>
          <w:lang w:val="en-GB" w:eastAsia="en-GB"/>
        </w:rPr>
        <w:t xml:space="preserve"> Health Care</w:t>
      </w:r>
      <w:r w:rsidRPr="00930C35">
        <w:rPr>
          <w:rFonts w:ascii="Arial" w:eastAsia="Times New Roman" w:hAnsi="Arial" w:cs="Arial"/>
          <w:sz w:val="24"/>
          <w:szCs w:val="24"/>
          <w:lang w:val="en-GB" w:eastAsia="en-GB"/>
        </w:rPr>
        <w:t>. [online] Nih.gov. Available at: https://www.ncbi.nlm.nih.gov/books/NBK459380/ [Accessed 18 Mar. 2026].</w:t>
      </w:r>
    </w:p>
    <w:p w14:paraId="0A9D4B30" w14:textId="77777777" w:rsidR="00930C35" w:rsidRPr="00930C35" w:rsidRDefault="00930C35" w:rsidP="00930C35">
      <w:pPr>
        <w:spacing w:after="0" w:line="360" w:lineRule="auto"/>
        <w:rPr>
          <w:rFonts w:ascii="Arial" w:eastAsia="Times New Roman" w:hAnsi="Arial" w:cs="Arial"/>
          <w:sz w:val="24"/>
          <w:szCs w:val="24"/>
          <w:lang w:val="en-GB" w:eastAsia="en-GB"/>
        </w:rPr>
      </w:pPr>
      <w:proofErr w:type="spellStart"/>
      <w:r w:rsidRPr="00930C35">
        <w:rPr>
          <w:rFonts w:ascii="Arial" w:eastAsia="Times New Roman" w:hAnsi="Arial" w:cs="Arial"/>
          <w:sz w:val="24"/>
          <w:szCs w:val="24"/>
          <w:lang w:val="en-GB" w:eastAsia="en-GB"/>
        </w:rPr>
        <w:lastRenderedPageBreak/>
        <w:t>Batalden</w:t>
      </w:r>
      <w:proofErr w:type="spellEnd"/>
      <w:r w:rsidRPr="00930C35">
        <w:rPr>
          <w:rFonts w:ascii="Arial" w:eastAsia="Times New Roman" w:hAnsi="Arial" w:cs="Arial"/>
          <w:sz w:val="24"/>
          <w:szCs w:val="24"/>
          <w:lang w:val="en-GB" w:eastAsia="en-GB"/>
        </w:rPr>
        <w:t xml:space="preserve">, P.B. and Davidoff, F. (2007). What Is “quality improvement” and How Can It Transform healthcare? </w:t>
      </w:r>
      <w:r w:rsidRPr="00930C35">
        <w:rPr>
          <w:rFonts w:ascii="Arial" w:eastAsia="Times New Roman" w:hAnsi="Arial" w:cs="Arial"/>
          <w:i/>
          <w:iCs/>
          <w:sz w:val="24"/>
          <w:szCs w:val="24"/>
          <w:lang w:val="en-GB" w:eastAsia="en-GB"/>
        </w:rPr>
        <w:t>Quality and Safety in Health Care</w:t>
      </w:r>
      <w:r w:rsidRPr="00930C35">
        <w:rPr>
          <w:rFonts w:ascii="Arial" w:eastAsia="Times New Roman" w:hAnsi="Arial" w:cs="Arial"/>
          <w:sz w:val="24"/>
          <w:szCs w:val="24"/>
          <w:lang w:val="en-GB" w:eastAsia="en-GB"/>
        </w:rPr>
        <w:t xml:space="preserve">, [online] 16(1), pp.2–3.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://doi.org/10.1136/qshc.2006.022046</w:t>
      </w:r>
      <w:proofErr w:type="gramEnd"/>
      <w:r w:rsidRPr="00930C35">
        <w:rPr>
          <w:rFonts w:ascii="Arial" w:eastAsia="Times New Roman" w:hAnsi="Arial" w:cs="Arial"/>
          <w:sz w:val="24"/>
          <w:szCs w:val="24"/>
          <w:lang w:val="en-GB" w:eastAsia="en-GB"/>
        </w:rPr>
        <w:t>.</w:t>
      </w:r>
    </w:p>
    <w:p w14:paraId="4F5A30E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‌Bate, P., Mendel, P. and Robert, G. (2007). </w:t>
      </w:r>
      <w:r w:rsidRPr="00930C35">
        <w:rPr>
          <w:rFonts w:ascii="Arial" w:eastAsia="Times New Roman" w:hAnsi="Arial" w:cs="Arial"/>
          <w:i/>
          <w:iCs/>
          <w:sz w:val="24"/>
          <w:szCs w:val="24"/>
          <w:lang w:val="en-GB" w:eastAsia="en-GB"/>
        </w:rPr>
        <w:t>Organizing for Quality</w:t>
      </w:r>
      <w:r w:rsidRPr="00930C35">
        <w:rPr>
          <w:rFonts w:ascii="Arial" w:eastAsia="Times New Roman" w:hAnsi="Arial" w:cs="Arial"/>
          <w:sz w:val="24"/>
          <w:szCs w:val="24"/>
          <w:lang w:val="en-GB" w:eastAsia="en-GB"/>
        </w:rPr>
        <w:t>. [online] CRC Press. doi:10.1201/b20730.</w:t>
      </w:r>
    </w:p>
    <w:p w14:paraId="5211E34E"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‌Bergh, A.-M., Bac, M., Hugo, J. and Sandars, J. (2016). “Making a difference” – Medical students’ opportunities for transformational change in health care and learning through quality improvement projects. </w:t>
      </w:r>
      <w:r w:rsidRPr="00930C35">
        <w:rPr>
          <w:rFonts w:ascii="Arial" w:eastAsia="Times New Roman" w:hAnsi="Arial" w:cs="Arial"/>
          <w:i/>
          <w:iCs/>
          <w:sz w:val="24"/>
          <w:szCs w:val="24"/>
          <w:lang w:val="en-GB" w:eastAsia="en-GB"/>
        </w:rPr>
        <w:t>BMC Medical Education</w:t>
      </w:r>
      <w:r w:rsidRPr="00930C35">
        <w:rPr>
          <w:rFonts w:ascii="Arial" w:eastAsia="Times New Roman" w:hAnsi="Arial" w:cs="Arial"/>
          <w:sz w:val="24"/>
          <w:szCs w:val="24"/>
          <w:lang w:val="en-GB" w:eastAsia="en-GB"/>
        </w:rPr>
        <w:t>, 16(1). doi:10.1186/s12909-016-0694-1.</w:t>
      </w:r>
    </w:p>
    <w:p w14:paraId="134A10B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Buchanan, D.A., Fitzgerald, L., Ketley, D., Gollop, R., Jones, J.L., Lamont, S.S., Neath, A. and Whitby, E. (2005). No going back: A review of the literature on sustaining organizational change. </w:t>
      </w:r>
      <w:r w:rsidRPr="00930C35">
        <w:rPr>
          <w:rFonts w:ascii="Arial" w:eastAsia="Times New Roman" w:hAnsi="Arial" w:cs="Arial"/>
          <w:i/>
          <w:iCs/>
          <w:sz w:val="24"/>
          <w:szCs w:val="24"/>
          <w:lang w:val="en-GB" w:eastAsia="en-GB"/>
        </w:rPr>
        <w:t>International Journal of Management Reviews</w:t>
      </w:r>
      <w:r w:rsidRPr="00930C35">
        <w:rPr>
          <w:rFonts w:ascii="Arial" w:eastAsia="Times New Roman" w:hAnsi="Arial" w:cs="Arial"/>
          <w:sz w:val="24"/>
          <w:szCs w:val="24"/>
          <w:lang w:val="en-GB" w:eastAsia="en-GB"/>
        </w:rPr>
        <w:t>, 7(3), pp.189–205. doi:10.1111/j.1468-2370.2005.</w:t>
      </w:r>
      <w:proofErr w:type="gramStart"/>
      <w:r w:rsidRPr="00930C35">
        <w:rPr>
          <w:rFonts w:ascii="Arial" w:eastAsia="Times New Roman" w:hAnsi="Arial" w:cs="Arial"/>
          <w:sz w:val="24"/>
          <w:szCs w:val="24"/>
          <w:lang w:val="en-GB" w:eastAsia="en-GB"/>
        </w:rPr>
        <w:t>00111.x.</w:t>
      </w:r>
      <w:proofErr w:type="gramEnd"/>
    </w:p>
    <w:p w14:paraId="1B6EF24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‌Burnes, B. (2007). Kurt Lewin and the Harwood Studies. </w:t>
      </w:r>
      <w:r w:rsidRPr="00930C35">
        <w:rPr>
          <w:rFonts w:ascii="Arial" w:eastAsia="Times New Roman" w:hAnsi="Arial" w:cs="Arial"/>
          <w:i/>
          <w:iCs/>
          <w:sz w:val="24"/>
          <w:szCs w:val="24"/>
          <w:lang w:val="en-GB" w:eastAsia="en-GB"/>
        </w:rPr>
        <w:t xml:space="preserve">The Journal of Applied </w:t>
      </w:r>
      <w:proofErr w:type="spellStart"/>
      <w:r w:rsidRPr="00930C35">
        <w:rPr>
          <w:rFonts w:ascii="Arial" w:eastAsia="Times New Roman" w:hAnsi="Arial" w:cs="Arial"/>
          <w:i/>
          <w:iCs/>
          <w:sz w:val="24"/>
          <w:szCs w:val="24"/>
          <w:lang w:val="en-GB" w:eastAsia="en-GB"/>
        </w:rPr>
        <w:t>Behavioral</w:t>
      </w:r>
      <w:proofErr w:type="spellEnd"/>
      <w:r w:rsidRPr="00930C35">
        <w:rPr>
          <w:rFonts w:ascii="Arial" w:eastAsia="Times New Roman" w:hAnsi="Arial" w:cs="Arial"/>
          <w:i/>
          <w:iCs/>
          <w:sz w:val="24"/>
          <w:szCs w:val="24"/>
          <w:lang w:val="en-GB" w:eastAsia="en-GB"/>
        </w:rPr>
        <w:t xml:space="preserve"> Science</w:t>
      </w:r>
      <w:r w:rsidRPr="00930C35">
        <w:rPr>
          <w:rFonts w:ascii="Arial" w:eastAsia="Times New Roman" w:hAnsi="Arial" w:cs="Arial"/>
          <w:sz w:val="24"/>
          <w:szCs w:val="24"/>
          <w:lang w:val="en-GB" w:eastAsia="en-GB"/>
        </w:rPr>
        <w:t>, 43(2), pp.213–231. doi:10.1177/0021886306297004.</w:t>
      </w:r>
    </w:p>
    <w:p w14:paraId="0A505194"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‌Damschroder, L.J., Aron, D.C., Keith, R.E., Kirsh, S.R., Alexander, J.A. and Lowery, J.C. (2009). Fostering Implementation of Health Services Research Findings into practice: a Consolidated Framework for Advancing Implementation Science. </w:t>
      </w:r>
      <w:r w:rsidRPr="00930C35">
        <w:rPr>
          <w:rFonts w:ascii="Arial" w:eastAsia="Times New Roman" w:hAnsi="Arial" w:cs="Arial"/>
          <w:i/>
          <w:iCs/>
          <w:sz w:val="24"/>
          <w:szCs w:val="24"/>
          <w:lang w:val="en-GB" w:eastAsia="en-GB"/>
        </w:rPr>
        <w:t>Implementation Science</w:t>
      </w:r>
      <w:r w:rsidRPr="00930C35">
        <w:rPr>
          <w:rFonts w:ascii="Arial" w:eastAsia="Times New Roman" w:hAnsi="Arial" w:cs="Arial"/>
          <w:sz w:val="24"/>
          <w:szCs w:val="24"/>
          <w:lang w:val="en-GB" w:eastAsia="en-GB"/>
        </w:rPr>
        <w:t>, 4(1). doi:10.1186/1748-5908-4-50.</w:t>
      </w:r>
    </w:p>
    <w:p w14:paraId="46564374"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‌Delivering Quality Health Services. (2018). [online] Available at: https://www.who.int/publications/i/item/9789241513906 [Accessed 18 Apr. 2026].</w:t>
      </w:r>
    </w:p>
    <w:p w14:paraId="766684D1"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England, N. (2019). </w:t>
      </w:r>
      <w:r w:rsidRPr="00930C35">
        <w:rPr>
          <w:rFonts w:ascii="Arial" w:eastAsia="Times New Roman" w:hAnsi="Arial" w:cs="Arial"/>
          <w:i/>
          <w:iCs/>
          <w:sz w:val="24"/>
          <w:szCs w:val="24"/>
          <w:lang w:val="en-GB" w:eastAsia="en-GB"/>
        </w:rPr>
        <w:t>NHS England» Fit for the Future: 10 Year Health Plan for England</w:t>
      </w:r>
      <w:r w:rsidRPr="00930C35">
        <w:rPr>
          <w:rFonts w:ascii="Arial" w:eastAsia="Times New Roman" w:hAnsi="Arial" w:cs="Arial"/>
          <w:sz w:val="24"/>
          <w:szCs w:val="24"/>
          <w:lang w:val="en-GB" w:eastAsia="en-GB"/>
        </w:rPr>
        <w:t>. [online] England.nhs.uk. Available at: https://www.england.nhs.uk/long-term-plan/ [Accessed 18 Mar. 2026].</w:t>
      </w:r>
    </w:p>
    <w:p w14:paraId="5602314C"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‌‌Etheredge, L., Jones, S.B. and Lewin, L. (1996). </w:t>
      </w:r>
      <w:proofErr w:type="spellStart"/>
      <w:r w:rsidRPr="00930C35">
        <w:rPr>
          <w:rFonts w:ascii="Arial" w:eastAsia="Times New Roman" w:hAnsi="Arial" w:cs="Arial"/>
          <w:sz w:val="24"/>
          <w:szCs w:val="24"/>
          <w:lang w:val="en-GB" w:eastAsia="en-GB"/>
        </w:rPr>
        <w:t>Marketwatch</w:t>
      </w:r>
      <w:proofErr w:type="spellEnd"/>
      <w:r w:rsidRPr="00930C35">
        <w:rPr>
          <w:rFonts w:ascii="Arial" w:eastAsia="Times New Roman" w:hAnsi="Arial" w:cs="Arial"/>
          <w:sz w:val="24"/>
          <w:szCs w:val="24"/>
          <w:lang w:val="en-GB" w:eastAsia="en-GB"/>
        </w:rPr>
        <w:t xml:space="preserve">: What is Driving Health System Change? </w:t>
      </w:r>
      <w:r w:rsidRPr="00930C35">
        <w:rPr>
          <w:rFonts w:ascii="Arial" w:eastAsia="Times New Roman" w:hAnsi="Arial" w:cs="Arial"/>
          <w:i/>
          <w:iCs/>
          <w:sz w:val="24"/>
          <w:szCs w:val="24"/>
          <w:lang w:val="en-GB" w:eastAsia="en-GB"/>
        </w:rPr>
        <w:t>Health Affairs</w:t>
      </w:r>
      <w:r w:rsidRPr="00930C35">
        <w:rPr>
          <w:rFonts w:ascii="Arial" w:eastAsia="Times New Roman" w:hAnsi="Arial" w:cs="Arial"/>
          <w:sz w:val="24"/>
          <w:szCs w:val="24"/>
          <w:lang w:val="en-GB" w:eastAsia="en-GB"/>
        </w:rPr>
        <w:t xml:space="preserve">, [online] 15(4), pp.93–104.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://doi.org/10.1377/hlthaff.15.4.93</w:t>
      </w:r>
      <w:proofErr w:type="gramEnd"/>
      <w:r w:rsidRPr="00930C35">
        <w:rPr>
          <w:rFonts w:ascii="Arial" w:eastAsia="Times New Roman" w:hAnsi="Arial" w:cs="Arial"/>
          <w:sz w:val="24"/>
          <w:szCs w:val="24"/>
          <w:lang w:val="en-GB" w:eastAsia="en-GB"/>
        </w:rPr>
        <w:t>.</w:t>
      </w:r>
    </w:p>
    <w:p w14:paraId="2D2A15B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‌Foltz, J.C. and Wilson, C. (2012). </w:t>
      </w:r>
      <w:r w:rsidRPr="00930C35">
        <w:rPr>
          <w:rFonts w:ascii="Arial" w:eastAsia="Times New Roman" w:hAnsi="Arial" w:cs="Arial"/>
          <w:i/>
          <w:iCs/>
          <w:sz w:val="24"/>
          <w:szCs w:val="24"/>
          <w:lang w:val="en-GB" w:eastAsia="en-GB"/>
        </w:rPr>
        <w:t>Leading Change</w:t>
      </w:r>
      <w:r w:rsidRPr="00930C35">
        <w:rPr>
          <w:rFonts w:ascii="Arial" w:eastAsia="Times New Roman" w:hAnsi="Arial" w:cs="Arial"/>
          <w:sz w:val="24"/>
          <w:szCs w:val="24"/>
          <w:lang w:val="en-GB" w:eastAsia="en-GB"/>
        </w:rPr>
        <w:t>. [online] ResearchGate. Available at: https://www.researchgate.net/publication/279179997_Leading_Change.</w:t>
      </w:r>
    </w:p>
    <w:p w14:paraId="428EDC0D"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‌Greenhalgh, T., Robert, G., Macfarlane, F., Bate, P. and Kyriakidou, O. (2004). Diffusion of Innovations in Service Organizations: Systematic Review and </w:t>
      </w:r>
      <w:r w:rsidRPr="00930C35">
        <w:rPr>
          <w:rFonts w:ascii="Arial" w:eastAsia="Times New Roman" w:hAnsi="Arial" w:cs="Arial"/>
          <w:sz w:val="24"/>
          <w:szCs w:val="24"/>
          <w:lang w:val="en-GB" w:eastAsia="en-GB"/>
        </w:rPr>
        <w:lastRenderedPageBreak/>
        <w:t xml:space="preserve">Recommendations. </w:t>
      </w:r>
      <w:r w:rsidRPr="00930C35">
        <w:rPr>
          <w:rFonts w:ascii="Arial" w:eastAsia="Times New Roman" w:hAnsi="Arial" w:cs="Arial"/>
          <w:i/>
          <w:iCs/>
          <w:sz w:val="24"/>
          <w:szCs w:val="24"/>
          <w:lang w:val="en-GB" w:eastAsia="en-GB"/>
        </w:rPr>
        <w:t>The Milbank Quarterly</w:t>
      </w:r>
      <w:r w:rsidRPr="00930C35">
        <w:rPr>
          <w:rFonts w:ascii="Arial" w:eastAsia="Times New Roman" w:hAnsi="Arial" w:cs="Arial"/>
          <w:sz w:val="24"/>
          <w:szCs w:val="24"/>
          <w:lang w:val="en-GB" w:eastAsia="en-GB"/>
        </w:rPr>
        <w:t>, [online] 82(4), pp.581–629. doi:10.1111/j.0887-378x.2004.</w:t>
      </w:r>
      <w:proofErr w:type="gramStart"/>
      <w:r w:rsidRPr="00930C35">
        <w:rPr>
          <w:rFonts w:ascii="Arial" w:eastAsia="Times New Roman" w:hAnsi="Arial" w:cs="Arial"/>
          <w:sz w:val="24"/>
          <w:szCs w:val="24"/>
          <w:lang w:val="en-GB" w:eastAsia="en-GB"/>
        </w:rPr>
        <w:t>00325.x.</w:t>
      </w:r>
      <w:proofErr w:type="gramEnd"/>
    </w:p>
    <w:p w14:paraId="7D9CB3C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Grol, R. and Grimshaw, J. (2003). From best evidence to best practice: effective implementation of change in patients” care. </w:t>
      </w:r>
      <w:r w:rsidRPr="00930C35">
        <w:rPr>
          <w:rFonts w:ascii="Arial" w:eastAsia="Times New Roman" w:hAnsi="Arial" w:cs="Arial"/>
          <w:i/>
          <w:iCs/>
          <w:sz w:val="24"/>
          <w:szCs w:val="24"/>
          <w:lang w:val="en-GB" w:eastAsia="en-GB"/>
        </w:rPr>
        <w:t>The Lancet</w:t>
      </w:r>
      <w:r w:rsidRPr="00930C35">
        <w:rPr>
          <w:rFonts w:ascii="Arial" w:eastAsia="Times New Roman" w:hAnsi="Arial" w:cs="Arial"/>
          <w:sz w:val="24"/>
          <w:szCs w:val="24"/>
          <w:lang w:val="en-GB" w:eastAsia="en-GB"/>
        </w:rPr>
        <w:t>, [online] 362(9391), pp.1225–1230. doi:10.1016/s0140-6736(03)14546-1.</w:t>
      </w:r>
    </w:p>
    <w:p w14:paraId="7FA94642" w14:textId="77777777" w:rsidR="00930C35" w:rsidRPr="00930C35" w:rsidRDefault="00930C35" w:rsidP="00930C35">
      <w:pPr>
        <w:spacing w:after="0" w:line="360" w:lineRule="auto"/>
        <w:rPr>
          <w:rFonts w:ascii="Arial" w:eastAsia="Times New Roman" w:hAnsi="Arial" w:cs="Arial"/>
          <w:sz w:val="24"/>
          <w:szCs w:val="24"/>
          <w:lang w:val="en-GB" w:eastAsia="en-GB"/>
        </w:rPr>
      </w:pPr>
      <w:proofErr w:type="spellStart"/>
      <w:r w:rsidRPr="00930C35">
        <w:rPr>
          <w:rFonts w:ascii="Arial" w:eastAsia="Times New Roman" w:hAnsi="Arial" w:cs="Arial"/>
          <w:sz w:val="24"/>
          <w:szCs w:val="24"/>
          <w:lang w:val="en-GB" w:eastAsia="en-GB"/>
        </w:rPr>
        <w:t>Grosios</w:t>
      </w:r>
      <w:proofErr w:type="spellEnd"/>
      <w:r w:rsidRPr="00930C35">
        <w:rPr>
          <w:rFonts w:ascii="Arial" w:eastAsia="Times New Roman" w:hAnsi="Arial" w:cs="Arial"/>
          <w:sz w:val="24"/>
          <w:szCs w:val="24"/>
          <w:lang w:val="en-GB" w:eastAsia="en-GB"/>
        </w:rPr>
        <w:t xml:space="preserve">, K., Gahan, P.B. and Burbidge, J. (2010). Overview of healthcare in the UK. </w:t>
      </w:r>
      <w:r w:rsidRPr="00930C35">
        <w:rPr>
          <w:rFonts w:ascii="Arial" w:eastAsia="Times New Roman" w:hAnsi="Arial" w:cs="Arial"/>
          <w:i/>
          <w:iCs/>
          <w:sz w:val="24"/>
          <w:szCs w:val="24"/>
          <w:lang w:val="en-GB" w:eastAsia="en-GB"/>
        </w:rPr>
        <w:t>EPMA Journal</w:t>
      </w:r>
      <w:r w:rsidRPr="00930C35">
        <w:rPr>
          <w:rFonts w:ascii="Arial" w:eastAsia="Times New Roman" w:hAnsi="Arial" w:cs="Arial"/>
          <w:sz w:val="24"/>
          <w:szCs w:val="24"/>
          <w:lang w:val="en-GB" w:eastAsia="en-GB"/>
        </w:rPr>
        <w:t xml:space="preserve">, [online] 1(4), pp.529–534.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://doi.org/10.1007/s13167-010-0050-1</w:t>
      </w:r>
      <w:proofErr w:type="gramEnd"/>
      <w:r w:rsidRPr="00930C35">
        <w:rPr>
          <w:rFonts w:ascii="Arial" w:eastAsia="Times New Roman" w:hAnsi="Arial" w:cs="Arial"/>
          <w:sz w:val="24"/>
          <w:szCs w:val="24"/>
          <w:lang w:val="en-GB" w:eastAsia="en-GB"/>
        </w:rPr>
        <w:t>.</w:t>
      </w:r>
    </w:p>
    <w:p w14:paraId="1BF94CF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‌‌Harrison, R., Fischer, S., </w:t>
      </w:r>
      <w:proofErr w:type="spellStart"/>
      <w:r w:rsidRPr="00930C35">
        <w:rPr>
          <w:rFonts w:ascii="Arial" w:eastAsia="Times New Roman" w:hAnsi="Arial" w:cs="Arial"/>
          <w:sz w:val="24"/>
          <w:szCs w:val="24"/>
          <w:lang w:val="en-GB" w:eastAsia="en-GB"/>
        </w:rPr>
        <w:t>Walpola</w:t>
      </w:r>
      <w:proofErr w:type="spellEnd"/>
      <w:r w:rsidRPr="00930C35">
        <w:rPr>
          <w:rFonts w:ascii="Arial" w:eastAsia="Times New Roman" w:hAnsi="Arial" w:cs="Arial"/>
          <w:sz w:val="24"/>
          <w:szCs w:val="24"/>
          <w:lang w:val="en-GB" w:eastAsia="en-GB"/>
        </w:rPr>
        <w:t xml:space="preserve">, R.L., Chauhan, A., Babalola, T., Mears, S. and Le-Dao, H. (2021). Where Do Models for Change Management, Improvement and Implementation Meet? A Systematic Review of the Applications of Change Management Models in Healthcare. </w:t>
      </w:r>
      <w:r w:rsidRPr="00930C35">
        <w:rPr>
          <w:rFonts w:ascii="Arial" w:eastAsia="Times New Roman" w:hAnsi="Arial" w:cs="Arial"/>
          <w:i/>
          <w:iCs/>
          <w:sz w:val="24"/>
          <w:szCs w:val="24"/>
          <w:lang w:val="en-GB" w:eastAsia="en-GB"/>
        </w:rPr>
        <w:t>Journal of Healthcare Leadership</w:t>
      </w:r>
      <w:r w:rsidRPr="00930C35">
        <w:rPr>
          <w:rFonts w:ascii="Arial" w:eastAsia="Times New Roman" w:hAnsi="Arial" w:cs="Arial"/>
          <w:sz w:val="24"/>
          <w:szCs w:val="24"/>
          <w:lang w:val="en-GB" w:eastAsia="en-GB"/>
        </w:rPr>
        <w:t xml:space="preserve">, [online] Volume 13, pp.85–108.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://doi.org/10.2147/jhl.s289176</w:t>
      </w:r>
      <w:proofErr w:type="gramEnd"/>
      <w:r w:rsidRPr="00930C35">
        <w:rPr>
          <w:rFonts w:ascii="Arial" w:eastAsia="Times New Roman" w:hAnsi="Arial" w:cs="Arial"/>
          <w:sz w:val="24"/>
          <w:szCs w:val="24"/>
          <w:lang w:val="en-GB" w:eastAsia="en-GB"/>
        </w:rPr>
        <w:t>.</w:t>
      </w:r>
    </w:p>
    <w:p w14:paraId="4609498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Hart, C.K., Dykes, C., </w:t>
      </w:r>
      <w:proofErr w:type="spellStart"/>
      <w:r w:rsidRPr="00930C35">
        <w:rPr>
          <w:rFonts w:ascii="Arial" w:eastAsia="Times New Roman" w:hAnsi="Arial" w:cs="Arial"/>
          <w:sz w:val="24"/>
          <w:szCs w:val="24"/>
          <w:lang w:val="en-GB" w:eastAsia="en-GB"/>
        </w:rPr>
        <w:t>Thienprayoon</w:t>
      </w:r>
      <w:proofErr w:type="spellEnd"/>
      <w:r w:rsidRPr="00930C35">
        <w:rPr>
          <w:rFonts w:ascii="Arial" w:eastAsia="Times New Roman" w:hAnsi="Arial" w:cs="Arial"/>
          <w:sz w:val="24"/>
          <w:szCs w:val="24"/>
          <w:lang w:val="en-GB" w:eastAsia="en-GB"/>
        </w:rPr>
        <w:t xml:space="preserve">, R. and Schmit, J. (2015). Change Management in Quality Improvement: The Softer Skills. </w:t>
      </w:r>
      <w:r w:rsidRPr="00930C35">
        <w:rPr>
          <w:rFonts w:ascii="Arial" w:eastAsia="Times New Roman" w:hAnsi="Arial" w:cs="Arial"/>
          <w:i/>
          <w:iCs/>
          <w:sz w:val="24"/>
          <w:szCs w:val="24"/>
          <w:lang w:val="en-GB" w:eastAsia="en-GB"/>
        </w:rPr>
        <w:t xml:space="preserve">Current Treatment Options in </w:t>
      </w:r>
      <w:proofErr w:type="spellStart"/>
      <w:r w:rsidRPr="00930C35">
        <w:rPr>
          <w:rFonts w:ascii="Arial" w:eastAsia="Times New Roman" w:hAnsi="Arial" w:cs="Arial"/>
          <w:i/>
          <w:iCs/>
          <w:sz w:val="24"/>
          <w:szCs w:val="24"/>
          <w:lang w:val="en-GB" w:eastAsia="en-GB"/>
        </w:rPr>
        <w:t>Pediatrics</w:t>
      </w:r>
      <w:proofErr w:type="spellEnd"/>
      <w:r w:rsidRPr="00930C35">
        <w:rPr>
          <w:rFonts w:ascii="Arial" w:eastAsia="Times New Roman" w:hAnsi="Arial" w:cs="Arial"/>
          <w:sz w:val="24"/>
          <w:szCs w:val="24"/>
          <w:lang w:val="en-GB" w:eastAsia="en-GB"/>
        </w:rPr>
        <w:t xml:space="preserve">, [online] 1(4), pp.372–379.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://doi.org/10.1007/s40746-015-0028-2</w:t>
      </w:r>
      <w:proofErr w:type="gramEnd"/>
      <w:r w:rsidRPr="00930C35">
        <w:rPr>
          <w:rFonts w:ascii="Arial" w:eastAsia="Times New Roman" w:hAnsi="Arial" w:cs="Arial"/>
          <w:sz w:val="24"/>
          <w:szCs w:val="24"/>
          <w:lang w:val="en-GB" w:eastAsia="en-GB"/>
        </w:rPr>
        <w:t>.</w:t>
      </w:r>
    </w:p>
    <w:p w14:paraId="6D55F48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‌Health (2019). </w:t>
      </w:r>
      <w:r w:rsidRPr="00930C35">
        <w:rPr>
          <w:rFonts w:ascii="Arial" w:eastAsia="Times New Roman" w:hAnsi="Arial" w:cs="Arial"/>
          <w:i/>
          <w:iCs/>
          <w:sz w:val="24"/>
          <w:szCs w:val="24"/>
          <w:lang w:val="en-GB" w:eastAsia="en-GB"/>
        </w:rPr>
        <w:t>NHS Long Term Plan launched</w:t>
      </w:r>
      <w:r w:rsidRPr="00930C35">
        <w:rPr>
          <w:rFonts w:ascii="Arial" w:eastAsia="Times New Roman" w:hAnsi="Arial" w:cs="Arial"/>
          <w:sz w:val="24"/>
          <w:szCs w:val="24"/>
          <w:lang w:val="en-GB" w:eastAsia="en-GB"/>
        </w:rPr>
        <w:t>. [online] GOV.UK. Available at: https://www.gov.uk/government/news/nhs-long-term-plan-launched [Accessed 18 Mar. 2026].</w:t>
      </w:r>
    </w:p>
    <w:p w14:paraId="1592423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‌Hill, J.E., Stephani, A.-M., </w:t>
      </w:r>
      <w:proofErr w:type="spellStart"/>
      <w:r w:rsidRPr="00930C35">
        <w:rPr>
          <w:rFonts w:ascii="Arial" w:eastAsia="Times New Roman" w:hAnsi="Arial" w:cs="Arial"/>
          <w:sz w:val="24"/>
          <w:szCs w:val="24"/>
          <w:lang w:val="en-GB" w:eastAsia="en-GB"/>
        </w:rPr>
        <w:t>Sapple</w:t>
      </w:r>
      <w:proofErr w:type="spellEnd"/>
      <w:r w:rsidRPr="00930C35">
        <w:rPr>
          <w:rFonts w:ascii="Arial" w:eastAsia="Times New Roman" w:hAnsi="Arial" w:cs="Arial"/>
          <w:sz w:val="24"/>
          <w:szCs w:val="24"/>
          <w:lang w:val="en-GB" w:eastAsia="en-GB"/>
        </w:rPr>
        <w:t xml:space="preserve">, P. and Clegg, A.J. (2020). The effectiveness of continuous quality improvement for developing professional practice and improving health care outcomes: a systematic review. </w:t>
      </w:r>
      <w:r w:rsidRPr="00930C35">
        <w:rPr>
          <w:rFonts w:ascii="Arial" w:eastAsia="Times New Roman" w:hAnsi="Arial" w:cs="Arial"/>
          <w:i/>
          <w:iCs/>
          <w:sz w:val="24"/>
          <w:szCs w:val="24"/>
          <w:lang w:val="en-GB" w:eastAsia="en-GB"/>
        </w:rPr>
        <w:t>Implementation Science</w:t>
      </w:r>
      <w:r w:rsidRPr="00930C35">
        <w:rPr>
          <w:rFonts w:ascii="Arial" w:eastAsia="Times New Roman" w:hAnsi="Arial" w:cs="Arial"/>
          <w:sz w:val="24"/>
          <w:szCs w:val="24"/>
          <w:lang w:val="en-GB" w:eastAsia="en-GB"/>
        </w:rPr>
        <w:t xml:space="preserve">, [online] 15(1).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://doi.org/10.1186/s13012-020-0975-2</w:t>
      </w:r>
      <w:proofErr w:type="gramEnd"/>
      <w:r w:rsidRPr="00930C35">
        <w:rPr>
          <w:rFonts w:ascii="Arial" w:eastAsia="Times New Roman" w:hAnsi="Arial" w:cs="Arial"/>
          <w:sz w:val="24"/>
          <w:szCs w:val="24"/>
          <w:lang w:val="en-GB" w:eastAsia="en-GB"/>
        </w:rPr>
        <w:t>.</w:t>
      </w:r>
    </w:p>
    <w:p w14:paraId="270254B4"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‌Improving the Quality of Health Care in the United Kingdom and the United States: A Framework for Change | Request PDF. (2026). </w:t>
      </w:r>
      <w:r w:rsidRPr="00930C35">
        <w:rPr>
          <w:rFonts w:ascii="Arial" w:eastAsia="Times New Roman" w:hAnsi="Arial" w:cs="Arial"/>
          <w:i/>
          <w:iCs/>
          <w:sz w:val="24"/>
          <w:szCs w:val="24"/>
          <w:lang w:val="en-GB" w:eastAsia="en-GB"/>
        </w:rPr>
        <w:t>ResearchGate</w:t>
      </w:r>
      <w:r w:rsidRPr="00930C35">
        <w:rPr>
          <w:rFonts w:ascii="Arial" w:eastAsia="Times New Roman" w:hAnsi="Arial" w:cs="Arial"/>
          <w:sz w:val="24"/>
          <w:szCs w:val="24"/>
          <w:lang w:val="en-GB" w:eastAsia="en-GB"/>
        </w:rPr>
        <w:t>. [online] doi:10.1111\/1468-0009.00206.</w:t>
      </w:r>
    </w:p>
    <w:p w14:paraId="1F783D62"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Kotter, J.P. (2012). </w:t>
      </w:r>
      <w:r w:rsidRPr="00930C35">
        <w:rPr>
          <w:rFonts w:ascii="Arial" w:eastAsia="Times New Roman" w:hAnsi="Arial" w:cs="Arial"/>
          <w:i/>
          <w:iCs/>
          <w:sz w:val="24"/>
          <w:szCs w:val="24"/>
          <w:lang w:val="en-GB" w:eastAsia="en-GB"/>
        </w:rPr>
        <w:t>Leading Change</w:t>
      </w:r>
      <w:r w:rsidRPr="00930C35">
        <w:rPr>
          <w:rFonts w:ascii="Arial" w:eastAsia="Times New Roman" w:hAnsi="Arial" w:cs="Arial"/>
          <w:sz w:val="24"/>
          <w:szCs w:val="24"/>
          <w:lang w:val="en-GB" w:eastAsia="en-GB"/>
        </w:rPr>
        <w:t>. Boston: Harvard Business Review Press.</w:t>
      </w:r>
    </w:p>
    <w:p w14:paraId="62D790B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Kuhlmann, E. (2008). Drivers and enablers of change in healthcare: How professions matter. </w:t>
      </w:r>
      <w:r w:rsidRPr="00930C35">
        <w:rPr>
          <w:rFonts w:ascii="Arial" w:eastAsia="Times New Roman" w:hAnsi="Arial" w:cs="Arial"/>
          <w:i/>
          <w:iCs/>
          <w:sz w:val="24"/>
          <w:szCs w:val="24"/>
          <w:lang w:val="en-GB" w:eastAsia="en-GB"/>
        </w:rPr>
        <w:t>Journal of Management &amp; Marketing in Healthcare</w:t>
      </w:r>
      <w:r w:rsidRPr="00930C35">
        <w:rPr>
          <w:rFonts w:ascii="Arial" w:eastAsia="Times New Roman" w:hAnsi="Arial" w:cs="Arial"/>
          <w:sz w:val="24"/>
          <w:szCs w:val="24"/>
          <w:lang w:val="en-GB" w:eastAsia="en-GB"/>
        </w:rPr>
        <w:t xml:space="preserve">, [online] 1(3), pp.243–251.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://doi.org/10.1179/mmh.2008.1.3.243</w:t>
      </w:r>
      <w:proofErr w:type="gramEnd"/>
      <w:r w:rsidRPr="00930C35">
        <w:rPr>
          <w:rFonts w:ascii="Arial" w:eastAsia="Times New Roman" w:hAnsi="Arial" w:cs="Arial"/>
          <w:sz w:val="24"/>
          <w:szCs w:val="24"/>
          <w:lang w:val="en-GB" w:eastAsia="en-GB"/>
        </w:rPr>
        <w:t>.</w:t>
      </w:r>
    </w:p>
    <w:p w14:paraId="02D7E4EC"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lastRenderedPageBreak/>
        <w:t xml:space="preserve">‌Mannion, R. and Davies, H. (2018). </w:t>
      </w:r>
      <w:r w:rsidRPr="00930C35">
        <w:rPr>
          <w:rFonts w:ascii="Arial" w:eastAsia="Times New Roman" w:hAnsi="Arial" w:cs="Arial"/>
          <w:i/>
          <w:iCs/>
          <w:sz w:val="24"/>
          <w:szCs w:val="24"/>
          <w:lang w:val="en-GB" w:eastAsia="en-GB"/>
        </w:rPr>
        <w:t>Understanding organisational culture for healthcare quality improvement</w:t>
      </w:r>
      <w:r w:rsidRPr="00930C35">
        <w:rPr>
          <w:rFonts w:ascii="Arial" w:eastAsia="Times New Roman" w:hAnsi="Arial" w:cs="Arial"/>
          <w:sz w:val="24"/>
          <w:szCs w:val="24"/>
          <w:lang w:val="en-GB" w:eastAsia="en-GB"/>
        </w:rPr>
        <w:t>. [online] ResearchGate. Available at: https://www.researchgate.net/publication/329260604_Understanding_organisational_culture_for_healthcare_quality_improvement.</w:t>
      </w:r>
    </w:p>
    <w:p w14:paraId="2F75F1CD"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‌McAlearney, A.S. (2006). Leadership development in healthcare: a qualitative study. </w:t>
      </w:r>
      <w:r w:rsidRPr="00930C35">
        <w:rPr>
          <w:rFonts w:ascii="Arial" w:eastAsia="Times New Roman" w:hAnsi="Arial" w:cs="Arial"/>
          <w:i/>
          <w:iCs/>
          <w:sz w:val="24"/>
          <w:szCs w:val="24"/>
          <w:lang w:val="en-GB" w:eastAsia="en-GB"/>
        </w:rPr>
        <w:t xml:space="preserve">Journal of Organizational </w:t>
      </w:r>
      <w:proofErr w:type="spellStart"/>
      <w:r w:rsidRPr="00930C35">
        <w:rPr>
          <w:rFonts w:ascii="Arial" w:eastAsia="Times New Roman" w:hAnsi="Arial" w:cs="Arial"/>
          <w:i/>
          <w:iCs/>
          <w:sz w:val="24"/>
          <w:szCs w:val="24"/>
          <w:lang w:val="en-GB" w:eastAsia="en-GB"/>
        </w:rPr>
        <w:t>Behavior</w:t>
      </w:r>
      <w:proofErr w:type="spellEnd"/>
      <w:r w:rsidRPr="00930C35">
        <w:rPr>
          <w:rFonts w:ascii="Arial" w:eastAsia="Times New Roman" w:hAnsi="Arial" w:cs="Arial"/>
          <w:sz w:val="24"/>
          <w:szCs w:val="24"/>
          <w:lang w:val="en-GB" w:eastAsia="en-GB"/>
        </w:rPr>
        <w:t>, [online] 27(7), pp.967–982. doi:10.1002/job.417.</w:t>
      </w:r>
    </w:p>
    <w:p w14:paraId="5ACA049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McCalman, J., Bailie, R., Bainbridge, R., McPhail-Bell, K., Percival, N., Askew, D., Fagan, R. and </w:t>
      </w:r>
      <w:proofErr w:type="spellStart"/>
      <w:r w:rsidRPr="00930C35">
        <w:rPr>
          <w:rFonts w:ascii="Arial" w:eastAsia="Times New Roman" w:hAnsi="Arial" w:cs="Arial"/>
          <w:sz w:val="24"/>
          <w:szCs w:val="24"/>
          <w:lang w:val="en-GB" w:eastAsia="en-GB"/>
        </w:rPr>
        <w:t>Tsey</w:t>
      </w:r>
      <w:proofErr w:type="spellEnd"/>
      <w:r w:rsidRPr="00930C35">
        <w:rPr>
          <w:rFonts w:ascii="Arial" w:eastAsia="Times New Roman" w:hAnsi="Arial" w:cs="Arial"/>
          <w:sz w:val="24"/>
          <w:szCs w:val="24"/>
          <w:lang w:val="en-GB" w:eastAsia="en-GB"/>
        </w:rPr>
        <w:t xml:space="preserve">, K. (2018). Continuous Quality Improvement and Comprehensive Primary Health Care: A Systems Framework to Improve Service Quality and Health Outcomes. </w:t>
      </w:r>
      <w:r w:rsidRPr="00930C35">
        <w:rPr>
          <w:rFonts w:ascii="Arial" w:eastAsia="Times New Roman" w:hAnsi="Arial" w:cs="Arial"/>
          <w:i/>
          <w:iCs/>
          <w:sz w:val="24"/>
          <w:szCs w:val="24"/>
          <w:lang w:val="en-GB" w:eastAsia="en-GB"/>
        </w:rPr>
        <w:t>Frontiers in Public Health</w:t>
      </w:r>
      <w:r w:rsidRPr="00930C35">
        <w:rPr>
          <w:rFonts w:ascii="Arial" w:eastAsia="Times New Roman" w:hAnsi="Arial" w:cs="Arial"/>
          <w:sz w:val="24"/>
          <w:szCs w:val="24"/>
          <w:lang w:val="en-GB" w:eastAsia="en-GB"/>
        </w:rPr>
        <w:t xml:space="preserve">, [online] 6.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://doi.org/10.3389/fpubh.2018.00076</w:t>
      </w:r>
      <w:proofErr w:type="gramEnd"/>
      <w:r w:rsidRPr="00930C35">
        <w:rPr>
          <w:rFonts w:ascii="Arial" w:eastAsia="Times New Roman" w:hAnsi="Arial" w:cs="Arial"/>
          <w:sz w:val="24"/>
          <w:szCs w:val="24"/>
          <w:lang w:val="en-GB" w:eastAsia="en-GB"/>
        </w:rPr>
        <w:t>.</w:t>
      </w:r>
    </w:p>
    <w:p w14:paraId="131DF6E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NHS England (2022). </w:t>
      </w:r>
      <w:r w:rsidRPr="00930C35">
        <w:rPr>
          <w:rFonts w:ascii="Arial" w:eastAsia="Times New Roman" w:hAnsi="Arial" w:cs="Arial"/>
          <w:i/>
          <w:iCs/>
          <w:sz w:val="24"/>
          <w:szCs w:val="24"/>
          <w:lang w:val="en-GB" w:eastAsia="en-GB"/>
        </w:rPr>
        <w:t>Delivering a ‘Net Zero’ National Health Service</w:t>
      </w:r>
      <w:r w:rsidRPr="00930C35">
        <w:rPr>
          <w:rFonts w:ascii="Arial" w:eastAsia="Times New Roman" w:hAnsi="Arial" w:cs="Arial"/>
          <w:sz w:val="24"/>
          <w:szCs w:val="24"/>
          <w:lang w:val="en-GB" w:eastAsia="en-GB"/>
        </w:rPr>
        <w:t xml:space="preserve">. [online] Available at: </w:t>
      </w:r>
      <w:hyperlink r:id="rId10" w:history="1">
        <w:r w:rsidRPr="00930C35">
          <w:rPr>
            <w:rFonts w:ascii="Arial" w:eastAsia="Times New Roman" w:hAnsi="Arial" w:cs="Arial"/>
            <w:color w:val="0000FF"/>
            <w:sz w:val="24"/>
            <w:szCs w:val="24"/>
            <w:u w:val="single"/>
            <w:lang w:val="en-GB" w:eastAsia="en-GB"/>
          </w:rPr>
          <w:t>https://www.england.nhs.uk/greenernhs/</w:t>
        </w:r>
      </w:hyperlink>
      <w:r w:rsidRPr="00930C35">
        <w:rPr>
          <w:rFonts w:ascii="Arial" w:eastAsia="Times New Roman" w:hAnsi="Arial" w:cs="Arial"/>
          <w:sz w:val="24"/>
          <w:szCs w:val="24"/>
          <w:lang w:val="en-GB" w:eastAsia="en-GB"/>
        </w:rPr>
        <w:t xml:space="preserve"> [Accessed 8 March 2026].</w:t>
      </w:r>
    </w:p>
    <w:p w14:paraId="7F96000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‌Nih.gov. (2024). </w:t>
      </w:r>
      <w:r w:rsidRPr="00930C35">
        <w:rPr>
          <w:rFonts w:ascii="Arial" w:eastAsia="Times New Roman" w:hAnsi="Arial" w:cs="Arial"/>
          <w:i/>
          <w:iCs/>
          <w:sz w:val="24"/>
          <w:szCs w:val="24"/>
          <w:lang w:val="en-GB" w:eastAsia="en-GB"/>
        </w:rPr>
        <w:t>Checking your browser - reCAPTCHA</w:t>
      </w:r>
      <w:r w:rsidRPr="00930C35">
        <w:rPr>
          <w:rFonts w:ascii="Arial" w:eastAsia="Times New Roman" w:hAnsi="Arial" w:cs="Arial"/>
          <w:sz w:val="24"/>
          <w:szCs w:val="24"/>
          <w:lang w:val="en-GB" w:eastAsia="en-GB"/>
        </w:rPr>
        <w:t>. [online] Available at: https://pubmed.ncbi.nlm.nih.gov/21676020/ [Accessed 18 Apr. 2026].</w:t>
      </w:r>
    </w:p>
    <w:p w14:paraId="388B7C36"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‌Nih.gov. (2024). </w:t>
      </w:r>
      <w:r w:rsidRPr="00930C35">
        <w:rPr>
          <w:rFonts w:ascii="Arial" w:eastAsia="Times New Roman" w:hAnsi="Arial" w:cs="Arial"/>
          <w:i/>
          <w:iCs/>
          <w:sz w:val="24"/>
          <w:szCs w:val="24"/>
          <w:lang w:val="en-GB" w:eastAsia="en-GB"/>
        </w:rPr>
        <w:t>Checking your browser - reCAPTCHA</w:t>
      </w:r>
      <w:r w:rsidRPr="00930C35">
        <w:rPr>
          <w:rFonts w:ascii="Arial" w:eastAsia="Times New Roman" w:hAnsi="Arial" w:cs="Arial"/>
          <w:sz w:val="24"/>
          <w:szCs w:val="24"/>
          <w:lang w:val="en-GB" w:eastAsia="en-GB"/>
        </w:rPr>
        <w:t>. [online] Available at: https://pubmed.ncbi.nlm.nih.gov/7782222/ [Accessed 18 Apr. 2026].</w:t>
      </w:r>
    </w:p>
    <w:p w14:paraId="5A28E687"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w:t>
      </w:r>
      <w:proofErr w:type="spellStart"/>
      <w:r w:rsidRPr="00930C35">
        <w:rPr>
          <w:rFonts w:ascii="Arial" w:eastAsia="Times New Roman" w:hAnsi="Arial" w:cs="Arial"/>
          <w:sz w:val="24"/>
          <w:szCs w:val="24"/>
          <w:lang w:val="en-GB" w:eastAsia="en-GB"/>
        </w:rPr>
        <w:t>Ovretveit</w:t>
      </w:r>
      <w:proofErr w:type="spellEnd"/>
      <w:r w:rsidRPr="00930C35">
        <w:rPr>
          <w:rFonts w:ascii="Arial" w:eastAsia="Times New Roman" w:hAnsi="Arial" w:cs="Arial"/>
          <w:sz w:val="24"/>
          <w:szCs w:val="24"/>
          <w:lang w:val="en-GB" w:eastAsia="en-GB"/>
        </w:rPr>
        <w:t xml:space="preserve">, J. (2009). </w:t>
      </w:r>
      <w:r w:rsidRPr="00930C35">
        <w:rPr>
          <w:rFonts w:ascii="Arial" w:eastAsia="Times New Roman" w:hAnsi="Arial" w:cs="Arial"/>
          <w:i/>
          <w:iCs/>
          <w:sz w:val="24"/>
          <w:szCs w:val="24"/>
          <w:lang w:val="en-GB" w:eastAsia="en-GB"/>
        </w:rPr>
        <w:t>Does Improving Quality Save Money? A Review of Evidence of Which Improvements to Quality Reduce Costs to...</w:t>
      </w:r>
      <w:r w:rsidRPr="00930C35">
        <w:rPr>
          <w:rFonts w:ascii="Arial" w:eastAsia="Times New Roman" w:hAnsi="Arial" w:cs="Arial"/>
          <w:sz w:val="24"/>
          <w:szCs w:val="24"/>
          <w:lang w:val="en-GB" w:eastAsia="en-GB"/>
        </w:rPr>
        <w:t xml:space="preserve"> [online] ResearchGate. Available at: https://www.researchgate.net/publication/237777745_Does_Improving_Quality_Save_Money_A_Review_of_Evidence_of_Which_Improvements_to_Quality_Reduce_Costs_to_Health_Service_Providers [Accessed 18 Apr. 2026].</w:t>
      </w:r>
    </w:p>
    <w:p w14:paraId="6E20AABF"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‌Pfeffer, J. and Sutton, R.I. (2006). Profiting from evidence</w:t>
      </w:r>
      <w:r w:rsidRPr="00930C35">
        <w:rPr>
          <w:rFonts w:ascii="Cambria Math" w:eastAsia="Times New Roman" w:hAnsi="Cambria Math" w:cs="Cambria Math"/>
          <w:sz w:val="24"/>
          <w:szCs w:val="24"/>
          <w:lang w:val="en-GB" w:eastAsia="en-GB"/>
        </w:rPr>
        <w:t>‐</w:t>
      </w:r>
      <w:r w:rsidRPr="00930C35">
        <w:rPr>
          <w:rFonts w:ascii="Arial" w:eastAsia="Times New Roman" w:hAnsi="Arial" w:cs="Arial"/>
          <w:sz w:val="24"/>
          <w:szCs w:val="24"/>
          <w:lang w:val="en-GB" w:eastAsia="en-GB"/>
        </w:rPr>
        <w:t xml:space="preserve">based management. </w:t>
      </w:r>
      <w:r w:rsidRPr="00930C35">
        <w:rPr>
          <w:rFonts w:ascii="Arial" w:eastAsia="Times New Roman" w:hAnsi="Arial" w:cs="Arial"/>
          <w:i/>
          <w:iCs/>
          <w:sz w:val="24"/>
          <w:szCs w:val="24"/>
          <w:lang w:val="en-GB" w:eastAsia="en-GB"/>
        </w:rPr>
        <w:t>Strategy &amp; Leadership</w:t>
      </w:r>
      <w:r w:rsidRPr="00930C35">
        <w:rPr>
          <w:rFonts w:ascii="Arial" w:eastAsia="Times New Roman" w:hAnsi="Arial" w:cs="Arial"/>
          <w:sz w:val="24"/>
          <w:szCs w:val="24"/>
          <w:lang w:val="en-GB" w:eastAsia="en-GB"/>
        </w:rPr>
        <w:t>, [online] 34(2), pp.35–42. doi:10.1108/10878570610652617.</w:t>
      </w:r>
    </w:p>
    <w:p w14:paraId="76435C31"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‌ResearchGate. (n.d.). </w:t>
      </w:r>
      <w:r w:rsidRPr="00930C35">
        <w:rPr>
          <w:rFonts w:ascii="Arial" w:eastAsia="Times New Roman" w:hAnsi="Arial" w:cs="Arial"/>
          <w:i/>
          <w:iCs/>
          <w:sz w:val="24"/>
          <w:szCs w:val="24"/>
          <w:lang w:val="en-GB" w:eastAsia="en-GB"/>
        </w:rPr>
        <w:t>(PDF) People and Organizational Culture: A Profile Comparison Approach to Assessing Person-Organization Fit</w:t>
      </w:r>
      <w:r w:rsidRPr="00930C35">
        <w:rPr>
          <w:rFonts w:ascii="Arial" w:eastAsia="Times New Roman" w:hAnsi="Arial" w:cs="Arial"/>
          <w:sz w:val="24"/>
          <w:szCs w:val="24"/>
          <w:lang w:val="en-GB" w:eastAsia="en-GB"/>
        </w:rPr>
        <w:t>. [online] Available at: https://www.researchgate.net/publication/234021797_People_and_Organizational_Culture_A_Profile_Comparison_Approach_to_Assessing_Person-Organization_Fit.</w:t>
      </w:r>
    </w:p>
    <w:p w14:paraId="1134B8EB"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Scirp.org. (2025). </w:t>
      </w:r>
      <w:r w:rsidRPr="00930C35">
        <w:rPr>
          <w:rFonts w:ascii="Arial" w:eastAsia="Times New Roman" w:hAnsi="Arial" w:cs="Arial"/>
          <w:i/>
          <w:iCs/>
          <w:sz w:val="24"/>
          <w:szCs w:val="24"/>
          <w:lang w:val="en-GB" w:eastAsia="en-GB"/>
        </w:rPr>
        <w:t>Porter, M.E. (2010) What Is Value in Healthcare New England Journal of Medicine, 363, 2477-2481. - References - Scientific Research Publishing</w:t>
      </w:r>
      <w:r w:rsidRPr="00930C35">
        <w:rPr>
          <w:rFonts w:ascii="Arial" w:eastAsia="Times New Roman" w:hAnsi="Arial" w:cs="Arial"/>
          <w:sz w:val="24"/>
          <w:szCs w:val="24"/>
          <w:lang w:val="en-GB" w:eastAsia="en-GB"/>
        </w:rPr>
        <w:t xml:space="preserve">. [online] </w:t>
      </w:r>
      <w:r w:rsidRPr="00930C35">
        <w:rPr>
          <w:rFonts w:ascii="Arial" w:eastAsia="Times New Roman" w:hAnsi="Arial" w:cs="Arial"/>
          <w:sz w:val="24"/>
          <w:szCs w:val="24"/>
          <w:lang w:val="en-GB" w:eastAsia="en-GB"/>
        </w:rPr>
        <w:lastRenderedPageBreak/>
        <w:t>Available at: https://www.scirp.org/reference/referencespapers?referenceid=3976491 [Accessed 18 Apr. 2026].</w:t>
      </w:r>
    </w:p>
    <w:p w14:paraId="2EA6BF40"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‌Scirp.org. (2026). </w:t>
      </w:r>
      <w:r w:rsidRPr="00930C35">
        <w:rPr>
          <w:rFonts w:ascii="Arial" w:eastAsia="Times New Roman" w:hAnsi="Arial" w:cs="Arial"/>
          <w:i/>
          <w:iCs/>
          <w:sz w:val="24"/>
          <w:szCs w:val="24"/>
          <w:lang w:val="en-GB" w:eastAsia="en-GB"/>
        </w:rPr>
        <w:t>Donabedian, A. (1988) The Quality of Care How Can It Be Assessed Journal of the American Medical Association, 260, 1743-1748. - References - Scientific Research Publishing</w:t>
      </w:r>
      <w:r w:rsidRPr="00930C35">
        <w:rPr>
          <w:rFonts w:ascii="Arial" w:eastAsia="Times New Roman" w:hAnsi="Arial" w:cs="Arial"/>
          <w:sz w:val="24"/>
          <w:szCs w:val="24"/>
          <w:lang w:val="en-GB" w:eastAsia="en-GB"/>
        </w:rPr>
        <w:t>. [online] Available at: https://www.scirp.org/reference/referencespapers?referenceid=1811379 [Accessed 18 Apr. 2026].</w:t>
      </w:r>
    </w:p>
    <w:p w14:paraId="4E03D6B6"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‌Scirp.org. (2026). </w:t>
      </w:r>
      <w:r w:rsidRPr="00930C35">
        <w:rPr>
          <w:rFonts w:ascii="Arial" w:eastAsia="Times New Roman" w:hAnsi="Arial" w:cs="Arial"/>
          <w:i/>
          <w:iCs/>
          <w:sz w:val="24"/>
          <w:szCs w:val="24"/>
          <w:lang w:val="en-GB" w:eastAsia="en-GB"/>
        </w:rPr>
        <w:t>Mintzberg, H. (2009a). Managing. San Francisco, CA Berrett-Koehler. - References - Scientific Research Publishing</w:t>
      </w:r>
      <w:r w:rsidRPr="00930C35">
        <w:rPr>
          <w:rFonts w:ascii="Arial" w:eastAsia="Times New Roman" w:hAnsi="Arial" w:cs="Arial"/>
          <w:sz w:val="24"/>
          <w:szCs w:val="24"/>
          <w:lang w:val="en-GB" w:eastAsia="en-GB"/>
        </w:rPr>
        <w:t>. [online] Available at: https://www.scirp.org/reference/referencespapers?referenceid=1497917 [Accessed 18 Apr. 2026].</w:t>
      </w:r>
    </w:p>
    <w:p w14:paraId="0450E381"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‌Scirp.org. (2026). </w:t>
      </w:r>
      <w:r w:rsidRPr="00930C35">
        <w:rPr>
          <w:rFonts w:ascii="Arial" w:eastAsia="Times New Roman" w:hAnsi="Arial" w:cs="Arial"/>
          <w:i/>
          <w:iCs/>
          <w:sz w:val="24"/>
          <w:szCs w:val="24"/>
          <w:lang w:val="en-GB" w:eastAsia="en-GB"/>
        </w:rPr>
        <w:t xml:space="preserve">Senge, P.M. (2006) The Fifth Discipline </w:t>
      </w:r>
      <w:proofErr w:type="gramStart"/>
      <w:r w:rsidRPr="00930C35">
        <w:rPr>
          <w:rFonts w:ascii="Arial" w:eastAsia="Times New Roman" w:hAnsi="Arial" w:cs="Arial"/>
          <w:i/>
          <w:iCs/>
          <w:sz w:val="24"/>
          <w:szCs w:val="24"/>
          <w:lang w:val="en-GB" w:eastAsia="en-GB"/>
        </w:rPr>
        <w:t>The</w:t>
      </w:r>
      <w:proofErr w:type="gramEnd"/>
      <w:r w:rsidRPr="00930C35">
        <w:rPr>
          <w:rFonts w:ascii="Arial" w:eastAsia="Times New Roman" w:hAnsi="Arial" w:cs="Arial"/>
          <w:i/>
          <w:iCs/>
          <w:sz w:val="24"/>
          <w:szCs w:val="24"/>
          <w:lang w:val="en-GB" w:eastAsia="en-GB"/>
        </w:rPr>
        <w:t xml:space="preserve"> Art and Practice of the Learning Organization. Doubleday - References - Scientific Research Publishing</w:t>
      </w:r>
      <w:r w:rsidRPr="00930C35">
        <w:rPr>
          <w:rFonts w:ascii="Arial" w:eastAsia="Times New Roman" w:hAnsi="Arial" w:cs="Arial"/>
          <w:sz w:val="24"/>
          <w:szCs w:val="24"/>
          <w:lang w:val="en-GB" w:eastAsia="en-GB"/>
        </w:rPr>
        <w:t>. [online] Available at: https://www.scirp.org/reference/referencespapers?referenceid=1122355 [Accessed 18 Apr. 2026].</w:t>
      </w:r>
    </w:p>
    <w:p w14:paraId="2E34881B"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‌Shortell, S.M., Bennett, C.L. and Byck, G.R. (2026). Assessing the Impact of Continuous Quality Improvement on Clinical Practice: What It Will Take to Accelerate Progress. </w:t>
      </w:r>
      <w:r w:rsidRPr="00930C35">
        <w:rPr>
          <w:rFonts w:ascii="Arial" w:eastAsia="Times New Roman" w:hAnsi="Arial" w:cs="Arial"/>
          <w:i/>
          <w:iCs/>
          <w:sz w:val="24"/>
          <w:szCs w:val="24"/>
          <w:lang w:val="en-GB" w:eastAsia="en-GB"/>
        </w:rPr>
        <w:t>Jstor.org</w:t>
      </w:r>
      <w:r w:rsidRPr="00930C35">
        <w:rPr>
          <w:rFonts w:ascii="Arial" w:eastAsia="Times New Roman" w:hAnsi="Arial" w:cs="Arial"/>
          <w:sz w:val="24"/>
          <w:szCs w:val="24"/>
          <w:lang w:val="en-GB" w:eastAsia="en-GB"/>
        </w:rPr>
        <w:t>. [online] doi:10.2307/3350513.</w:t>
      </w:r>
    </w:p>
    <w:p w14:paraId="30564F26"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‌‌Stewart, E., Greer, S.L., Ercia, A. and Donnelly, P.D. (2019). Transforming health care: the policy and politics of service reconfiguration in the UK’s four health systems. </w:t>
      </w:r>
      <w:r w:rsidRPr="00930C35">
        <w:rPr>
          <w:rFonts w:ascii="Arial" w:eastAsia="Times New Roman" w:hAnsi="Arial" w:cs="Arial"/>
          <w:i/>
          <w:iCs/>
          <w:sz w:val="24"/>
          <w:szCs w:val="24"/>
          <w:lang w:val="en-GB" w:eastAsia="en-GB"/>
        </w:rPr>
        <w:t>Health Economics, Policy and Law</w:t>
      </w:r>
      <w:r w:rsidRPr="00930C35">
        <w:rPr>
          <w:rFonts w:ascii="Arial" w:eastAsia="Times New Roman" w:hAnsi="Arial" w:cs="Arial"/>
          <w:sz w:val="24"/>
          <w:szCs w:val="24"/>
          <w:lang w:val="en-GB" w:eastAsia="en-GB"/>
        </w:rPr>
        <w:t xml:space="preserve">, [online] 15(3), pp.289–307.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://doi.org/10.1017/s1744133119000148</w:t>
      </w:r>
      <w:proofErr w:type="gramEnd"/>
      <w:r w:rsidRPr="00930C35">
        <w:rPr>
          <w:rFonts w:ascii="Arial" w:eastAsia="Times New Roman" w:hAnsi="Arial" w:cs="Arial"/>
          <w:sz w:val="24"/>
          <w:szCs w:val="24"/>
          <w:lang w:val="en-GB" w:eastAsia="en-GB"/>
        </w:rPr>
        <w:t>.</w:t>
      </w:r>
    </w:p>
    <w:p w14:paraId="7A27286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Thapa, A., Gyawali, P. and Kalauni, D. (2026). Leadership strategies to foster innovation in healthcare organizations of the UK: a systematic review. </w:t>
      </w:r>
      <w:r w:rsidRPr="00930C35">
        <w:rPr>
          <w:rFonts w:ascii="Arial" w:eastAsia="Times New Roman" w:hAnsi="Arial" w:cs="Arial"/>
          <w:i/>
          <w:iCs/>
          <w:sz w:val="24"/>
          <w:szCs w:val="24"/>
          <w:lang w:val="en-GB" w:eastAsia="en-GB"/>
        </w:rPr>
        <w:t>BMC Health Services Research</w:t>
      </w:r>
      <w:r w:rsidRPr="00930C35">
        <w:rPr>
          <w:rFonts w:ascii="Arial" w:eastAsia="Times New Roman" w:hAnsi="Arial" w:cs="Arial"/>
          <w:sz w:val="24"/>
          <w:szCs w:val="24"/>
          <w:lang w:val="en-GB" w:eastAsia="en-GB"/>
        </w:rPr>
        <w:t xml:space="preserve">, [online] 26(1). </w:t>
      </w:r>
      <w:proofErr w:type="spellStart"/>
      <w:proofErr w:type="gramStart"/>
      <w:r w:rsidRPr="00930C35">
        <w:rPr>
          <w:rFonts w:ascii="Arial" w:eastAsia="Times New Roman" w:hAnsi="Arial" w:cs="Arial"/>
          <w:sz w:val="24"/>
          <w:szCs w:val="24"/>
          <w:lang w:val="en-GB" w:eastAsia="en-GB"/>
        </w:rPr>
        <w:t>doi:https</w:t>
      </w:r>
      <w:proofErr w:type="spellEnd"/>
      <w:r w:rsidRPr="00930C35">
        <w:rPr>
          <w:rFonts w:ascii="Arial" w:eastAsia="Times New Roman" w:hAnsi="Arial" w:cs="Arial"/>
          <w:sz w:val="24"/>
          <w:szCs w:val="24"/>
          <w:lang w:val="en-GB" w:eastAsia="en-GB"/>
        </w:rPr>
        <w:t>://doi.org/10.1186/s12913-026-14017-z</w:t>
      </w:r>
      <w:proofErr w:type="gramEnd"/>
      <w:r w:rsidRPr="00930C35">
        <w:rPr>
          <w:rFonts w:ascii="Arial" w:eastAsia="Times New Roman" w:hAnsi="Arial" w:cs="Arial"/>
          <w:sz w:val="24"/>
          <w:szCs w:val="24"/>
          <w:lang w:val="en-GB" w:eastAsia="en-GB"/>
        </w:rPr>
        <w:t>.</w:t>
      </w:r>
    </w:p>
    <w:p w14:paraId="4B455806"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Improvement Guide: A Practical Approach to Enhancing Organizational Performance. (1997). </w:t>
      </w:r>
      <w:r w:rsidRPr="00930C35">
        <w:rPr>
          <w:rFonts w:ascii="Arial" w:eastAsia="Times New Roman" w:hAnsi="Arial" w:cs="Arial"/>
          <w:i/>
          <w:iCs/>
          <w:sz w:val="24"/>
          <w:szCs w:val="24"/>
          <w:lang w:val="en-GB" w:eastAsia="en-GB"/>
        </w:rPr>
        <w:t>Quality Management Journal</w:t>
      </w:r>
      <w:r w:rsidRPr="00930C35">
        <w:rPr>
          <w:rFonts w:ascii="Arial" w:eastAsia="Times New Roman" w:hAnsi="Arial" w:cs="Arial"/>
          <w:sz w:val="24"/>
          <w:szCs w:val="24"/>
          <w:lang w:val="en-GB" w:eastAsia="en-GB"/>
        </w:rPr>
        <w:t>, [online] 4(4), pp.85–86. doi:10.1080/10686967.1998.11919154.</w:t>
      </w:r>
    </w:p>
    <w:p w14:paraId="3E4EB3F9"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The King’s Fund (2024). </w:t>
      </w:r>
      <w:r w:rsidRPr="00930C35">
        <w:rPr>
          <w:rFonts w:ascii="Arial" w:eastAsia="Times New Roman" w:hAnsi="Arial" w:cs="Arial"/>
          <w:i/>
          <w:iCs/>
          <w:sz w:val="24"/>
          <w:szCs w:val="24"/>
          <w:lang w:val="en-GB" w:eastAsia="en-GB"/>
        </w:rPr>
        <w:t>The NHS workforce in numbers</w:t>
      </w:r>
      <w:r w:rsidRPr="00930C35">
        <w:rPr>
          <w:rFonts w:ascii="Arial" w:eastAsia="Times New Roman" w:hAnsi="Arial" w:cs="Arial"/>
          <w:sz w:val="24"/>
          <w:szCs w:val="24"/>
          <w:lang w:val="en-GB" w:eastAsia="en-GB"/>
        </w:rPr>
        <w:t xml:space="preserve">. [online] Available at: </w:t>
      </w:r>
      <w:hyperlink r:id="rId11" w:history="1">
        <w:r w:rsidRPr="00930C35">
          <w:rPr>
            <w:rFonts w:ascii="Arial" w:eastAsia="Times New Roman" w:hAnsi="Arial" w:cs="Arial"/>
            <w:color w:val="0000FF"/>
            <w:sz w:val="24"/>
            <w:szCs w:val="24"/>
            <w:u w:val="single"/>
            <w:lang w:val="en-GB" w:eastAsia="en-GB"/>
          </w:rPr>
          <w:t>https://www.kingsfund.org.uk</w:t>
        </w:r>
      </w:hyperlink>
      <w:r w:rsidRPr="00930C35">
        <w:rPr>
          <w:rFonts w:ascii="Arial" w:eastAsia="Times New Roman" w:hAnsi="Arial" w:cs="Arial"/>
          <w:sz w:val="24"/>
          <w:szCs w:val="24"/>
          <w:lang w:val="en-GB" w:eastAsia="en-GB"/>
        </w:rPr>
        <w:t xml:space="preserve"> [1 March Accessed 2026].</w:t>
      </w:r>
    </w:p>
    <w:p w14:paraId="6C5B3078"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lastRenderedPageBreak/>
        <w:t xml:space="preserve">The King’s Fund. (2019). </w:t>
      </w:r>
      <w:r w:rsidRPr="00930C35">
        <w:rPr>
          <w:rFonts w:ascii="Arial" w:eastAsia="Times New Roman" w:hAnsi="Arial" w:cs="Arial"/>
          <w:i/>
          <w:iCs/>
          <w:sz w:val="24"/>
          <w:szCs w:val="24"/>
          <w:lang w:val="en-GB" w:eastAsia="en-GB"/>
        </w:rPr>
        <w:t>The NHS long-term plan explained</w:t>
      </w:r>
      <w:r w:rsidRPr="00930C35">
        <w:rPr>
          <w:rFonts w:ascii="Arial" w:eastAsia="Times New Roman" w:hAnsi="Arial" w:cs="Arial"/>
          <w:sz w:val="24"/>
          <w:szCs w:val="24"/>
          <w:lang w:val="en-GB" w:eastAsia="en-GB"/>
        </w:rPr>
        <w:t>. [online] Available at: https://www.kingsfund.org.uk/insight-and-analysis/long-reads/nhs-long-term-plan-explained [Accessed 18 Mar. 2026].</w:t>
      </w:r>
    </w:p>
    <w:p w14:paraId="015F63B5"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West, M., Eckert, R., Collins, B. and Chowla, R. (2017). </w:t>
      </w:r>
      <w:r w:rsidRPr="00930C35">
        <w:rPr>
          <w:rFonts w:ascii="Arial" w:eastAsia="Times New Roman" w:hAnsi="Arial" w:cs="Arial"/>
          <w:i/>
          <w:iCs/>
          <w:sz w:val="24"/>
          <w:szCs w:val="24"/>
          <w:lang w:val="en-GB" w:eastAsia="en-GB"/>
        </w:rPr>
        <w:t>Caring to Change: How Compassionate Leadership Can Stimulate Innovation in Health Care</w:t>
      </w:r>
      <w:r w:rsidRPr="00930C35">
        <w:rPr>
          <w:rFonts w:ascii="Arial" w:eastAsia="Times New Roman" w:hAnsi="Arial" w:cs="Arial"/>
          <w:sz w:val="24"/>
          <w:szCs w:val="24"/>
          <w:lang w:val="en-GB" w:eastAsia="en-GB"/>
        </w:rPr>
        <w:t>. London: The King’s Fund.</w:t>
      </w:r>
    </w:p>
    <w:p w14:paraId="4380D0D3" w14:textId="77777777" w:rsidR="00930C35" w:rsidRPr="00930C35" w:rsidRDefault="00930C35" w:rsidP="00930C35">
      <w:pPr>
        <w:spacing w:after="0" w:line="360" w:lineRule="auto"/>
        <w:rPr>
          <w:rFonts w:ascii="Arial" w:eastAsia="Times New Roman" w:hAnsi="Arial" w:cs="Arial"/>
          <w:sz w:val="24"/>
          <w:szCs w:val="24"/>
          <w:lang w:val="en-GB" w:eastAsia="en-GB"/>
        </w:rPr>
      </w:pPr>
      <w:r w:rsidRPr="00930C35">
        <w:rPr>
          <w:rFonts w:ascii="Arial" w:eastAsia="Times New Roman" w:hAnsi="Arial" w:cs="Arial"/>
          <w:sz w:val="24"/>
          <w:szCs w:val="24"/>
          <w:lang w:val="en-GB" w:eastAsia="en-GB"/>
        </w:rPr>
        <w:t xml:space="preserve">World Health Organization (2023). </w:t>
      </w:r>
      <w:r w:rsidRPr="00930C35">
        <w:rPr>
          <w:rFonts w:ascii="Arial" w:eastAsia="Times New Roman" w:hAnsi="Arial" w:cs="Arial"/>
          <w:i/>
          <w:iCs/>
          <w:sz w:val="24"/>
          <w:szCs w:val="24"/>
          <w:lang w:val="en-GB" w:eastAsia="en-GB"/>
        </w:rPr>
        <w:t>Climate change and health</w:t>
      </w:r>
      <w:r w:rsidRPr="00930C35">
        <w:rPr>
          <w:rFonts w:ascii="Arial" w:eastAsia="Times New Roman" w:hAnsi="Arial" w:cs="Arial"/>
          <w:sz w:val="24"/>
          <w:szCs w:val="24"/>
          <w:lang w:val="en-GB" w:eastAsia="en-GB"/>
        </w:rPr>
        <w:t xml:space="preserve">. [online] Available at: </w:t>
      </w:r>
      <w:hyperlink r:id="rId12" w:history="1">
        <w:r w:rsidRPr="00930C35">
          <w:rPr>
            <w:rFonts w:ascii="Arial" w:eastAsia="Times New Roman" w:hAnsi="Arial" w:cs="Arial"/>
            <w:color w:val="0000FF"/>
            <w:sz w:val="24"/>
            <w:szCs w:val="24"/>
            <w:u w:val="single"/>
            <w:lang w:val="en-GB" w:eastAsia="en-GB"/>
          </w:rPr>
          <w:t>https://www.who.int/news-room/fact-sheets/detail/climate-change-and-health</w:t>
        </w:r>
      </w:hyperlink>
      <w:r w:rsidRPr="00930C35">
        <w:rPr>
          <w:rFonts w:ascii="Arial" w:eastAsia="Times New Roman" w:hAnsi="Arial" w:cs="Arial"/>
          <w:sz w:val="24"/>
          <w:szCs w:val="24"/>
          <w:lang w:val="en-GB" w:eastAsia="en-GB"/>
        </w:rPr>
        <w:t xml:space="preserve"> [Accessed 4 March 026].</w:t>
      </w:r>
    </w:p>
    <w:p w14:paraId="24BE7403" w14:textId="0A93A30C" w:rsidR="00106D4E" w:rsidRPr="00930C35" w:rsidRDefault="00106D4E" w:rsidP="00930C35">
      <w:pPr>
        <w:spacing w:before="100" w:beforeAutospacing="1" w:after="100" w:afterAutospacing="1" w:line="360" w:lineRule="auto"/>
        <w:rPr>
          <w:rFonts w:ascii="Arial" w:eastAsia="Times New Roman" w:hAnsi="Arial" w:cs="Arial"/>
          <w:color w:val="000000"/>
          <w:sz w:val="24"/>
          <w:szCs w:val="24"/>
        </w:rPr>
      </w:pPr>
    </w:p>
    <w:sectPr w:rsidR="00106D4E" w:rsidRPr="00930C3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09D8C" w14:textId="77777777" w:rsidR="00D70E6D" w:rsidRDefault="00D70E6D" w:rsidP="00FE0D4A">
      <w:pPr>
        <w:spacing w:after="0" w:line="240" w:lineRule="auto"/>
      </w:pPr>
      <w:r>
        <w:separator/>
      </w:r>
    </w:p>
  </w:endnote>
  <w:endnote w:type="continuationSeparator" w:id="0">
    <w:p w14:paraId="228FFE6D" w14:textId="77777777" w:rsidR="00D70E6D" w:rsidRDefault="00D70E6D" w:rsidP="00FE0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2154687"/>
      <w:docPartObj>
        <w:docPartGallery w:val="Page Numbers (Bottom of Page)"/>
        <w:docPartUnique/>
      </w:docPartObj>
    </w:sdtPr>
    <w:sdtEndPr>
      <w:rPr>
        <w:noProof/>
      </w:rPr>
    </w:sdtEndPr>
    <w:sdtContent>
      <w:p w14:paraId="379366A3" w14:textId="100FE18B" w:rsidR="00FE0D4A" w:rsidRDefault="00FE0D4A">
        <w:pPr>
          <w:pStyle w:val="Footer"/>
          <w:jc w:val="center"/>
        </w:pPr>
        <w:r>
          <w:fldChar w:fldCharType="begin"/>
        </w:r>
        <w:r>
          <w:instrText xml:space="preserve"> PAGE   \* MERGEFORMAT </w:instrText>
        </w:r>
        <w:r>
          <w:fldChar w:fldCharType="separate"/>
        </w:r>
        <w:r w:rsidR="00980DDA">
          <w:rPr>
            <w:noProof/>
          </w:rPr>
          <w:t>13</w:t>
        </w:r>
        <w:r>
          <w:rPr>
            <w:noProof/>
          </w:rPr>
          <w:fldChar w:fldCharType="end"/>
        </w:r>
      </w:p>
    </w:sdtContent>
  </w:sdt>
  <w:p w14:paraId="264A2864" w14:textId="77777777" w:rsidR="00FE0D4A" w:rsidRDefault="00FE0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CEC15" w14:textId="77777777" w:rsidR="00D70E6D" w:rsidRDefault="00D70E6D" w:rsidP="00FE0D4A">
      <w:pPr>
        <w:spacing w:after="0" w:line="240" w:lineRule="auto"/>
      </w:pPr>
      <w:r>
        <w:separator/>
      </w:r>
    </w:p>
  </w:footnote>
  <w:footnote w:type="continuationSeparator" w:id="0">
    <w:p w14:paraId="18B2D402" w14:textId="77777777" w:rsidR="00D70E6D" w:rsidRDefault="00D70E6D" w:rsidP="00FE0D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6961"/>
    <w:rsid w:val="00037FA5"/>
    <w:rsid w:val="00051F4C"/>
    <w:rsid w:val="00097709"/>
    <w:rsid w:val="000A4EE5"/>
    <w:rsid w:val="00106D4E"/>
    <w:rsid w:val="0018088B"/>
    <w:rsid w:val="0019317E"/>
    <w:rsid w:val="001B3523"/>
    <w:rsid w:val="00305AF7"/>
    <w:rsid w:val="003347E0"/>
    <w:rsid w:val="004E4268"/>
    <w:rsid w:val="00557563"/>
    <w:rsid w:val="0059136B"/>
    <w:rsid w:val="005C395A"/>
    <w:rsid w:val="005E1D99"/>
    <w:rsid w:val="005F3217"/>
    <w:rsid w:val="00611641"/>
    <w:rsid w:val="00635B00"/>
    <w:rsid w:val="00660223"/>
    <w:rsid w:val="007022D2"/>
    <w:rsid w:val="0070649E"/>
    <w:rsid w:val="00735562"/>
    <w:rsid w:val="00776AA8"/>
    <w:rsid w:val="008D09B9"/>
    <w:rsid w:val="00930C35"/>
    <w:rsid w:val="00980DDA"/>
    <w:rsid w:val="009F7294"/>
    <w:rsid w:val="009F77ED"/>
    <w:rsid w:val="00A90064"/>
    <w:rsid w:val="00A967B2"/>
    <w:rsid w:val="00B76589"/>
    <w:rsid w:val="00C6526D"/>
    <w:rsid w:val="00CF4D1B"/>
    <w:rsid w:val="00D216CE"/>
    <w:rsid w:val="00D60BEE"/>
    <w:rsid w:val="00D66961"/>
    <w:rsid w:val="00D70E6D"/>
    <w:rsid w:val="00D817EB"/>
    <w:rsid w:val="00DD1739"/>
    <w:rsid w:val="00EA4F3B"/>
    <w:rsid w:val="00F0120C"/>
    <w:rsid w:val="00FE0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1495B"/>
  <w15:chartTrackingRefBased/>
  <w15:docId w15:val="{8AC15529-EF80-934F-B456-AD81D65A5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696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66961"/>
    <w:rPr>
      <w:b/>
      <w:bCs/>
    </w:rPr>
  </w:style>
  <w:style w:type="character" w:customStyle="1" w:styleId="whitespace-normal">
    <w:name w:val="whitespace-normal"/>
    <w:basedOn w:val="DefaultParagraphFont"/>
    <w:rsid w:val="005C395A"/>
  </w:style>
  <w:style w:type="paragraph" w:styleId="Header">
    <w:name w:val="header"/>
    <w:basedOn w:val="Normal"/>
    <w:link w:val="HeaderChar"/>
    <w:uiPriority w:val="99"/>
    <w:unhideWhenUsed/>
    <w:rsid w:val="00FE0D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0D4A"/>
  </w:style>
  <w:style w:type="paragraph" w:styleId="Footer">
    <w:name w:val="footer"/>
    <w:basedOn w:val="Normal"/>
    <w:link w:val="FooterChar"/>
    <w:uiPriority w:val="99"/>
    <w:unhideWhenUsed/>
    <w:rsid w:val="00FE0D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D4A"/>
  </w:style>
  <w:style w:type="character" w:styleId="Hyperlink">
    <w:name w:val="Hyperlink"/>
    <w:basedOn w:val="DefaultParagraphFont"/>
    <w:uiPriority w:val="99"/>
    <w:semiHidden/>
    <w:unhideWhenUsed/>
    <w:rsid w:val="00930C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9579">
      <w:bodyDiv w:val="1"/>
      <w:marLeft w:val="0"/>
      <w:marRight w:val="0"/>
      <w:marTop w:val="0"/>
      <w:marBottom w:val="0"/>
      <w:divBdr>
        <w:top w:val="none" w:sz="0" w:space="0" w:color="auto"/>
        <w:left w:val="none" w:sz="0" w:space="0" w:color="auto"/>
        <w:bottom w:val="none" w:sz="0" w:space="0" w:color="auto"/>
        <w:right w:val="none" w:sz="0" w:space="0" w:color="auto"/>
      </w:divBdr>
    </w:div>
    <w:div w:id="30880078">
      <w:bodyDiv w:val="1"/>
      <w:marLeft w:val="0"/>
      <w:marRight w:val="0"/>
      <w:marTop w:val="0"/>
      <w:marBottom w:val="0"/>
      <w:divBdr>
        <w:top w:val="none" w:sz="0" w:space="0" w:color="auto"/>
        <w:left w:val="none" w:sz="0" w:space="0" w:color="auto"/>
        <w:bottom w:val="none" w:sz="0" w:space="0" w:color="auto"/>
        <w:right w:val="none" w:sz="0" w:space="0" w:color="auto"/>
      </w:divBdr>
    </w:div>
    <w:div w:id="317729730">
      <w:bodyDiv w:val="1"/>
      <w:marLeft w:val="0"/>
      <w:marRight w:val="0"/>
      <w:marTop w:val="0"/>
      <w:marBottom w:val="0"/>
      <w:divBdr>
        <w:top w:val="none" w:sz="0" w:space="0" w:color="auto"/>
        <w:left w:val="none" w:sz="0" w:space="0" w:color="auto"/>
        <w:bottom w:val="none" w:sz="0" w:space="0" w:color="auto"/>
        <w:right w:val="none" w:sz="0" w:space="0" w:color="auto"/>
      </w:divBdr>
    </w:div>
    <w:div w:id="338775582">
      <w:bodyDiv w:val="1"/>
      <w:marLeft w:val="0"/>
      <w:marRight w:val="0"/>
      <w:marTop w:val="0"/>
      <w:marBottom w:val="0"/>
      <w:divBdr>
        <w:top w:val="none" w:sz="0" w:space="0" w:color="auto"/>
        <w:left w:val="none" w:sz="0" w:space="0" w:color="auto"/>
        <w:bottom w:val="none" w:sz="0" w:space="0" w:color="auto"/>
        <w:right w:val="none" w:sz="0" w:space="0" w:color="auto"/>
      </w:divBdr>
    </w:div>
    <w:div w:id="575213674">
      <w:bodyDiv w:val="1"/>
      <w:marLeft w:val="0"/>
      <w:marRight w:val="0"/>
      <w:marTop w:val="0"/>
      <w:marBottom w:val="0"/>
      <w:divBdr>
        <w:top w:val="none" w:sz="0" w:space="0" w:color="auto"/>
        <w:left w:val="none" w:sz="0" w:space="0" w:color="auto"/>
        <w:bottom w:val="none" w:sz="0" w:space="0" w:color="auto"/>
        <w:right w:val="none" w:sz="0" w:space="0" w:color="auto"/>
      </w:divBdr>
    </w:div>
    <w:div w:id="597638832">
      <w:bodyDiv w:val="1"/>
      <w:marLeft w:val="0"/>
      <w:marRight w:val="0"/>
      <w:marTop w:val="0"/>
      <w:marBottom w:val="0"/>
      <w:divBdr>
        <w:top w:val="none" w:sz="0" w:space="0" w:color="auto"/>
        <w:left w:val="none" w:sz="0" w:space="0" w:color="auto"/>
        <w:bottom w:val="none" w:sz="0" w:space="0" w:color="auto"/>
        <w:right w:val="none" w:sz="0" w:space="0" w:color="auto"/>
      </w:divBdr>
    </w:div>
    <w:div w:id="733510125">
      <w:bodyDiv w:val="1"/>
      <w:marLeft w:val="0"/>
      <w:marRight w:val="0"/>
      <w:marTop w:val="0"/>
      <w:marBottom w:val="0"/>
      <w:divBdr>
        <w:top w:val="none" w:sz="0" w:space="0" w:color="auto"/>
        <w:left w:val="none" w:sz="0" w:space="0" w:color="auto"/>
        <w:bottom w:val="none" w:sz="0" w:space="0" w:color="auto"/>
        <w:right w:val="none" w:sz="0" w:space="0" w:color="auto"/>
      </w:divBdr>
    </w:div>
    <w:div w:id="889532991">
      <w:bodyDiv w:val="1"/>
      <w:marLeft w:val="0"/>
      <w:marRight w:val="0"/>
      <w:marTop w:val="0"/>
      <w:marBottom w:val="0"/>
      <w:divBdr>
        <w:top w:val="none" w:sz="0" w:space="0" w:color="auto"/>
        <w:left w:val="none" w:sz="0" w:space="0" w:color="auto"/>
        <w:bottom w:val="none" w:sz="0" w:space="0" w:color="auto"/>
        <w:right w:val="none" w:sz="0" w:space="0" w:color="auto"/>
      </w:divBdr>
    </w:div>
    <w:div w:id="952176280">
      <w:bodyDiv w:val="1"/>
      <w:marLeft w:val="0"/>
      <w:marRight w:val="0"/>
      <w:marTop w:val="0"/>
      <w:marBottom w:val="0"/>
      <w:divBdr>
        <w:top w:val="none" w:sz="0" w:space="0" w:color="auto"/>
        <w:left w:val="none" w:sz="0" w:space="0" w:color="auto"/>
        <w:bottom w:val="none" w:sz="0" w:space="0" w:color="auto"/>
        <w:right w:val="none" w:sz="0" w:space="0" w:color="auto"/>
      </w:divBdr>
    </w:div>
    <w:div w:id="1058556636">
      <w:bodyDiv w:val="1"/>
      <w:marLeft w:val="0"/>
      <w:marRight w:val="0"/>
      <w:marTop w:val="0"/>
      <w:marBottom w:val="0"/>
      <w:divBdr>
        <w:top w:val="none" w:sz="0" w:space="0" w:color="auto"/>
        <w:left w:val="none" w:sz="0" w:space="0" w:color="auto"/>
        <w:bottom w:val="none" w:sz="0" w:space="0" w:color="auto"/>
        <w:right w:val="none" w:sz="0" w:space="0" w:color="auto"/>
      </w:divBdr>
    </w:div>
    <w:div w:id="1061362626">
      <w:bodyDiv w:val="1"/>
      <w:marLeft w:val="0"/>
      <w:marRight w:val="0"/>
      <w:marTop w:val="0"/>
      <w:marBottom w:val="0"/>
      <w:divBdr>
        <w:top w:val="none" w:sz="0" w:space="0" w:color="auto"/>
        <w:left w:val="none" w:sz="0" w:space="0" w:color="auto"/>
        <w:bottom w:val="none" w:sz="0" w:space="0" w:color="auto"/>
        <w:right w:val="none" w:sz="0" w:space="0" w:color="auto"/>
      </w:divBdr>
    </w:div>
    <w:div w:id="1064137876">
      <w:bodyDiv w:val="1"/>
      <w:marLeft w:val="0"/>
      <w:marRight w:val="0"/>
      <w:marTop w:val="0"/>
      <w:marBottom w:val="0"/>
      <w:divBdr>
        <w:top w:val="none" w:sz="0" w:space="0" w:color="auto"/>
        <w:left w:val="none" w:sz="0" w:space="0" w:color="auto"/>
        <w:bottom w:val="none" w:sz="0" w:space="0" w:color="auto"/>
        <w:right w:val="none" w:sz="0" w:space="0" w:color="auto"/>
      </w:divBdr>
    </w:div>
    <w:div w:id="1085153159">
      <w:bodyDiv w:val="1"/>
      <w:marLeft w:val="0"/>
      <w:marRight w:val="0"/>
      <w:marTop w:val="0"/>
      <w:marBottom w:val="0"/>
      <w:divBdr>
        <w:top w:val="none" w:sz="0" w:space="0" w:color="auto"/>
        <w:left w:val="none" w:sz="0" w:space="0" w:color="auto"/>
        <w:bottom w:val="none" w:sz="0" w:space="0" w:color="auto"/>
        <w:right w:val="none" w:sz="0" w:space="0" w:color="auto"/>
      </w:divBdr>
    </w:div>
    <w:div w:id="1098527318">
      <w:bodyDiv w:val="1"/>
      <w:marLeft w:val="0"/>
      <w:marRight w:val="0"/>
      <w:marTop w:val="0"/>
      <w:marBottom w:val="0"/>
      <w:divBdr>
        <w:top w:val="none" w:sz="0" w:space="0" w:color="auto"/>
        <w:left w:val="none" w:sz="0" w:space="0" w:color="auto"/>
        <w:bottom w:val="none" w:sz="0" w:space="0" w:color="auto"/>
        <w:right w:val="none" w:sz="0" w:space="0" w:color="auto"/>
      </w:divBdr>
    </w:div>
    <w:div w:id="1116366278">
      <w:bodyDiv w:val="1"/>
      <w:marLeft w:val="0"/>
      <w:marRight w:val="0"/>
      <w:marTop w:val="0"/>
      <w:marBottom w:val="0"/>
      <w:divBdr>
        <w:top w:val="none" w:sz="0" w:space="0" w:color="auto"/>
        <w:left w:val="none" w:sz="0" w:space="0" w:color="auto"/>
        <w:bottom w:val="none" w:sz="0" w:space="0" w:color="auto"/>
        <w:right w:val="none" w:sz="0" w:space="0" w:color="auto"/>
      </w:divBdr>
    </w:div>
    <w:div w:id="1166632896">
      <w:bodyDiv w:val="1"/>
      <w:marLeft w:val="0"/>
      <w:marRight w:val="0"/>
      <w:marTop w:val="0"/>
      <w:marBottom w:val="0"/>
      <w:divBdr>
        <w:top w:val="none" w:sz="0" w:space="0" w:color="auto"/>
        <w:left w:val="none" w:sz="0" w:space="0" w:color="auto"/>
        <w:bottom w:val="none" w:sz="0" w:space="0" w:color="auto"/>
        <w:right w:val="none" w:sz="0" w:space="0" w:color="auto"/>
      </w:divBdr>
    </w:div>
    <w:div w:id="1185821737">
      <w:bodyDiv w:val="1"/>
      <w:marLeft w:val="0"/>
      <w:marRight w:val="0"/>
      <w:marTop w:val="0"/>
      <w:marBottom w:val="0"/>
      <w:divBdr>
        <w:top w:val="none" w:sz="0" w:space="0" w:color="auto"/>
        <w:left w:val="none" w:sz="0" w:space="0" w:color="auto"/>
        <w:bottom w:val="none" w:sz="0" w:space="0" w:color="auto"/>
        <w:right w:val="none" w:sz="0" w:space="0" w:color="auto"/>
      </w:divBdr>
    </w:div>
    <w:div w:id="1243100872">
      <w:bodyDiv w:val="1"/>
      <w:marLeft w:val="0"/>
      <w:marRight w:val="0"/>
      <w:marTop w:val="0"/>
      <w:marBottom w:val="0"/>
      <w:divBdr>
        <w:top w:val="none" w:sz="0" w:space="0" w:color="auto"/>
        <w:left w:val="none" w:sz="0" w:space="0" w:color="auto"/>
        <w:bottom w:val="none" w:sz="0" w:space="0" w:color="auto"/>
        <w:right w:val="none" w:sz="0" w:space="0" w:color="auto"/>
      </w:divBdr>
    </w:div>
    <w:div w:id="1264604389">
      <w:bodyDiv w:val="1"/>
      <w:marLeft w:val="0"/>
      <w:marRight w:val="0"/>
      <w:marTop w:val="0"/>
      <w:marBottom w:val="0"/>
      <w:divBdr>
        <w:top w:val="none" w:sz="0" w:space="0" w:color="auto"/>
        <w:left w:val="none" w:sz="0" w:space="0" w:color="auto"/>
        <w:bottom w:val="none" w:sz="0" w:space="0" w:color="auto"/>
        <w:right w:val="none" w:sz="0" w:space="0" w:color="auto"/>
      </w:divBdr>
    </w:div>
    <w:div w:id="1355112140">
      <w:bodyDiv w:val="1"/>
      <w:marLeft w:val="0"/>
      <w:marRight w:val="0"/>
      <w:marTop w:val="0"/>
      <w:marBottom w:val="0"/>
      <w:divBdr>
        <w:top w:val="none" w:sz="0" w:space="0" w:color="auto"/>
        <w:left w:val="none" w:sz="0" w:space="0" w:color="auto"/>
        <w:bottom w:val="none" w:sz="0" w:space="0" w:color="auto"/>
        <w:right w:val="none" w:sz="0" w:space="0" w:color="auto"/>
      </w:divBdr>
    </w:div>
    <w:div w:id="1489898916">
      <w:bodyDiv w:val="1"/>
      <w:marLeft w:val="0"/>
      <w:marRight w:val="0"/>
      <w:marTop w:val="0"/>
      <w:marBottom w:val="0"/>
      <w:divBdr>
        <w:top w:val="none" w:sz="0" w:space="0" w:color="auto"/>
        <w:left w:val="none" w:sz="0" w:space="0" w:color="auto"/>
        <w:bottom w:val="none" w:sz="0" w:space="0" w:color="auto"/>
        <w:right w:val="none" w:sz="0" w:space="0" w:color="auto"/>
      </w:divBdr>
    </w:div>
    <w:div w:id="1552040696">
      <w:bodyDiv w:val="1"/>
      <w:marLeft w:val="0"/>
      <w:marRight w:val="0"/>
      <w:marTop w:val="0"/>
      <w:marBottom w:val="0"/>
      <w:divBdr>
        <w:top w:val="none" w:sz="0" w:space="0" w:color="auto"/>
        <w:left w:val="none" w:sz="0" w:space="0" w:color="auto"/>
        <w:bottom w:val="none" w:sz="0" w:space="0" w:color="auto"/>
        <w:right w:val="none" w:sz="0" w:space="0" w:color="auto"/>
      </w:divBdr>
    </w:div>
    <w:div w:id="1684867311">
      <w:bodyDiv w:val="1"/>
      <w:marLeft w:val="0"/>
      <w:marRight w:val="0"/>
      <w:marTop w:val="0"/>
      <w:marBottom w:val="0"/>
      <w:divBdr>
        <w:top w:val="none" w:sz="0" w:space="0" w:color="auto"/>
        <w:left w:val="none" w:sz="0" w:space="0" w:color="auto"/>
        <w:bottom w:val="none" w:sz="0" w:space="0" w:color="auto"/>
        <w:right w:val="none" w:sz="0" w:space="0" w:color="auto"/>
      </w:divBdr>
    </w:div>
    <w:div w:id="1696273976">
      <w:bodyDiv w:val="1"/>
      <w:marLeft w:val="0"/>
      <w:marRight w:val="0"/>
      <w:marTop w:val="0"/>
      <w:marBottom w:val="0"/>
      <w:divBdr>
        <w:top w:val="none" w:sz="0" w:space="0" w:color="auto"/>
        <w:left w:val="none" w:sz="0" w:space="0" w:color="auto"/>
        <w:bottom w:val="none" w:sz="0" w:space="0" w:color="auto"/>
        <w:right w:val="none" w:sz="0" w:space="0" w:color="auto"/>
      </w:divBdr>
    </w:div>
    <w:div w:id="1721783376">
      <w:bodyDiv w:val="1"/>
      <w:marLeft w:val="0"/>
      <w:marRight w:val="0"/>
      <w:marTop w:val="0"/>
      <w:marBottom w:val="0"/>
      <w:divBdr>
        <w:top w:val="none" w:sz="0" w:space="0" w:color="auto"/>
        <w:left w:val="none" w:sz="0" w:space="0" w:color="auto"/>
        <w:bottom w:val="none" w:sz="0" w:space="0" w:color="auto"/>
        <w:right w:val="none" w:sz="0" w:space="0" w:color="auto"/>
      </w:divBdr>
    </w:div>
    <w:div w:id="1975600487">
      <w:bodyDiv w:val="1"/>
      <w:marLeft w:val="0"/>
      <w:marRight w:val="0"/>
      <w:marTop w:val="0"/>
      <w:marBottom w:val="0"/>
      <w:divBdr>
        <w:top w:val="none" w:sz="0" w:space="0" w:color="auto"/>
        <w:left w:val="none" w:sz="0" w:space="0" w:color="auto"/>
        <w:bottom w:val="none" w:sz="0" w:space="0" w:color="auto"/>
        <w:right w:val="none" w:sz="0" w:space="0" w:color="auto"/>
      </w:divBdr>
    </w:div>
    <w:div w:id="2000301989">
      <w:bodyDiv w:val="1"/>
      <w:marLeft w:val="0"/>
      <w:marRight w:val="0"/>
      <w:marTop w:val="0"/>
      <w:marBottom w:val="0"/>
      <w:divBdr>
        <w:top w:val="none" w:sz="0" w:space="0" w:color="auto"/>
        <w:left w:val="none" w:sz="0" w:space="0" w:color="auto"/>
        <w:bottom w:val="none" w:sz="0" w:space="0" w:color="auto"/>
        <w:right w:val="none" w:sz="0" w:space="0" w:color="auto"/>
      </w:divBdr>
    </w:div>
    <w:div w:id="2031756970">
      <w:bodyDiv w:val="1"/>
      <w:marLeft w:val="0"/>
      <w:marRight w:val="0"/>
      <w:marTop w:val="0"/>
      <w:marBottom w:val="0"/>
      <w:divBdr>
        <w:top w:val="none" w:sz="0" w:space="0" w:color="auto"/>
        <w:left w:val="none" w:sz="0" w:space="0" w:color="auto"/>
        <w:bottom w:val="none" w:sz="0" w:space="0" w:color="auto"/>
        <w:right w:val="none" w:sz="0" w:space="0" w:color="auto"/>
      </w:divBdr>
    </w:div>
    <w:div w:id="2062943665">
      <w:bodyDiv w:val="1"/>
      <w:marLeft w:val="0"/>
      <w:marRight w:val="0"/>
      <w:marTop w:val="0"/>
      <w:marBottom w:val="0"/>
      <w:divBdr>
        <w:top w:val="none" w:sz="0" w:space="0" w:color="auto"/>
        <w:left w:val="none" w:sz="0" w:space="0" w:color="auto"/>
        <w:bottom w:val="none" w:sz="0" w:space="0" w:color="auto"/>
        <w:right w:val="none" w:sz="0" w:space="0" w:color="auto"/>
      </w:divBdr>
    </w:div>
    <w:div w:id="2069331019">
      <w:bodyDiv w:val="1"/>
      <w:marLeft w:val="0"/>
      <w:marRight w:val="0"/>
      <w:marTop w:val="0"/>
      <w:marBottom w:val="0"/>
      <w:divBdr>
        <w:top w:val="none" w:sz="0" w:space="0" w:color="auto"/>
        <w:left w:val="none" w:sz="0" w:space="0" w:color="auto"/>
        <w:bottom w:val="none" w:sz="0" w:space="0" w:color="auto"/>
        <w:right w:val="none" w:sz="0" w:space="0" w:color="auto"/>
      </w:divBdr>
    </w:div>
    <w:div w:id="2144229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who.int/news-room/fact-sheets/detail/climate-change-and-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kingsfund.org.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greenernh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21</Pages>
  <Words>6214</Words>
  <Characters>35423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dc:creator>
  <cp:keywords/>
  <dc:description/>
  <cp:lastModifiedBy>MUN23881123 (Queeny Muniazo)</cp:lastModifiedBy>
  <cp:revision>4</cp:revision>
  <dcterms:created xsi:type="dcterms:W3CDTF">2026-05-08T22:21:00Z</dcterms:created>
  <dcterms:modified xsi:type="dcterms:W3CDTF">2026-05-08T22:32:00Z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3edb2945-18c6-439e-8d22-048718f026b0</vt:lpwstr>
  </property>
</Properties>
</file>