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jc w:val="left"/>
        <w:rPr>
          <w:b/>
          <w:bCs/>
          <w:sz w:val="36"/>
          <w:szCs w:val="36"/>
        </w:rPr>
      </w:pPr>
      <w:r>
        <w:rPr/>
        <w:drawing>
          <wp:inline distL="114300" distT="0" distB="0" distR="114300">
            <wp:extent cx="2464802" cy="880901"/>
            <wp:effectExtent l="0" t="0" r="0" b="0"/>
            <wp:docPr id="1026"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
                    <pic:cNvPicPr/>
                  </pic:nvPicPr>
                  <pic:blipFill>
                    <a:blip r:embed="rId2" cstate="print"/>
                    <a:srcRect l="0" t="0" r="0" b="0"/>
                    <a:stretch/>
                  </pic:blipFill>
                  <pic:spPr>
                    <a:xfrm rot="0">
                      <a:off x="0" y="0"/>
                      <a:ext cx="2464802" cy="880901"/>
                    </a:xfrm>
                    <a:prstGeom prst="rect"/>
                  </pic:spPr>
                </pic:pic>
              </a:graphicData>
            </a:graphic>
          </wp:inline>
        </w:drawing>
      </w:r>
    </w:p>
    <w:p>
      <w:pPr>
        <w:pStyle w:val="style0"/>
        <w:jc w:val="center"/>
        <w:rPr>
          <w:b/>
          <w:bCs/>
          <w:sz w:val="36"/>
          <w:szCs w:val="36"/>
        </w:rPr>
      </w:pPr>
      <w:r>
        <w:rPr>
          <w:b/>
          <w:bCs/>
          <w:sz w:val="36"/>
          <w:szCs w:val="36"/>
        </w:rPr>
        <w:t xml:space="preserve">University of </w:t>
      </w:r>
      <w:r>
        <w:rPr>
          <w:b/>
          <w:bCs/>
          <w:sz w:val="36"/>
          <w:szCs w:val="36"/>
          <w:lang w:val="en-US"/>
        </w:rPr>
        <w:t xml:space="preserve">Wales </w:t>
      </w:r>
      <w:r>
        <w:rPr>
          <w:b/>
          <w:bCs/>
          <w:sz w:val="36"/>
          <w:szCs w:val="36"/>
        </w:rPr>
        <w:t>Trinity Saint David</w:t>
      </w:r>
    </w:p>
    <w:p>
      <w:pPr>
        <w:pStyle w:val="style0"/>
        <w:jc w:val="center"/>
        <w:rPr>
          <w:b/>
          <w:bCs/>
          <w:sz w:val="36"/>
          <w:szCs w:val="36"/>
        </w:rPr>
      </w:pPr>
      <w:r>
        <w:rPr>
          <w:b/>
          <w:bCs/>
          <w:sz w:val="36"/>
          <w:szCs w:val="36"/>
        </w:rPr>
        <w:t>​</w:t>
      </w:r>
      <w:r>
        <w:rPr>
          <w:b/>
          <w:bCs/>
          <w:sz w:val="36"/>
          <w:szCs w:val="36"/>
          <w:lang w:val="en-US"/>
        </w:rPr>
        <w:t xml:space="preserve">LCHS4010: </w:t>
      </w:r>
      <w:r>
        <w:rPr>
          <w:b/>
          <w:bCs/>
          <w:sz w:val="36"/>
          <w:szCs w:val="36"/>
        </w:rPr>
        <w:t>Psychology in Health and Social Care</w:t>
      </w:r>
    </w:p>
    <w:p>
      <w:pPr>
        <w:pStyle w:val="style0"/>
        <w:jc w:val="center"/>
        <w:rPr>
          <w:b w:val="false"/>
          <w:bCs w:val="false"/>
          <w:sz w:val="36"/>
          <w:szCs w:val="36"/>
        </w:rPr>
      </w:pPr>
      <w:r>
        <w:rPr>
          <w:b/>
          <w:bCs/>
          <w:sz w:val="36"/>
          <w:szCs w:val="36"/>
        </w:rPr>
        <w:t>​</w:t>
      </w:r>
      <w:r>
        <w:rPr>
          <w:b w:val="false"/>
          <w:bCs w:val="false"/>
          <w:sz w:val="36"/>
          <w:szCs w:val="36"/>
        </w:rPr>
        <w:t>Student name: Jenny Elizabeth Torres Crespo</w:t>
      </w:r>
    </w:p>
    <w:p>
      <w:pPr>
        <w:pStyle w:val="style0"/>
        <w:jc w:val="center"/>
        <w:rPr>
          <w:b w:val="false"/>
          <w:bCs w:val="false"/>
          <w:sz w:val="36"/>
          <w:szCs w:val="36"/>
        </w:rPr>
      </w:pPr>
      <w:r>
        <w:rPr>
          <w:b w:val="false"/>
          <w:bCs w:val="false"/>
          <w:sz w:val="36"/>
          <w:szCs w:val="36"/>
        </w:rPr>
        <w:t>​Student number: 2511145</w:t>
      </w:r>
    </w:p>
    <w:p>
      <w:pPr>
        <w:pStyle w:val="style0"/>
        <w:jc w:val="center"/>
        <w:rPr>
          <w:b w:val="false"/>
          <w:bCs w:val="false"/>
          <w:sz w:val="36"/>
          <w:szCs w:val="36"/>
        </w:rPr>
      </w:pPr>
      <w:r>
        <w:rPr>
          <w:b w:val="false"/>
          <w:bCs w:val="false"/>
          <w:sz w:val="36"/>
          <w:szCs w:val="36"/>
        </w:rPr>
        <w:t>​Lecturer's name: Lou Wells</w:t>
      </w:r>
    </w:p>
    <w:p>
      <w:pPr>
        <w:pStyle w:val="style0"/>
        <w:jc w:val="center"/>
        <w:rPr>
          <w:b/>
          <w:bCs/>
          <w:sz w:val="36"/>
          <w:szCs w:val="36"/>
        </w:rPr>
      </w:pPr>
    </w:p>
    <w:p>
      <w:pPr>
        <w:pStyle w:val="style0"/>
        <w:jc w:val="center"/>
        <w:rPr>
          <w:b/>
          <w:bCs/>
          <w:sz w:val="36"/>
          <w:szCs w:val="36"/>
        </w:rPr>
      </w:pPr>
    </w:p>
    <w:p>
      <w:pPr>
        <w:pStyle w:val="style0"/>
        <w:jc w:val="both"/>
        <w:rPr>
          <w:b/>
          <w:bCs/>
          <w:sz w:val="36"/>
          <w:szCs w:val="36"/>
        </w:rPr>
      </w:pPr>
      <w:r>
        <w:rPr>
          <w:b/>
          <w:bCs/>
          <w:sz w:val="36"/>
          <w:szCs w:val="36"/>
        </w:rPr>
        <w:t xml:space="preserve">​Acknowledgement of the use of AI tools </w:t>
      </w:r>
    </w:p>
    <w:p>
      <w:pPr>
        <w:pStyle w:val="style0"/>
        <w:jc w:val="both"/>
        <w:rPr>
          <w:b w:val="false"/>
          <w:bCs w:val="false"/>
          <w:sz w:val="24"/>
          <w:szCs w:val="24"/>
        </w:rPr>
      </w:pPr>
      <w:r>
        <w:rPr>
          <w:b w:val="false"/>
          <w:bCs w:val="false"/>
          <w:sz w:val="24"/>
          <w:szCs w:val="24"/>
        </w:rPr>
        <w:t>I confirm that I have not used any AI tools in the research and creation of this assignment. I confirm that I have not presented any AI generated materials as my own work.</w:t>
      </w:r>
    </w:p>
    <w:p>
      <w:pPr>
        <w:pStyle w:val="style0"/>
        <w:jc w:val="center"/>
        <w:rPr>
          <w:b/>
          <w:bCs/>
          <w:sz w:val="32"/>
          <w:szCs w:val="32"/>
        </w:rPr>
      </w:pPr>
      <w:r>
        <w:br w:type="page"/>
      </w:r>
      <w:bookmarkStart w:id="0" w:name="_jga6c7kjc5r0" w:colFirst="0" w:colLast="0"/>
      <w:bookmarkEnd w:id="0"/>
    </w:p>
    <w:bookmarkStart w:id="1" w:name="_Toc237272074"/>
    <w:p>
      <w:pPr>
        <w:pStyle w:val="style1"/>
        <w:rPr/>
      </w:pPr>
      <w:r>
        <w:t>Introduction</w:t>
      </w:r>
      <w:bookmarkEnd w:id="1"/>
      <w:r>
        <w:t xml:space="preserve"> </w:t>
      </w:r>
    </w:p>
    <w:p>
      <w:pPr>
        <w:pStyle w:val="style0"/>
        <w:rPr/>
      </w:pPr>
      <w:r>
        <w:t>Over time, social media use has become one of the most integral parts of adolescent life, as it offers people entertainment opportunities, allows them to express themse</w:t>
      </w:r>
      <w:r>
        <w:t xml:space="preserve">lves, and helps in maintaining relationships and communication as well. Several social media platforms, including Instagram, </w:t>
      </w:r>
      <w:r>
        <w:t>TikTok</w:t>
      </w:r>
      <w:r>
        <w:t>, Snapchat and even Facebook, help adolescents interact effectively with their peers and even construct online identities, he</w:t>
      </w:r>
      <w:r>
        <w:t>lping in forming an opinion. The aspects of social acceptance, rejection, comparison and social belonging develop complex psychological, emotional and social changes that ultimately lead to depression, anxiety, low self-esteem, sleep problems, psychologica</w:t>
      </w:r>
      <w:r>
        <w:t>l distress and even poor mental health. The essay will discuss the impact of social media on the mental health of adolescents. In doing so, Erikson's psychosocial development theory and Bowlby's attachment theory will be used to reach a critical evaluation</w:t>
      </w:r>
      <w:r>
        <w:t xml:space="preserve"> and conclusion for this essay. </w:t>
      </w:r>
    </w:p>
    <w:bookmarkStart w:id="2" w:name="_3kblnz1g5c5q" w:colFirst="0" w:colLast="0"/>
    <w:bookmarkStart w:id="3" w:name="_Toc237272075"/>
    <w:bookmarkEnd w:id="2"/>
    <w:p>
      <w:pPr>
        <w:pStyle w:val="style1"/>
        <w:rPr/>
      </w:pPr>
      <w:r>
        <w:t>Main Body</w:t>
      </w:r>
      <w:bookmarkEnd w:id="3"/>
      <w:r>
        <w:t xml:space="preserve"> </w:t>
      </w:r>
    </w:p>
    <w:p>
      <w:pPr>
        <w:pStyle w:val="style0"/>
        <w:rPr/>
      </w:pPr>
      <w:r>
        <w:t>As already mentioned, social media can impact the adolescent mind in different ways, and most importantly, due to overuse of social media, this could lead to the development of poor mental health symptoms like de</w:t>
      </w:r>
      <w:r>
        <w:t xml:space="preserve">pression, anxiety, low self-esteem, psychological distress and even poor sleep patterns. As per Merino </w:t>
      </w:r>
      <w:r>
        <w:rPr>
          <w:i/>
          <w:iCs/>
        </w:rPr>
        <w:t>et al.</w:t>
      </w:r>
      <w:r>
        <w:t xml:space="preserve"> (2024), Social rejection due to not having a particular body structure or for not fitting the measured body measurements can lead to low self-este</w:t>
      </w:r>
      <w:r>
        <w:t>em, and that in turn may develop men</w:t>
      </w:r>
      <w:r>
        <w:t>tal health issues. While social</w:t>
      </w:r>
      <w:r>
        <w:t xml:space="preserve"> comparison with another peer without any explanation may also leave negative impacts on the adolescent mind. This particular concept states that people start comparing themselves with oth</w:t>
      </w:r>
      <w:r>
        <w:t>ers' appearance, friendships, achievements and even lifestyle, which hinders their own identity and leads to anxiety and psychological stress. On the other hand, social media communication may also lead to rejection or social exclusion due to a lack of lik</w:t>
      </w:r>
      <w:r>
        <w:t xml:space="preserve">ability, and that may also lead to depression and poor sleep patterns. While </w:t>
      </w:r>
      <w:r>
        <w:t>Iroegbu</w:t>
      </w:r>
      <w:r>
        <w:t xml:space="preserve"> </w:t>
      </w:r>
      <w:r>
        <w:rPr>
          <w:i/>
          <w:iCs/>
        </w:rPr>
        <w:t>et al.</w:t>
      </w:r>
      <w:r>
        <w:t xml:space="preserve"> (2024), stated that cyberbullying and sexual harassment, </w:t>
      </w:r>
      <w:r>
        <w:t>especially</w:t>
      </w:r>
      <w:r>
        <w:t xml:space="preserve"> among adolescent girls, may lead to the development of anxiety and severe mental trauma that may</w:t>
      </w:r>
      <w:r>
        <w:t xml:space="preserve"> shape their mental health negatively, leading to the development of chronic mental illness jeopardising the natural and healthy lifestyle of an individual. </w:t>
      </w:r>
    </w:p>
    <w:p>
      <w:pPr>
        <w:pStyle w:val="style0"/>
        <w:rPr/>
      </w:pPr>
      <w:r>
        <w:t xml:space="preserve">According to de </w:t>
      </w:r>
      <w:r>
        <w:t>Carvalho</w:t>
      </w:r>
      <w:r>
        <w:t xml:space="preserve"> and </w:t>
      </w:r>
      <w:r>
        <w:t>Veiga</w:t>
      </w:r>
      <w:r>
        <w:t xml:space="preserve"> (2022), Erikson's Psychosocial Development Theory can be stated</w:t>
      </w:r>
      <w:r>
        <w:t xml:space="preserve"> as a useful framework to understand adolescence as the stages of role confusion, due </w:t>
      </w:r>
      <w:r>
        <w:t>to which young people often attempt to establish their identity in society. In this context, social media offers them the opportunities to establish their own identity, o</w:t>
      </w:r>
      <w:r>
        <w:t>pinion and ideas that can easily be communicated and expanded, through which they try to fit in with society. They often use different photographs, information and their interests to grab the attention of their peers, and this sometimes helps in the develo</w:t>
      </w:r>
      <w:r>
        <w:t>pment of a positive identity as well, which helps in reducing role confusion. However, a dark side of Erikson's Theory has also been explored, based on which the latter stated that the development of adolescent people depends highly on social relationships</w:t>
      </w:r>
      <w:r>
        <w:t xml:space="preserve"> and the wider social environment, and thus, the surrounding circumstances can easily influence them. </w:t>
      </w:r>
      <w:r>
        <w:t>Ademiluyi</w:t>
      </w:r>
      <w:r>
        <w:t xml:space="preserve"> </w:t>
      </w:r>
      <w:r>
        <w:rPr>
          <w:i/>
          <w:iCs/>
        </w:rPr>
        <w:t>et al.</w:t>
      </w:r>
      <w:r>
        <w:t xml:space="preserve"> (2022), stated that negative comments, exclusion from a social group or negative peer or follower reactions, along with cyberbullying, ma</w:t>
      </w:r>
      <w:r>
        <w:t>y lead to less social approval and hindrance to the development of role or identity among adolescent people. Here, a limitation of Erikson's Theory can still be seen, as this was developed long before the development of the social media context; thus, this</w:t>
      </w:r>
      <w:r>
        <w:t xml:space="preserve"> particular theory cannot fully justify the discussion of the impact of social media on adolescence in the digital landscape. However, the main sense can easily be established with the notion of social exclusion and its importance to fit in. </w:t>
      </w:r>
    </w:p>
    <w:p>
      <w:pPr>
        <w:pStyle w:val="style0"/>
        <w:rPr/>
      </w:pPr>
      <w:r>
        <w:t>Apart from th</w:t>
      </w:r>
      <w:r>
        <w:t xml:space="preserve">at, Bowlby's Attachment Theory comes with another significant perspective which also helps in understanding the interrelationship between social media and adolescent mental health. According to </w:t>
      </w:r>
      <w:r>
        <w:t>Vertel</w:t>
      </w:r>
      <w:r>
        <w:t xml:space="preserve"> (2023), Bowlby’s Attachment Theory argues that the earl</w:t>
      </w:r>
      <w:r>
        <w:t>y relationships with caregivers are largely responsible for contributing towards the development of the internal working models, which in the larger context influence how an individual opts for understanding the relationships and even responds to the socia</w:t>
      </w:r>
      <w:r>
        <w:t>l experiences. The principles of this theory can help in understanding that Adolescents with secure relationships may use social media and potentially respond to the additional methods for the maintenance of supportive and secure relationships. While one w</w:t>
      </w:r>
      <w:r>
        <w:t>ith insecure or poor early relationships may find social media to be a coping mechanism and tend to experience insecurity due to a lack of acceptance of it by followers or peers. Pandey (2025), opined that friendships with a huge geographical gap or with a</w:t>
      </w:r>
      <w:r>
        <w:t xml:space="preserve"> lack of face-to-face interactions can be harmful, as these virtual interactions may put additional pressures on the vulnerable adolescents.  On the other hand, from the attachment perspective, as per attachment theory, repeated rejection on the part of vu</w:t>
      </w:r>
      <w:r>
        <w:t xml:space="preserve">lnerable adolescent mind develops difficulties for self-esteem and trust in interpersonal relationships. </w:t>
      </w:r>
    </w:p>
    <w:p>
      <w:pPr>
        <w:pStyle w:val="style0"/>
        <w:rPr/>
      </w:pPr>
      <w:r>
        <w:t>Erikson’s Psychosocial Development Theory can be stated as highly relevant in the health and social care setting for older adults, as this offers a vi</w:t>
      </w:r>
      <w:r>
        <w:t xml:space="preserve">tal framework for person-centred care for </w:t>
      </w:r>
      <w:r>
        <w:t>looking beyond the physical ailments and addressing the emotional, social, as well as existential well-being of the older adults. This theory is applied for evaluating the meaning of the life of people who are 65 y</w:t>
      </w:r>
      <w:r>
        <w:t>ears of age or older, considered as older adults, and promotes integrity with the help of care workers by encouraging them to indulge in life review, honouring past achievements and even reminiscence therapy. The application of this theory also helps in ad</w:t>
      </w:r>
      <w:r>
        <w:t xml:space="preserve">dressing loneliness, issues of loss of independence and even unresolved grief, which helps in the reduction of depression and anxiety (de </w:t>
      </w:r>
      <w:r>
        <w:t>Carvalho</w:t>
      </w:r>
      <w:r>
        <w:t xml:space="preserve"> and </w:t>
      </w:r>
      <w:r>
        <w:t>Veiga</w:t>
      </w:r>
      <w:r>
        <w:t xml:space="preserve">, 2022). Thus, it can be seen that through past life reflections, the care workers try to boost the </w:t>
      </w:r>
      <w:r>
        <w:t xml:space="preserve">motivation of older adults to find new meaning in life and their self-worth as well. </w:t>
      </w:r>
      <w:r>
        <w:t>However,</w:t>
      </w:r>
      <w:r>
        <w:t xml:space="preserve"> some limitations of this theory and its application in older adults’ health and social care and linear bias is one of those. Due to this system, assumptions of a </w:t>
      </w:r>
      <w:r>
        <w:t>fixed part of upward integrity fail to account for people who are bound between life crises. On the other hand, Erikson's Psychosocial Development Theory can also wrongly frame the aspect of natural grief, chronic pain or depression, which may lead to pers</w:t>
      </w:r>
      <w:r>
        <w:t xml:space="preserve">onal fear of failure or despair (de </w:t>
      </w:r>
      <w:r>
        <w:t>Carvalho</w:t>
      </w:r>
      <w:r>
        <w:t xml:space="preserve"> and </w:t>
      </w:r>
      <w:r>
        <w:t>Veiga</w:t>
      </w:r>
      <w:r>
        <w:t>, 2022). Apart from that, this particular theory overlooks how factors like inadequate housing, poverty, and poor access to social care impact the mental health and wellbeing of individuals in late life</w:t>
      </w:r>
      <w:r>
        <w:t xml:space="preserve">. Even after so many criticisms, it can be said that for person-centred care, offering patients holistic support can combat isolation. Thus, it can easily be said that this theory helps in fostering a sense of continued contribution. </w:t>
      </w:r>
    </w:p>
    <w:p>
      <w:pPr>
        <w:pStyle w:val="style0"/>
        <w:rPr/>
      </w:pPr>
      <w:r>
        <w:t>On the other hand, Jo</w:t>
      </w:r>
      <w:r>
        <w:t>hn Bowlby’s Attachment Theory is highly relevant in the health and social care sector for older adults, although this generally focuses on infants. Bowlby, in his theory, noted that attachment systems operate "from cradle to the grave" and in later life, t</w:t>
      </w:r>
      <w:r>
        <w:t>ransitions such as bereavement and chronic illness increase the need towards security mechanisms. This theory in the health and social care setting helps in coping with losses as older adults face frequent losses of friends, partners, and even physical ind</w:t>
      </w:r>
      <w:r>
        <w:t>ependence (</w:t>
      </w:r>
      <w:r>
        <w:t>Vertel</w:t>
      </w:r>
      <w:r>
        <w:t>, 2023). This theory helps them in adapting to grief by explaining the reasons and helps them cope with profound anxiety or severe withdrawal. While this theory also helps them to interpret distress as their behaviours involving calling, c</w:t>
      </w:r>
      <w:r>
        <w:t>linging or expressing extreme anger to</w:t>
      </w:r>
      <w:r>
        <w:t>wards</w:t>
      </w:r>
      <w:r>
        <w:t xml:space="preserve"> the care persons are adaptive attempts to ask and seek safety as well as proximity at the stage when they feel extremely vulnerable. Any changes in cognition and impairment can automatically hinder the coping ski</w:t>
      </w:r>
      <w:r>
        <w:t>lls of the older adults, while using the method of recognising attachment needs helps them in understanding responsive behaviours among the people dealing with dementia. Thus, it can be said that this Attachment Theory is highly relevant in this context of</w:t>
      </w:r>
      <w:r>
        <w:t xml:space="preserve"> health and social care among older adults (</w:t>
      </w:r>
      <w:r>
        <w:t>Vertel</w:t>
      </w:r>
      <w:r>
        <w:t xml:space="preserve">, 2023). However, some limitations like the risk of </w:t>
      </w:r>
      <w:r>
        <w:t>misinterpretation can also be seen, based on which the older adults can mislabel the adaptive and self-reliant independence, which contributes to the deve</w:t>
      </w:r>
      <w:r>
        <w:t xml:space="preserve">lopment of pathological insecure attachment. On the other hand, another significant limitation is highly related to the sector, as in the strained health and social care context of the UK </w:t>
      </w:r>
      <w:r>
        <w:t>these systems</w:t>
      </w:r>
      <w:r>
        <w:t xml:space="preserve"> can lead to issues of high staff turnover, which often</w:t>
      </w:r>
      <w:r>
        <w:t xml:space="preserve"> restricts the formation of stable yet surrogate attachment figures. Yet this theory is highly relevant in shaping staff-respondent bonds to the core if applied. </w:t>
      </w:r>
    </w:p>
    <w:bookmarkStart w:id="4" w:name="_tx23p1fo16zx" w:colFirst="0" w:colLast="0"/>
    <w:bookmarkStart w:id="5" w:name="_Toc237272076"/>
    <w:bookmarkEnd w:id="4"/>
    <w:p>
      <w:pPr>
        <w:pStyle w:val="style1"/>
        <w:rPr/>
      </w:pPr>
      <w:r>
        <w:t>Conclusion</w:t>
      </w:r>
      <w:bookmarkEnd w:id="5"/>
      <w:r>
        <w:t xml:space="preserve"> </w:t>
      </w:r>
    </w:p>
    <w:p>
      <w:pPr>
        <w:pStyle w:val="style0"/>
        <w:rPr/>
      </w:pPr>
      <w:r>
        <w:t>To conclude, it can be said that social media can crucially impact adolescent mental health; however, these impacts cannot completely be positive or completely negative. The body-image pressures, online rejection, cyberbullying or social comparison may lea</w:t>
      </w:r>
      <w:r>
        <w:t>d to disturbed sleep patterns or psychological difficulties, while social media can also offer support to emotionally vulnerable people by helping them state their voice and opinion. Thus, based on both Erikson's Psychosocial Development Theory and Bowlby'</w:t>
      </w:r>
      <w:r>
        <w:t xml:space="preserve">s Attachment Theory, these factors have been evaluated within the essay that has been conducted, along with their critical appreciation of how the principles of these theories can support adolescent people in supporting their mental health needs. </w:t>
      </w:r>
      <w:r>
        <w:br w:type="page"/>
      </w:r>
    </w:p>
    <w:bookmarkStart w:id="6" w:name="_3lwdupj4b6gx" w:colFirst="0" w:colLast="0"/>
    <w:bookmarkStart w:id="7" w:name="_Toc237272077"/>
    <w:bookmarkEnd w:id="6"/>
    <w:p>
      <w:pPr>
        <w:pStyle w:val="style1"/>
        <w:rPr/>
      </w:pPr>
      <w:r>
        <w:t>Referen</w:t>
      </w:r>
      <w:r>
        <w:t>ces</w:t>
      </w:r>
      <w:bookmarkEnd w:id="7"/>
      <w:r>
        <w:t xml:space="preserve"> </w:t>
      </w:r>
    </w:p>
    <w:p>
      <w:pPr>
        <w:pStyle w:val="style0"/>
        <w:spacing w:before="240"/>
        <w:rPr/>
      </w:pPr>
      <w:r>
        <w:t>Ademiluyi</w:t>
      </w:r>
      <w:r>
        <w:t xml:space="preserve">, A., Li, C. and Park, A., 2022. Implications and preventions of cyberbullying and social exclusion in social media: systematic review. </w:t>
      </w:r>
      <w:r>
        <w:rPr>
          <w:i/>
          <w:iCs/>
        </w:rPr>
        <w:t>JMIR formative research, 6(1)</w:t>
      </w:r>
      <w:r>
        <w:t>, p.e30286.</w:t>
      </w:r>
    </w:p>
    <w:p>
      <w:pPr>
        <w:pStyle w:val="style0"/>
        <w:spacing w:before="240"/>
        <w:rPr/>
      </w:pPr>
      <w:r>
        <w:t>de</w:t>
      </w:r>
      <w:r>
        <w:t xml:space="preserve"> </w:t>
      </w:r>
      <w:r>
        <w:t>Carvalho</w:t>
      </w:r>
      <w:r>
        <w:t xml:space="preserve">, N.A. and </w:t>
      </w:r>
      <w:r>
        <w:t>Veiga</w:t>
      </w:r>
      <w:r>
        <w:t xml:space="preserve">, F.H., 2022. Psychosocial development research in adolescence: A scoping review. </w:t>
      </w:r>
      <w:r>
        <w:rPr>
          <w:i/>
          <w:iCs/>
        </w:rPr>
        <w:t>Trends in Psychology, 30(4)</w:t>
      </w:r>
      <w:r>
        <w:t>, pp.640-669.</w:t>
      </w:r>
    </w:p>
    <w:p>
      <w:pPr>
        <w:pStyle w:val="style0"/>
        <w:spacing w:before="240"/>
        <w:rPr/>
      </w:pPr>
      <w:r>
        <w:t>Iroegbu</w:t>
      </w:r>
      <w:r>
        <w:t xml:space="preserve">, M., O’Brien, F. and Parsons, G., 2024. Investigating the psychological </w:t>
      </w:r>
      <w:bookmarkStart w:id="8" w:name="_GoBack"/>
      <w:bookmarkEnd w:id="8"/>
      <w:r>
        <w:t xml:space="preserve">impact of cyber-sexual harassment. </w:t>
      </w:r>
      <w:r>
        <w:rPr>
          <w:i/>
          <w:iCs/>
        </w:rPr>
        <w:t>Journal of Interpersonal Violence, 39(15-16)</w:t>
      </w:r>
      <w:r>
        <w:t>, pp.3424-3445.</w:t>
      </w:r>
    </w:p>
    <w:p>
      <w:pPr>
        <w:pStyle w:val="style0"/>
        <w:spacing w:before="240"/>
        <w:rPr/>
      </w:pPr>
      <w:r>
        <w:t xml:space="preserve">Merino, M., </w:t>
      </w:r>
      <w:r>
        <w:t>Tornero</w:t>
      </w:r>
      <w:r>
        <w:t xml:space="preserve">-Aguilera, J.F and Clemente-Suárez, V.J., 2024, July. Body perceptions and psychological well-being: a review of the impact of social media and physical measurements on self-esteem and mental health. </w:t>
      </w:r>
      <w:r>
        <w:rPr>
          <w:i/>
          <w:iCs/>
        </w:rPr>
        <w:t>In Healthcare (Vol. 12, No. 14, p. 1396).</w:t>
      </w:r>
      <w:r>
        <w:t xml:space="preserve"> MDPI.</w:t>
      </w:r>
    </w:p>
    <w:p>
      <w:pPr>
        <w:pStyle w:val="style0"/>
        <w:spacing w:before="240"/>
        <w:rPr/>
      </w:pPr>
      <w:r>
        <w:t xml:space="preserve">Pandey, T., 2025. Challenges </w:t>
      </w:r>
      <w:r>
        <w:t>During</w:t>
      </w:r>
      <w:r>
        <w:t xml:space="preserve"> Adolescence: Social-Emotional Perspective in a </w:t>
      </w:r>
      <w:r>
        <w:t>Hyperconnected</w:t>
      </w:r>
      <w:r>
        <w:t xml:space="preserve"> World. In Improving Healthcare Quality and Patient Engagement: </w:t>
      </w:r>
      <w:r>
        <w:rPr>
          <w:i/>
          <w:iCs/>
        </w:rPr>
        <w:t>Management and Technology Insights (pp. 271-304)</w:t>
      </w:r>
      <w:r>
        <w:t>. IGI Global Scientific Publishing.</w:t>
      </w:r>
    </w:p>
    <w:p>
      <w:pPr>
        <w:pStyle w:val="style0"/>
        <w:spacing w:before="240"/>
        <w:rPr/>
      </w:pPr>
      <w:r>
        <w:t>Vertel</w:t>
      </w:r>
      <w:r>
        <w:t xml:space="preserve">, A., 2023. John Bowlby’s attachment theory as an alternative to psychoanalytic concepts of the early social-emotional development of a child. </w:t>
      </w:r>
      <w:r>
        <w:t>Naukovyi</w:t>
      </w:r>
      <w:r>
        <w:t xml:space="preserve"> </w:t>
      </w:r>
      <w:r>
        <w:t>visnyk</w:t>
      </w:r>
      <w:r>
        <w:t xml:space="preserve"> </w:t>
      </w:r>
      <w:r>
        <w:t>Melitopolskoho</w:t>
      </w:r>
      <w:r>
        <w:t xml:space="preserve"> </w:t>
      </w:r>
      <w:r>
        <w:t>derzhavnoho</w:t>
      </w:r>
      <w:r>
        <w:t xml:space="preserve"> </w:t>
      </w:r>
      <w:r>
        <w:t>pedahohichnoho</w:t>
      </w:r>
      <w:r>
        <w:t xml:space="preserve"> </w:t>
      </w:r>
      <w:r>
        <w:t>universytetu</w:t>
      </w:r>
      <w:r>
        <w:t xml:space="preserve">. </w:t>
      </w:r>
      <w:r>
        <w:t>Seriia</w:t>
      </w:r>
      <w:r>
        <w:t xml:space="preserve">: </w:t>
      </w:r>
      <w:r>
        <w:t>Pedahohika</w:t>
      </w:r>
      <w:r>
        <w:t xml:space="preserve">–Scientific Bulletin of </w:t>
      </w:r>
      <w:r>
        <w:t>Melitopol</w:t>
      </w:r>
      <w:r>
        <w:t xml:space="preserve"> State Pedagogical University. Series: </w:t>
      </w:r>
      <w:r>
        <w:rPr>
          <w:i/>
          <w:iCs/>
        </w:rPr>
        <w:t>Pedagogy, 2 (31)</w:t>
      </w:r>
      <w:r>
        <w:t>, pp.17-24.</w:t>
      </w:r>
    </w:p>
    <w:sectPr>
      <w:footerReference w:type="default" r:id="rId3"/>
      <w:pgSz w:w="11909" w:h="16834" w:orient="portrait"/>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0020304"/>
    <w:charset w:val="00"/>
    <w:family w:val="roman"/>
    <w:pitch w:val="variable"/>
    <w:sig w:usb0="E0002EFF" w:usb1="C000785B" w:usb2="00000009" w:usb3="00000000" w:csb0="000001FF" w:csb1="00000000"/>
  </w:font>
  <w:font w:name="Arial">
    <w:altName w:val="Arial"/>
    <w:panose1 w:val="020b0604020000020204"/>
    <w:charset w:val="00"/>
    <w:family w:val="swiss"/>
    <w:pitch w:val="variable"/>
    <w:sig w:usb0="E0002EFF" w:usb1="C000785B" w:usb2="00000009" w:usb3="00000000" w:csb0="000001FF" w:csb1="00000000"/>
  </w:font>
  <w:font w:name="Calibri">
    <w:altName w:val="Calibri"/>
    <w:panose1 w:val="020f0502020000030204"/>
    <w:charset w:val="00"/>
    <w:family w:val="swiss"/>
    <w:pitch w:val="variable"/>
    <w:sig w:usb0="E4002EFF" w:usb1="C000247B" w:usb2="00000009" w:usb3="00000000" w:csb0="000001FF" w:csb1="00000000"/>
  </w:font>
  <w:font w:name="Cambria">
    <w:altName w:val="Cambria"/>
    <w:panose1 w:val="02040503050000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jc w:val="right"/>
      <w:rPr/>
    </w:pPr>
    <w:r>
      <w:rPr/>
      <w:fldChar w:fldCharType="begin"/>
    </w:r>
    <w:r>
      <w:instrText>PAGE</w:instrText>
    </w:r>
    <w:r>
      <w:rPr/>
      <w:fldChar w:fldCharType="separate"/>
    </w:r>
    <w:r>
      <w:rPr>
        <w:noProof/>
      </w:rPr>
      <w:t>7</w:t>
    </w:r>
    <w:r>
      <w:rPr/>
      <w:fldChar w:fldCharType="end"/>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embedTrueTypeFonts/>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Times New Roman" w:hAnsi="Times New Roman"/>
        <w:sz w:val="24"/>
        <w:szCs w:val="24"/>
        <w:lang w:val="en-GB" w:bidi="ar-SA" w:eastAsia="en-US"/>
      </w:rPr>
    </w:rPrDefault>
    <w:pPrDefault>
      <w:pPr>
        <w:spacing w:lineRule="auto" w:line="360"/>
        <w:jc w:val="both"/>
      </w:pPr>
    </w:pPrDefault>
  </w:docDefaults>
  <w:style w:type="paragraph" w:default="1" w:styleId="style0">
    <w:name w:val="Normal"/>
    <w:next w:val="style0"/>
    <w:qFormat/>
    <w:pPr/>
  </w:style>
  <w:style w:type="paragraph" w:styleId="style1">
    <w:name w:val="heading 1"/>
    <w:basedOn w:val="style0"/>
    <w:next w:val="style0"/>
    <w:qFormat/>
    <w:uiPriority w:val="9"/>
    <w:pPr>
      <w:keepNext/>
      <w:keepLines/>
      <w:spacing w:before="400" w:after="120"/>
      <w:outlineLvl w:val="0"/>
    </w:pPr>
    <w:rPr>
      <w:b/>
      <w:bCs/>
      <w:sz w:val="32"/>
      <w:szCs w:val="32"/>
    </w:rPr>
  </w:style>
  <w:style w:type="paragraph" w:styleId="style2">
    <w:name w:val="heading 2"/>
    <w:basedOn w:val="style0"/>
    <w:next w:val="style0"/>
    <w:qFormat/>
    <w:uiPriority w:val="9"/>
    <w:pPr>
      <w:keepNext/>
      <w:keepLines/>
      <w:spacing w:before="360" w:after="120"/>
      <w:outlineLvl w:val="1"/>
    </w:pPr>
    <w:rPr>
      <w:sz w:val="32"/>
      <w:szCs w:val="32"/>
    </w:rPr>
  </w:style>
  <w:style w:type="paragraph" w:styleId="style3">
    <w:name w:val="heading 3"/>
    <w:basedOn w:val="style0"/>
    <w:next w:val="style0"/>
    <w:qFormat/>
    <w:uiPriority w:val="9"/>
    <w:pPr>
      <w:keepNext/>
      <w:keepLines/>
      <w:spacing w:before="320" w:after="80"/>
      <w:outlineLvl w:val="2"/>
    </w:pPr>
    <w:rPr>
      <w:color w:val="434343"/>
      <w:sz w:val="28"/>
      <w:szCs w:val="28"/>
    </w:rPr>
  </w:style>
  <w:style w:type="paragraph" w:styleId="style4">
    <w:name w:val="heading 4"/>
    <w:basedOn w:val="style0"/>
    <w:next w:val="style0"/>
    <w:qFormat/>
    <w:uiPriority w:val="9"/>
    <w:pPr>
      <w:keepNext/>
      <w:keepLines/>
      <w:spacing w:before="280" w:after="80"/>
      <w:outlineLvl w:val="3"/>
    </w:pPr>
    <w:rPr>
      <w:color w:val="666666"/>
    </w:rPr>
  </w:style>
  <w:style w:type="paragraph" w:styleId="style5">
    <w:name w:val="heading 5"/>
    <w:basedOn w:val="style0"/>
    <w:next w:val="style0"/>
    <w:qFormat/>
    <w:uiPriority w:val="9"/>
    <w:pPr>
      <w:keepNext/>
      <w:keepLines/>
      <w:spacing w:before="240" w:after="80"/>
      <w:outlineLvl w:val="4"/>
    </w:pPr>
    <w:rPr>
      <w:color w:val="666666"/>
      <w:sz w:val="22"/>
      <w:szCs w:val="22"/>
    </w:rPr>
  </w:style>
  <w:style w:type="paragraph" w:styleId="style6">
    <w:name w:val="heading 6"/>
    <w:basedOn w:val="style0"/>
    <w:next w:val="style0"/>
    <w:qFormat/>
    <w:uiPriority w:val="9"/>
    <w:pPr>
      <w:keepNext/>
      <w:keepLines/>
      <w:spacing w:before="240" w:after="80"/>
      <w:outlineLvl w:val="5"/>
    </w:pPr>
    <w:rPr>
      <w:i/>
      <w:iCs/>
      <w:color w:val="666666"/>
      <w:sz w:val="22"/>
      <w:szCs w:val="22"/>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table" w:customStyle="1" w:styleId="style4097">
    <w:name w:val="TableNormal"/>
    <w:next w:val="style4097"/>
    <w:pPr/>
    <w:rPr/>
    <w:tblPr>
      <w:tblCellMar>
        <w:top w:w="100" w:type="dxa"/>
        <w:left w:w="100" w:type="dxa"/>
        <w:bottom w:w="100" w:type="dxa"/>
        <w:right w:w="100" w:type="dxa"/>
      </w:tblCellMar>
    </w:tblPr>
    <w:tcPr>
      <w:tcBorders/>
    </w:tcPr>
  </w:style>
  <w:style w:type="paragraph" w:styleId="style62">
    <w:name w:val="Title"/>
    <w:basedOn w:val="style0"/>
    <w:next w:val="style0"/>
    <w:qFormat/>
    <w:uiPriority w:val="10"/>
    <w:pPr>
      <w:keepNext/>
      <w:keepLines/>
      <w:spacing w:after="60"/>
    </w:pPr>
    <w:rPr>
      <w:sz w:val="52"/>
      <w:szCs w:val="52"/>
    </w:rPr>
  </w:style>
  <w:style w:type="paragraph" w:styleId="style74">
    <w:name w:val="Subtitle"/>
    <w:basedOn w:val="style0"/>
    <w:next w:val="style0"/>
    <w:qFormat/>
    <w:uiPriority w:val="11"/>
    <w:pPr>
      <w:keepNext/>
      <w:keepLines/>
      <w:spacing w:after="320"/>
    </w:pPr>
    <w:rPr>
      <w:rFonts w:ascii="Arial" w:cs="Arial" w:eastAsia="Arial" w:hAnsi="Arial"/>
      <w:color w:val="666666"/>
      <w:sz w:val="30"/>
      <w:szCs w:val="30"/>
    </w:rPr>
  </w:style>
  <w:style w:type="paragraph" w:styleId="style266">
    <w:name w:val="TOC Heading"/>
    <w:basedOn w:val="style1"/>
    <w:next w:val="style0"/>
    <w:qFormat/>
    <w:uiPriority w:val="39"/>
    <w:pPr>
      <w:spacing w:before="240" w:after="0" w:lineRule="auto" w:line="259"/>
      <w:jc w:val="left"/>
      <w:outlineLvl w:val="9"/>
    </w:pPr>
    <w:rPr>
      <w:rFonts w:ascii="Calibri" w:cs="宋体" w:eastAsia="宋体" w:hAnsi="Calibri"/>
      <w:b w:val="false"/>
      <w:bCs w:val="false"/>
      <w:color w:val="365f91"/>
      <w:lang w:val="en-US"/>
    </w:rPr>
  </w:style>
  <w:style w:type="paragraph" w:styleId="style19">
    <w:name w:val="toc 1"/>
    <w:basedOn w:val="style0"/>
    <w:next w:val="style0"/>
    <w:uiPriority w:val="39"/>
    <w:pPr>
      <w:spacing w:after="100"/>
    </w:pPr>
    <w:rPr/>
  </w:style>
  <w:style w:type="character" w:styleId="style85">
    <w:name w:val="Hyperlink"/>
    <w:basedOn w:val="style65"/>
    <w:next w:val="style85"/>
    <w:uiPriority w:val="99"/>
    <w:rPr>
      <w:color w:val="0000ff"/>
      <w:u w:val="single"/>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jpeg"/><Relationship Id="rId3" Type="http://schemas.openxmlformats.org/officeDocument/2006/relationships/footer" Target="footer1.xml"/><Relationship Id="rId4" Type="http://schemas.openxmlformats.org/officeDocument/2006/relationships/styles" Target="styles.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A3DA7A-51F0-455D-8FBD-80BE3F5350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1781</Words>
  <Pages>7</Pages>
  <Characters>10053</Characters>
  <Application>WPS Office</Application>
  <DocSecurity>0</DocSecurity>
  <Paragraphs>30</Paragraphs>
  <ScaleCrop>false</ScaleCrop>
  <LinksUpToDate>false</LinksUpToDate>
  <CharactersWithSpaces>11821</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2026-08-14T11:39:02Z</dcterms:created>
  <dc:creator>WPS Office</dc:creator>
  <lastModifiedBy>23090RA98C</lastModifiedBy>
  <dcterms:modified xsi:type="dcterms:W3CDTF">2026-08-14T11:39:02Z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2d06dee680094dcaafdfac14f18bc80c</vt:lpwstr>
  </property>
</Properties>
</file>