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2A4A2" w14:textId="109D3E1E" w:rsidR="003D22DF" w:rsidRDefault="003D22DF" w:rsidP="00D7426C">
      <w:pPr>
        <w:pStyle w:val="paragraph"/>
        <w:spacing w:before="0" w:beforeAutospacing="0" w:after="0" w:afterAutospacing="0" w:line="480" w:lineRule="auto"/>
        <w:jc w:val="center"/>
        <w:rPr>
          <w:rStyle w:val="normaltextrun"/>
          <w:rFonts w:ascii="Arial" w:hAnsi="Arial" w:cs="Arial"/>
          <w:b/>
          <w:bCs/>
        </w:rPr>
      </w:pPr>
      <w:r w:rsidRPr="00D7426C">
        <w:rPr>
          <w:rStyle w:val="normaltextrun"/>
          <w:rFonts w:ascii="Arial" w:hAnsi="Arial" w:cs="Arial"/>
          <w:b/>
          <w:bCs/>
        </w:rPr>
        <w:t>Examine and discuss the factors that can contribute to the causes of vulnerability.</w:t>
      </w:r>
    </w:p>
    <w:p w14:paraId="7B64B227" w14:textId="61137747" w:rsidR="00D7426C" w:rsidRDefault="00D7426C" w:rsidP="00D7426C">
      <w:pPr>
        <w:pStyle w:val="paragraph"/>
        <w:spacing w:before="0" w:beforeAutospacing="0" w:after="0" w:afterAutospacing="0" w:line="480" w:lineRule="auto"/>
        <w:jc w:val="center"/>
        <w:rPr>
          <w:rStyle w:val="normaltextrun"/>
          <w:rFonts w:ascii="Arial" w:hAnsi="Arial" w:cs="Arial"/>
          <w:b/>
          <w:bCs/>
        </w:rPr>
      </w:pPr>
    </w:p>
    <w:p w14:paraId="42D3DB66" w14:textId="6C39E847" w:rsidR="00D7426C" w:rsidRPr="00312A28" w:rsidRDefault="00D7426C" w:rsidP="00D7426C">
      <w:pPr>
        <w:pStyle w:val="paragraph"/>
        <w:spacing w:before="0" w:beforeAutospacing="0" w:after="0" w:afterAutospacing="0" w:line="480" w:lineRule="auto"/>
        <w:jc w:val="center"/>
        <w:rPr>
          <w:rStyle w:val="normaltextrun"/>
          <w:rFonts w:ascii="Arial" w:hAnsi="Arial" w:cs="Arial"/>
        </w:rPr>
      </w:pPr>
      <w:r w:rsidRPr="00312A28">
        <w:rPr>
          <w:rStyle w:val="normaltextrun"/>
          <w:rFonts w:ascii="Arial" w:hAnsi="Arial" w:cs="Arial"/>
        </w:rPr>
        <w:t>2000763</w:t>
      </w:r>
    </w:p>
    <w:p w14:paraId="0490E8DA" w14:textId="6C3B3A52" w:rsidR="00D7426C" w:rsidRPr="00312A28" w:rsidRDefault="00D7426C" w:rsidP="00D7426C">
      <w:pPr>
        <w:pStyle w:val="paragraph"/>
        <w:spacing w:before="0" w:beforeAutospacing="0" w:after="0" w:afterAutospacing="0" w:line="480" w:lineRule="auto"/>
        <w:jc w:val="center"/>
        <w:rPr>
          <w:rStyle w:val="normaltextrun"/>
          <w:rFonts w:ascii="Arial" w:eastAsia="Arial" w:hAnsi="Arial" w:cs="Arial"/>
          <w:color w:val="000000" w:themeColor="text1"/>
        </w:rPr>
      </w:pPr>
      <w:r w:rsidRPr="00312A28">
        <w:rPr>
          <w:rStyle w:val="normaltextrun"/>
          <w:rFonts w:ascii="Arial" w:hAnsi="Arial" w:cs="Arial"/>
        </w:rPr>
        <w:t xml:space="preserve">Shaun O’Sullivan </w:t>
      </w:r>
    </w:p>
    <w:p w14:paraId="095E006A" w14:textId="6DE8CB05" w:rsidR="00277080" w:rsidRPr="00D7426C" w:rsidRDefault="00277080" w:rsidP="00D7426C">
      <w:pPr>
        <w:spacing w:line="480" w:lineRule="auto"/>
        <w:rPr>
          <w:rFonts w:ascii="Arial" w:hAnsi="Arial" w:cs="Arial"/>
          <w:color w:val="000000"/>
          <w:spacing w:val="3"/>
          <w:sz w:val="24"/>
          <w:szCs w:val="24"/>
        </w:rPr>
      </w:pPr>
    </w:p>
    <w:p w14:paraId="2F01D24A" w14:textId="77777777" w:rsidR="00D7426C" w:rsidRDefault="00D7426C" w:rsidP="00D7426C">
      <w:pPr>
        <w:spacing w:line="480" w:lineRule="auto"/>
        <w:rPr>
          <w:rFonts w:ascii="Arial" w:hAnsi="Arial" w:cs="Arial"/>
          <w:sz w:val="24"/>
          <w:szCs w:val="24"/>
        </w:rPr>
      </w:pPr>
    </w:p>
    <w:p w14:paraId="6F79B6CC" w14:textId="77777777" w:rsidR="00D7426C" w:rsidRDefault="00D7426C" w:rsidP="00D7426C">
      <w:pPr>
        <w:spacing w:line="480" w:lineRule="auto"/>
        <w:rPr>
          <w:rFonts w:ascii="Arial" w:hAnsi="Arial" w:cs="Arial"/>
          <w:sz w:val="24"/>
          <w:szCs w:val="24"/>
        </w:rPr>
      </w:pPr>
    </w:p>
    <w:p w14:paraId="1D3082B1" w14:textId="77777777" w:rsidR="00D7426C" w:rsidRDefault="00D7426C" w:rsidP="00D7426C">
      <w:pPr>
        <w:spacing w:line="480" w:lineRule="auto"/>
        <w:rPr>
          <w:rFonts w:ascii="Arial" w:hAnsi="Arial" w:cs="Arial"/>
          <w:sz w:val="24"/>
          <w:szCs w:val="24"/>
        </w:rPr>
      </w:pPr>
    </w:p>
    <w:p w14:paraId="063230F9" w14:textId="77777777" w:rsidR="00D7426C" w:rsidRDefault="00D7426C" w:rsidP="00D7426C">
      <w:pPr>
        <w:spacing w:line="480" w:lineRule="auto"/>
        <w:rPr>
          <w:rFonts w:ascii="Arial" w:hAnsi="Arial" w:cs="Arial"/>
          <w:sz w:val="24"/>
          <w:szCs w:val="24"/>
        </w:rPr>
      </w:pPr>
    </w:p>
    <w:p w14:paraId="25ECEF3F" w14:textId="77777777" w:rsidR="00D7426C" w:rsidRDefault="00D7426C" w:rsidP="00D7426C">
      <w:pPr>
        <w:spacing w:line="480" w:lineRule="auto"/>
        <w:rPr>
          <w:rFonts w:ascii="Arial" w:hAnsi="Arial" w:cs="Arial"/>
          <w:sz w:val="24"/>
          <w:szCs w:val="24"/>
        </w:rPr>
      </w:pPr>
    </w:p>
    <w:p w14:paraId="4103D06E" w14:textId="77777777" w:rsidR="00D7426C" w:rsidRDefault="00D7426C" w:rsidP="00D7426C">
      <w:pPr>
        <w:spacing w:line="480" w:lineRule="auto"/>
        <w:rPr>
          <w:rFonts w:ascii="Arial" w:hAnsi="Arial" w:cs="Arial"/>
          <w:sz w:val="24"/>
          <w:szCs w:val="24"/>
        </w:rPr>
      </w:pPr>
    </w:p>
    <w:p w14:paraId="5BFCDB46" w14:textId="77777777" w:rsidR="00D7426C" w:rsidRDefault="00D7426C" w:rsidP="00D7426C">
      <w:pPr>
        <w:spacing w:line="480" w:lineRule="auto"/>
        <w:rPr>
          <w:rFonts w:ascii="Arial" w:hAnsi="Arial" w:cs="Arial"/>
          <w:sz w:val="24"/>
          <w:szCs w:val="24"/>
        </w:rPr>
      </w:pPr>
    </w:p>
    <w:p w14:paraId="363F9067" w14:textId="77777777" w:rsidR="00D7426C" w:rsidRDefault="00D7426C" w:rsidP="00D7426C">
      <w:pPr>
        <w:spacing w:line="480" w:lineRule="auto"/>
        <w:rPr>
          <w:rFonts w:ascii="Arial" w:hAnsi="Arial" w:cs="Arial"/>
          <w:sz w:val="24"/>
          <w:szCs w:val="24"/>
        </w:rPr>
      </w:pPr>
    </w:p>
    <w:p w14:paraId="1AD5FCE3" w14:textId="77777777" w:rsidR="00D7426C" w:rsidRDefault="00D7426C" w:rsidP="00D7426C">
      <w:pPr>
        <w:spacing w:line="480" w:lineRule="auto"/>
        <w:rPr>
          <w:rFonts w:ascii="Arial" w:hAnsi="Arial" w:cs="Arial"/>
          <w:sz w:val="24"/>
          <w:szCs w:val="24"/>
        </w:rPr>
      </w:pPr>
    </w:p>
    <w:p w14:paraId="7C289D4C" w14:textId="77777777" w:rsidR="00D7426C" w:rsidRDefault="00D7426C" w:rsidP="00D7426C">
      <w:pPr>
        <w:spacing w:line="480" w:lineRule="auto"/>
        <w:rPr>
          <w:rFonts w:ascii="Arial" w:hAnsi="Arial" w:cs="Arial"/>
          <w:sz w:val="24"/>
          <w:szCs w:val="24"/>
        </w:rPr>
      </w:pPr>
    </w:p>
    <w:p w14:paraId="2A167573" w14:textId="77777777" w:rsidR="00D7426C" w:rsidRDefault="00D7426C" w:rsidP="00D7426C">
      <w:pPr>
        <w:spacing w:line="480" w:lineRule="auto"/>
        <w:rPr>
          <w:rFonts w:ascii="Arial" w:hAnsi="Arial" w:cs="Arial"/>
          <w:sz w:val="24"/>
          <w:szCs w:val="24"/>
        </w:rPr>
      </w:pPr>
    </w:p>
    <w:p w14:paraId="5541B371" w14:textId="77777777" w:rsidR="00D7426C" w:rsidRDefault="00D7426C" w:rsidP="00D7426C">
      <w:pPr>
        <w:spacing w:line="480" w:lineRule="auto"/>
        <w:rPr>
          <w:rFonts w:ascii="Arial" w:hAnsi="Arial" w:cs="Arial"/>
          <w:sz w:val="24"/>
          <w:szCs w:val="24"/>
        </w:rPr>
      </w:pPr>
    </w:p>
    <w:p w14:paraId="62B7699B" w14:textId="77777777" w:rsidR="00D7426C" w:rsidRDefault="00D7426C" w:rsidP="00D7426C">
      <w:pPr>
        <w:spacing w:line="480" w:lineRule="auto"/>
        <w:rPr>
          <w:rFonts w:ascii="Arial" w:hAnsi="Arial" w:cs="Arial"/>
          <w:sz w:val="24"/>
          <w:szCs w:val="24"/>
        </w:rPr>
      </w:pPr>
    </w:p>
    <w:p w14:paraId="16A03677" w14:textId="77777777" w:rsidR="00D7426C" w:rsidRDefault="00D7426C" w:rsidP="00D7426C">
      <w:pPr>
        <w:spacing w:line="480" w:lineRule="auto"/>
        <w:rPr>
          <w:rFonts w:ascii="Arial" w:hAnsi="Arial" w:cs="Arial"/>
          <w:sz w:val="24"/>
          <w:szCs w:val="24"/>
        </w:rPr>
      </w:pPr>
    </w:p>
    <w:p w14:paraId="32139DD4" w14:textId="7047DA26" w:rsidR="00277080" w:rsidRPr="00D7426C" w:rsidRDefault="00277080" w:rsidP="00D7426C">
      <w:pPr>
        <w:spacing w:line="480" w:lineRule="auto"/>
        <w:rPr>
          <w:rFonts w:ascii="Arial" w:hAnsi="Arial" w:cs="Arial"/>
          <w:sz w:val="24"/>
          <w:szCs w:val="24"/>
        </w:rPr>
      </w:pPr>
      <w:r w:rsidRPr="00D7426C">
        <w:rPr>
          <w:rFonts w:ascii="Arial" w:hAnsi="Arial" w:cs="Arial"/>
          <w:sz w:val="24"/>
          <w:szCs w:val="24"/>
        </w:rPr>
        <w:lastRenderedPageBreak/>
        <w:t>Vulnerability is defined</w:t>
      </w:r>
      <w:r w:rsidR="005330BE" w:rsidRPr="00D7426C">
        <w:rPr>
          <w:rFonts w:ascii="Arial" w:hAnsi="Arial" w:cs="Arial"/>
          <w:sz w:val="24"/>
          <w:szCs w:val="24"/>
        </w:rPr>
        <w:t xml:space="preserve"> as being dependent on the situation and the individual that is at risk of being</w:t>
      </w:r>
      <w:r w:rsidR="001F7D7F" w:rsidRPr="00D7426C">
        <w:rPr>
          <w:rFonts w:ascii="Arial" w:hAnsi="Arial" w:cs="Arial"/>
          <w:sz w:val="24"/>
          <w:szCs w:val="24"/>
        </w:rPr>
        <w:t xml:space="preserve"> </w:t>
      </w:r>
      <w:r w:rsidR="005330BE" w:rsidRPr="00D7426C">
        <w:rPr>
          <w:rFonts w:ascii="Arial" w:hAnsi="Arial" w:cs="Arial"/>
          <w:sz w:val="24"/>
          <w:szCs w:val="24"/>
        </w:rPr>
        <w:t xml:space="preserve">vulnerable. This means that there </w:t>
      </w:r>
      <w:r w:rsidR="005F5080" w:rsidRPr="00D7426C">
        <w:rPr>
          <w:rFonts w:ascii="Arial" w:hAnsi="Arial" w:cs="Arial"/>
          <w:sz w:val="24"/>
          <w:szCs w:val="24"/>
        </w:rPr>
        <w:t>are</w:t>
      </w:r>
      <w:r w:rsidR="005330BE" w:rsidRPr="00D7426C">
        <w:rPr>
          <w:rFonts w:ascii="Arial" w:hAnsi="Arial" w:cs="Arial"/>
          <w:sz w:val="24"/>
          <w:szCs w:val="24"/>
        </w:rPr>
        <w:t xml:space="preserve"> no certain criteria that makes a person directly </w:t>
      </w:r>
      <w:r w:rsidR="00D53095" w:rsidRPr="00D7426C">
        <w:rPr>
          <w:rFonts w:ascii="Arial" w:hAnsi="Arial" w:cs="Arial"/>
          <w:sz w:val="24"/>
          <w:szCs w:val="24"/>
        </w:rPr>
        <w:t>vulnerable,</w:t>
      </w:r>
      <w:r w:rsidR="005330BE" w:rsidRPr="00D7426C">
        <w:rPr>
          <w:rFonts w:ascii="Arial" w:hAnsi="Arial" w:cs="Arial"/>
          <w:sz w:val="24"/>
          <w:szCs w:val="24"/>
        </w:rPr>
        <w:t xml:space="preserve"> but it depends on their environment. This reference shows that there are many contributing factors that make someone vulnerable (College of Policing, 2021).</w:t>
      </w:r>
      <w:r w:rsidR="00E62295" w:rsidRPr="00D7426C">
        <w:rPr>
          <w:rFonts w:ascii="Arial" w:hAnsi="Arial" w:cs="Arial"/>
          <w:sz w:val="24"/>
          <w:szCs w:val="24"/>
        </w:rPr>
        <w:t xml:space="preserve"> As a </w:t>
      </w:r>
      <w:r w:rsidR="005760F2" w:rsidRPr="00D7426C">
        <w:rPr>
          <w:rFonts w:ascii="Arial" w:hAnsi="Arial" w:cs="Arial"/>
          <w:sz w:val="24"/>
          <w:szCs w:val="24"/>
        </w:rPr>
        <w:t>result,</w:t>
      </w:r>
      <w:r w:rsidR="00E62295" w:rsidRPr="00D7426C">
        <w:rPr>
          <w:rFonts w:ascii="Arial" w:hAnsi="Arial" w:cs="Arial"/>
          <w:sz w:val="24"/>
          <w:szCs w:val="24"/>
        </w:rPr>
        <w:t xml:space="preserve"> there are many factors to investigate that contribute to vulnerability. </w:t>
      </w:r>
    </w:p>
    <w:p w14:paraId="63EB2BE2" w14:textId="697F41ED" w:rsidR="005F5080" w:rsidRPr="00D7426C" w:rsidRDefault="005D0040" w:rsidP="00D7426C">
      <w:pPr>
        <w:spacing w:line="480" w:lineRule="auto"/>
        <w:rPr>
          <w:rFonts w:ascii="Arial" w:hAnsi="Arial" w:cs="Arial"/>
          <w:sz w:val="24"/>
          <w:szCs w:val="24"/>
        </w:rPr>
      </w:pPr>
      <w:r w:rsidRPr="00D7426C">
        <w:rPr>
          <w:rFonts w:ascii="Arial" w:hAnsi="Arial" w:cs="Arial"/>
          <w:sz w:val="24"/>
          <w:szCs w:val="24"/>
        </w:rPr>
        <w:t xml:space="preserve">There are </w:t>
      </w:r>
      <w:r w:rsidR="009F1291" w:rsidRPr="00D7426C">
        <w:rPr>
          <w:rFonts w:ascii="Arial" w:hAnsi="Arial" w:cs="Arial"/>
          <w:sz w:val="24"/>
          <w:szCs w:val="24"/>
        </w:rPr>
        <w:t>two</w:t>
      </w:r>
      <w:r w:rsidRPr="00D7426C">
        <w:rPr>
          <w:rFonts w:ascii="Arial" w:hAnsi="Arial" w:cs="Arial"/>
          <w:sz w:val="24"/>
          <w:szCs w:val="24"/>
        </w:rPr>
        <w:t xml:space="preserve"> main types of vulnerability that falls into </w:t>
      </w:r>
      <w:r w:rsidR="00E62295" w:rsidRPr="00D7426C">
        <w:rPr>
          <w:rFonts w:ascii="Arial" w:hAnsi="Arial" w:cs="Arial"/>
          <w:sz w:val="24"/>
          <w:szCs w:val="24"/>
        </w:rPr>
        <w:t>two</w:t>
      </w:r>
      <w:r w:rsidRPr="00D7426C">
        <w:rPr>
          <w:rFonts w:ascii="Arial" w:hAnsi="Arial" w:cs="Arial"/>
          <w:sz w:val="24"/>
          <w:szCs w:val="24"/>
        </w:rPr>
        <w:t xml:space="preserve"> categories</w:t>
      </w:r>
      <w:r w:rsidR="00E62295" w:rsidRPr="00D7426C">
        <w:rPr>
          <w:rFonts w:ascii="Arial" w:hAnsi="Arial" w:cs="Arial"/>
          <w:sz w:val="24"/>
          <w:szCs w:val="24"/>
        </w:rPr>
        <w:t xml:space="preserve">. These are labelled as </w:t>
      </w:r>
      <w:r w:rsidRPr="00D7426C">
        <w:rPr>
          <w:rFonts w:ascii="Arial" w:hAnsi="Arial" w:cs="Arial"/>
          <w:sz w:val="24"/>
          <w:szCs w:val="24"/>
        </w:rPr>
        <w:t xml:space="preserve"> personal </w:t>
      </w:r>
      <w:r w:rsidR="00267EFB" w:rsidRPr="00D7426C">
        <w:rPr>
          <w:rFonts w:ascii="Arial" w:hAnsi="Arial" w:cs="Arial"/>
          <w:sz w:val="24"/>
          <w:szCs w:val="24"/>
        </w:rPr>
        <w:t>vulnerability,</w:t>
      </w:r>
      <w:r w:rsidR="009F1291" w:rsidRPr="00D7426C">
        <w:rPr>
          <w:rFonts w:ascii="Arial" w:hAnsi="Arial" w:cs="Arial"/>
          <w:sz w:val="24"/>
          <w:szCs w:val="24"/>
        </w:rPr>
        <w:t xml:space="preserve"> and </w:t>
      </w:r>
      <w:r w:rsidRPr="00D7426C">
        <w:rPr>
          <w:rFonts w:ascii="Arial" w:hAnsi="Arial" w:cs="Arial"/>
          <w:sz w:val="24"/>
          <w:szCs w:val="24"/>
        </w:rPr>
        <w:t xml:space="preserve">situational vulnerability. Personal vulnerability looks into someone’s personal characteristics, like their identity or status within society </w:t>
      </w:r>
      <w:r w:rsidR="00E906B9" w:rsidRPr="00D7426C">
        <w:rPr>
          <w:rFonts w:ascii="Arial" w:hAnsi="Arial" w:cs="Arial"/>
          <w:sz w:val="24"/>
          <w:szCs w:val="24"/>
        </w:rPr>
        <w:t xml:space="preserve">(Innes and Innes, 2013) for example some peoples age, gender, their religion, </w:t>
      </w:r>
      <w:r w:rsidR="00E62295" w:rsidRPr="00D7426C">
        <w:rPr>
          <w:rFonts w:ascii="Arial" w:hAnsi="Arial" w:cs="Arial"/>
          <w:sz w:val="24"/>
          <w:szCs w:val="24"/>
        </w:rPr>
        <w:t xml:space="preserve">their </w:t>
      </w:r>
      <w:r w:rsidR="00E906B9" w:rsidRPr="00D7426C">
        <w:rPr>
          <w:rFonts w:ascii="Arial" w:hAnsi="Arial" w:cs="Arial"/>
          <w:sz w:val="24"/>
          <w:szCs w:val="24"/>
        </w:rPr>
        <w:t xml:space="preserve">mental health, </w:t>
      </w:r>
      <w:r w:rsidR="00E62295" w:rsidRPr="00D7426C">
        <w:rPr>
          <w:rFonts w:ascii="Arial" w:hAnsi="Arial" w:cs="Arial"/>
          <w:sz w:val="24"/>
          <w:szCs w:val="24"/>
        </w:rPr>
        <w:t xml:space="preserve">their </w:t>
      </w:r>
      <w:r w:rsidR="00E906B9" w:rsidRPr="00D7426C">
        <w:rPr>
          <w:rFonts w:ascii="Arial" w:hAnsi="Arial" w:cs="Arial"/>
          <w:sz w:val="24"/>
          <w:szCs w:val="24"/>
        </w:rPr>
        <w:t xml:space="preserve">ethnicity, </w:t>
      </w:r>
      <w:r w:rsidR="00E62295" w:rsidRPr="00D7426C">
        <w:rPr>
          <w:rFonts w:ascii="Arial" w:hAnsi="Arial" w:cs="Arial"/>
          <w:sz w:val="24"/>
          <w:szCs w:val="24"/>
        </w:rPr>
        <w:t xml:space="preserve"> their </w:t>
      </w:r>
      <w:r w:rsidR="00E906B9" w:rsidRPr="00D7426C">
        <w:rPr>
          <w:rFonts w:ascii="Arial" w:hAnsi="Arial" w:cs="Arial"/>
          <w:sz w:val="24"/>
          <w:szCs w:val="24"/>
        </w:rPr>
        <w:t xml:space="preserve">sexual orientation, and their disability (College of Policing, 2022). Situational vulnerability focuses on </w:t>
      </w:r>
      <w:r w:rsidR="00C603E7" w:rsidRPr="00D7426C">
        <w:rPr>
          <w:rFonts w:ascii="Arial" w:hAnsi="Arial" w:cs="Arial"/>
          <w:sz w:val="24"/>
          <w:szCs w:val="24"/>
        </w:rPr>
        <w:t>external factors that affects a person</w:t>
      </w:r>
      <w:r w:rsidR="00794D82" w:rsidRPr="00D7426C">
        <w:rPr>
          <w:rFonts w:ascii="Arial" w:hAnsi="Arial" w:cs="Arial"/>
          <w:sz w:val="24"/>
          <w:szCs w:val="24"/>
        </w:rPr>
        <w:t xml:space="preserve"> </w:t>
      </w:r>
      <w:r w:rsidR="00C603E7" w:rsidRPr="00D7426C">
        <w:rPr>
          <w:rFonts w:ascii="Arial" w:hAnsi="Arial" w:cs="Arial"/>
          <w:sz w:val="24"/>
          <w:szCs w:val="24"/>
        </w:rPr>
        <w:t xml:space="preserve">that makes them </w:t>
      </w:r>
      <w:r w:rsidR="00794D82" w:rsidRPr="00D7426C">
        <w:rPr>
          <w:rFonts w:ascii="Arial" w:hAnsi="Arial" w:cs="Arial"/>
          <w:sz w:val="24"/>
          <w:szCs w:val="24"/>
        </w:rPr>
        <w:t xml:space="preserve">vulnerable, many factors would affect a </w:t>
      </w:r>
      <w:r w:rsidR="009F1291" w:rsidRPr="00D7426C">
        <w:rPr>
          <w:rFonts w:ascii="Arial" w:hAnsi="Arial" w:cs="Arial"/>
          <w:sz w:val="24"/>
          <w:szCs w:val="24"/>
        </w:rPr>
        <w:t>person’s</w:t>
      </w:r>
      <w:r w:rsidR="00794D82" w:rsidRPr="00D7426C">
        <w:rPr>
          <w:rFonts w:ascii="Arial" w:hAnsi="Arial" w:cs="Arial"/>
          <w:sz w:val="24"/>
          <w:szCs w:val="24"/>
        </w:rPr>
        <w:t xml:space="preserve"> situation such as where </w:t>
      </w:r>
      <w:r w:rsidR="005760F2" w:rsidRPr="00D7426C">
        <w:rPr>
          <w:rFonts w:ascii="Arial" w:hAnsi="Arial" w:cs="Arial"/>
          <w:sz w:val="24"/>
          <w:szCs w:val="24"/>
        </w:rPr>
        <w:t>that person</w:t>
      </w:r>
      <w:r w:rsidR="009F1291" w:rsidRPr="00D7426C">
        <w:rPr>
          <w:rFonts w:ascii="Arial" w:hAnsi="Arial" w:cs="Arial"/>
          <w:sz w:val="24"/>
          <w:szCs w:val="24"/>
        </w:rPr>
        <w:t xml:space="preserve"> </w:t>
      </w:r>
      <w:r w:rsidR="005760F2" w:rsidRPr="00D7426C">
        <w:rPr>
          <w:rFonts w:ascii="Arial" w:hAnsi="Arial" w:cs="Arial"/>
          <w:sz w:val="24"/>
          <w:szCs w:val="24"/>
        </w:rPr>
        <w:t>economic</w:t>
      </w:r>
      <w:r w:rsidR="009F1291" w:rsidRPr="00D7426C">
        <w:rPr>
          <w:rFonts w:ascii="Arial" w:hAnsi="Arial" w:cs="Arial"/>
          <w:sz w:val="24"/>
          <w:szCs w:val="24"/>
        </w:rPr>
        <w:t xml:space="preserve"> and social status</w:t>
      </w:r>
      <w:r w:rsidR="00E62295" w:rsidRPr="00D7426C">
        <w:rPr>
          <w:rFonts w:ascii="Arial" w:hAnsi="Arial" w:cs="Arial"/>
          <w:sz w:val="24"/>
          <w:szCs w:val="24"/>
        </w:rPr>
        <w:t xml:space="preserve"> is</w:t>
      </w:r>
      <w:r w:rsidR="009F1291" w:rsidRPr="00D7426C">
        <w:rPr>
          <w:rFonts w:ascii="Arial" w:hAnsi="Arial" w:cs="Arial"/>
          <w:sz w:val="24"/>
          <w:szCs w:val="24"/>
        </w:rPr>
        <w:t xml:space="preserve"> </w:t>
      </w:r>
      <w:r w:rsidR="00E62295" w:rsidRPr="00D7426C">
        <w:rPr>
          <w:rFonts w:ascii="Arial" w:hAnsi="Arial" w:cs="Arial"/>
          <w:sz w:val="24"/>
          <w:szCs w:val="24"/>
        </w:rPr>
        <w:t>within</w:t>
      </w:r>
      <w:r w:rsidR="009F1291" w:rsidRPr="00D7426C">
        <w:rPr>
          <w:rFonts w:ascii="Arial" w:hAnsi="Arial" w:cs="Arial"/>
          <w:sz w:val="24"/>
          <w:szCs w:val="24"/>
        </w:rPr>
        <w:t xml:space="preserve"> society (Innes and Innes, 2013). Furthermore, a person may be vulnerable due to whether they are in poverty, if they have language barriers, if they are isolated from society in </w:t>
      </w:r>
      <w:r w:rsidR="005760F2" w:rsidRPr="00D7426C">
        <w:rPr>
          <w:rFonts w:ascii="Arial" w:hAnsi="Arial" w:cs="Arial"/>
          <w:sz w:val="24"/>
          <w:szCs w:val="24"/>
        </w:rPr>
        <w:t>any way</w:t>
      </w:r>
      <w:r w:rsidR="00E62295" w:rsidRPr="00D7426C">
        <w:rPr>
          <w:rFonts w:ascii="Arial" w:hAnsi="Arial" w:cs="Arial"/>
          <w:sz w:val="24"/>
          <w:szCs w:val="24"/>
        </w:rPr>
        <w:t xml:space="preserve"> for example the elderly population that live alone</w:t>
      </w:r>
      <w:r w:rsidR="009F1291" w:rsidRPr="00D7426C">
        <w:rPr>
          <w:rFonts w:ascii="Arial" w:hAnsi="Arial" w:cs="Arial"/>
          <w:sz w:val="24"/>
          <w:szCs w:val="24"/>
        </w:rPr>
        <w:t>, and also if they are being abused or controlled (College of Policing, 2022).</w:t>
      </w:r>
      <w:r w:rsidR="00267EFB" w:rsidRPr="00D7426C">
        <w:rPr>
          <w:rFonts w:ascii="Arial" w:hAnsi="Arial" w:cs="Arial"/>
          <w:sz w:val="24"/>
          <w:szCs w:val="24"/>
        </w:rPr>
        <w:t xml:space="preserve"> This information suggests that a person </w:t>
      </w:r>
      <w:r w:rsidR="00AD47B4" w:rsidRPr="00D7426C">
        <w:rPr>
          <w:rFonts w:ascii="Arial" w:hAnsi="Arial" w:cs="Arial"/>
          <w:sz w:val="24"/>
          <w:szCs w:val="24"/>
        </w:rPr>
        <w:t xml:space="preserve">does </w:t>
      </w:r>
      <w:r w:rsidR="00267EFB" w:rsidRPr="00D7426C">
        <w:rPr>
          <w:rFonts w:ascii="Arial" w:hAnsi="Arial" w:cs="Arial"/>
          <w:sz w:val="24"/>
          <w:szCs w:val="24"/>
        </w:rPr>
        <w:t>not choose to be vulnerable</w:t>
      </w:r>
      <w:r w:rsidR="00E62295" w:rsidRPr="00D7426C">
        <w:rPr>
          <w:rFonts w:ascii="Arial" w:hAnsi="Arial" w:cs="Arial"/>
          <w:sz w:val="24"/>
          <w:szCs w:val="24"/>
        </w:rPr>
        <w:t>. Therefore,</w:t>
      </w:r>
      <w:r w:rsidR="00267EFB" w:rsidRPr="00D7426C">
        <w:rPr>
          <w:rFonts w:ascii="Arial" w:hAnsi="Arial" w:cs="Arial"/>
          <w:sz w:val="24"/>
          <w:szCs w:val="24"/>
        </w:rPr>
        <w:t xml:space="preserve"> it depends on their </w:t>
      </w:r>
      <w:r w:rsidR="00AD47B4" w:rsidRPr="00D7426C">
        <w:rPr>
          <w:rFonts w:ascii="Arial" w:hAnsi="Arial" w:cs="Arial"/>
          <w:sz w:val="24"/>
          <w:szCs w:val="24"/>
        </w:rPr>
        <w:t>circumstances</w:t>
      </w:r>
      <w:r w:rsidR="00267EFB" w:rsidRPr="00D7426C">
        <w:rPr>
          <w:rFonts w:ascii="Arial" w:hAnsi="Arial" w:cs="Arial"/>
          <w:sz w:val="24"/>
          <w:szCs w:val="24"/>
        </w:rPr>
        <w:t xml:space="preserve"> in society </w:t>
      </w:r>
      <w:r w:rsidR="00AD47B4" w:rsidRPr="00D7426C">
        <w:rPr>
          <w:rFonts w:ascii="Arial" w:hAnsi="Arial" w:cs="Arial"/>
          <w:sz w:val="24"/>
          <w:szCs w:val="24"/>
        </w:rPr>
        <w:t>whether that’s personal to them such as their age or gender, or the type of situation they may find themselves in at any point of their life, such as being a victim of abuse</w:t>
      </w:r>
      <w:r w:rsidR="006A166F" w:rsidRPr="00D7426C">
        <w:rPr>
          <w:rFonts w:ascii="Arial" w:hAnsi="Arial" w:cs="Arial"/>
          <w:sz w:val="24"/>
          <w:szCs w:val="24"/>
        </w:rPr>
        <w:t xml:space="preserve">. </w:t>
      </w:r>
    </w:p>
    <w:p w14:paraId="14FB6433" w14:textId="5AEC5D41" w:rsidR="004C4B0B" w:rsidRPr="00D7426C" w:rsidRDefault="004C4B0B" w:rsidP="00D7426C">
      <w:pPr>
        <w:spacing w:line="480" w:lineRule="auto"/>
        <w:rPr>
          <w:rFonts w:ascii="Arial" w:hAnsi="Arial" w:cs="Arial"/>
          <w:sz w:val="24"/>
          <w:szCs w:val="24"/>
        </w:rPr>
      </w:pPr>
      <w:r w:rsidRPr="00D7426C">
        <w:rPr>
          <w:rFonts w:ascii="Arial" w:hAnsi="Arial" w:cs="Arial"/>
          <w:sz w:val="24"/>
          <w:szCs w:val="24"/>
        </w:rPr>
        <w:t>Under Section 1 of the Mental Health Act 1983</w:t>
      </w:r>
      <w:r w:rsidR="00E62295" w:rsidRPr="00D7426C">
        <w:rPr>
          <w:rFonts w:ascii="Arial" w:hAnsi="Arial" w:cs="Arial"/>
          <w:sz w:val="24"/>
          <w:szCs w:val="24"/>
        </w:rPr>
        <w:t xml:space="preserve">, a </w:t>
      </w:r>
      <w:r w:rsidRPr="00D7426C">
        <w:rPr>
          <w:rFonts w:ascii="Arial" w:hAnsi="Arial" w:cs="Arial"/>
          <w:sz w:val="24"/>
          <w:szCs w:val="24"/>
        </w:rPr>
        <w:t xml:space="preserve">mental disorder is defined as a mind that is incomplete in its development, having a psychopathic disorder or another disability of the mind, for example suffering from mental health issues, like </w:t>
      </w:r>
      <w:r w:rsidRPr="00D7426C">
        <w:rPr>
          <w:rFonts w:ascii="Arial" w:hAnsi="Arial" w:cs="Arial"/>
          <w:sz w:val="24"/>
          <w:szCs w:val="24"/>
        </w:rPr>
        <w:lastRenderedPageBreak/>
        <w:t xml:space="preserve">anxiety and depression, being bipolar, having personality disorders, and eating disorders and also those who are diagnosed as suffering from autism and other learning disabilities </w:t>
      </w:r>
      <w:r w:rsidR="005F077C" w:rsidRPr="00D7426C">
        <w:rPr>
          <w:rFonts w:ascii="Arial" w:hAnsi="Arial" w:cs="Arial"/>
          <w:sz w:val="24"/>
          <w:szCs w:val="24"/>
        </w:rPr>
        <w:t>(</w:t>
      </w:r>
      <w:r w:rsidR="005F077C" w:rsidRPr="00D7426C">
        <w:rPr>
          <w:rFonts w:ascii="Arial" w:hAnsi="Arial" w:cs="Arial"/>
          <w:i/>
          <w:iCs/>
          <w:sz w:val="24"/>
          <w:szCs w:val="24"/>
        </w:rPr>
        <w:t>Mental Health Act 2007</w:t>
      </w:r>
      <w:r w:rsidR="005F077C" w:rsidRPr="00D7426C">
        <w:rPr>
          <w:rFonts w:ascii="Arial" w:hAnsi="Arial" w:cs="Arial"/>
          <w:i/>
          <w:iCs/>
          <w:sz w:val="24"/>
          <w:szCs w:val="24"/>
        </w:rPr>
        <w:t>).</w:t>
      </w:r>
    </w:p>
    <w:p w14:paraId="175F56CF" w14:textId="64DA4A32" w:rsidR="00E62295" w:rsidRPr="00D7426C" w:rsidRDefault="004C4B0B" w:rsidP="00D7426C">
      <w:pPr>
        <w:spacing w:line="480" w:lineRule="auto"/>
        <w:rPr>
          <w:rFonts w:ascii="Arial" w:hAnsi="Arial" w:cs="Arial"/>
          <w:sz w:val="24"/>
          <w:szCs w:val="24"/>
        </w:rPr>
      </w:pPr>
      <w:r w:rsidRPr="00D7426C">
        <w:rPr>
          <w:rFonts w:ascii="Arial" w:hAnsi="Arial" w:cs="Arial"/>
          <w:sz w:val="24"/>
          <w:szCs w:val="24"/>
        </w:rPr>
        <w:t>During 2019, according to the World Health Organisation (2022</w:t>
      </w:r>
      <w:r w:rsidR="001E112B" w:rsidRPr="00D7426C">
        <w:rPr>
          <w:rFonts w:ascii="Arial" w:hAnsi="Arial" w:cs="Arial"/>
          <w:sz w:val="24"/>
          <w:szCs w:val="24"/>
        </w:rPr>
        <w:t>a</w:t>
      </w:r>
      <w:r w:rsidRPr="00D7426C">
        <w:rPr>
          <w:rFonts w:ascii="Arial" w:hAnsi="Arial" w:cs="Arial"/>
          <w:sz w:val="24"/>
          <w:szCs w:val="24"/>
        </w:rPr>
        <w:t xml:space="preserve">) 970 million people around the world suffer from a mental disorder, 301 million people suffer from anxiety, which include 58 million children, 280 million also suffer from depression also including 23 million children and 40 million suffer from bipolar disorder. From 2019 to 2020 the increase of mental disorder increased dramatically due to the Coronavirus pandemic, people suffering from anxiety and depression rose by 28% within the year. </w:t>
      </w:r>
      <w:r w:rsidR="001E112B" w:rsidRPr="00D7426C">
        <w:rPr>
          <w:rFonts w:ascii="Arial" w:hAnsi="Arial" w:cs="Arial"/>
          <w:sz w:val="24"/>
          <w:szCs w:val="24"/>
        </w:rPr>
        <w:t xml:space="preserve">During the first year of </w:t>
      </w:r>
      <w:r w:rsidR="00E62295" w:rsidRPr="00D7426C">
        <w:rPr>
          <w:rFonts w:ascii="Arial" w:hAnsi="Arial" w:cs="Arial"/>
          <w:sz w:val="24"/>
          <w:szCs w:val="24"/>
        </w:rPr>
        <w:t xml:space="preserve">the </w:t>
      </w:r>
      <w:r w:rsidR="001E112B" w:rsidRPr="00D7426C">
        <w:rPr>
          <w:rFonts w:ascii="Arial" w:hAnsi="Arial" w:cs="Arial"/>
          <w:sz w:val="24"/>
          <w:szCs w:val="24"/>
        </w:rPr>
        <w:t>COVID-19</w:t>
      </w:r>
      <w:r w:rsidR="00E62295" w:rsidRPr="00D7426C">
        <w:rPr>
          <w:rFonts w:ascii="Arial" w:hAnsi="Arial" w:cs="Arial"/>
          <w:sz w:val="24"/>
          <w:szCs w:val="24"/>
        </w:rPr>
        <w:t xml:space="preserve"> pandemic,</w:t>
      </w:r>
      <w:r w:rsidR="001E112B" w:rsidRPr="00D7426C">
        <w:rPr>
          <w:rFonts w:ascii="Arial" w:hAnsi="Arial" w:cs="Arial"/>
          <w:sz w:val="24"/>
          <w:szCs w:val="24"/>
        </w:rPr>
        <w:t xml:space="preserve"> anxiety and depression increased by 25%</w:t>
      </w:r>
      <w:r w:rsidR="00E62295" w:rsidRPr="00D7426C">
        <w:rPr>
          <w:rFonts w:ascii="Arial" w:hAnsi="Arial" w:cs="Arial"/>
          <w:sz w:val="24"/>
          <w:szCs w:val="24"/>
        </w:rPr>
        <w:t>. It was found that</w:t>
      </w:r>
      <w:r w:rsidR="001E112B" w:rsidRPr="00D7426C">
        <w:rPr>
          <w:rFonts w:ascii="Arial" w:hAnsi="Arial" w:cs="Arial"/>
          <w:sz w:val="24"/>
          <w:szCs w:val="24"/>
        </w:rPr>
        <w:t xml:space="preserve"> 90% of the countries around the world included support for mental health and psychosocial support within how they would help people during the pandemic. Due to the pandemic people could not see each other and their families, many people felt isolated and </w:t>
      </w:r>
      <w:r w:rsidR="008E3720" w:rsidRPr="00D7426C">
        <w:rPr>
          <w:rFonts w:ascii="Arial" w:hAnsi="Arial" w:cs="Arial"/>
          <w:sz w:val="24"/>
          <w:szCs w:val="24"/>
        </w:rPr>
        <w:t>alone (World Health Organisation, 2022b). This means that</w:t>
      </w:r>
      <w:r w:rsidR="001E112B" w:rsidRPr="00D7426C">
        <w:rPr>
          <w:rFonts w:ascii="Arial" w:hAnsi="Arial" w:cs="Arial"/>
          <w:sz w:val="24"/>
          <w:szCs w:val="24"/>
        </w:rPr>
        <w:t xml:space="preserve"> </w:t>
      </w:r>
      <w:r w:rsidR="008E3720" w:rsidRPr="00D7426C">
        <w:rPr>
          <w:rFonts w:ascii="Arial" w:hAnsi="Arial" w:cs="Arial"/>
          <w:sz w:val="24"/>
          <w:szCs w:val="24"/>
        </w:rPr>
        <w:t>people</w:t>
      </w:r>
      <w:r w:rsidR="001E112B" w:rsidRPr="00D7426C">
        <w:rPr>
          <w:rFonts w:ascii="Arial" w:hAnsi="Arial" w:cs="Arial"/>
          <w:sz w:val="24"/>
          <w:szCs w:val="24"/>
        </w:rPr>
        <w:t xml:space="preserve"> were unable to seek support for their vulnerabilities from their families and friends, this caused many problems for </w:t>
      </w:r>
      <w:r w:rsidR="008E3720" w:rsidRPr="00D7426C">
        <w:rPr>
          <w:rFonts w:ascii="Arial" w:hAnsi="Arial" w:cs="Arial"/>
          <w:sz w:val="24"/>
          <w:szCs w:val="24"/>
        </w:rPr>
        <w:t>people’s</w:t>
      </w:r>
      <w:r w:rsidR="001E112B" w:rsidRPr="00D7426C">
        <w:rPr>
          <w:rFonts w:ascii="Arial" w:hAnsi="Arial" w:cs="Arial"/>
          <w:sz w:val="24"/>
          <w:szCs w:val="24"/>
        </w:rPr>
        <w:t xml:space="preserve"> mental </w:t>
      </w:r>
      <w:r w:rsidR="008E3720" w:rsidRPr="00D7426C">
        <w:rPr>
          <w:rFonts w:ascii="Arial" w:hAnsi="Arial" w:cs="Arial"/>
          <w:sz w:val="24"/>
          <w:szCs w:val="24"/>
        </w:rPr>
        <w:t>health,</w:t>
      </w:r>
      <w:r w:rsidR="001E112B" w:rsidRPr="00D7426C">
        <w:rPr>
          <w:rFonts w:ascii="Arial" w:hAnsi="Arial" w:cs="Arial"/>
          <w:sz w:val="24"/>
          <w:szCs w:val="24"/>
        </w:rPr>
        <w:t xml:space="preserve"> and they did not get the support that they needed, people were lonely and terrified at the fear of death and infection of their family and friends and having to deal with death, this caused, many people to be mentally ill and </w:t>
      </w:r>
      <w:r w:rsidR="00EB04C7" w:rsidRPr="00D7426C">
        <w:rPr>
          <w:rFonts w:ascii="Arial" w:hAnsi="Arial" w:cs="Arial"/>
          <w:sz w:val="24"/>
          <w:szCs w:val="24"/>
        </w:rPr>
        <w:t>exhausted.</w:t>
      </w:r>
      <w:r w:rsidR="001E112B" w:rsidRPr="00D7426C">
        <w:rPr>
          <w:rFonts w:ascii="Arial" w:hAnsi="Arial" w:cs="Arial"/>
          <w:sz w:val="24"/>
          <w:szCs w:val="24"/>
        </w:rPr>
        <w:t xml:space="preserve"> </w:t>
      </w:r>
      <w:r w:rsidR="00E62295" w:rsidRPr="00D7426C">
        <w:rPr>
          <w:rFonts w:ascii="Arial" w:hAnsi="Arial" w:cs="Arial"/>
          <w:sz w:val="24"/>
          <w:szCs w:val="24"/>
        </w:rPr>
        <w:t xml:space="preserve">As shown above, the way in which the covid 19 </w:t>
      </w:r>
      <w:r w:rsidR="005F077C" w:rsidRPr="00D7426C">
        <w:rPr>
          <w:rFonts w:ascii="Arial" w:hAnsi="Arial" w:cs="Arial"/>
          <w:sz w:val="24"/>
          <w:szCs w:val="24"/>
        </w:rPr>
        <w:t>pandemic</w:t>
      </w:r>
      <w:r w:rsidR="00E62295" w:rsidRPr="00D7426C">
        <w:rPr>
          <w:rFonts w:ascii="Arial" w:hAnsi="Arial" w:cs="Arial"/>
          <w:sz w:val="24"/>
          <w:szCs w:val="24"/>
        </w:rPr>
        <w:t xml:space="preserve"> caused distress leading to mental illnesses, this demonstrates that this time period acts as a contribution to factors that make individuals vulnerable. </w:t>
      </w:r>
    </w:p>
    <w:p w14:paraId="718382E8" w14:textId="77777777" w:rsidR="006958C5" w:rsidRPr="00D7426C" w:rsidRDefault="00125838" w:rsidP="00D7426C">
      <w:pPr>
        <w:spacing w:line="480" w:lineRule="auto"/>
        <w:rPr>
          <w:rFonts w:ascii="Arial" w:hAnsi="Arial" w:cs="Arial"/>
          <w:sz w:val="24"/>
          <w:szCs w:val="24"/>
        </w:rPr>
      </w:pPr>
      <w:r w:rsidRPr="00D7426C">
        <w:rPr>
          <w:rFonts w:ascii="Arial" w:hAnsi="Arial" w:cs="Arial"/>
          <w:sz w:val="24"/>
          <w:szCs w:val="24"/>
        </w:rPr>
        <w:t xml:space="preserve">Under the Mental Health Act, a person may be affected by factors that makes them vulnerable, this includes their age, if they are children or adults, people’s gender, and their ethnicity. A doctor will deem a person to be vulnerable and detain them within </w:t>
      </w:r>
      <w:r w:rsidRPr="00D7426C">
        <w:rPr>
          <w:rFonts w:ascii="Arial" w:hAnsi="Arial" w:cs="Arial"/>
          <w:sz w:val="24"/>
          <w:szCs w:val="24"/>
        </w:rPr>
        <w:lastRenderedPageBreak/>
        <w:t>hospital, this is known as being sectioned, this is for the persons own safety and the safety of those around due to the fact a person with mental disorders may want to hurt themselves or others, these people a kept in a secure hospital where they can be kept safe (NHS, 2022). This means that the doctors consider whether the person is vulnerable at the time, to see whether they need that extra help by being sectioned under the mental health act, lots of factors can affect your mental health.</w:t>
      </w:r>
    </w:p>
    <w:p w14:paraId="44B4AFE1" w14:textId="55915DA9" w:rsidR="00243253" w:rsidRPr="00D7426C" w:rsidRDefault="00243253" w:rsidP="00D7426C">
      <w:pPr>
        <w:spacing w:line="480" w:lineRule="auto"/>
        <w:rPr>
          <w:rFonts w:ascii="Arial" w:hAnsi="Arial" w:cs="Arial"/>
          <w:sz w:val="24"/>
          <w:szCs w:val="24"/>
        </w:rPr>
      </w:pPr>
      <w:r w:rsidRPr="00D7426C">
        <w:rPr>
          <w:rFonts w:ascii="Arial" w:hAnsi="Arial" w:cs="Arial"/>
          <w:sz w:val="24"/>
          <w:szCs w:val="24"/>
        </w:rPr>
        <w:t>During investigations made by the police according to McKinnon and Grubin (2014) ,those who have mental disorders including autism, learning difficulties and a type of disability, who are more typically adults, have shown that they are less effective when participating causing barriers to investigations.  McKinnon and Grubin (2014) also found that 39% of those who are interviewed by the police will have or had some sort of mental disorder that is affecting them and 25.6% who are in police custody will also be suffering with anxiety or depression, psychosis or have a disability which affects their intellect. These issues that are discussed are very important when considering the factors of vulnerability, it shows that 39% of those who are brought into custody might only be arrested due to the fact that they are vulnerable and they might need help with their issues, like having anxiety or depression.</w:t>
      </w:r>
      <w:r w:rsidR="00E62295" w:rsidRPr="00D7426C">
        <w:rPr>
          <w:rFonts w:ascii="Arial" w:hAnsi="Arial" w:cs="Arial"/>
          <w:sz w:val="24"/>
          <w:szCs w:val="24"/>
        </w:rPr>
        <w:t xml:space="preserve"> This shows the relevance of vulnerability within policing as </w:t>
      </w:r>
      <w:r w:rsidR="00AC64B8" w:rsidRPr="00D7426C">
        <w:rPr>
          <w:rFonts w:ascii="Arial" w:hAnsi="Arial" w:cs="Arial"/>
          <w:sz w:val="24"/>
          <w:szCs w:val="24"/>
        </w:rPr>
        <w:t xml:space="preserve">this data shows that mental disabilities or illness can cause vulnerability which could lead to them becoming involved in crime. </w:t>
      </w:r>
    </w:p>
    <w:p w14:paraId="2A40DA17" w14:textId="37145DDC" w:rsidR="004C4B0B" w:rsidRPr="00D7426C" w:rsidRDefault="002D480E" w:rsidP="00D7426C">
      <w:pPr>
        <w:pStyle w:val="NormalWeb"/>
        <w:spacing w:line="480" w:lineRule="auto"/>
        <w:rPr>
          <w:rFonts w:ascii="Arial" w:hAnsi="Arial" w:cs="Arial"/>
        </w:rPr>
      </w:pPr>
      <w:r w:rsidRPr="00D7426C">
        <w:rPr>
          <w:rFonts w:ascii="Arial" w:hAnsi="Arial" w:cs="Arial"/>
        </w:rPr>
        <w:t>During the 1</w:t>
      </w:r>
      <w:r w:rsidRPr="00D7426C">
        <w:rPr>
          <w:rFonts w:ascii="Arial" w:hAnsi="Arial" w:cs="Arial"/>
          <w:vertAlign w:val="superscript"/>
        </w:rPr>
        <w:t>st of</w:t>
      </w:r>
      <w:r w:rsidRPr="00D7426C">
        <w:rPr>
          <w:rFonts w:ascii="Arial" w:hAnsi="Arial" w:cs="Arial"/>
        </w:rPr>
        <w:t xml:space="preserve"> April 2021 to the 31</w:t>
      </w:r>
      <w:r w:rsidRPr="00D7426C">
        <w:rPr>
          <w:rFonts w:ascii="Arial" w:hAnsi="Arial" w:cs="Arial"/>
          <w:vertAlign w:val="superscript"/>
        </w:rPr>
        <w:t>st of</w:t>
      </w:r>
      <w:r w:rsidRPr="00D7426C">
        <w:rPr>
          <w:rFonts w:ascii="Arial" w:hAnsi="Arial" w:cs="Arial"/>
        </w:rPr>
        <w:t xml:space="preserve"> March 2022 53,337 people were detained and sectioned under the Mental Health Act. Out of these people 18- to 34-year-olds made up most of the 53,337 people do be detained, and also out of these numbers a person who is from </w:t>
      </w:r>
      <w:r w:rsidRPr="00D7426C">
        <w:rPr>
          <w:rFonts w:ascii="Arial" w:hAnsi="Arial" w:cs="Arial"/>
          <w:shd w:val="clear" w:color="auto" w:fill="FFFFFF"/>
        </w:rPr>
        <w:t xml:space="preserve">Black, Asian and Minority Ethnic (BAME) background was more </w:t>
      </w:r>
      <w:r w:rsidRPr="00D7426C">
        <w:rPr>
          <w:rFonts w:ascii="Arial" w:hAnsi="Arial" w:cs="Arial"/>
          <w:shd w:val="clear" w:color="auto" w:fill="FFFFFF"/>
        </w:rPr>
        <w:lastRenderedPageBreak/>
        <w:t>likely to be detained than a white person (NHS, 2022b).</w:t>
      </w:r>
      <w:r w:rsidRPr="00D7426C">
        <w:rPr>
          <w:rFonts w:ascii="Arial" w:hAnsi="Arial" w:cs="Arial"/>
          <w:b/>
          <w:bCs/>
        </w:rPr>
        <w:t xml:space="preserve"> </w:t>
      </w:r>
      <w:r w:rsidRPr="00D7426C">
        <w:rPr>
          <w:rFonts w:ascii="Arial" w:hAnsi="Arial" w:cs="Arial"/>
        </w:rPr>
        <w:t xml:space="preserve">This information is crucial as it shows that mental health is more prominent in young adults, more specifically if they are from a BAME background, showing that ethnicity and age and gender are huge factors when considering someone’s vulnerability. </w:t>
      </w:r>
    </w:p>
    <w:p w14:paraId="71F102B7" w14:textId="0FB0EBBA" w:rsidR="00591E68" w:rsidRPr="00D7426C" w:rsidRDefault="00591E68" w:rsidP="00D7426C">
      <w:pPr>
        <w:spacing w:line="480" w:lineRule="auto"/>
        <w:rPr>
          <w:rFonts w:ascii="Arial" w:hAnsi="Arial" w:cs="Arial"/>
          <w:sz w:val="24"/>
          <w:szCs w:val="24"/>
          <w:shd w:val="clear" w:color="auto" w:fill="FFFFFF"/>
        </w:rPr>
      </w:pPr>
      <w:r w:rsidRPr="00D7426C">
        <w:rPr>
          <w:rFonts w:ascii="Arial" w:hAnsi="Arial" w:cs="Arial"/>
          <w:sz w:val="24"/>
          <w:szCs w:val="24"/>
          <w:shd w:val="clear" w:color="auto" w:fill="FFFFFF"/>
        </w:rPr>
        <w:t>Due to an increase in the awareness of mental disorders in society, police are having to adapt the way they deal with people and those vulnerable, the police are now expected to police those people who suffer from mental illnesses (Chappell and O’Brien, 2014). Furthermore, the Home Affairs Select Committee (2015) explains that there is a strain on the police to deal with those who are struggling with mental issues, there needs to be an improvement by the</w:t>
      </w:r>
      <w:r w:rsidR="00AC64B8" w:rsidRPr="00D7426C">
        <w:rPr>
          <w:rFonts w:ascii="Arial" w:hAnsi="Arial" w:cs="Arial"/>
          <w:sz w:val="24"/>
          <w:szCs w:val="24"/>
          <w:shd w:val="clear" w:color="auto" w:fill="FFFFFF"/>
        </w:rPr>
        <w:t xml:space="preserve"> national</w:t>
      </w:r>
      <w:r w:rsidRPr="00D7426C">
        <w:rPr>
          <w:rFonts w:ascii="Arial" w:hAnsi="Arial" w:cs="Arial"/>
          <w:sz w:val="24"/>
          <w:szCs w:val="24"/>
          <w:shd w:val="clear" w:color="auto" w:fill="FFFFFF"/>
        </w:rPr>
        <w:t xml:space="preserve"> health service to be better equipped to deal with those who need it. However, it is argued that the police are the first call of those suffering with metal issues </w:t>
      </w:r>
      <w:r w:rsidR="006958C5" w:rsidRPr="00D7426C">
        <w:rPr>
          <w:rFonts w:ascii="Arial" w:hAnsi="Arial" w:cs="Arial"/>
          <w:sz w:val="24"/>
          <w:szCs w:val="24"/>
          <w:shd w:val="clear" w:color="auto" w:fill="FFFFFF"/>
        </w:rPr>
        <w:t>because</w:t>
      </w:r>
      <w:r w:rsidRPr="00D7426C">
        <w:rPr>
          <w:rFonts w:ascii="Arial" w:hAnsi="Arial" w:cs="Arial"/>
          <w:sz w:val="24"/>
          <w:szCs w:val="24"/>
          <w:shd w:val="clear" w:color="auto" w:fill="FFFFFF"/>
        </w:rPr>
        <w:t xml:space="preserve"> they are the first point of contact and the police will always come to those who contact them and it will be fast and efficient especially when someone may be feeling suicidal and extremely alone and vulnerable (Leese and Russel, 2017). </w:t>
      </w:r>
    </w:p>
    <w:p w14:paraId="60632BB3" w14:textId="307B9736" w:rsidR="00DD43FE" w:rsidRPr="00D7426C" w:rsidRDefault="00DD43FE" w:rsidP="00D7426C">
      <w:pPr>
        <w:spacing w:line="480" w:lineRule="auto"/>
        <w:rPr>
          <w:rFonts w:ascii="Arial" w:hAnsi="Arial" w:cs="Arial"/>
          <w:sz w:val="24"/>
          <w:szCs w:val="24"/>
        </w:rPr>
      </w:pPr>
      <w:r w:rsidRPr="00D7426C">
        <w:rPr>
          <w:rFonts w:ascii="Arial" w:hAnsi="Arial" w:cs="Arial"/>
          <w:sz w:val="24"/>
          <w:szCs w:val="24"/>
        </w:rPr>
        <w:t xml:space="preserve">According to the Criminal Justice Joint Inspection (2022) the criminal justice system (CJS) is failing thousands of people each year who are entering the CJS that are mentally ill, these mentally ill individuals, their basic needs are not being looked at. Furthermore, there is a massive issue between partnership agencies, where their systems are broken and there is a lack of communication which has caused confusion between the agencies dealing with those who are mentally sick. The Criminal Justice Joint Inspection (2022) also explains that the CJS has a lack of availability of their services and staff which has caused many long delays in those who are vulnerable and need help with their mental health, the delays have also </w:t>
      </w:r>
      <w:r w:rsidRPr="00D7426C">
        <w:rPr>
          <w:rFonts w:ascii="Arial" w:hAnsi="Arial" w:cs="Arial"/>
          <w:sz w:val="24"/>
          <w:szCs w:val="24"/>
        </w:rPr>
        <w:lastRenderedPageBreak/>
        <w:t>been impacted due to COVID-19. This means that because of the COVID-19 pandemic people had to stay home to work this had a massive impact on how available people are to those vulnerable people who need help.</w:t>
      </w:r>
      <w:r w:rsidR="00AC64B8" w:rsidRPr="00D7426C">
        <w:rPr>
          <w:rFonts w:ascii="Arial" w:hAnsi="Arial" w:cs="Arial"/>
          <w:sz w:val="24"/>
          <w:szCs w:val="24"/>
        </w:rPr>
        <w:t xml:space="preserve"> As</w:t>
      </w:r>
      <w:r w:rsidRPr="00D7426C">
        <w:rPr>
          <w:rFonts w:ascii="Arial" w:hAnsi="Arial" w:cs="Arial"/>
          <w:sz w:val="24"/>
          <w:szCs w:val="24"/>
        </w:rPr>
        <w:t xml:space="preserve"> </w:t>
      </w:r>
      <w:r w:rsidR="00AC64B8" w:rsidRPr="00D7426C">
        <w:rPr>
          <w:rFonts w:ascii="Arial" w:hAnsi="Arial" w:cs="Arial"/>
          <w:sz w:val="24"/>
          <w:szCs w:val="24"/>
        </w:rPr>
        <w:t xml:space="preserve">a result, there are more people that have factors of their life that make them </w:t>
      </w:r>
      <w:r w:rsidR="00232EAB" w:rsidRPr="00D7426C">
        <w:rPr>
          <w:rFonts w:ascii="Arial" w:hAnsi="Arial" w:cs="Arial"/>
          <w:sz w:val="24"/>
          <w:szCs w:val="24"/>
        </w:rPr>
        <w:t>vulnerable</w:t>
      </w:r>
      <w:r w:rsidR="00AC64B8" w:rsidRPr="00D7426C">
        <w:rPr>
          <w:rFonts w:ascii="Arial" w:hAnsi="Arial" w:cs="Arial"/>
          <w:sz w:val="24"/>
          <w:szCs w:val="24"/>
        </w:rPr>
        <w:t xml:space="preserve"> which makes them susceptible to crime specifically if there is a lack of support. </w:t>
      </w:r>
    </w:p>
    <w:p w14:paraId="1DDE4458" w14:textId="50813CBF" w:rsidR="0005348A" w:rsidRPr="00D7426C" w:rsidRDefault="0005348A" w:rsidP="00D7426C">
      <w:pPr>
        <w:spacing w:line="480" w:lineRule="auto"/>
        <w:rPr>
          <w:rFonts w:ascii="Arial" w:hAnsi="Arial" w:cs="Arial"/>
          <w:sz w:val="24"/>
          <w:szCs w:val="24"/>
        </w:rPr>
      </w:pPr>
      <w:r w:rsidRPr="00D7426C">
        <w:rPr>
          <w:rFonts w:ascii="Arial" w:hAnsi="Arial" w:cs="Arial"/>
          <w:sz w:val="24"/>
          <w:szCs w:val="24"/>
        </w:rPr>
        <w:t>Her Majesty’s Inspectorate of Constabulary and Fire &amp; Rescue Service (HMICFRS) explains in their 2018 inspection that the general police approach to how they deal with the publics mental health is considerate, supportive, and sympathetic to those vulnerable</w:t>
      </w:r>
      <w:r w:rsidR="00AC64B8" w:rsidRPr="00D7426C">
        <w:rPr>
          <w:rFonts w:ascii="Arial" w:hAnsi="Arial" w:cs="Arial"/>
          <w:sz w:val="24"/>
          <w:szCs w:val="24"/>
        </w:rPr>
        <w:t xml:space="preserve">. The information showed that </w:t>
      </w:r>
      <w:r w:rsidRPr="00D7426C">
        <w:rPr>
          <w:rFonts w:ascii="Arial" w:hAnsi="Arial" w:cs="Arial"/>
          <w:sz w:val="24"/>
          <w:szCs w:val="24"/>
        </w:rPr>
        <w:t>the police are the first point of call for those who need help, there is only so much the police can do for people, therefore the system needs a huge improvement, this will allow the police to focus on crime (HMICFRS, 2018).</w:t>
      </w:r>
    </w:p>
    <w:p w14:paraId="6D1A1ABE" w14:textId="70E44655" w:rsidR="006A166F" w:rsidRPr="00D7426C" w:rsidRDefault="006A166F" w:rsidP="00D7426C">
      <w:pPr>
        <w:spacing w:line="480" w:lineRule="auto"/>
        <w:rPr>
          <w:rFonts w:ascii="Arial" w:hAnsi="Arial" w:cs="Arial"/>
          <w:sz w:val="24"/>
          <w:szCs w:val="24"/>
        </w:rPr>
      </w:pPr>
      <w:r w:rsidRPr="00D7426C">
        <w:rPr>
          <w:rFonts w:ascii="Arial" w:hAnsi="Arial" w:cs="Arial"/>
          <w:sz w:val="24"/>
          <w:szCs w:val="24"/>
        </w:rPr>
        <w:t>According to the National Crime Agency (NCA), Criminal Exploitation is a type of Human Trafficking and Moden Slavery that focuses on acquisitive crimes, which are heavily focused on money and financial game, such as cannabis cultivation, people who are forced to beg in public, also pickpocketing and shoplifting, theft, and financial exploitation</w:t>
      </w:r>
      <w:r w:rsidR="00AC64B8" w:rsidRPr="00D7426C">
        <w:rPr>
          <w:rFonts w:ascii="Arial" w:hAnsi="Arial" w:cs="Arial"/>
          <w:sz w:val="24"/>
          <w:szCs w:val="24"/>
        </w:rPr>
        <w:t xml:space="preserve">. This means that these crimes often involve certain types of people, in this case they may often be children involved and these children may come from difficult backgrounds such as being the care system. </w:t>
      </w:r>
      <w:r w:rsidRPr="00D7426C">
        <w:rPr>
          <w:rFonts w:ascii="Arial" w:hAnsi="Arial" w:cs="Arial"/>
          <w:sz w:val="24"/>
          <w:szCs w:val="24"/>
        </w:rPr>
        <w:t>Criminal exploitation is covered by Section 1, Forced Labour under the Modern Slavery Act 2015 (NCA, 2022) this means that Criminal exploitation is a subsection of section 1 Forced Labour</w:t>
      </w:r>
      <w:r w:rsidR="00AC64B8" w:rsidRPr="00D7426C">
        <w:rPr>
          <w:rFonts w:ascii="Arial" w:hAnsi="Arial" w:cs="Arial"/>
          <w:sz w:val="24"/>
          <w:szCs w:val="24"/>
        </w:rPr>
        <w:t>.</w:t>
      </w:r>
      <w:r w:rsidRPr="00D7426C">
        <w:rPr>
          <w:rFonts w:ascii="Arial" w:hAnsi="Arial" w:cs="Arial"/>
          <w:sz w:val="24"/>
          <w:szCs w:val="24"/>
        </w:rPr>
        <w:t xml:space="preserve"> Forced Labour is covered under the Modern Slavery Act 2015. Criminal exploitation is very common within county lines, especially with children, who are exploited by being manipulated and controlled by individuals or a group, who deceive a young person under the age of 18 which include children. Child criminal </w:t>
      </w:r>
      <w:r w:rsidRPr="00D7426C">
        <w:rPr>
          <w:rFonts w:ascii="Arial" w:hAnsi="Arial" w:cs="Arial"/>
          <w:sz w:val="24"/>
          <w:szCs w:val="24"/>
        </w:rPr>
        <w:lastRenderedPageBreak/>
        <w:t xml:space="preserve">exploitation can also include children who have consented to committing certain acts, however under the Modern Slavery Act 2015, if a child is committing for example shop lifting or cultivation of cannabis for </w:t>
      </w:r>
      <w:proofErr w:type="spellStart"/>
      <w:proofErr w:type="gramStart"/>
      <w:r w:rsidRPr="00D7426C">
        <w:rPr>
          <w:rFonts w:ascii="Arial" w:hAnsi="Arial" w:cs="Arial"/>
          <w:sz w:val="24"/>
          <w:szCs w:val="24"/>
        </w:rPr>
        <w:t>a</w:t>
      </w:r>
      <w:proofErr w:type="spellEnd"/>
      <w:proofErr w:type="gramEnd"/>
      <w:r w:rsidRPr="00D7426C">
        <w:rPr>
          <w:rFonts w:ascii="Arial" w:hAnsi="Arial" w:cs="Arial"/>
          <w:sz w:val="24"/>
          <w:szCs w:val="24"/>
        </w:rPr>
        <w:t xml:space="preserve"> offender then the child is still being exploited (Home Office, 2020). </w:t>
      </w:r>
    </w:p>
    <w:p w14:paraId="07E2D1A4" w14:textId="7B1828E5" w:rsidR="00523324" w:rsidRPr="00D7426C" w:rsidRDefault="005F5080" w:rsidP="00D7426C">
      <w:pPr>
        <w:spacing w:line="480" w:lineRule="auto"/>
        <w:rPr>
          <w:rFonts w:ascii="Arial" w:hAnsi="Arial" w:cs="Arial"/>
          <w:color w:val="000000"/>
          <w:sz w:val="24"/>
          <w:szCs w:val="24"/>
        </w:rPr>
      </w:pPr>
      <w:r w:rsidRPr="00D7426C">
        <w:rPr>
          <w:rFonts w:ascii="Arial" w:hAnsi="Arial" w:cs="Arial"/>
          <w:color w:val="000000"/>
          <w:sz w:val="24"/>
          <w:szCs w:val="24"/>
        </w:rPr>
        <w:t xml:space="preserve">According to Stone (2018) 21-year-old, Zakaria Mohammed was arrested and charged under conspiring to supply Class A drugs including crack cocaine and heroin, furthermore under the Modern Slavery Act 2015 section 2 Mohammed was suspected of five allegations of human trafficking of children, who two boys aged 15 and a girl aged 14 years old, where Mohammed kept them in poor housing, in a cold small flat surrounded by those who relied on class A drugs such as heroine, where the children were made to sell drugs within Lincon for Mohammed, all of the children had been reported miss to the police. This suggests that these children were very susceptible and vulnerable to being </w:t>
      </w:r>
      <w:r w:rsidR="00D53095" w:rsidRPr="00D7426C">
        <w:rPr>
          <w:rFonts w:ascii="Arial" w:hAnsi="Arial" w:cs="Arial"/>
          <w:color w:val="000000"/>
          <w:sz w:val="24"/>
          <w:szCs w:val="24"/>
        </w:rPr>
        <w:t>coerced</w:t>
      </w:r>
      <w:r w:rsidRPr="00D7426C">
        <w:rPr>
          <w:rFonts w:ascii="Arial" w:hAnsi="Arial" w:cs="Arial"/>
          <w:color w:val="000000"/>
          <w:sz w:val="24"/>
          <w:szCs w:val="24"/>
        </w:rPr>
        <w:t xml:space="preserve"> into having to sell drugs due to them being children and they are vulnerable due to personal factors, such as their age and situational factors, like coercive control and grooming.</w:t>
      </w:r>
      <w:r w:rsidR="00AC64B8" w:rsidRPr="00D7426C">
        <w:rPr>
          <w:rFonts w:ascii="Arial" w:hAnsi="Arial" w:cs="Arial"/>
          <w:color w:val="000000"/>
          <w:sz w:val="24"/>
          <w:szCs w:val="24"/>
        </w:rPr>
        <w:t xml:space="preserve"> This demonstrates </w:t>
      </w:r>
      <w:r w:rsidR="00252C49" w:rsidRPr="00D7426C">
        <w:rPr>
          <w:rFonts w:ascii="Arial" w:hAnsi="Arial" w:cs="Arial"/>
          <w:color w:val="000000"/>
          <w:sz w:val="24"/>
          <w:szCs w:val="24"/>
        </w:rPr>
        <w:t xml:space="preserve">the factor of childhood helps contribute to a person’s level of vulnerability. </w:t>
      </w:r>
    </w:p>
    <w:p w14:paraId="37584750" w14:textId="73DA47EC" w:rsidR="00F10702" w:rsidRPr="00D7426C" w:rsidRDefault="00CD000F" w:rsidP="00D7426C">
      <w:pPr>
        <w:spacing w:line="480" w:lineRule="auto"/>
        <w:rPr>
          <w:rFonts w:ascii="Arial" w:hAnsi="Arial" w:cs="Arial"/>
          <w:color w:val="000000"/>
          <w:sz w:val="24"/>
          <w:szCs w:val="24"/>
        </w:rPr>
      </w:pPr>
      <w:r w:rsidRPr="00D7426C">
        <w:rPr>
          <w:rFonts w:ascii="Arial" w:hAnsi="Arial" w:cs="Arial"/>
          <w:color w:val="000000"/>
          <w:sz w:val="24"/>
          <w:szCs w:val="24"/>
        </w:rPr>
        <w:t>Organised g</w:t>
      </w:r>
      <w:r w:rsidR="00F10702" w:rsidRPr="00D7426C">
        <w:rPr>
          <w:rFonts w:ascii="Arial" w:hAnsi="Arial" w:cs="Arial"/>
          <w:color w:val="000000"/>
          <w:sz w:val="24"/>
          <w:szCs w:val="24"/>
        </w:rPr>
        <w:t>angs within the UK knowingly target children and young people who are the most vulnerable due to certain factors within their lives</w:t>
      </w:r>
      <w:r w:rsidR="00810CB6" w:rsidRPr="00D7426C">
        <w:rPr>
          <w:rFonts w:ascii="Arial" w:hAnsi="Arial" w:cs="Arial"/>
          <w:color w:val="000000"/>
          <w:sz w:val="24"/>
          <w:szCs w:val="24"/>
        </w:rPr>
        <w:t xml:space="preserve"> such as having adverse family circumstances</w:t>
      </w:r>
      <w:r w:rsidR="007769AC" w:rsidRPr="00D7426C">
        <w:rPr>
          <w:rFonts w:ascii="Arial" w:hAnsi="Arial" w:cs="Arial"/>
          <w:color w:val="000000"/>
          <w:sz w:val="24"/>
          <w:szCs w:val="24"/>
        </w:rPr>
        <w:t xml:space="preserve"> and if they struggle with poverty in their households</w:t>
      </w:r>
      <w:r w:rsidR="00252C49" w:rsidRPr="00D7426C">
        <w:rPr>
          <w:rFonts w:ascii="Arial" w:hAnsi="Arial" w:cs="Arial"/>
          <w:color w:val="000000"/>
          <w:sz w:val="24"/>
          <w:szCs w:val="24"/>
        </w:rPr>
        <w:t>. An example of this is when</w:t>
      </w:r>
      <w:r w:rsidR="007769AC" w:rsidRPr="00D7426C">
        <w:rPr>
          <w:rFonts w:ascii="Arial" w:hAnsi="Arial" w:cs="Arial"/>
          <w:color w:val="000000"/>
          <w:sz w:val="24"/>
          <w:szCs w:val="24"/>
        </w:rPr>
        <w:t xml:space="preserve"> gangs groom children from these backgrounds because </w:t>
      </w:r>
      <w:r w:rsidR="00036118" w:rsidRPr="00D7426C">
        <w:rPr>
          <w:rFonts w:ascii="Arial" w:hAnsi="Arial" w:cs="Arial"/>
          <w:color w:val="000000"/>
          <w:sz w:val="24"/>
          <w:szCs w:val="24"/>
        </w:rPr>
        <w:t>within society there is less risk of being caught due to the perpetrator bribing these children from poor backgrounds with expensive gifts and manipulating because they are more vulnerable than adults into committing crimes. Organised gangs target those children who have been physically abused, sexually exploited, emotionally abused and those who have been trafficked (NSPCC, 2022).</w:t>
      </w:r>
      <w:r w:rsidR="006C722A" w:rsidRPr="00D7426C">
        <w:rPr>
          <w:rFonts w:ascii="Arial" w:hAnsi="Arial" w:cs="Arial"/>
          <w:color w:val="000000"/>
          <w:sz w:val="24"/>
          <w:szCs w:val="24"/>
        </w:rPr>
        <w:t xml:space="preserve"> </w:t>
      </w:r>
      <w:r w:rsidR="00203742" w:rsidRPr="00D7426C">
        <w:rPr>
          <w:rFonts w:ascii="Arial" w:hAnsi="Arial" w:cs="Arial"/>
          <w:color w:val="000000"/>
          <w:sz w:val="24"/>
          <w:szCs w:val="24"/>
        </w:rPr>
        <w:t xml:space="preserve">This suggests that </w:t>
      </w:r>
      <w:r w:rsidR="00203742" w:rsidRPr="00D7426C">
        <w:rPr>
          <w:rFonts w:ascii="Arial" w:hAnsi="Arial" w:cs="Arial"/>
          <w:color w:val="000000"/>
          <w:sz w:val="24"/>
          <w:szCs w:val="24"/>
        </w:rPr>
        <w:lastRenderedPageBreak/>
        <w:t xml:space="preserve">gangs deliberately find and exploit those who are the most vulnerable within society, and that they find ways to bribe these children who do not have many valuable things within their lives, the gangs pray on the fact that not only children are vulnerable in their personal factors because of their age and gender, but because they are children, but they prey on those who are extremely vulnerable due to their poor situations. </w:t>
      </w:r>
      <w:r w:rsidR="00F25D75" w:rsidRPr="00D7426C">
        <w:rPr>
          <w:rFonts w:ascii="Arial" w:hAnsi="Arial" w:cs="Arial"/>
          <w:color w:val="000000"/>
          <w:sz w:val="24"/>
          <w:szCs w:val="24"/>
        </w:rPr>
        <w:t xml:space="preserve">OFSTED </w:t>
      </w:r>
      <w:r w:rsidR="00D37F7B" w:rsidRPr="00D7426C">
        <w:rPr>
          <w:rFonts w:ascii="Arial" w:hAnsi="Arial" w:cs="Arial"/>
          <w:color w:val="000000"/>
          <w:sz w:val="24"/>
          <w:szCs w:val="24"/>
        </w:rPr>
        <w:t>(20</w:t>
      </w:r>
      <w:r w:rsidR="00F25D75" w:rsidRPr="00D7426C">
        <w:rPr>
          <w:rFonts w:ascii="Arial" w:hAnsi="Arial" w:cs="Arial"/>
          <w:color w:val="000000"/>
          <w:sz w:val="24"/>
          <w:szCs w:val="24"/>
        </w:rPr>
        <w:t>18</w:t>
      </w:r>
      <w:r w:rsidR="00D37F7B" w:rsidRPr="00D7426C">
        <w:rPr>
          <w:rFonts w:ascii="Arial" w:hAnsi="Arial" w:cs="Arial"/>
          <w:color w:val="000000"/>
          <w:sz w:val="24"/>
          <w:szCs w:val="24"/>
        </w:rPr>
        <w:t xml:space="preserve">) </w:t>
      </w:r>
      <w:r w:rsidR="00516C28" w:rsidRPr="00D7426C">
        <w:rPr>
          <w:rFonts w:ascii="Arial" w:hAnsi="Arial" w:cs="Arial"/>
          <w:color w:val="000000"/>
          <w:sz w:val="24"/>
          <w:szCs w:val="24"/>
        </w:rPr>
        <w:t xml:space="preserve">further </w:t>
      </w:r>
      <w:r w:rsidR="00D37F7B" w:rsidRPr="00D7426C">
        <w:rPr>
          <w:rFonts w:ascii="Arial" w:hAnsi="Arial" w:cs="Arial"/>
          <w:color w:val="000000"/>
          <w:sz w:val="24"/>
          <w:szCs w:val="24"/>
        </w:rPr>
        <w:t xml:space="preserve">explains that </w:t>
      </w:r>
      <w:r w:rsidR="00255C97" w:rsidRPr="00D7426C">
        <w:rPr>
          <w:rFonts w:ascii="Arial" w:hAnsi="Arial" w:cs="Arial"/>
          <w:color w:val="000000"/>
          <w:sz w:val="24"/>
          <w:szCs w:val="24"/>
        </w:rPr>
        <w:t>o</w:t>
      </w:r>
      <w:r w:rsidR="00516C28" w:rsidRPr="00D7426C">
        <w:rPr>
          <w:rFonts w:ascii="Arial" w:hAnsi="Arial" w:cs="Arial"/>
          <w:color w:val="000000"/>
          <w:sz w:val="24"/>
          <w:szCs w:val="24"/>
        </w:rPr>
        <w:t xml:space="preserve">rganised gangs target children who are living in </w:t>
      </w:r>
      <w:r w:rsidR="00255C97" w:rsidRPr="00D7426C">
        <w:rPr>
          <w:rFonts w:ascii="Arial" w:hAnsi="Arial" w:cs="Arial"/>
          <w:color w:val="000000"/>
          <w:sz w:val="24"/>
          <w:szCs w:val="24"/>
        </w:rPr>
        <w:t>care homes</w:t>
      </w:r>
      <w:r w:rsidR="00516C28" w:rsidRPr="00D7426C">
        <w:rPr>
          <w:rFonts w:ascii="Arial" w:hAnsi="Arial" w:cs="Arial"/>
          <w:color w:val="000000"/>
          <w:sz w:val="24"/>
          <w:szCs w:val="24"/>
        </w:rPr>
        <w:t xml:space="preserve"> and those who are homeless, and those who are </w:t>
      </w:r>
      <w:r w:rsidR="00283347" w:rsidRPr="00D7426C">
        <w:rPr>
          <w:rFonts w:ascii="Arial" w:hAnsi="Arial" w:cs="Arial"/>
          <w:color w:val="000000"/>
          <w:sz w:val="24"/>
          <w:szCs w:val="24"/>
        </w:rPr>
        <w:t>affected</w:t>
      </w:r>
      <w:r w:rsidR="00516C28" w:rsidRPr="00D7426C">
        <w:rPr>
          <w:rFonts w:ascii="Arial" w:hAnsi="Arial" w:cs="Arial"/>
          <w:color w:val="000000"/>
          <w:sz w:val="24"/>
          <w:szCs w:val="24"/>
        </w:rPr>
        <w:t xml:space="preserve"> with poverty in some way</w:t>
      </w:r>
      <w:r w:rsidR="00283347" w:rsidRPr="00D7426C">
        <w:rPr>
          <w:rFonts w:ascii="Arial" w:hAnsi="Arial" w:cs="Arial"/>
          <w:color w:val="000000"/>
          <w:sz w:val="24"/>
          <w:szCs w:val="24"/>
        </w:rPr>
        <w:t xml:space="preserve">, these children from poor backgrounds are often not loved, they are unsafe, they are vulnerable and gangs take advantage of these children by grooming and manipulating them into trafficking drugs for them, by making them feel special, and loved and giving them a sort of family they do not have, furthermore by threatening the child that they will physically hurt them or their families. This suggests that children, who are in this </w:t>
      </w:r>
      <w:r w:rsidR="00F25D75" w:rsidRPr="00D7426C">
        <w:rPr>
          <w:rFonts w:ascii="Arial" w:hAnsi="Arial" w:cs="Arial"/>
          <w:color w:val="000000"/>
          <w:sz w:val="24"/>
          <w:szCs w:val="24"/>
        </w:rPr>
        <w:t>extremely</w:t>
      </w:r>
      <w:r w:rsidR="00283347" w:rsidRPr="00D7426C">
        <w:rPr>
          <w:rFonts w:ascii="Arial" w:hAnsi="Arial" w:cs="Arial"/>
          <w:color w:val="000000"/>
          <w:sz w:val="24"/>
          <w:szCs w:val="24"/>
        </w:rPr>
        <w:t xml:space="preserve"> vulnerable position will be </w:t>
      </w:r>
      <w:r w:rsidR="00F25D75" w:rsidRPr="00D7426C">
        <w:rPr>
          <w:rFonts w:ascii="Arial" w:hAnsi="Arial" w:cs="Arial"/>
          <w:color w:val="000000"/>
          <w:sz w:val="24"/>
          <w:szCs w:val="24"/>
        </w:rPr>
        <w:t>terrified</w:t>
      </w:r>
      <w:r w:rsidR="00283347" w:rsidRPr="00D7426C">
        <w:rPr>
          <w:rFonts w:ascii="Arial" w:hAnsi="Arial" w:cs="Arial"/>
          <w:color w:val="000000"/>
          <w:sz w:val="24"/>
          <w:szCs w:val="24"/>
        </w:rPr>
        <w:t xml:space="preserve"> that what the offender threatens is true, and that if the child does not do what they have been asked to do, for example selling drugs, then </w:t>
      </w:r>
      <w:r w:rsidR="00F25D75" w:rsidRPr="00D7426C">
        <w:rPr>
          <w:rFonts w:ascii="Arial" w:hAnsi="Arial" w:cs="Arial"/>
          <w:color w:val="000000"/>
          <w:sz w:val="24"/>
          <w:szCs w:val="24"/>
        </w:rPr>
        <w:t>their families will be hurt and that they have no choice but do what is said, which put the child it a extremely vulnerable position.</w:t>
      </w:r>
      <w:r w:rsidR="00283347" w:rsidRPr="00D7426C">
        <w:rPr>
          <w:rFonts w:ascii="Arial" w:hAnsi="Arial" w:cs="Arial"/>
          <w:color w:val="000000"/>
          <w:sz w:val="24"/>
          <w:szCs w:val="24"/>
        </w:rPr>
        <w:t xml:space="preserve"> </w:t>
      </w:r>
    </w:p>
    <w:p w14:paraId="1B994E3D" w14:textId="2918C4E3" w:rsidR="008C7BCF" w:rsidRPr="00D7426C" w:rsidRDefault="00A12F8A" w:rsidP="00D7426C">
      <w:pPr>
        <w:spacing w:line="480" w:lineRule="auto"/>
        <w:rPr>
          <w:rFonts w:ascii="Arial" w:hAnsi="Arial" w:cs="Arial"/>
          <w:sz w:val="24"/>
          <w:szCs w:val="24"/>
        </w:rPr>
      </w:pPr>
      <w:r w:rsidRPr="00D7426C">
        <w:rPr>
          <w:rFonts w:ascii="Arial" w:hAnsi="Arial" w:cs="Arial"/>
          <w:color w:val="000000"/>
          <w:sz w:val="24"/>
          <w:szCs w:val="24"/>
        </w:rPr>
        <w:t>In conclusion this essay has discussed many factors that contribute to the causes of vulnerability</w:t>
      </w:r>
      <w:r w:rsidR="00454BAA" w:rsidRPr="00D7426C">
        <w:rPr>
          <w:rFonts w:ascii="Arial" w:hAnsi="Arial" w:cs="Arial"/>
          <w:color w:val="000000"/>
          <w:sz w:val="24"/>
          <w:szCs w:val="24"/>
        </w:rPr>
        <w:t xml:space="preserve">, explaining there are 2 types of vulnerability, </w:t>
      </w:r>
      <w:r w:rsidR="00454BAA" w:rsidRPr="00D7426C">
        <w:rPr>
          <w:rFonts w:ascii="Arial" w:hAnsi="Arial" w:cs="Arial"/>
          <w:sz w:val="24"/>
          <w:szCs w:val="24"/>
        </w:rPr>
        <w:t>personal vulnerability</w:t>
      </w:r>
      <w:r w:rsidR="00252C49" w:rsidRPr="00D7426C">
        <w:rPr>
          <w:rFonts w:ascii="Arial" w:hAnsi="Arial" w:cs="Arial"/>
          <w:sz w:val="24"/>
          <w:szCs w:val="24"/>
        </w:rPr>
        <w:t xml:space="preserve"> involving factors like</w:t>
      </w:r>
      <w:r w:rsidR="008C7BCF" w:rsidRPr="00D7426C">
        <w:rPr>
          <w:rFonts w:ascii="Arial" w:hAnsi="Arial" w:cs="Arial"/>
          <w:sz w:val="24"/>
          <w:szCs w:val="24"/>
        </w:rPr>
        <w:t xml:space="preserve"> peoples age, gender, disability, </w:t>
      </w:r>
      <w:r w:rsidR="00206342" w:rsidRPr="00D7426C">
        <w:rPr>
          <w:rFonts w:ascii="Arial" w:hAnsi="Arial" w:cs="Arial"/>
          <w:sz w:val="24"/>
          <w:szCs w:val="24"/>
        </w:rPr>
        <w:t>religion,</w:t>
      </w:r>
      <w:r w:rsidR="008C7BCF" w:rsidRPr="00D7426C">
        <w:rPr>
          <w:rFonts w:ascii="Arial" w:hAnsi="Arial" w:cs="Arial"/>
          <w:sz w:val="24"/>
          <w:szCs w:val="24"/>
        </w:rPr>
        <w:t xml:space="preserve"> and mental health</w:t>
      </w:r>
      <w:r w:rsidR="00252C49" w:rsidRPr="00D7426C">
        <w:rPr>
          <w:rFonts w:ascii="Arial" w:hAnsi="Arial" w:cs="Arial"/>
          <w:sz w:val="24"/>
          <w:szCs w:val="24"/>
        </w:rPr>
        <w:t xml:space="preserve">. On the other hand, there is </w:t>
      </w:r>
      <w:r w:rsidR="00454BAA" w:rsidRPr="00D7426C">
        <w:rPr>
          <w:rFonts w:ascii="Arial" w:hAnsi="Arial" w:cs="Arial"/>
          <w:sz w:val="24"/>
          <w:szCs w:val="24"/>
        </w:rPr>
        <w:t>situational vulnerability</w:t>
      </w:r>
      <w:r w:rsidR="008C7BCF" w:rsidRPr="00D7426C">
        <w:rPr>
          <w:rFonts w:ascii="Arial" w:hAnsi="Arial" w:cs="Arial"/>
          <w:sz w:val="24"/>
          <w:szCs w:val="24"/>
        </w:rPr>
        <w:t xml:space="preserve">, which include poverty, </w:t>
      </w:r>
      <w:r w:rsidR="00982468" w:rsidRPr="00D7426C">
        <w:rPr>
          <w:rFonts w:ascii="Arial" w:hAnsi="Arial" w:cs="Arial"/>
          <w:sz w:val="24"/>
          <w:szCs w:val="24"/>
        </w:rPr>
        <w:t>coercive control, those who are isolated and those who are groomed.</w:t>
      </w:r>
      <w:r w:rsidR="005742FD" w:rsidRPr="00D7426C">
        <w:rPr>
          <w:rFonts w:ascii="Arial" w:hAnsi="Arial" w:cs="Arial"/>
          <w:sz w:val="24"/>
          <w:szCs w:val="24"/>
        </w:rPr>
        <w:t xml:space="preserve"> In </w:t>
      </w:r>
      <w:r w:rsidR="007E02E5" w:rsidRPr="00D7426C">
        <w:rPr>
          <w:rFonts w:ascii="Arial" w:hAnsi="Arial" w:cs="Arial"/>
          <w:sz w:val="24"/>
          <w:szCs w:val="24"/>
        </w:rPr>
        <w:t>conclusion</w:t>
      </w:r>
      <w:r w:rsidR="005742FD" w:rsidRPr="00D7426C">
        <w:rPr>
          <w:rFonts w:ascii="Arial" w:hAnsi="Arial" w:cs="Arial"/>
          <w:sz w:val="24"/>
          <w:szCs w:val="24"/>
        </w:rPr>
        <w:t xml:space="preserve"> a </w:t>
      </w:r>
      <w:r w:rsidR="00386114" w:rsidRPr="00D7426C">
        <w:rPr>
          <w:rFonts w:ascii="Arial" w:hAnsi="Arial" w:cs="Arial"/>
          <w:sz w:val="24"/>
          <w:szCs w:val="24"/>
        </w:rPr>
        <w:t>person does not choose to be</w:t>
      </w:r>
      <w:r w:rsidR="005742FD" w:rsidRPr="00D7426C">
        <w:rPr>
          <w:rFonts w:ascii="Arial" w:hAnsi="Arial" w:cs="Arial"/>
          <w:sz w:val="24"/>
          <w:szCs w:val="24"/>
        </w:rPr>
        <w:t xml:space="preserve"> </w:t>
      </w:r>
      <w:r w:rsidR="007E02E5" w:rsidRPr="00D7426C">
        <w:rPr>
          <w:rFonts w:ascii="Arial" w:hAnsi="Arial" w:cs="Arial"/>
          <w:sz w:val="24"/>
          <w:szCs w:val="24"/>
        </w:rPr>
        <w:t>vulnerable</w:t>
      </w:r>
      <w:r w:rsidR="005742FD" w:rsidRPr="00D7426C">
        <w:rPr>
          <w:rFonts w:ascii="Arial" w:hAnsi="Arial" w:cs="Arial"/>
          <w:sz w:val="24"/>
          <w:szCs w:val="24"/>
        </w:rPr>
        <w:t xml:space="preserve"> out of choice, it is how </w:t>
      </w:r>
      <w:r w:rsidR="007E02E5" w:rsidRPr="00D7426C">
        <w:rPr>
          <w:rFonts w:ascii="Arial" w:hAnsi="Arial" w:cs="Arial"/>
          <w:sz w:val="24"/>
          <w:szCs w:val="24"/>
        </w:rPr>
        <w:t>a person</w:t>
      </w:r>
      <w:r w:rsidR="005742FD" w:rsidRPr="00D7426C">
        <w:rPr>
          <w:rFonts w:ascii="Arial" w:hAnsi="Arial" w:cs="Arial"/>
          <w:sz w:val="24"/>
          <w:szCs w:val="24"/>
        </w:rPr>
        <w:t xml:space="preserve"> </w:t>
      </w:r>
      <w:r w:rsidR="007E02E5" w:rsidRPr="00D7426C">
        <w:rPr>
          <w:rFonts w:ascii="Arial" w:hAnsi="Arial" w:cs="Arial"/>
          <w:sz w:val="24"/>
          <w:szCs w:val="24"/>
        </w:rPr>
        <w:t>is</w:t>
      </w:r>
      <w:r w:rsidR="005742FD" w:rsidRPr="00D7426C">
        <w:rPr>
          <w:rFonts w:ascii="Arial" w:hAnsi="Arial" w:cs="Arial"/>
          <w:sz w:val="24"/>
          <w:szCs w:val="24"/>
        </w:rPr>
        <w:t xml:space="preserve"> </w:t>
      </w:r>
      <w:r w:rsidR="007E02E5" w:rsidRPr="00D7426C">
        <w:rPr>
          <w:rFonts w:ascii="Arial" w:hAnsi="Arial" w:cs="Arial"/>
          <w:sz w:val="24"/>
          <w:szCs w:val="24"/>
        </w:rPr>
        <w:t xml:space="preserve">looked at within society and the factors that may make them vulnerable like their age or gender, which these factors affect different ways a person can be more vulnerable, such as </w:t>
      </w:r>
      <w:r w:rsidR="00EB227B" w:rsidRPr="00D7426C">
        <w:rPr>
          <w:rFonts w:ascii="Arial" w:hAnsi="Arial" w:cs="Arial"/>
          <w:sz w:val="24"/>
          <w:szCs w:val="24"/>
        </w:rPr>
        <w:lastRenderedPageBreak/>
        <w:t xml:space="preserve">dealing with mental disorders and criminal exploitation. </w:t>
      </w:r>
      <w:r w:rsidR="007134A7" w:rsidRPr="00D7426C">
        <w:rPr>
          <w:rFonts w:ascii="Arial" w:hAnsi="Arial" w:cs="Arial"/>
          <w:sz w:val="24"/>
          <w:szCs w:val="24"/>
        </w:rPr>
        <w:t xml:space="preserve">Mental disorder is </w:t>
      </w:r>
      <w:r w:rsidR="00206342" w:rsidRPr="00D7426C">
        <w:rPr>
          <w:rFonts w:ascii="Arial" w:hAnsi="Arial" w:cs="Arial"/>
          <w:sz w:val="24"/>
          <w:szCs w:val="24"/>
        </w:rPr>
        <w:t>an</w:t>
      </w:r>
      <w:r w:rsidR="007134A7" w:rsidRPr="00D7426C">
        <w:rPr>
          <w:rFonts w:ascii="Arial" w:hAnsi="Arial" w:cs="Arial"/>
          <w:sz w:val="24"/>
          <w:szCs w:val="24"/>
        </w:rPr>
        <w:t xml:space="preserve"> extremely important factor that </w:t>
      </w:r>
      <w:r w:rsidR="00D10CDC" w:rsidRPr="00D7426C">
        <w:rPr>
          <w:rFonts w:ascii="Arial" w:hAnsi="Arial" w:cs="Arial"/>
          <w:sz w:val="24"/>
          <w:szCs w:val="24"/>
        </w:rPr>
        <w:t>contributes to the causes of vulnerability</w:t>
      </w:r>
      <w:r w:rsidR="00252C49" w:rsidRPr="00D7426C">
        <w:rPr>
          <w:rFonts w:ascii="Arial" w:hAnsi="Arial" w:cs="Arial"/>
          <w:sz w:val="24"/>
          <w:szCs w:val="24"/>
        </w:rPr>
        <w:t xml:space="preserve">, research has shown that there are high numbers of those with mental disorders that end up being involved with the police showing that having a mental disorder acts as a contribution to crime that they have become vulnerable to. </w:t>
      </w:r>
    </w:p>
    <w:p w14:paraId="2B8820C8" w14:textId="77777777" w:rsidR="007134A7" w:rsidRPr="00D7426C" w:rsidRDefault="007134A7" w:rsidP="00D7426C">
      <w:pPr>
        <w:spacing w:line="480" w:lineRule="auto"/>
        <w:rPr>
          <w:rFonts w:ascii="Arial" w:hAnsi="Arial" w:cs="Arial"/>
          <w:sz w:val="24"/>
          <w:szCs w:val="24"/>
        </w:rPr>
      </w:pPr>
    </w:p>
    <w:p w14:paraId="60D72854" w14:textId="77777777" w:rsidR="00386114" w:rsidRPr="00D7426C" w:rsidRDefault="00386114" w:rsidP="00D7426C">
      <w:pPr>
        <w:spacing w:line="480" w:lineRule="auto"/>
        <w:rPr>
          <w:rFonts w:ascii="Arial" w:hAnsi="Arial" w:cs="Arial"/>
          <w:sz w:val="24"/>
          <w:szCs w:val="24"/>
        </w:rPr>
      </w:pPr>
    </w:p>
    <w:p w14:paraId="29C9ADCE" w14:textId="77777777" w:rsidR="008C7BCF" w:rsidRPr="00D7426C" w:rsidRDefault="008C7BCF" w:rsidP="00D7426C">
      <w:pPr>
        <w:spacing w:line="480" w:lineRule="auto"/>
        <w:rPr>
          <w:rFonts w:ascii="Arial" w:hAnsi="Arial" w:cs="Arial"/>
          <w:sz w:val="24"/>
          <w:szCs w:val="24"/>
        </w:rPr>
      </w:pPr>
    </w:p>
    <w:p w14:paraId="66E88C38" w14:textId="77777777" w:rsidR="003E5B6A" w:rsidRPr="00D7426C" w:rsidRDefault="003E5B6A" w:rsidP="00D7426C">
      <w:pPr>
        <w:spacing w:line="480" w:lineRule="auto"/>
        <w:rPr>
          <w:rFonts w:ascii="Arial" w:hAnsi="Arial" w:cs="Arial"/>
          <w:sz w:val="24"/>
          <w:szCs w:val="24"/>
        </w:rPr>
      </w:pPr>
    </w:p>
    <w:p w14:paraId="3E824A5D" w14:textId="77777777" w:rsidR="00D7426C" w:rsidRDefault="00D7426C" w:rsidP="0006240C"/>
    <w:p w14:paraId="54E9A51A"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31439845"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613CFB7F"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540F7BFC"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32224AE1"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482D45EC"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33C35E4E"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160BB0A6"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4DEE083D"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1A64D5D8"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453F8903"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645ABFE4"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463A6190"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2E2556CF"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708B3576" w14:textId="77777777" w:rsid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p>
    <w:p w14:paraId="6A879387" w14:textId="77777777" w:rsidR="007E5B04" w:rsidRDefault="007E5B04" w:rsidP="00874DF3">
      <w:pPr>
        <w:shd w:val="clear" w:color="auto" w:fill="FFFFFF"/>
        <w:spacing w:line="240" w:lineRule="auto"/>
        <w:rPr>
          <w:rFonts w:ascii="Arial" w:eastAsia="Times New Roman" w:hAnsi="Arial" w:cs="Arial"/>
          <w:kern w:val="0"/>
          <w:sz w:val="24"/>
          <w:szCs w:val="24"/>
          <w:lang w:eastAsia="en-GB"/>
          <w14:ligatures w14:val="none"/>
        </w:rPr>
      </w:pPr>
    </w:p>
    <w:p w14:paraId="4D4323CD" w14:textId="77777777" w:rsidR="007E5B04" w:rsidRDefault="007E5B04" w:rsidP="00874DF3">
      <w:pPr>
        <w:shd w:val="clear" w:color="auto" w:fill="FFFFFF"/>
        <w:spacing w:line="240" w:lineRule="auto"/>
        <w:rPr>
          <w:rFonts w:ascii="Arial" w:eastAsia="Times New Roman" w:hAnsi="Arial" w:cs="Arial"/>
          <w:kern w:val="0"/>
          <w:sz w:val="24"/>
          <w:szCs w:val="24"/>
          <w:lang w:eastAsia="en-GB"/>
          <w14:ligatures w14:val="none"/>
        </w:rPr>
      </w:pPr>
    </w:p>
    <w:p w14:paraId="4931D338" w14:textId="77777777" w:rsidR="007E5B04" w:rsidRDefault="007E5B04" w:rsidP="00874DF3">
      <w:pPr>
        <w:shd w:val="clear" w:color="auto" w:fill="FFFFFF"/>
        <w:spacing w:line="240" w:lineRule="auto"/>
        <w:rPr>
          <w:rFonts w:ascii="Arial" w:eastAsia="Times New Roman" w:hAnsi="Arial" w:cs="Arial"/>
          <w:kern w:val="0"/>
          <w:sz w:val="24"/>
          <w:szCs w:val="24"/>
          <w:lang w:eastAsia="en-GB"/>
          <w14:ligatures w14:val="none"/>
        </w:rPr>
      </w:pPr>
    </w:p>
    <w:p w14:paraId="276B97D8" w14:textId="23C1499D" w:rsidR="00D7426C" w:rsidRPr="00D7426C" w:rsidRDefault="00D7426C" w:rsidP="00874DF3">
      <w:pPr>
        <w:shd w:val="clear" w:color="auto" w:fill="FFFFFF"/>
        <w:spacing w:line="240" w:lineRule="auto"/>
        <w:rPr>
          <w:rFonts w:ascii="Arial" w:eastAsia="Times New Roman" w:hAnsi="Arial" w:cs="Arial"/>
          <w:kern w:val="0"/>
          <w:sz w:val="24"/>
          <w:szCs w:val="24"/>
          <w:lang w:eastAsia="en-GB"/>
          <w14:ligatures w14:val="none"/>
        </w:rPr>
      </w:pPr>
      <w:r w:rsidRPr="00D7426C">
        <w:rPr>
          <w:rFonts w:ascii="Arial" w:eastAsia="Times New Roman" w:hAnsi="Arial" w:cs="Arial"/>
          <w:kern w:val="0"/>
          <w:sz w:val="24"/>
          <w:szCs w:val="24"/>
          <w:lang w:eastAsia="en-GB"/>
          <w14:ligatures w14:val="none"/>
        </w:rPr>
        <w:lastRenderedPageBreak/>
        <w:t xml:space="preserve">References </w:t>
      </w:r>
    </w:p>
    <w:p w14:paraId="65AD0CF0" w14:textId="77777777" w:rsidR="00D7426C" w:rsidRPr="00874DF3" w:rsidRDefault="00D7426C" w:rsidP="005F077C"/>
    <w:p w14:paraId="3AD63A5D"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color w:val="555555"/>
          <w:sz w:val="24"/>
          <w:szCs w:val="24"/>
          <w:shd w:val="clear" w:color="auto" w:fill="FFFFFF"/>
        </w:rPr>
        <w:t>Chappell, D. and O'Brien, A., (2014</w:t>
      </w:r>
      <w:r w:rsidRPr="007E5B04">
        <w:rPr>
          <w:rFonts w:ascii="Arial" w:hAnsi="Arial" w:cs="Arial"/>
          <w:sz w:val="24"/>
          <w:szCs w:val="24"/>
          <w:shd w:val="clear" w:color="auto" w:fill="FFFFFF"/>
        </w:rPr>
        <w:t>), "</w:t>
      </w:r>
      <w:r w:rsidRPr="007E5B04">
        <w:rPr>
          <w:rFonts w:ascii="Arial" w:hAnsi="Arial" w:cs="Arial"/>
          <w:i/>
          <w:iCs/>
          <w:sz w:val="24"/>
          <w:szCs w:val="24"/>
          <w:shd w:val="clear" w:color="auto" w:fill="FFFFFF"/>
        </w:rPr>
        <w:t>Police responses to persons with a mental illness: international perspectives</w:t>
      </w:r>
      <w:r w:rsidRPr="007E5B04">
        <w:rPr>
          <w:rFonts w:ascii="Arial" w:hAnsi="Arial" w:cs="Arial"/>
          <w:sz w:val="24"/>
          <w:szCs w:val="24"/>
          <w:shd w:val="clear" w:color="auto" w:fill="FFFFFF"/>
        </w:rPr>
        <w:t xml:space="preserve">", </w:t>
      </w:r>
      <w:r w:rsidRPr="00D7426C">
        <w:rPr>
          <w:rFonts w:ascii="Arial" w:hAnsi="Arial" w:cs="Arial"/>
          <w:color w:val="555555"/>
          <w:sz w:val="24"/>
          <w:szCs w:val="24"/>
          <w:shd w:val="clear" w:color="auto" w:fill="FFFFFF"/>
        </w:rPr>
        <w:t>International Journal of Law and Psychiatry, Vol. 34 no. 4, pp. 321-4.</w:t>
      </w:r>
    </w:p>
    <w:p w14:paraId="4789E032"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College of Policing (2021) ‘</w:t>
      </w:r>
      <w:r w:rsidRPr="00D7426C">
        <w:rPr>
          <w:rFonts w:ascii="Arial" w:hAnsi="Arial" w:cs="Arial"/>
          <w:i/>
          <w:iCs/>
          <w:sz w:val="24"/>
          <w:szCs w:val="24"/>
        </w:rPr>
        <w:t>Introduction to vulnerability-related risk</w:t>
      </w:r>
      <w:r w:rsidRPr="00D7426C">
        <w:rPr>
          <w:rFonts w:ascii="Arial" w:hAnsi="Arial" w:cs="Arial"/>
          <w:sz w:val="24"/>
          <w:szCs w:val="24"/>
        </w:rPr>
        <w:t xml:space="preserve">’ Available at: </w:t>
      </w:r>
      <w:hyperlink r:id="rId7" w:history="1">
        <w:r w:rsidRPr="00D7426C">
          <w:rPr>
            <w:rStyle w:val="Hyperlink"/>
            <w:rFonts w:ascii="Arial" w:hAnsi="Arial" w:cs="Arial"/>
            <w:sz w:val="24"/>
            <w:szCs w:val="24"/>
          </w:rPr>
          <w:t>https://www.college.police.uk/guidance/vulnerability-related-risks/introduction-vulnerability-related-risk</w:t>
        </w:r>
      </w:hyperlink>
      <w:r w:rsidRPr="00D7426C">
        <w:rPr>
          <w:rFonts w:ascii="Arial" w:hAnsi="Arial" w:cs="Arial"/>
          <w:sz w:val="24"/>
          <w:szCs w:val="24"/>
        </w:rPr>
        <w:t xml:space="preserve"> (Accessed on: 20/12/22)</w:t>
      </w:r>
    </w:p>
    <w:p w14:paraId="0F6AB2E9" w14:textId="77777777" w:rsidR="00D7426C" w:rsidRPr="00D7426C" w:rsidRDefault="00D7426C" w:rsidP="00D7426C">
      <w:pPr>
        <w:pStyle w:val="ListParagraph"/>
        <w:numPr>
          <w:ilvl w:val="0"/>
          <w:numId w:val="2"/>
        </w:numPr>
        <w:spacing w:line="480" w:lineRule="auto"/>
        <w:rPr>
          <w:rStyle w:val="Hyperlink"/>
          <w:rFonts w:ascii="Arial" w:hAnsi="Arial" w:cs="Arial"/>
          <w:sz w:val="24"/>
          <w:szCs w:val="24"/>
        </w:rPr>
      </w:pPr>
      <w:r w:rsidRPr="00D7426C">
        <w:rPr>
          <w:rFonts w:ascii="Arial" w:hAnsi="Arial" w:cs="Arial"/>
          <w:sz w:val="24"/>
          <w:szCs w:val="24"/>
        </w:rPr>
        <w:t>College of Policing (2022) ‘</w:t>
      </w:r>
      <w:r w:rsidRPr="00D7426C">
        <w:rPr>
          <w:rFonts w:ascii="Arial" w:hAnsi="Arial" w:cs="Arial"/>
          <w:i/>
          <w:iCs/>
          <w:sz w:val="24"/>
          <w:szCs w:val="24"/>
        </w:rPr>
        <w:t>National Vulnerability Action Plan (NVAP) Revised 2020-2022 v2</w:t>
      </w:r>
      <w:r w:rsidRPr="00D7426C">
        <w:rPr>
          <w:rFonts w:ascii="Arial" w:hAnsi="Arial" w:cs="Arial"/>
          <w:sz w:val="24"/>
          <w:szCs w:val="24"/>
        </w:rPr>
        <w:t xml:space="preserve">’ Available at: </w:t>
      </w:r>
      <w:hyperlink r:id="rId8" w:history="1">
        <w:r w:rsidRPr="00D7426C">
          <w:rPr>
            <w:rStyle w:val="Hyperlink"/>
            <w:rFonts w:ascii="Arial" w:hAnsi="Arial" w:cs="Arial"/>
            <w:sz w:val="24"/>
            <w:szCs w:val="24"/>
          </w:rPr>
          <w:t>https://www.npcc.police.uk/Crime%20Ops%20Committee/NVAP.pdf</w:t>
        </w:r>
      </w:hyperlink>
      <w:r w:rsidRPr="00D7426C">
        <w:rPr>
          <w:rFonts w:ascii="Arial" w:hAnsi="Arial" w:cs="Arial"/>
          <w:sz w:val="24"/>
          <w:szCs w:val="24"/>
        </w:rPr>
        <w:t xml:space="preserve"> (Accessed on: 20/12/22)</w:t>
      </w:r>
    </w:p>
    <w:p w14:paraId="0B5E58D5"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Criminal Justice Joint Inspection (2022) ‘</w:t>
      </w:r>
      <w:r w:rsidRPr="00D7426C">
        <w:rPr>
          <w:rFonts w:ascii="Arial" w:hAnsi="Arial" w:cs="Arial"/>
          <w:i/>
          <w:iCs/>
          <w:sz w:val="24"/>
          <w:szCs w:val="24"/>
        </w:rPr>
        <w:t>Criminal justice system failing people with mental health issues – with not enough progress over the last 12 years</w:t>
      </w:r>
      <w:r w:rsidRPr="00D7426C">
        <w:rPr>
          <w:rFonts w:ascii="Arial" w:hAnsi="Arial" w:cs="Arial"/>
          <w:sz w:val="24"/>
          <w:szCs w:val="24"/>
        </w:rPr>
        <w:t xml:space="preserve">’ Available at: </w:t>
      </w:r>
      <w:hyperlink r:id="rId9" w:history="1">
        <w:r w:rsidRPr="00D7426C">
          <w:rPr>
            <w:rStyle w:val="Hyperlink"/>
            <w:rFonts w:ascii="Arial" w:hAnsi="Arial" w:cs="Arial"/>
            <w:sz w:val="24"/>
            <w:szCs w:val="24"/>
          </w:rPr>
          <w:t>https://www.justiceinspectorates.gov.uk/cjji/media/press-releases/2021/11/mentalhealth2021/</w:t>
        </w:r>
      </w:hyperlink>
      <w:r w:rsidRPr="00D7426C">
        <w:rPr>
          <w:rFonts w:ascii="Arial" w:hAnsi="Arial" w:cs="Arial"/>
          <w:sz w:val="24"/>
          <w:szCs w:val="24"/>
        </w:rPr>
        <w:t xml:space="preserve"> (Accessed on: 30/12/2022)</w:t>
      </w:r>
    </w:p>
    <w:p w14:paraId="3D82A218"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HMICFRS (2018) ‘</w:t>
      </w:r>
      <w:r w:rsidRPr="00D7426C">
        <w:rPr>
          <w:rFonts w:ascii="Arial" w:hAnsi="Arial" w:cs="Arial"/>
          <w:i/>
          <w:iCs/>
          <w:sz w:val="24"/>
          <w:szCs w:val="24"/>
        </w:rPr>
        <w:t>Policing and Mental Health Picking up the pieces</w:t>
      </w:r>
      <w:r w:rsidRPr="00D7426C">
        <w:rPr>
          <w:rFonts w:ascii="Arial" w:hAnsi="Arial" w:cs="Arial"/>
          <w:sz w:val="24"/>
          <w:szCs w:val="24"/>
        </w:rPr>
        <w:t xml:space="preserve">’ Available at: </w:t>
      </w:r>
      <w:hyperlink r:id="rId10" w:history="1">
        <w:r w:rsidRPr="00D7426C">
          <w:rPr>
            <w:rStyle w:val="Hyperlink"/>
            <w:rFonts w:ascii="Arial" w:hAnsi="Arial" w:cs="Arial"/>
            <w:sz w:val="24"/>
            <w:szCs w:val="24"/>
          </w:rPr>
          <w:t>https://www.justiceinspectorates.gov.uk/hmicfrs/wp-content/uploads/policing-and-mental-health-picking-up-the-pieces.pdf</w:t>
        </w:r>
      </w:hyperlink>
      <w:r w:rsidRPr="00D7426C">
        <w:rPr>
          <w:rFonts w:ascii="Arial" w:hAnsi="Arial" w:cs="Arial"/>
          <w:sz w:val="24"/>
          <w:szCs w:val="24"/>
        </w:rPr>
        <w:t xml:space="preserve"> (Accessed on: 31/12/2022)</w:t>
      </w:r>
    </w:p>
    <w:p w14:paraId="57914DD5"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shd w:val="clear" w:color="auto" w:fill="FFFFFF"/>
        </w:rPr>
        <w:t>Home Affairs Select Committee, (2015), "</w:t>
      </w:r>
      <w:r w:rsidRPr="00D7426C">
        <w:rPr>
          <w:rFonts w:ascii="Arial" w:hAnsi="Arial" w:cs="Arial"/>
          <w:i/>
          <w:iCs/>
          <w:sz w:val="24"/>
          <w:szCs w:val="24"/>
          <w:shd w:val="clear" w:color="auto" w:fill="FFFFFF"/>
        </w:rPr>
        <w:t xml:space="preserve">Policing and mental health", </w:t>
      </w:r>
      <w:r w:rsidRPr="00D7426C">
        <w:rPr>
          <w:rFonts w:ascii="Arial" w:hAnsi="Arial" w:cs="Arial"/>
          <w:sz w:val="24"/>
          <w:szCs w:val="24"/>
          <w:shd w:val="clear" w:color="auto" w:fill="FFFFFF"/>
        </w:rPr>
        <w:t>HC202, 2014-15, 11th report of the session, 3 February.</w:t>
      </w:r>
    </w:p>
    <w:p w14:paraId="7C63B96B"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Home Office (2020) ‘</w:t>
      </w:r>
      <w:r w:rsidRPr="00D7426C">
        <w:rPr>
          <w:rFonts w:ascii="Arial" w:hAnsi="Arial" w:cs="Arial"/>
          <w:i/>
          <w:iCs/>
          <w:sz w:val="24"/>
          <w:szCs w:val="24"/>
        </w:rPr>
        <w:t>Criminal exploitation of children and vulnerable adults: county lines</w:t>
      </w:r>
      <w:r w:rsidRPr="00D7426C">
        <w:rPr>
          <w:rFonts w:ascii="Arial" w:hAnsi="Arial" w:cs="Arial"/>
          <w:sz w:val="24"/>
          <w:szCs w:val="24"/>
        </w:rPr>
        <w:t xml:space="preserve">’ Available at: </w:t>
      </w:r>
      <w:hyperlink r:id="rId11" w:anchor="what-is-child-criminal-exploitation" w:history="1">
        <w:r w:rsidRPr="00D7426C">
          <w:rPr>
            <w:rStyle w:val="Hyperlink"/>
            <w:rFonts w:ascii="Arial" w:hAnsi="Arial" w:cs="Arial"/>
            <w:sz w:val="24"/>
            <w:szCs w:val="24"/>
          </w:rPr>
          <w:t>https://www.gov.uk/government/publications/criminal-exploitation-of-children-and-vulnerable-adults-county-lines/criminal-exploitation-of-children-and-</w:t>
        </w:r>
        <w:r w:rsidRPr="00D7426C">
          <w:rPr>
            <w:rStyle w:val="Hyperlink"/>
            <w:rFonts w:ascii="Arial" w:hAnsi="Arial" w:cs="Arial"/>
            <w:sz w:val="24"/>
            <w:szCs w:val="24"/>
          </w:rPr>
          <w:lastRenderedPageBreak/>
          <w:t>vulnerable-adults-county-lines#what-is-child-criminal-exploitation</w:t>
        </w:r>
      </w:hyperlink>
      <w:r w:rsidRPr="00D7426C">
        <w:rPr>
          <w:rFonts w:ascii="Arial" w:hAnsi="Arial" w:cs="Arial"/>
          <w:sz w:val="24"/>
          <w:szCs w:val="24"/>
        </w:rPr>
        <w:t xml:space="preserve"> (Accessed on: 16/12/2022)</w:t>
      </w:r>
    </w:p>
    <w:p w14:paraId="18CD444C"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Innes, H. and Innes, M., (2013) ‘</w:t>
      </w:r>
      <w:r w:rsidRPr="00D7426C">
        <w:rPr>
          <w:rFonts w:ascii="Arial" w:hAnsi="Arial" w:cs="Arial"/>
          <w:i/>
          <w:iCs/>
          <w:sz w:val="24"/>
          <w:szCs w:val="24"/>
        </w:rPr>
        <w:t>Personal, Situational and Incidental Vulnerabilities to ASB Harm: a follow up study</w:t>
      </w:r>
      <w:r w:rsidRPr="00D7426C">
        <w:rPr>
          <w:rFonts w:ascii="Arial" w:hAnsi="Arial" w:cs="Arial"/>
          <w:sz w:val="24"/>
          <w:szCs w:val="24"/>
        </w:rPr>
        <w:t xml:space="preserve">’ Available at: </w:t>
      </w:r>
      <w:hyperlink r:id="rId12" w:history="1">
        <w:r w:rsidRPr="00D7426C">
          <w:rPr>
            <w:rStyle w:val="Hyperlink"/>
            <w:rFonts w:ascii="Arial" w:hAnsi="Arial" w:cs="Arial"/>
            <w:sz w:val="24"/>
            <w:szCs w:val="24"/>
          </w:rPr>
          <w:t>https://orca.cardiff.ac.uk/id/eprint/52681/1/personal-situational-and-incidental-vulnerabilities-to-anti-social-behaviour-harm-a-follow-up-study.pdf</w:t>
        </w:r>
      </w:hyperlink>
      <w:r w:rsidRPr="00D7426C">
        <w:rPr>
          <w:rFonts w:ascii="Arial" w:hAnsi="Arial" w:cs="Arial"/>
          <w:sz w:val="24"/>
          <w:szCs w:val="24"/>
        </w:rPr>
        <w:t xml:space="preserve"> (Accessed on: 20/12/22)</w:t>
      </w:r>
    </w:p>
    <w:p w14:paraId="15C1C5FE"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shd w:val="clear" w:color="auto" w:fill="FFFFFF"/>
        </w:rPr>
        <w:t>Leese, M. and Russell, S. (2017) ‘</w:t>
      </w:r>
      <w:r w:rsidRPr="00D7426C">
        <w:rPr>
          <w:rFonts w:ascii="Arial" w:hAnsi="Arial" w:cs="Arial"/>
          <w:i/>
          <w:iCs/>
          <w:sz w:val="24"/>
          <w:szCs w:val="24"/>
          <w:shd w:val="clear" w:color="auto" w:fill="FFFFFF"/>
        </w:rPr>
        <w:t>Mental health, vulnerability and risk in police custody’</w:t>
      </w:r>
      <w:r w:rsidRPr="00D7426C">
        <w:rPr>
          <w:rFonts w:ascii="Arial" w:hAnsi="Arial" w:cs="Arial"/>
          <w:sz w:val="24"/>
          <w:szCs w:val="24"/>
          <w:shd w:val="clear" w:color="auto" w:fill="FFFFFF"/>
        </w:rPr>
        <w:t xml:space="preserve">, The journal of adult protection., 19(5), pp. 274–283. Available at: </w:t>
      </w:r>
      <w:hyperlink r:id="rId13" w:history="1">
        <w:r w:rsidRPr="00D7426C">
          <w:rPr>
            <w:rStyle w:val="Hyperlink"/>
            <w:rFonts w:ascii="Arial" w:hAnsi="Arial" w:cs="Arial"/>
            <w:sz w:val="24"/>
            <w:szCs w:val="24"/>
            <w:shd w:val="clear" w:color="auto" w:fill="FFFFFF"/>
          </w:rPr>
          <w:t>https://doi.org/10.1108/JAP-03-2017-0006</w:t>
        </w:r>
      </w:hyperlink>
      <w:r w:rsidRPr="00D7426C">
        <w:rPr>
          <w:rFonts w:ascii="Arial" w:hAnsi="Arial" w:cs="Arial"/>
          <w:color w:val="555555"/>
          <w:sz w:val="24"/>
          <w:szCs w:val="24"/>
          <w:shd w:val="clear" w:color="auto" w:fill="FFFFFF"/>
        </w:rPr>
        <w:t>.</w:t>
      </w:r>
    </w:p>
    <w:p w14:paraId="45D56575"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 xml:space="preserve">McKinnon I., and Grubin, D., (2014). </w:t>
      </w:r>
      <w:r w:rsidRPr="00D7426C">
        <w:rPr>
          <w:rFonts w:ascii="Arial" w:hAnsi="Arial" w:cs="Arial"/>
          <w:i/>
          <w:iCs/>
          <w:sz w:val="24"/>
          <w:szCs w:val="24"/>
        </w:rPr>
        <w:t>‘Evidence-Based Risk Assessment Screening in Police Custody: The HELPPC Study in London, UK</w:t>
      </w:r>
      <w:r w:rsidRPr="00D7426C">
        <w:rPr>
          <w:rFonts w:ascii="Arial" w:hAnsi="Arial" w:cs="Arial"/>
          <w:sz w:val="24"/>
          <w:szCs w:val="24"/>
        </w:rPr>
        <w:t xml:space="preserve">.’ Policing 8(2), pp. 174-182. </w:t>
      </w:r>
    </w:p>
    <w:p w14:paraId="26A21E96"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i/>
          <w:iCs/>
          <w:sz w:val="24"/>
          <w:szCs w:val="24"/>
        </w:rPr>
        <w:t>Mental Health Act 2007 c.12</w:t>
      </w:r>
      <w:r w:rsidRPr="00D7426C">
        <w:rPr>
          <w:rFonts w:ascii="Arial" w:hAnsi="Arial" w:cs="Arial"/>
          <w:sz w:val="24"/>
          <w:szCs w:val="24"/>
        </w:rPr>
        <w:t xml:space="preserve"> Available at: </w:t>
      </w:r>
      <w:hyperlink r:id="rId14" w:history="1">
        <w:r w:rsidRPr="00D7426C">
          <w:rPr>
            <w:rStyle w:val="Hyperlink"/>
            <w:rFonts w:ascii="Arial" w:hAnsi="Arial" w:cs="Arial"/>
            <w:sz w:val="24"/>
            <w:szCs w:val="24"/>
          </w:rPr>
          <w:t>https://www.legislation.gov.uk/</w:t>
        </w:r>
        <w:r w:rsidRPr="00D7426C">
          <w:rPr>
            <w:rStyle w:val="Hyperlink"/>
            <w:rFonts w:ascii="Arial" w:hAnsi="Arial" w:cs="Arial"/>
            <w:sz w:val="24"/>
            <w:szCs w:val="24"/>
          </w:rPr>
          <w:t>u</w:t>
        </w:r>
        <w:r w:rsidRPr="00D7426C">
          <w:rPr>
            <w:rStyle w:val="Hyperlink"/>
            <w:rFonts w:ascii="Arial" w:hAnsi="Arial" w:cs="Arial"/>
            <w:sz w:val="24"/>
            <w:szCs w:val="24"/>
          </w:rPr>
          <w:t>kpga/2007/12/notes/division/6/1?view=plainn</w:t>
        </w:r>
      </w:hyperlink>
      <w:r w:rsidRPr="00D7426C">
        <w:rPr>
          <w:rFonts w:ascii="Arial" w:hAnsi="Arial" w:cs="Arial"/>
          <w:sz w:val="24"/>
          <w:szCs w:val="24"/>
        </w:rPr>
        <w:t xml:space="preserve"> (Accessed on 28/12/2022) </w:t>
      </w:r>
    </w:p>
    <w:p w14:paraId="347C153E" w14:textId="77777777" w:rsidR="00D7426C" w:rsidRPr="00D7426C" w:rsidRDefault="00D7426C" w:rsidP="00D7426C">
      <w:pPr>
        <w:pStyle w:val="ListParagraph"/>
        <w:numPr>
          <w:ilvl w:val="0"/>
          <w:numId w:val="2"/>
        </w:numPr>
        <w:tabs>
          <w:tab w:val="left" w:pos="1740"/>
        </w:tabs>
        <w:spacing w:line="480" w:lineRule="auto"/>
        <w:rPr>
          <w:rStyle w:val="Hyperlink"/>
          <w:rFonts w:ascii="Arial" w:hAnsi="Arial" w:cs="Arial"/>
          <w:sz w:val="24"/>
          <w:szCs w:val="24"/>
        </w:rPr>
      </w:pPr>
      <w:r w:rsidRPr="00D7426C">
        <w:rPr>
          <w:rFonts w:ascii="Arial" w:hAnsi="Arial" w:cs="Arial"/>
          <w:sz w:val="24"/>
          <w:szCs w:val="24"/>
        </w:rPr>
        <w:t>NCA (2022) ‘</w:t>
      </w:r>
      <w:r w:rsidRPr="00D7426C">
        <w:rPr>
          <w:rFonts w:ascii="Arial" w:hAnsi="Arial" w:cs="Arial"/>
          <w:i/>
          <w:iCs/>
          <w:sz w:val="24"/>
          <w:szCs w:val="24"/>
        </w:rPr>
        <w:t>Criminal Exploitation</w:t>
      </w:r>
      <w:r w:rsidRPr="00D7426C">
        <w:rPr>
          <w:rFonts w:ascii="Arial" w:hAnsi="Arial" w:cs="Arial"/>
          <w:sz w:val="24"/>
          <w:szCs w:val="24"/>
        </w:rPr>
        <w:t xml:space="preserve">’ Available at: </w:t>
      </w:r>
      <w:hyperlink r:id="rId15" w:anchor=":~:text=Criminal%20exploitation%20is%20a%20sub%20category%20of%20forced,are%20subject%20to%20penalties%20and%20imply%20financial%20gain" w:history="1">
        <w:r w:rsidRPr="00D7426C">
          <w:rPr>
            <w:rStyle w:val="Hyperlink"/>
            <w:rFonts w:ascii="Arial" w:hAnsi="Arial" w:cs="Arial"/>
            <w:sz w:val="24"/>
            <w:szCs w:val="24"/>
          </w:rPr>
          <w:t>https://nationalcrimeagency.gov.uk/who-we-are/publications/254-guidance-for-ngos-on-how-to-identify-and-support-victims-of-criminal-exploitation/file#:~:text=Criminal%20exploitation%20is%20a%20sub%20category%20of%20forced,are%20subject%20to%20penalties%20and%20imply%20financial%20gain</w:t>
        </w:r>
      </w:hyperlink>
      <w:r w:rsidRPr="00D7426C">
        <w:rPr>
          <w:rFonts w:ascii="Arial" w:hAnsi="Arial" w:cs="Arial"/>
          <w:sz w:val="24"/>
          <w:szCs w:val="24"/>
        </w:rPr>
        <w:t>. (Accessed on: 16/12/2022)</w:t>
      </w:r>
    </w:p>
    <w:p w14:paraId="1747C092"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 xml:space="preserve"> NHS (2022a) ‘</w:t>
      </w:r>
      <w:r w:rsidRPr="00D7426C">
        <w:rPr>
          <w:rFonts w:ascii="Arial" w:hAnsi="Arial" w:cs="Arial"/>
          <w:i/>
          <w:iCs/>
          <w:sz w:val="24"/>
          <w:szCs w:val="24"/>
        </w:rPr>
        <w:t>Mental Health Act</w:t>
      </w:r>
      <w:r w:rsidRPr="00D7426C">
        <w:rPr>
          <w:rFonts w:ascii="Arial" w:hAnsi="Arial" w:cs="Arial"/>
          <w:sz w:val="24"/>
          <w:szCs w:val="24"/>
        </w:rPr>
        <w:t xml:space="preserve">’ Available at: </w:t>
      </w:r>
      <w:hyperlink r:id="rId16" w:history="1">
        <w:r w:rsidRPr="00D7426C">
          <w:rPr>
            <w:rStyle w:val="Hyperlink"/>
            <w:rFonts w:ascii="Arial" w:hAnsi="Arial" w:cs="Arial"/>
            <w:sz w:val="24"/>
            <w:szCs w:val="24"/>
          </w:rPr>
          <w:t>https://www.nhs.uk/mental-health/social-care-and-your-rights/mental-health-and-the-law/mental-health-act/</w:t>
        </w:r>
      </w:hyperlink>
      <w:r w:rsidRPr="00D7426C">
        <w:rPr>
          <w:rFonts w:ascii="Arial" w:hAnsi="Arial" w:cs="Arial"/>
          <w:sz w:val="24"/>
          <w:szCs w:val="24"/>
        </w:rPr>
        <w:t xml:space="preserve"> (Accessed on: 28/12/2022) </w:t>
      </w:r>
    </w:p>
    <w:p w14:paraId="36B35ABC"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lastRenderedPageBreak/>
        <w:t>NHS (2022b) ‘</w:t>
      </w:r>
      <w:r w:rsidRPr="00D7426C">
        <w:rPr>
          <w:rFonts w:ascii="Arial" w:hAnsi="Arial" w:cs="Arial"/>
          <w:i/>
          <w:iCs/>
          <w:sz w:val="24"/>
          <w:szCs w:val="24"/>
        </w:rPr>
        <w:t>Mental Health Act Statistics, Annual Figures 2021-22</w:t>
      </w:r>
      <w:r w:rsidRPr="00D7426C">
        <w:rPr>
          <w:rFonts w:ascii="Arial" w:hAnsi="Arial" w:cs="Arial"/>
          <w:sz w:val="24"/>
          <w:szCs w:val="24"/>
        </w:rPr>
        <w:t xml:space="preserve">’ Available at: </w:t>
      </w:r>
      <w:hyperlink r:id="rId17" w:history="1">
        <w:r w:rsidRPr="00D7426C">
          <w:rPr>
            <w:rStyle w:val="Hyperlink"/>
            <w:rFonts w:ascii="Arial" w:hAnsi="Arial" w:cs="Arial"/>
            <w:sz w:val="24"/>
            <w:szCs w:val="24"/>
          </w:rPr>
          <w:t>https://digital.nhs.uk/data-and-information/publications/statistical/mental-health-act-statistics-annual-figures/2021-22-annual-figures</w:t>
        </w:r>
      </w:hyperlink>
      <w:r w:rsidRPr="00D7426C">
        <w:rPr>
          <w:rFonts w:ascii="Arial" w:hAnsi="Arial" w:cs="Arial"/>
          <w:sz w:val="24"/>
          <w:szCs w:val="24"/>
        </w:rPr>
        <w:t xml:space="preserve">  (Accessed on: 29/12/2022)</w:t>
      </w:r>
    </w:p>
    <w:p w14:paraId="19ACB2E5" w14:textId="77777777" w:rsidR="00D7426C" w:rsidRPr="00D7426C" w:rsidRDefault="00D7426C" w:rsidP="00D7426C">
      <w:pPr>
        <w:pStyle w:val="ListParagraph"/>
        <w:numPr>
          <w:ilvl w:val="0"/>
          <w:numId w:val="2"/>
        </w:numPr>
        <w:shd w:val="clear" w:color="auto" w:fill="FFFFFF"/>
        <w:spacing w:line="480" w:lineRule="auto"/>
        <w:rPr>
          <w:rFonts w:ascii="Arial" w:hAnsi="Arial" w:cs="Arial"/>
          <w:sz w:val="24"/>
          <w:szCs w:val="24"/>
        </w:rPr>
      </w:pPr>
      <w:r w:rsidRPr="00D7426C">
        <w:rPr>
          <w:rFonts w:ascii="Arial" w:hAnsi="Arial" w:cs="Arial"/>
          <w:sz w:val="24"/>
          <w:szCs w:val="24"/>
        </w:rPr>
        <w:t>NSPCC (2022) ‘</w:t>
      </w:r>
      <w:r w:rsidRPr="00D7426C">
        <w:rPr>
          <w:rFonts w:ascii="Arial" w:hAnsi="Arial" w:cs="Arial"/>
          <w:i/>
          <w:iCs/>
          <w:sz w:val="24"/>
          <w:szCs w:val="24"/>
        </w:rPr>
        <w:t>Criminal exploitation and gang</w:t>
      </w:r>
      <w:r w:rsidRPr="00D7426C">
        <w:rPr>
          <w:rFonts w:ascii="Arial" w:hAnsi="Arial" w:cs="Arial"/>
          <w:sz w:val="24"/>
          <w:szCs w:val="24"/>
        </w:rPr>
        <w:t xml:space="preserve">’ Available at: </w:t>
      </w:r>
      <w:hyperlink r:id="rId18" w:history="1">
        <w:r w:rsidRPr="00D7426C">
          <w:rPr>
            <w:rStyle w:val="Hyperlink"/>
            <w:rFonts w:ascii="Arial" w:hAnsi="Arial" w:cs="Arial"/>
            <w:sz w:val="24"/>
            <w:szCs w:val="24"/>
          </w:rPr>
          <w:t>https://www.nspcc.org.uk/what-is-child-abuse/types-of-abuse/gangs-criminal-exploitation/</w:t>
        </w:r>
      </w:hyperlink>
      <w:r w:rsidRPr="00D7426C">
        <w:rPr>
          <w:rFonts w:ascii="Arial" w:hAnsi="Arial" w:cs="Arial"/>
          <w:sz w:val="24"/>
          <w:szCs w:val="24"/>
        </w:rPr>
        <w:t xml:space="preserve"> </w:t>
      </w:r>
      <w:r w:rsidRPr="00D7426C">
        <w:rPr>
          <w:rFonts w:ascii="Arial" w:eastAsia="Times New Roman" w:hAnsi="Arial" w:cs="Arial"/>
          <w:kern w:val="0"/>
          <w:sz w:val="24"/>
          <w:szCs w:val="24"/>
          <w:lang w:eastAsia="en-GB"/>
          <w14:ligatures w14:val="none"/>
        </w:rPr>
        <w:t>(Accessed on</w:t>
      </w:r>
      <w:r w:rsidRPr="00D7426C">
        <w:rPr>
          <w:rFonts w:ascii="Arial" w:hAnsi="Arial" w:cs="Arial"/>
          <w:sz w:val="24"/>
          <w:szCs w:val="24"/>
        </w:rPr>
        <w:t>: 21/12/22)</w:t>
      </w:r>
    </w:p>
    <w:p w14:paraId="1157B171"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OFSTED (2018) ‘</w:t>
      </w:r>
      <w:r w:rsidRPr="00D7426C">
        <w:rPr>
          <w:rFonts w:ascii="Arial" w:hAnsi="Arial" w:cs="Arial"/>
          <w:i/>
          <w:iCs/>
          <w:sz w:val="24"/>
          <w:szCs w:val="24"/>
        </w:rPr>
        <w:t>Protecting children from criminal exploitation, human trafficking and modern slavery: an addendum</w:t>
      </w:r>
      <w:r w:rsidRPr="00D7426C">
        <w:rPr>
          <w:rFonts w:ascii="Arial" w:hAnsi="Arial" w:cs="Arial"/>
          <w:sz w:val="24"/>
          <w:szCs w:val="24"/>
        </w:rPr>
        <w:t xml:space="preserve">’ Available at: </w:t>
      </w:r>
      <w:hyperlink r:id="rId19" w:history="1">
        <w:r w:rsidRPr="00D7426C">
          <w:rPr>
            <w:rStyle w:val="Hyperlink"/>
            <w:rFonts w:ascii="Arial" w:hAnsi="Arial" w:cs="Arial"/>
            <w:sz w:val="24"/>
            <w:szCs w:val="24"/>
          </w:rPr>
          <w:t>https://assets.publishing.service.gov.uk/government/uploads/system/uploads/attachment_data/file/756031/Protecting_children_from_criminal_exploitation_human_trafficking_modern_slavery_addendum_141118.pdf</w:t>
        </w:r>
      </w:hyperlink>
      <w:r w:rsidRPr="00D7426C">
        <w:rPr>
          <w:rFonts w:ascii="Arial" w:hAnsi="Arial" w:cs="Arial"/>
          <w:sz w:val="24"/>
          <w:szCs w:val="24"/>
        </w:rPr>
        <w:t xml:space="preserve"> (Accessed on 23/12/2022)</w:t>
      </w:r>
    </w:p>
    <w:p w14:paraId="6C3F0301" w14:textId="77777777" w:rsidR="00D7426C" w:rsidRPr="00D7426C" w:rsidRDefault="00D7426C" w:rsidP="00D7426C">
      <w:pPr>
        <w:pStyle w:val="ListParagraph"/>
        <w:numPr>
          <w:ilvl w:val="0"/>
          <w:numId w:val="2"/>
        </w:numPr>
        <w:shd w:val="clear" w:color="auto" w:fill="FFFFFF"/>
        <w:spacing w:line="480" w:lineRule="auto"/>
        <w:rPr>
          <w:rFonts w:ascii="Arial" w:hAnsi="Arial" w:cs="Arial"/>
          <w:sz w:val="24"/>
          <w:szCs w:val="24"/>
        </w:rPr>
      </w:pPr>
      <w:r w:rsidRPr="00D7426C">
        <w:rPr>
          <w:rFonts w:ascii="Arial" w:eastAsia="Times New Roman" w:hAnsi="Arial" w:cs="Arial"/>
          <w:kern w:val="0"/>
          <w:sz w:val="24"/>
          <w:szCs w:val="24"/>
          <w:lang w:eastAsia="en-GB"/>
          <w14:ligatures w14:val="none"/>
        </w:rPr>
        <w:t>Stone, N. (2018) ‘</w:t>
      </w:r>
      <w:r w:rsidRPr="00D7426C">
        <w:rPr>
          <w:rFonts w:ascii="Arial" w:eastAsia="Times New Roman" w:hAnsi="Arial" w:cs="Arial"/>
          <w:i/>
          <w:iCs/>
          <w:kern w:val="0"/>
          <w:sz w:val="24"/>
          <w:szCs w:val="24"/>
          <w:lang w:eastAsia="en-GB"/>
          <w14:ligatures w14:val="none"/>
        </w:rPr>
        <w:t>Child Criminal Exploitation: “County Lines”, Trafficking and Cuckooing</w:t>
      </w:r>
      <w:r w:rsidRPr="00D7426C">
        <w:rPr>
          <w:rFonts w:ascii="Arial" w:eastAsia="Times New Roman" w:hAnsi="Arial" w:cs="Arial"/>
          <w:kern w:val="0"/>
          <w:sz w:val="24"/>
          <w:szCs w:val="24"/>
          <w:lang w:eastAsia="en-GB"/>
          <w14:ligatures w14:val="none"/>
        </w:rPr>
        <w:t>’, </w:t>
      </w:r>
      <w:r w:rsidRPr="00D7426C">
        <w:rPr>
          <w:rFonts w:ascii="Arial" w:eastAsia="Times New Roman" w:hAnsi="Arial" w:cs="Arial"/>
          <w:i/>
          <w:iCs/>
          <w:kern w:val="0"/>
          <w:sz w:val="24"/>
          <w:szCs w:val="24"/>
          <w:lang w:eastAsia="en-GB"/>
          <w14:ligatures w14:val="none"/>
        </w:rPr>
        <w:t>Youth justice : the journal of the National Association for Youth Justice.</w:t>
      </w:r>
      <w:r w:rsidRPr="00D7426C">
        <w:rPr>
          <w:rFonts w:ascii="Arial" w:eastAsia="Times New Roman" w:hAnsi="Arial" w:cs="Arial"/>
          <w:kern w:val="0"/>
          <w:sz w:val="24"/>
          <w:szCs w:val="24"/>
          <w:lang w:eastAsia="en-GB"/>
          <w14:ligatures w14:val="none"/>
        </w:rPr>
        <w:t xml:space="preserve">, 18(3), pp. 285–293. Available at: </w:t>
      </w:r>
      <w:hyperlink r:id="rId20" w:history="1">
        <w:r w:rsidRPr="00D7426C">
          <w:rPr>
            <w:rStyle w:val="Hyperlink"/>
            <w:rFonts w:ascii="Arial" w:eastAsia="Times New Roman" w:hAnsi="Arial" w:cs="Arial"/>
            <w:kern w:val="0"/>
            <w:sz w:val="24"/>
            <w:szCs w:val="24"/>
            <w:lang w:eastAsia="en-GB"/>
            <w14:ligatures w14:val="none"/>
          </w:rPr>
          <w:t>https://doi.org/10.1177/1473225418810833</w:t>
        </w:r>
      </w:hyperlink>
      <w:r w:rsidRPr="00D7426C">
        <w:rPr>
          <w:rFonts w:ascii="Arial" w:eastAsia="Times New Roman" w:hAnsi="Arial" w:cs="Arial"/>
          <w:kern w:val="0"/>
          <w:sz w:val="24"/>
          <w:szCs w:val="24"/>
          <w:lang w:eastAsia="en-GB"/>
          <w14:ligatures w14:val="none"/>
        </w:rPr>
        <w:t xml:space="preserve"> (Accessed on</w:t>
      </w:r>
      <w:r w:rsidRPr="00D7426C">
        <w:rPr>
          <w:rFonts w:ascii="Arial" w:hAnsi="Arial" w:cs="Arial"/>
          <w:sz w:val="24"/>
          <w:szCs w:val="24"/>
        </w:rPr>
        <w:t>: 20/12/22)</w:t>
      </w:r>
    </w:p>
    <w:p w14:paraId="48633E17"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World Health Organisation (2022a) ‘</w:t>
      </w:r>
      <w:r w:rsidRPr="00D7426C">
        <w:rPr>
          <w:rFonts w:ascii="Arial" w:hAnsi="Arial" w:cs="Arial"/>
          <w:i/>
          <w:iCs/>
          <w:sz w:val="24"/>
          <w:szCs w:val="24"/>
        </w:rPr>
        <w:t>Mental disorders</w:t>
      </w:r>
      <w:r w:rsidRPr="00D7426C">
        <w:rPr>
          <w:rFonts w:ascii="Arial" w:hAnsi="Arial" w:cs="Arial"/>
          <w:sz w:val="24"/>
          <w:szCs w:val="24"/>
        </w:rPr>
        <w:t xml:space="preserve">’ Available at: </w:t>
      </w:r>
      <w:hyperlink r:id="rId21" w:history="1">
        <w:r w:rsidRPr="00D7426C">
          <w:rPr>
            <w:rStyle w:val="Hyperlink"/>
            <w:rFonts w:ascii="Arial" w:hAnsi="Arial" w:cs="Arial"/>
            <w:sz w:val="24"/>
            <w:szCs w:val="24"/>
          </w:rPr>
          <w:t>https://www.who.int/news-room/fact-sheets/detail/mental-disorders</w:t>
        </w:r>
      </w:hyperlink>
      <w:r w:rsidRPr="00D7426C">
        <w:rPr>
          <w:rFonts w:ascii="Arial" w:hAnsi="Arial" w:cs="Arial"/>
          <w:sz w:val="24"/>
          <w:szCs w:val="24"/>
        </w:rPr>
        <w:t xml:space="preserve"> (Accessed on: 28/12/2022)</w:t>
      </w:r>
    </w:p>
    <w:p w14:paraId="2251D498" w14:textId="77777777" w:rsidR="00D7426C" w:rsidRPr="00D7426C" w:rsidRDefault="00D7426C" w:rsidP="00D7426C">
      <w:pPr>
        <w:pStyle w:val="ListParagraph"/>
        <w:numPr>
          <w:ilvl w:val="0"/>
          <w:numId w:val="2"/>
        </w:numPr>
        <w:spacing w:line="480" w:lineRule="auto"/>
        <w:rPr>
          <w:rFonts w:ascii="Arial" w:hAnsi="Arial" w:cs="Arial"/>
          <w:sz w:val="24"/>
          <w:szCs w:val="24"/>
        </w:rPr>
      </w:pPr>
      <w:r w:rsidRPr="00D7426C">
        <w:rPr>
          <w:rFonts w:ascii="Arial" w:hAnsi="Arial" w:cs="Arial"/>
          <w:sz w:val="24"/>
          <w:szCs w:val="24"/>
        </w:rPr>
        <w:t>World Health Organisation (2022b) ‘</w:t>
      </w:r>
      <w:r w:rsidRPr="00D7426C">
        <w:rPr>
          <w:rFonts w:ascii="Arial" w:hAnsi="Arial" w:cs="Arial"/>
          <w:i/>
          <w:iCs/>
          <w:sz w:val="24"/>
          <w:szCs w:val="24"/>
        </w:rPr>
        <w:t>COVID-19 pandemic triggers 25% increase in prevalence of anxiety and depression worldwide</w:t>
      </w:r>
      <w:r w:rsidRPr="00D7426C">
        <w:rPr>
          <w:rFonts w:ascii="Arial" w:hAnsi="Arial" w:cs="Arial"/>
          <w:sz w:val="24"/>
          <w:szCs w:val="24"/>
        </w:rPr>
        <w:t xml:space="preserve">’ Available at: </w:t>
      </w:r>
      <w:hyperlink r:id="rId22" w:history="1">
        <w:r w:rsidRPr="00D7426C">
          <w:rPr>
            <w:rStyle w:val="Hyperlink"/>
            <w:rFonts w:ascii="Arial" w:hAnsi="Arial" w:cs="Arial"/>
            <w:sz w:val="24"/>
            <w:szCs w:val="24"/>
          </w:rPr>
          <w:t>https://www.who.int/news/item/02-03-2022-covid-19-pandemic-triggers-25-increase-in-prevalence-of-anxiety-and-depression-worldwide</w:t>
        </w:r>
      </w:hyperlink>
      <w:r w:rsidRPr="00D7426C">
        <w:rPr>
          <w:rFonts w:ascii="Arial" w:hAnsi="Arial" w:cs="Arial"/>
          <w:sz w:val="24"/>
          <w:szCs w:val="24"/>
        </w:rPr>
        <w:t xml:space="preserve"> (Accessed on: 28/12/2022) </w:t>
      </w:r>
    </w:p>
    <w:sectPr w:rsidR="00D7426C" w:rsidRPr="00D7426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13A52" w14:textId="77777777" w:rsidR="00E26327" w:rsidRDefault="00E26327" w:rsidP="006B237A">
      <w:pPr>
        <w:spacing w:after="0" w:line="240" w:lineRule="auto"/>
      </w:pPr>
      <w:r>
        <w:separator/>
      </w:r>
    </w:p>
  </w:endnote>
  <w:endnote w:type="continuationSeparator" w:id="0">
    <w:p w14:paraId="2256151A" w14:textId="77777777" w:rsidR="00E26327" w:rsidRDefault="00E26327" w:rsidP="006B2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714225"/>
      <w:docPartObj>
        <w:docPartGallery w:val="Page Numbers (Bottom of Page)"/>
        <w:docPartUnique/>
      </w:docPartObj>
    </w:sdtPr>
    <w:sdtEndPr>
      <w:rPr>
        <w:noProof/>
      </w:rPr>
    </w:sdtEndPr>
    <w:sdtContent>
      <w:p w14:paraId="574DFD20" w14:textId="7AC60578" w:rsidR="006B237A" w:rsidRDefault="006B2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060571" w14:textId="77777777" w:rsidR="006B237A" w:rsidRDefault="006B2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98265" w14:textId="77777777" w:rsidR="00E26327" w:rsidRDefault="00E26327" w:rsidP="006B237A">
      <w:pPr>
        <w:spacing w:after="0" w:line="240" w:lineRule="auto"/>
      </w:pPr>
      <w:r>
        <w:separator/>
      </w:r>
    </w:p>
  </w:footnote>
  <w:footnote w:type="continuationSeparator" w:id="0">
    <w:p w14:paraId="32486F8B" w14:textId="77777777" w:rsidR="00E26327" w:rsidRDefault="00E26327" w:rsidP="006B2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B03D7"/>
    <w:multiLevelType w:val="multilevel"/>
    <w:tmpl w:val="E59E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DE621"/>
    <w:multiLevelType w:val="hybridMultilevel"/>
    <w:tmpl w:val="D51AFB44"/>
    <w:lvl w:ilvl="0" w:tplc="193EBCE6">
      <w:start w:val="1"/>
      <w:numFmt w:val="bullet"/>
      <w:lvlText w:val=""/>
      <w:lvlJc w:val="left"/>
      <w:pPr>
        <w:ind w:left="720" w:hanging="360"/>
      </w:pPr>
      <w:rPr>
        <w:rFonts w:ascii="Symbol" w:hAnsi="Symbol" w:hint="default"/>
      </w:rPr>
    </w:lvl>
    <w:lvl w:ilvl="1" w:tplc="7CD0C0D0">
      <w:start w:val="1"/>
      <w:numFmt w:val="bullet"/>
      <w:lvlText w:val="o"/>
      <w:lvlJc w:val="left"/>
      <w:pPr>
        <w:ind w:left="1440" w:hanging="360"/>
      </w:pPr>
      <w:rPr>
        <w:rFonts w:ascii="Courier New" w:hAnsi="Courier New" w:hint="default"/>
      </w:rPr>
    </w:lvl>
    <w:lvl w:ilvl="2" w:tplc="89D66CD4">
      <w:start w:val="1"/>
      <w:numFmt w:val="bullet"/>
      <w:lvlText w:val=""/>
      <w:lvlJc w:val="left"/>
      <w:pPr>
        <w:ind w:left="2160" w:hanging="360"/>
      </w:pPr>
      <w:rPr>
        <w:rFonts w:ascii="Wingdings" w:hAnsi="Wingdings" w:hint="default"/>
      </w:rPr>
    </w:lvl>
    <w:lvl w:ilvl="3" w:tplc="A30EDB0C">
      <w:start w:val="1"/>
      <w:numFmt w:val="bullet"/>
      <w:lvlText w:val=""/>
      <w:lvlJc w:val="left"/>
      <w:pPr>
        <w:ind w:left="2880" w:hanging="360"/>
      </w:pPr>
      <w:rPr>
        <w:rFonts w:ascii="Symbol" w:hAnsi="Symbol" w:hint="default"/>
      </w:rPr>
    </w:lvl>
    <w:lvl w:ilvl="4" w:tplc="02D045FE">
      <w:start w:val="1"/>
      <w:numFmt w:val="bullet"/>
      <w:lvlText w:val="o"/>
      <w:lvlJc w:val="left"/>
      <w:pPr>
        <w:ind w:left="3600" w:hanging="360"/>
      </w:pPr>
      <w:rPr>
        <w:rFonts w:ascii="Courier New" w:hAnsi="Courier New" w:hint="default"/>
      </w:rPr>
    </w:lvl>
    <w:lvl w:ilvl="5" w:tplc="A96C2FF2">
      <w:start w:val="1"/>
      <w:numFmt w:val="bullet"/>
      <w:lvlText w:val=""/>
      <w:lvlJc w:val="left"/>
      <w:pPr>
        <w:ind w:left="4320" w:hanging="360"/>
      </w:pPr>
      <w:rPr>
        <w:rFonts w:ascii="Wingdings" w:hAnsi="Wingdings" w:hint="default"/>
      </w:rPr>
    </w:lvl>
    <w:lvl w:ilvl="6" w:tplc="BA98F744">
      <w:start w:val="1"/>
      <w:numFmt w:val="bullet"/>
      <w:lvlText w:val=""/>
      <w:lvlJc w:val="left"/>
      <w:pPr>
        <w:ind w:left="5040" w:hanging="360"/>
      </w:pPr>
      <w:rPr>
        <w:rFonts w:ascii="Symbol" w:hAnsi="Symbol" w:hint="default"/>
      </w:rPr>
    </w:lvl>
    <w:lvl w:ilvl="7" w:tplc="A3AA4C6C">
      <w:start w:val="1"/>
      <w:numFmt w:val="bullet"/>
      <w:lvlText w:val="o"/>
      <w:lvlJc w:val="left"/>
      <w:pPr>
        <w:ind w:left="5760" w:hanging="360"/>
      </w:pPr>
      <w:rPr>
        <w:rFonts w:ascii="Courier New" w:hAnsi="Courier New" w:hint="default"/>
      </w:rPr>
    </w:lvl>
    <w:lvl w:ilvl="8" w:tplc="24982E84">
      <w:start w:val="1"/>
      <w:numFmt w:val="bullet"/>
      <w:lvlText w:val=""/>
      <w:lvlJc w:val="left"/>
      <w:pPr>
        <w:ind w:left="6480" w:hanging="360"/>
      </w:pPr>
      <w:rPr>
        <w:rFonts w:ascii="Wingdings" w:hAnsi="Wingdings" w:hint="default"/>
      </w:rPr>
    </w:lvl>
  </w:abstractNum>
  <w:abstractNum w:abstractNumId="2" w15:restartNumberingAfterBreak="0">
    <w:nsid w:val="7BAE0EF9"/>
    <w:multiLevelType w:val="hybridMultilevel"/>
    <w:tmpl w:val="41140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610214">
    <w:abstractNumId w:val="1"/>
  </w:num>
  <w:num w:numId="2" w16cid:durableId="865824845">
    <w:abstractNumId w:val="2"/>
  </w:num>
  <w:num w:numId="3" w16cid:durableId="107743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DF"/>
    <w:rsid w:val="00036118"/>
    <w:rsid w:val="0005348A"/>
    <w:rsid w:val="0006240C"/>
    <w:rsid w:val="00082A83"/>
    <w:rsid w:val="000963B6"/>
    <w:rsid w:val="000F5808"/>
    <w:rsid w:val="00125838"/>
    <w:rsid w:val="001511B8"/>
    <w:rsid w:val="001A020A"/>
    <w:rsid w:val="001E112B"/>
    <w:rsid w:val="001F7D7F"/>
    <w:rsid w:val="00203742"/>
    <w:rsid w:val="00206342"/>
    <w:rsid w:val="00212F80"/>
    <w:rsid w:val="00232EAB"/>
    <w:rsid w:val="00233B81"/>
    <w:rsid w:val="00243253"/>
    <w:rsid w:val="00252C49"/>
    <w:rsid w:val="00255C97"/>
    <w:rsid w:val="00267EFB"/>
    <w:rsid w:val="00277080"/>
    <w:rsid w:val="00283347"/>
    <w:rsid w:val="00291492"/>
    <w:rsid w:val="002A431D"/>
    <w:rsid w:val="002C6C37"/>
    <w:rsid w:val="002D480E"/>
    <w:rsid w:val="00312A28"/>
    <w:rsid w:val="0031324D"/>
    <w:rsid w:val="003555A1"/>
    <w:rsid w:val="00386114"/>
    <w:rsid w:val="003A01A5"/>
    <w:rsid w:val="003D22DF"/>
    <w:rsid w:val="003E5B6A"/>
    <w:rsid w:val="004030E9"/>
    <w:rsid w:val="0041059D"/>
    <w:rsid w:val="0043474E"/>
    <w:rsid w:val="00454BAA"/>
    <w:rsid w:val="00464E9F"/>
    <w:rsid w:val="004C4B0B"/>
    <w:rsid w:val="00504F63"/>
    <w:rsid w:val="005128A9"/>
    <w:rsid w:val="00516C28"/>
    <w:rsid w:val="00523324"/>
    <w:rsid w:val="005330BE"/>
    <w:rsid w:val="005742FD"/>
    <w:rsid w:val="005760F2"/>
    <w:rsid w:val="00591E68"/>
    <w:rsid w:val="005D0040"/>
    <w:rsid w:val="005D1855"/>
    <w:rsid w:val="005F077C"/>
    <w:rsid w:val="005F5080"/>
    <w:rsid w:val="006958C5"/>
    <w:rsid w:val="006A166F"/>
    <w:rsid w:val="006B237A"/>
    <w:rsid w:val="006C722A"/>
    <w:rsid w:val="007134A7"/>
    <w:rsid w:val="00733876"/>
    <w:rsid w:val="007769AC"/>
    <w:rsid w:val="00794D82"/>
    <w:rsid w:val="007B6FF5"/>
    <w:rsid w:val="007C03DB"/>
    <w:rsid w:val="007E02E5"/>
    <w:rsid w:val="007E5B04"/>
    <w:rsid w:val="007F0AEC"/>
    <w:rsid w:val="00805EC8"/>
    <w:rsid w:val="00810CB6"/>
    <w:rsid w:val="0082523C"/>
    <w:rsid w:val="00874DF3"/>
    <w:rsid w:val="0088567F"/>
    <w:rsid w:val="008917C4"/>
    <w:rsid w:val="00897F31"/>
    <w:rsid w:val="008C7BCF"/>
    <w:rsid w:val="008D79D5"/>
    <w:rsid w:val="008E3720"/>
    <w:rsid w:val="009753B6"/>
    <w:rsid w:val="00982468"/>
    <w:rsid w:val="0099752A"/>
    <w:rsid w:val="009A7AED"/>
    <w:rsid w:val="009F1291"/>
    <w:rsid w:val="00A12F8A"/>
    <w:rsid w:val="00AC64B8"/>
    <w:rsid w:val="00AD47B4"/>
    <w:rsid w:val="00B35012"/>
    <w:rsid w:val="00BA2E47"/>
    <w:rsid w:val="00BD5975"/>
    <w:rsid w:val="00C5790A"/>
    <w:rsid w:val="00C603E7"/>
    <w:rsid w:val="00C702AB"/>
    <w:rsid w:val="00CC79F9"/>
    <w:rsid w:val="00CD000F"/>
    <w:rsid w:val="00CF6BF7"/>
    <w:rsid w:val="00D10CDC"/>
    <w:rsid w:val="00D37F7B"/>
    <w:rsid w:val="00D53095"/>
    <w:rsid w:val="00D66812"/>
    <w:rsid w:val="00D7426C"/>
    <w:rsid w:val="00D8097A"/>
    <w:rsid w:val="00D939B0"/>
    <w:rsid w:val="00DD43FE"/>
    <w:rsid w:val="00DE64F5"/>
    <w:rsid w:val="00E26327"/>
    <w:rsid w:val="00E62295"/>
    <w:rsid w:val="00E906B9"/>
    <w:rsid w:val="00EA4EDC"/>
    <w:rsid w:val="00EB04C7"/>
    <w:rsid w:val="00EB227B"/>
    <w:rsid w:val="00F0149C"/>
    <w:rsid w:val="00F038F2"/>
    <w:rsid w:val="00F10702"/>
    <w:rsid w:val="00F25D75"/>
    <w:rsid w:val="00F94C76"/>
    <w:rsid w:val="00FE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C700"/>
  <w15:chartTrackingRefBased/>
  <w15:docId w15:val="{DFAA99E3-7782-4995-9A40-8CDB1FD68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624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D22DF"/>
  </w:style>
  <w:style w:type="paragraph" w:customStyle="1" w:styleId="paragraph">
    <w:name w:val="paragraph"/>
    <w:basedOn w:val="Normal"/>
    <w:rsid w:val="003D22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06240C"/>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06240C"/>
    <w:rPr>
      <w:color w:val="0563C1" w:themeColor="hyperlink"/>
      <w:u w:val="single"/>
    </w:rPr>
  </w:style>
  <w:style w:type="character" w:styleId="UnresolvedMention">
    <w:name w:val="Unresolved Mention"/>
    <w:basedOn w:val="DefaultParagraphFont"/>
    <w:uiPriority w:val="99"/>
    <w:semiHidden/>
    <w:unhideWhenUsed/>
    <w:rsid w:val="0006240C"/>
    <w:rPr>
      <w:color w:val="605E5C"/>
      <w:shd w:val="clear" w:color="auto" w:fill="E1DFDD"/>
    </w:rPr>
  </w:style>
  <w:style w:type="paragraph" w:styleId="ListParagraph">
    <w:name w:val="List Paragraph"/>
    <w:basedOn w:val="Normal"/>
    <w:uiPriority w:val="34"/>
    <w:qFormat/>
    <w:rsid w:val="0082523C"/>
    <w:pPr>
      <w:ind w:left="720"/>
      <w:contextualSpacing/>
    </w:pPr>
  </w:style>
  <w:style w:type="paragraph" w:styleId="NormalWeb">
    <w:name w:val="Normal (Web)"/>
    <w:basedOn w:val="Normal"/>
    <w:uiPriority w:val="99"/>
    <w:unhideWhenUsed/>
    <w:rsid w:val="001E11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5F077C"/>
    <w:rPr>
      <w:color w:val="954F72" w:themeColor="followedHyperlink"/>
      <w:u w:val="single"/>
    </w:rPr>
  </w:style>
  <w:style w:type="paragraph" w:styleId="Header">
    <w:name w:val="header"/>
    <w:basedOn w:val="Normal"/>
    <w:link w:val="HeaderChar"/>
    <w:uiPriority w:val="99"/>
    <w:unhideWhenUsed/>
    <w:rsid w:val="006B2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37A"/>
  </w:style>
  <w:style w:type="paragraph" w:styleId="Footer">
    <w:name w:val="footer"/>
    <w:basedOn w:val="Normal"/>
    <w:link w:val="FooterChar"/>
    <w:uiPriority w:val="99"/>
    <w:unhideWhenUsed/>
    <w:rsid w:val="006B2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5532">
      <w:bodyDiv w:val="1"/>
      <w:marLeft w:val="0"/>
      <w:marRight w:val="0"/>
      <w:marTop w:val="0"/>
      <w:marBottom w:val="0"/>
      <w:divBdr>
        <w:top w:val="none" w:sz="0" w:space="0" w:color="auto"/>
        <w:left w:val="none" w:sz="0" w:space="0" w:color="auto"/>
        <w:bottom w:val="none" w:sz="0" w:space="0" w:color="auto"/>
        <w:right w:val="none" w:sz="0" w:space="0" w:color="auto"/>
      </w:divBdr>
      <w:divsChild>
        <w:div w:id="1110974269">
          <w:marLeft w:val="0"/>
          <w:marRight w:val="0"/>
          <w:marTop w:val="0"/>
          <w:marBottom w:val="300"/>
          <w:divBdr>
            <w:top w:val="none" w:sz="0" w:space="0" w:color="auto"/>
            <w:left w:val="none" w:sz="0" w:space="0" w:color="auto"/>
            <w:bottom w:val="none" w:sz="0" w:space="0" w:color="auto"/>
            <w:right w:val="none" w:sz="0" w:space="0" w:color="auto"/>
          </w:divBdr>
        </w:div>
      </w:divsChild>
    </w:div>
    <w:div w:id="1483423667">
      <w:bodyDiv w:val="1"/>
      <w:marLeft w:val="0"/>
      <w:marRight w:val="0"/>
      <w:marTop w:val="0"/>
      <w:marBottom w:val="0"/>
      <w:divBdr>
        <w:top w:val="none" w:sz="0" w:space="0" w:color="auto"/>
        <w:left w:val="none" w:sz="0" w:space="0" w:color="auto"/>
        <w:bottom w:val="none" w:sz="0" w:space="0" w:color="auto"/>
        <w:right w:val="none" w:sz="0" w:space="0" w:color="auto"/>
      </w:divBdr>
      <w:divsChild>
        <w:div w:id="1860200436">
          <w:marLeft w:val="0"/>
          <w:marRight w:val="0"/>
          <w:marTop w:val="0"/>
          <w:marBottom w:val="300"/>
          <w:divBdr>
            <w:top w:val="none" w:sz="0" w:space="0" w:color="auto"/>
            <w:left w:val="none" w:sz="0" w:space="0" w:color="auto"/>
            <w:bottom w:val="none" w:sz="0" w:space="0" w:color="auto"/>
            <w:right w:val="none" w:sz="0" w:space="0" w:color="auto"/>
          </w:divBdr>
        </w:div>
      </w:divsChild>
    </w:div>
    <w:div w:id="1897281761">
      <w:bodyDiv w:val="1"/>
      <w:marLeft w:val="0"/>
      <w:marRight w:val="0"/>
      <w:marTop w:val="0"/>
      <w:marBottom w:val="0"/>
      <w:divBdr>
        <w:top w:val="none" w:sz="0" w:space="0" w:color="auto"/>
        <w:left w:val="none" w:sz="0" w:space="0" w:color="auto"/>
        <w:bottom w:val="none" w:sz="0" w:space="0" w:color="auto"/>
        <w:right w:val="none" w:sz="0" w:space="0" w:color="auto"/>
      </w:divBdr>
      <w:divsChild>
        <w:div w:id="180633446">
          <w:marLeft w:val="0"/>
          <w:marRight w:val="0"/>
          <w:marTop w:val="0"/>
          <w:marBottom w:val="0"/>
          <w:divBdr>
            <w:top w:val="none" w:sz="0" w:space="0" w:color="auto"/>
            <w:left w:val="none" w:sz="0" w:space="0" w:color="auto"/>
            <w:bottom w:val="none" w:sz="0" w:space="0" w:color="auto"/>
            <w:right w:val="none" w:sz="0" w:space="0" w:color="auto"/>
          </w:divBdr>
          <w:divsChild>
            <w:div w:id="1918396160">
              <w:marLeft w:val="0"/>
              <w:marRight w:val="0"/>
              <w:marTop w:val="0"/>
              <w:marBottom w:val="0"/>
              <w:divBdr>
                <w:top w:val="none" w:sz="0" w:space="0" w:color="auto"/>
                <w:left w:val="none" w:sz="0" w:space="0" w:color="auto"/>
                <w:bottom w:val="none" w:sz="0" w:space="0" w:color="auto"/>
                <w:right w:val="none" w:sz="0" w:space="0" w:color="auto"/>
              </w:divBdr>
              <w:divsChild>
                <w:div w:id="171068879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cc.police.uk/Crime%20Ops%20Committee/NVAP.pdf" TargetMode="External"/><Relationship Id="rId13" Type="http://schemas.openxmlformats.org/officeDocument/2006/relationships/hyperlink" Target="https://doi.org/10.1108/JAP-03-2017-0006" TargetMode="External"/><Relationship Id="rId18" Type="http://schemas.openxmlformats.org/officeDocument/2006/relationships/hyperlink" Target="https://www.nspcc.org.uk/what-is-child-abuse/types-of-abuse/gangs-criminal-exploitation/" TargetMode="External"/><Relationship Id="rId3" Type="http://schemas.openxmlformats.org/officeDocument/2006/relationships/settings" Target="settings.xml"/><Relationship Id="rId21" Type="http://schemas.openxmlformats.org/officeDocument/2006/relationships/hyperlink" Target="https://www.who.int/news-room/fact-sheets/detail/mental-disorders" TargetMode="External"/><Relationship Id="rId7" Type="http://schemas.openxmlformats.org/officeDocument/2006/relationships/hyperlink" Target="https://www.college.police.uk/guidance/vulnerability-related-risks/introduction-vulnerability-related-risk" TargetMode="External"/><Relationship Id="rId12" Type="http://schemas.openxmlformats.org/officeDocument/2006/relationships/hyperlink" Target="https://orca.cardiff.ac.uk/id/eprint/52681/1/personal-situational-and-incidental-vulnerabilities-to-anti-social-behaviour-harm-a-follow-up-study.pdf" TargetMode="External"/><Relationship Id="rId17" Type="http://schemas.openxmlformats.org/officeDocument/2006/relationships/hyperlink" Target="https://digital.nhs.uk/data-and-information/publications/statistical/mental-health-act-statistics-annual-figures/2021-22-annual-figur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mental-health/social-care-and-your-rights/mental-health-and-the-law/mental-health-act/" TargetMode="External"/><Relationship Id="rId20" Type="http://schemas.openxmlformats.org/officeDocument/2006/relationships/hyperlink" Target="https://doi.org/10.1177/14732254188108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riminal-exploitation-of-children-and-vulnerable-adults-county-lines/criminal-exploitation-of-children-and-vulnerable-adults-county-lin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ationalcrimeagency.gov.uk/who-we-are/publications/254-guidance-for-ngos-on-how-to-identify-and-support-victims-of-criminal-exploitation/file" TargetMode="External"/><Relationship Id="rId23" Type="http://schemas.openxmlformats.org/officeDocument/2006/relationships/footer" Target="footer1.xml"/><Relationship Id="rId10" Type="http://schemas.openxmlformats.org/officeDocument/2006/relationships/hyperlink" Target="https://www.justiceinspectorates.gov.uk/hmicfrs/wp-content/uploads/policing-and-mental-health-picking-up-the-pieces.pdf" TargetMode="External"/><Relationship Id="rId19"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4" Type="http://schemas.openxmlformats.org/officeDocument/2006/relationships/webSettings" Target="webSettings.xml"/><Relationship Id="rId9" Type="http://schemas.openxmlformats.org/officeDocument/2006/relationships/hyperlink" Target="https://www.justiceinspectorates.gov.uk/cjji/media/press-releases/2021/11/mentalhealth2021/" TargetMode="External"/><Relationship Id="rId14" Type="http://schemas.openxmlformats.org/officeDocument/2006/relationships/hyperlink" Target="https://www.legislation.gov.uk/ukpga/2007/12/notes/division/6/1?view=plainn" TargetMode="External"/><Relationship Id="rId22" Type="http://schemas.openxmlformats.org/officeDocument/2006/relationships/hyperlink" Target="https://www.who.int/news/item/02-03-2022-covid-19-pandemic-triggers-25-increase-in-prevalence-of-anxiety-and-depression-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15938</TotalTime>
  <Pages>12</Pages>
  <Words>3122</Words>
  <Characters>17797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Osullivan (2000763)</dc:creator>
  <cp:keywords/>
  <dc:description/>
  <cp:lastModifiedBy>Shaun Osullivan (2000763)</cp:lastModifiedBy>
  <cp:revision>144</cp:revision>
  <dcterms:created xsi:type="dcterms:W3CDTF">2022-12-19T20:44:00Z</dcterms:created>
  <dcterms:modified xsi:type="dcterms:W3CDTF">2023-01-13T18:53:00Z</dcterms:modified>
</cp:coreProperties>
</file>