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2838E" w14:textId="77777777" w:rsidR="0057143B" w:rsidRPr="005F6BBD" w:rsidRDefault="0057143B" w:rsidP="0057143B">
      <w:pPr>
        <w:spacing w:after="0"/>
        <w:jc w:val="center"/>
        <w:rPr>
          <w:rFonts w:ascii="Arial" w:hAnsi="Arial" w:cs="Arial"/>
          <w:b/>
          <w:bCs/>
          <w:sz w:val="28"/>
          <w:szCs w:val="28"/>
        </w:rPr>
      </w:pPr>
      <w:bookmarkStart w:id="0" w:name="_Hlk214788384"/>
      <w:r w:rsidRPr="005F6BBD">
        <w:rPr>
          <w:rFonts w:ascii="Arial" w:hAnsi="Arial" w:cs="Arial"/>
          <w:b/>
          <w:bCs/>
          <w:sz w:val="28"/>
          <w:szCs w:val="28"/>
        </w:rPr>
        <w:t>Understanding the Business Context</w:t>
      </w:r>
    </w:p>
    <w:p w14:paraId="10EDBBCD" w14:textId="77777777" w:rsidR="0057143B" w:rsidRPr="005F6BBD" w:rsidRDefault="0057143B" w:rsidP="0057143B">
      <w:pPr>
        <w:spacing w:after="0"/>
        <w:jc w:val="center"/>
        <w:rPr>
          <w:rFonts w:ascii="Arial" w:hAnsi="Arial" w:cs="Arial"/>
          <w:b/>
          <w:bCs/>
          <w:sz w:val="28"/>
          <w:szCs w:val="28"/>
        </w:rPr>
      </w:pPr>
      <w:r w:rsidRPr="005F6BBD">
        <w:rPr>
          <w:rFonts w:ascii="Arial" w:hAnsi="Arial" w:cs="Arial"/>
          <w:b/>
          <w:bCs/>
          <w:sz w:val="28"/>
          <w:szCs w:val="28"/>
        </w:rPr>
        <w:t>The major environmental factors affecting organisations</w:t>
      </w:r>
    </w:p>
    <w:p w14:paraId="0B4A5974" w14:textId="77777777" w:rsidR="0057143B" w:rsidRDefault="0057143B" w:rsidP="0057143B">
      <w:pPr>
        <w:spacing w:after="0"/>
        <w:rPr>
          <w:rFonts w:ascii="Arial" w:hAnsi="Arial" w:cs="Arial"/>
          <w:sz w:val="24"/>
          <w:szCs w:val="24"/>
        </w:rPr>
      </w:pPr>
    </w:p>
    <w:p w14:paraId="753732B2" w14:textId="77777777" w:rsidR="005F6BBD" w:rsidRPr="0057143B" w:rsidRDefault="005F6BBD" w:rsidP="0057143B">
      <w:pPr>
        <w:spacing w:after="0"/>
        <w:rPr>
          <w:rFonts w:ascii="Arial" w:hAnsi="Arial" w:cs="Arial"/>
          <w:sz w:val="24"/>
          <w:szCs w:val="24"/>
        </w:rPr>
      </w:pPr>
    </w:p>
    <w:p w14:paraId="3E567089" w14:textId="76765ADA" w:rsidR="0057143B" w:rsidRPr="0057143B" w:rsidRDefault="0057143B" w:rsidP="0057143B">
      <w:pPr>
        <w:spacing w:after="0"/>
        <w:rPr>
          <w:rFonts w:ascii="Arial" w:hAnsi="Arial" w:cs="Arial"/>
          <w:sz w:val="24"/>
          <w:szCs w:val="24"/>
        </w:rPr>
      </w:pPr>
      <w:r w:rsidRPr="0057143B">
        <w:rPr>
          <w:rFonts w:ascii="Arial" w:hAnsi="Arial" w:cs="Arial"/>
          <w:b/>
          <w:bCs/>
          <w:sz w:val="24"/>
          <w:szCs w:val="24"/>
        </w:rPr>
        <w:t>Student Name</w:t>
      </w:r>
      <w:r>
        <w:rPr>
          <w:rFonts w:ascii="Arial" w:hAnsi="Arial" w:cs="Arial"/>
          <w:sz w:val="24"/>
          <w:szCs w:val="24"/>
        </w:rPr>
        <w:t>:  Stephanie Evans</w:t>
      </w:r>
    </w:p>
    <w:p w14:paraId="152816DB" w14:textId="77777777" w:rsidR="0057143B" w:rsidRDefault="0057143B" w:rsidP="0057143B">
      <w:pPr>
        <w:spacing w:after="0"/>
        <w:rPr>
          <w:rFonts w:ascii="Arial" w:hAnsi="Arial" w:cs="Arial"/>
          <w:sz w:val="24"/>
          <w:szCs w:val="24"/>
        </w:rPr>
      </w:pPr>
    </w:p>
    <w:p w14:paraId="71D2FACE" w14:textId="77777777" w:rsidR="005F6BBD" w:rsidRPr="0057143B" w:rsidRDefault="005F6BBD" w:rsidP="0057143B">
      <w:pPr>
        <w:spacing w:after="0"/>
        <w:rPr>
          <w:rFonts w:ascii="Arial" w:hAnsi="Arial" w:cs="Arial"/>
          <w:sz w:val="24"/>
          <w:szCs w:val="24"/>
        </w:rPr>
      </w:pPr>
    </w:p>
    <w:p w14:paraId="3E01964B" w14:textId="35884220" w:rsidR="0057143B" w:rsidRPr="0057143B" w:rsidRDefault="0057143B" w:rsidP="0057143B">
      <w:pPr>
        <w:spacing w:after="0"/>
        <w:rPr>
          <w:rFonts w:ascii="Arial" w:hAnsi="Arial" w:cs="Arial"/>
          <w:sz w:val="24"/>
          <w:szCs w:val="24"/>
        </w:rPr>
      </w:pPr>
      <w:r w:rsidRPr="0057143B">
        <w:rPr>
          <w:rFonts w:ascii="Arial" w:hAnsi="Arial" w:cs="Arial"/>
          <w:b/>
          <w:bCs/>
          <w:sz w:val="24"/>
          <w:szCs w:val="24"/>
        </w:rPr>
        <w:t>Module code</w:t>
      </w:r>
      <w:r w:rsidRPr="0057143B">
        <w:rPr>
          <w:rFonts w:ascii="Arial" w:hAnsi="Arial" w:cs="Arial"/>
          <w:sz w:val="24"/>
          <w:szCs w:val="24"/>
        </w:rPr>
        <w:t xml:space="preserve">: </w:t>
      </w:r>
      <w:r>
        <w:rPr>
          <w:rFonts w:ascii="Arial" w:hAnsi="Arial" w:cs="Arial"/>
          <w:sz w:val="24"/>
          <w:szCs w:val="24"/>
        </w:rPr>
        <w:t xml:space="preserve"> </w:t>
      </w:r>
      <w:r w:rsidRPr="0057143B">
        <w:rPr>
          <w:rFonts w:ascii="Arial" w:hAnsi="Arial" w:cs="Arial"/>
          <w:b/>
          <w:sz w:val="24"/>
          <w:szCs w:val="24"/>
        </w:rPr>
        <w:t>BMHR7012</w:t>
      </w:r>
    </w:p>
    <w:p w14:paraId="5DEF80B4" w14:textId="77777777" w:rsidR="0057143B" w:rsidRDefault="0057143B" w:rsidP="0057143B">
      <w:pPr>
        <w:spacing w:after="0"/>
        <w:rPr>
          <w:rFonts w:ascii="Arial" w:hAnsi="Arial" w:cs="Arial"/>
          <w:sz w:val="24"/>
          <w:szCs w:val="24"/>
        </w:rPr>
      </w:pPr>
    </w:p>
    <w:p w14:paraId="221A57EF" w14:textId="77777777" w:rsidR="005F6BBD" w:rsidRPr="0057143B" w:rsidRDefault="005F6BBD" w:rsidP="0057143B">
      <w:pPr>
        <w:spacing w:after="0"/>
        <w:rPr>
          <w:rFonts w:ascii="Arial" w:hAnsi="Arial" w:cs="Arial"/>
          <w:sz w:val="24"/>
          <w:szCs w:val="24"/>
        </w:rPr>
      </w:pPr>
    </w:p>
    <w:p w14:paraId="482961D7" w14:textId="475D92E0" w:rsidR="0057143B" w:rsidRDefault="0057143B" w:rsidP="0057143B">
      <w:pPr>
        <w:spacing w:after="0"/>
        <w:rPr>
          <w:rFonts w:ascii="Arial" w:hAnsi="Arial" w:cs="Arial"/>
          <w:sz w:val="24"/>
          <w:szCs w:val="24"/>
        </w:rPr>
      </w:pPr>
      <w:r w:rsidRPr="0057143B">
        <w:rPr>
          <w:rFonts w:ascii="Arial" w:hAnsi="Arial" w:cs="Arial"/>
          <w:b/>
          <w:bCs/>
          <w:sz w:val="24"/>
          <w:szCs w:val="24"/>
        </w:rPr>
        <w:t>Student number</w:t>
      </w:r>
      <w:r w:rsidRPr="0057143B">
        <w:rPr>
          <w:rFonts w:ascii="Arial" w:hAnsi="Arial" w:cs="Arial"/>
          <w:sz w:val="24"/>
          <w:szCs w:val="24"/>
        </w:rPr>
        <w:t xml:space="preserve">: </w:t>
      </w:r>
      <w:r>
        <w:rPr>
          <w:rFonts w:ascii="Arial" w:hAnsi="Arial" w:cs="Arial"/>
          <w:sz w:val="24"/>
          <w:szCs w:val="24"/>
        </w:rPr>
        <w:t xml:space="preserve"> 1907192</w:t>
      </w:r>
    </w:p>
    <w:p w14:paraId="3896AEEF" w14:textId="77777777" w:rsidR="0057143B" w:rsidRDefault="0057143B" w:rsidP="0057143B">
      <w:pPr>
        <w:spacing w:after="0"/>
        <w:rPr>
          <w:rFonts w:ascii="Arial" w:hAnsi="Arial" w:cs="Arial"/>
          <w:sz w:val="24"/>
          <w:szCs w:val="24"/>
        </w:rPr>
      </w:pPr>
    </w:p>
    <w:p w14:paraId="542D9CA2" w14:textId="77777777" w:rsidR="005F6BBD" w:rsidRDefault="005F6BBD" w:rsidP="0057143B">
      <w:pPr>
        <w:spacing w:after="0"/>
        <w:rPr>
          <w:rFonts w:ascii="Arial" w:hAnsi="Arial" w:cs="Arial"/>
          <w:sz w:val="24"/>
          <w:szCs w:val="24"/>
        </w:rPr>
      </w:pPr>
    </w:p>
    <w:p w14:paraId="0E4FEB04" w14:textId="2AF7A7A9" w:rsidR="0057143B" w:rsidRPr="0057143B" w:rsidRDefault="0057143B" w:rsidP="0057143B">
      <w:pPr>
        <w:spacing w:after="0"/>
        <w:rPr>
          <w:rFonts w:ascii="Arial" w:hAnsi="Arial" w:cs="Arial"/>
          <w:sz w:val="24"/>
          <w:szCs w:val="24"/>
        </w:rPr>
      </w:pPr>
      <w:r w:rsidRPr="0057143B">
        <w:rPr>
          <w:rFonts w:ascii="Arial" w:hAnsi="Arial" w:cs="Arial"/>
          <w:b/>
          <w:bCs/>
          <w:sz w:val="24"/>
          <w:szCs w:val="24"/>
        </w:rPr>
        <w:t>CIPD Membership Number</w:t>
      </w:r>
      <w:r w:rsidRPr="0057143B">
        <w:rPr>
          <w:rFonts w:ascii="Arial" w:hAnsi="Arial" w:cs="Arial"/>
          <w:sz w:val="24"/>
          <w:szCs w:val="24"/>
        </w:rPr>
        <w:t>:</w:t>
      </w:r>
      <w:r>
        <w:rPr>
          <w:rFonts w:ascii="Arial" w:hAnsi="Arial" w:cs="Arial"/>
          <w:sz w:val="24"/>
          <w:szCs w:val="24"/>
        </w:rPr>
        <w:t xml:space="preserve"> </w:t>
      </w:r>
      <w:r w:rsidRPr="0057143B">
        <w:rPr>
          <w:rFonts w:ascii="Arial" w:hAnsi="Arial" w:cs="Arial"/>
          <w:sz w:val="24"/>
          <w:szCs w:val="24"/>
        </w:rPr>
        <w:t xml:space="preserve"> 55478507</w:t>
      </w:r>
    </w:p>
    <w:p w14:paraId="35335BA7" w14:textId="77777777" w:rsidR="0057143B" w:rsidRPr="0057143B" w:rsidRDefault="0057143B" w:rsidP="0057143B">
      <w:pPr>
        <w:spacing w:after="0"/>
        <w:rPr>
          <w:rFonts w:ascii="Arial" w:hAnsi="Arial" w:cs="Arial"/>
          <w:sz w:val="24"/>
          <w:szCs w:val="24"/>
        </w:rPr>
      </w:pPr>
    </w:p>
    <w:p w14:paraId="769B56E2" w14:textId="77777777" w:rsidR="0057143B" w:rsidRPr="0057143B" w:rsidRDefault="0057143B" w:rsidP="0057143B">
      <w:pPr>
        <w:spacing w:after="0"/>
        <w:rPr>
          <w:rFonts w:ascii="Arial" w:hAnsi="Arial" w:cs="Arial"/>
          <w:sz w:val="24"/>
          <w:szCs w:val="24"/>
        </w:rPr>
      </w:pPr>
    </w:p>
    <w:p w14:paraId="40611DE1" w14:textId="3C2577B0" w:rsidR="0057143B" w:rsidRPr="0057143B" w:rsidRDefault="0057143B" w:rsidP="00A138CE">
      <w:pPr>
        <w:spacing w:after="0"/>
        <w:jc w:val="both"/>
        <w:rPr>
          <w:rFonts w:ascii="Arial" w:hAnsi="Arial" w:cs="Arial"/>
          <w:sz w:val="24"/>
          <w:szCs w:val="24"/>
        </w:rPr>
      </w:pPr>
      <w:r w:rsidRPr="0057143B">
        <w:rPr>
          <w:rFonts w:ascii="Arial" w:hAnsi="Arial" w:cs="Arial"/>
          <w:b/>
          <w:bCs/>
          <w:sz w:val="24"/>
          <w:szCs w:val="24"/>
        </w:rPr>
        <w:t>Report title</w:t>
      </w:r>
      <w:r w:rsidRPr="0057143B">
        <w:rPr>
          <w:rFonts w:ascii="Arial" w:hAnsi="Arial" w:cs="Arial"/>
          <w:sz w:val="24"/>
          <w:szCs w:val="24"/>
        </w:rPr>
        <w:t>:</w:t>
      </w:r>
      <w:r>
        <w:rPr>
          <w:rFonts w:ascii="Arial" w:hAnsi="Arial" w:cs="Arial"/>
          <w:sz w:val="24"/>
          <w:szCs w:val="24"/>
        </w:rPr>
        <w:t xml:space="preserve">  Critical analysis of the PESTLE tool and an evaluation of the Policial, Legal and </w:t>
      </w:r>
      <w:r w:rsidR="005F6BBD">
        <w:rPr>
          <w:rFonts w:ascii="Arial" w:hAnsi="Arial" w:cs="Arial"/>
          <w:sz w:val="24"/>
          <w:szCs w:val="24"/>
        </w:rPr>
        <w:t xml:space="preserve">Economic </w:t>
      </w:r>
      <w:r>
        <w:rPr>
          <w:rFonts w:ascii="Arial" w:hAnsi="Arial" w:cs="Arial"/>
          <w:sz w:val="24"/>
          <w:szCs w:val="24"/>
        </w:rPr>
        <w:t>factors impacting on Neath Port Talbot County Borough Council (NPTCBC)</w:t>
      </w:r>
    </w:p>
    <w:p w14:paraId="68C40B4A" w14:textId="77777777" w:rsidR="0057143B" w:rsidRDefault="0057143B" w:rsidP="00A138CE">
      <w:pPr>
        <w:spacing w:after="0"/>
        <w:jc w:val="both"/>
        <w:rPr>
          <w:rFonts w:ascii="Arial" w:hAnsi="Arial" w:cs="Arial"/>
          <w:sz w:val="24"/>
          <w:szCs w:val="24"/>
        </w:rPr>
      </w:pPr>
    </w:p>
    <w:p w14:paraId="20DB656F" w14:textId="77777777" w:rsidR="005F6BBD" w:rsidRPr="0057143B" w:rsidRDefault="005F6BBD" w:rsidP="0057143B">
      <w:pPr>
        <w:spacing w:after="0"/>
        <w:rPr>
          <w:rFonts w:ascii="Arial" w:hAnsi="Arial" w:cs="Arial"/>
          <w:sz w:val="24"/>
          <w:szCs w:val="24"/>
        </w:rPr>
      </w:pPr>
    </w:p>
    <w:p w14:paraId="43F20BD2" w14:textId="12B1DA7D" w:rsidR="0057143B" w:rsidRPr="0057143B" w:rsidRDefault="0057143B" w:rsidP="0057143B">
      <w:pPr>
        <w:spacing w:after="0"/>
        <w:rPr>
          <w:rFonts w:ascii="Arial" w:hAnsi="Arial" w:cs="Arial"/>
          <w:sz w:val="24"/>
          <w:szCs w:val="24"/>
        </w:rPr>
      </w:pPr>
      <w:r w:rsidRPr="0057143B">
        <w:rPr>
          <w:rFonts w:ascii="Arial" w:hAnsi="Arial" w:cs="Arial"/>
          <w:b/>
          <w:bCs/>
          <w:sz w:val="24"/>
          <w:szCs w:val="24"/>
        </w:rPr>
        <w:t>Word count</w:t>
      </w:r>
      <w:r w:rsidRPr="0057143B">
        <w:rPr>
          <w:rFonts w:ascii="Arial" w:hAnsi="Arial" w:cs="Arial"/>
          <w:sz w:val="24"/>
          <w:szCs w:val="24"/>
        </w:rPr>
        <w:t>:</w:t>
      </w:r>
      <w:r w:rsidR="00B02DF6">
        <w:rPr>
          <w:rFonts w:ascii="Arial" w:hAnsi="Arial" w:cs="Arial"/>
          <w:sz w:val="24"/>
          <w:szCs w:val="24"/>
        </w:rPr>
        <w:t xml:space="preserve">  3512</w:t>
      </w:r>
    </w:p>
    <w:p w14:paraId="37BC4D62" w14:textId="77777777" w:rsidR="0057143B" w:rsidRDefault="0057143B" w:rsidP="0057143B">
      <w:pPr>
        <w:spacing w:after="0"/>
        <w:rPr>
          <w:rFonts w:ascii="Arial" w:hAnsi="Arial" w:cs="Arial"/>
          <w:sz w:val="24"/>
          <w:szCs w:val="24"/>
        </w:rPr>
      </w:pPr>
    </w:p>
    <w:p w14:paraId="7319178D" w14:textId="77777777" w:rsidR="005F6BBD" w:rsidRPr="0057143B" w:rsidRDefault="005F6BBD" w:rsidP="0057143B">
      <w:pPr>
        <w:spacing w:after="0"/>
        <w:rPr>
          <w:rFonts w:ascii="Arial" w:hAnsi="Arial" w:cs="Arial"/>
          <w:sz w:val="24"/>
          <w:szCs w:val="24"/>
        </w:rPr>
      </w:pPr>
    </w:p>
    <w:p w14:paraId="2210B461" w14:textId="59C9732A" w:rsidR="007E4497" w:rsidRDefault="0057143B" w:rsidP="0057143B">
      <w:pPr>
        <w:spacing w:after="0"/>
        <w:rPr>
          <w:rFonts w:ascii="Arial" w:hAnsi="Arial" w:cs="Arial"/>
          <w:sz w:val="24"/>
          <w:szCs w:val="24"/>
        </w:rPr>
      </w:pPr>
      <w:r w:rsidRPr="0057143B">
        <w:rPr>
          <w:rFonts w:ascii="Arial" w:hAnsi="Arial" w:cs="Arial"/>
          <w:b/>
          <w:bCs/>
          <w:sz w:val="24"/>
          <w:szCs w:val="24"/>
        </w:rPr>
        <w:t>Date</w:t>
      </w:r>
      <w:r>
        <w:rPr>
          <w:rFonts w:ascii="Arial" w:hAnsi="Arial" w:cs="Arial"/>
          <w:sz w:val="24"/>
          <w:szCs w:val="24"/>
        </w:rPr>
        <w:t xml:space="preserve">:  </w:t>
      </w:r>
      <w:r w:rsidR="00A138CE">
        <w:rPr>
          <w:rFonts w:ascii="Arial" w:hAnsi="Arial" w:cs="Arial"/>
          <w:sz w:val="24"/>
          <w:szCs w:val="24"/>
        </w:rPr>
        <w:t>30</w:t>
      </w:r>
      <w:r w:rsidR="00A138CE" w:rsidRPr="00A138CE">
        <w:rPr>
          <w:rFonts w:ascii="Arial" w:hAnsi="Arial" w:cs="Arial"/>
          <w:sz w:val="24"/>
          <w:szCs w:val="24"/>
          <w:vertAlign w:val="superscript"/>
        </w:rPr>
        <w:t>th</w:t>
      </w:r>
      <w:r w:rsidR="00A138CE">
        <w:rPr>
          <w:rFonts w:ascii="Arial" w:hAnsi="Arial" w:cs="Arial"/>
          <w:sz w:val="24"/>
          <w:szCs w:val="24"/>
        </w:rPr>
        <w:t xml:space="preserve"> November 2025</w:t>
      </w:r>
    </w:p>
    <w:bookmarkEnd w:id="0"/>
    <w:p w14:paraId="535B816A" w14:textId="77777777" w:rsidR="0057143B" w:rsidRDefault="0057143B" w:rsidP="0057143B">
      <w:pPr>
        <w:spacing w:after="0"/>
        <w:rPr>
          <w:rFonts w:ascii="Arial" w:hAnsi="Arial" w:cs="Arial"/>
          <w:sz w:val="24"/>
          <w:szCs w:val="24"/>
        </w:rPr>
      </w:pPr>
    </w:p>
    <w:p w14:paraId="76EF8F5D" w14:textId="4F7B32B3" w:rsidR="0057143B" w:rsidRDefault="0057143B">
      <w:pPr>
        <w:rPr>
          <w:rFonts w:ascii="Arial" w:hAnsi="Arial" w:cs="Arial"/>
        </w:rPr>
      </w:pPr>
      <w:r>
        <w:rPr>
          <w:rFonts w:ascii="Arial" w:hAnsi="Arial" w:cs="Arial"/>
        </w:rPr>
        <w:br w:type="page"/>
      </w:r>
    </w:p>
    <w:p w14:paraId="6D157BAF" w14:textId="118AC136" w:rsidR="001F3959" w:rsidRDefault="0057143B" w:rsidP="00B6506E">
      <w:pPr>
        <w:spacing w:after="0"/>
        <w:jc w:val="both"/>
        <w:rPr>
          <w:rFonts w:ascii="Arial" w:hAnsi="Arial" w:cs="Arial"/>
          <w:sz w:val="24"/>
          <w:szCs w:val="24"/>
        </w:rPr>
      </w:pPr>
      <w:r w:rsidRPr="001F3959">
        <w:rPr>
          <w:rFonts w:ascii="Arial" w:hAnsi="Arial" w:cs="Arial"/>
          <w:b/>
          <w:bCs/>
          <w:sz w:val="24"/>
          <w:szCs w:val="24"/>
        </w:rPr>
        <w:lastRenderedPageBreak/>
        <w:t>Executive Summary</w:t>
      </w:r>
    </w:p>
    <w:p w14:paraId="45E6E0C9" w14:textId="35DEBCFF" w:rsidR="00C75600" w:rsidRDefault="00C01AF7" w:rsidP="00B6506E">
      <w:pPr>
        <w:spacing w:after="0"/>
        <w:jc w:val="both"/>
        <w:rPr>
          <w:rFonts w:ascii="Arial" w:hAnsi="Arial" w:cs="Arial"/>
          <w:sz w:val="24"/>
          <w:szCs w:val="24"/>
        </w:rPr>
      </w:pPr>
      <w:r>
        <w:rPr>
          <w:rFonts w:ascii="Arial" w:hAnsi="Arial" w:cs="Arial"/>
          <w:sz w:val="24"/>
          <w:szCs w:val="24"/>
        </w:rPr>
        <w:t>The purpose of this report is to critically analyse the use of ‘PESTLE’ in evaluating the Political, Legal and Economic factors</w:t>
      </w:r>
      <w:r w:rsidR="00DC6C4A">
        <w:rPr>
          <w:rFonts w:ascii="Arial" w:hAnsi="Arial" w:cs="Arial"/>
          <w:sz w:val="24"/>
          <w:szCs w:val="24"/>
        </w:rPr>
        <w:t xml:space="preserve"> that may </w:t>
      </w:r>
      <w:r>
        <w:rPr>
          <w:rFonts w:ascii="Arial" w:hAnsi="Arial" w:cs="Arial"/>
          <w:sz w:val="24"/>
          <w:szCs w:val="24"/>
        </w:rPr>
        <w:t>impact Neath Port Talbot County Borough Council (NPTCBC)</w:t>
      </w:r>
      <w:r w:rsidR="00B6506E">
        <w:rPr>
          <w:rFonts w:ascii="Arial" w:hAnsi="Arial" w:cs="Arial"/>
          <w:sz w:val="24"/>
          <w:szCs w:val="24"/>
        </w:rPr>
        <w:t xml:space="preserve"> and</w:t>
      </w:r>
      <w:r w:rsidR="00332EF3">
        <w:rPr>
          <w:rFonts w:ascii="Arial" w:hAnsi="Arial" w:cs="Arial"/>
          <w:sz w:val="24"/>
          <w:szCs w:val="24"/>
        </w:rPr>
        <w:t xml:space="preserve"> </w:t>
      </w:r>
      <w:r w:rsidR="00B6506E">
        <w:rPr>
          <w:rFonts w:ascii="Arial" w:hAnsi="Arial" w:cs="Arial"/>
          <w:sz w:val="24"/>
          <w:szCs w:val="24"/>
        </w:rPr>
        <w:t>how these will influence decision making, competitive advantage and long-term sustainability</w:t>
      </w:r>
      <w:r>
        <w:rPr>
          <w:rFonts w:ascii="Arial" w:hAnsi="Arial" w:cs="Arial"/>
          <w:sz w:val="24"/>
          <w:szCs w:val="24"/>
        </w:rPr>
        <w:t>.</w:t>
      </w:r>
    </w:p>
    <w:p w14:paraId="529B666F" w14:textId="77777777" w:rsidR="00C75600" w:rsidRDefault="00C75600" w:rsidP="00B6506E">
      <w:pPr>
        <w:spacing w:after="0"/>
        <w:jc w:val="both"/>
        <w:rPr>
          <w:rFonts w:ascii="Arial" w:hAnsi="Arial" w:cs="Arial"/>
          <w:sz w:val="24"/>
          <w:szCs w:val="24"/>
        </w:rPr>
      </w:pPr>
    </w:p>
    <w:p w14:paraId="16840EF0" w14:textId="3AA82444" w:rsidR="004D3D5A" w:rsidRDefault="004D3D5A" w:rsidP="00B6506E">
      <w:pPr>
        <w:spacing w:after="0"/>
        <w:jc w:val="both"/>
        <w:rPr>
          <w:rFonts w:ascii="Arial" w:hAnsi="Arial" w:cs="Arial"/>
          <w:sz w:val="24"/>
          <w:szCs w:val="24"/>
        </w:rPr>
      </w:pPr>
      <w:r>
        <w:rPr>
          <w:rFonts w:ascii="Arial" w:hAnsi="Arial" w:cs="Arial"/>
          <w:sz w:val="24"/>
          <w:szCs w:val="24"/>
        </w:rPr>
        <w:t>The analysis has a particular focus on potential challenges and opportunities within the coming years taking into consideration the Labour Governments ‘Make Work Pay’ Plan</w:t>
      </w:r>
      <w:r w:rsidR="00C75600">
        <w:rPr>
          <w:rFonts w:ascii="Arial" w:hAnsi="Arial" w:cs="Arial"/>
          <w:sz w:val="24"/>
          <w:szCs w:val="24"/>
        </w:rPr>
        <w:t xml:space="preserve">.  The aim of which is to </w:t>
      </w:r>
      <w:r>
        <w:rPr>
          <w:rFonts w:ascii="Arial" w:hAnsi="Arial" w:cs="Arial"/>
          <w:sz w:val="24"/>
          <w:szCs w:val="24"/>
        </w:rPr>
        <w:t>tackle low pay and poor terms and conditions of employment.  By doing so, the</w:t>
      </w:r>
      <w:r w:rsidR="00DC6C4A">
        <w:rPr>
          <w:rFonts w:ascii="Arial" w:hAnsi="Arial" w:cs="Arial"/>
          <w:sz w:val="24"/>
          <w:szCs w:val="24"/>
        </w:rPr>
        <w:t xml:space="preserve">ir goal is </w:t>
      </w:r>
      <w:r>
        <w:rPr>
          <w:rFonts w:ascii="Arial" w:hAnsi="Arial" w:cs="Arial"/>
          <w:sz w:val="24"/>
          <w:szCs w:val="24"/>
        </w:rPr>
        <w:t>to grow the economy, improve standard of living and create</w:t>
      </w:r>
      <w:r w:rsidR="00741A49">
        <w:rPr>
          <w:rFonts w:ascii="Arial" w:hAnsi="Arial" w:cs="Arial"/>
          <w:sz w:val="24"/>
          <w:szCs w:val="24"/>
        </w:rPr>
        <w:t xml:space="preserve"> opportunities.</w:t>
      </w:r>
    </w:p>
    <w:p w14:paraId="3179D852" w14:textId="77777777" w:rsidR="004D3D5A" w:rsidRDefault="004D3D5A" w:rsidP="00B6506E">
      <w:pPr>
        <w:spacing w:after="0"/>
        <w:jc w:val="both"/>
        <w:rPr>
          <w:rFonts w:ascii="Arial" w:hAnsi="Arial" w:cs="Arial"/>
          <w:sz w:val="24"/>
          <w:szCs w:val="24"/>
        </w:rPr>
      </w:pPr>
    </w:p>
    <w:p w14:paraId="1251A130" w14:textId="308ACC75" w:rsidR="004D3D5A" w:rsidRPr="00741A49" w:rsidRDefault="004D3D5A" w:rsidP="00B6506E">
      <w:pPr>
        <w:spacing w:after="0"/>
        <w:jc w:val="both"/>
        <w:rPr>
          <w:rFonts w:ascii="Arial" w:hAnsi="Arial" w:cs="Arial"/>
          <w:b/>
          <w:bCs/>
          <w:sz w:val="24"/>
          <w:szCs w:val="24"/>
        </w:rPr>
      </w:pPr>
      <w:r w:rsidRPr="00741A49">
        <w:rPr>
          <w:rFonts w:ascii="Arial" w:hAnsi="Arial" w:cs="Arial"/>
          <w:b/>
          <w:bCs/>
          <w:sz w:val="24"/>
          <w:szCs w:val="24"/>
        </w:rPr>
        <w:t>Key findings include:</w:t>
      </w:r>
    </w:p>
    <w:p w14:paraId="3EC7A45A" w14:textId="43838B2E" w:rsidR="004D3D5A" w:rsidRPr="00B6506E" w:rsidRDefault="004D3D5A" w:rsidP="00B6506E">
      <w:pPr>
        <w:spacing w:after="0"/>
        <w:jc w:val="both"/>
        <w:rPr>
          <w:rFonts w:ascii="Arial" w:hAnsi="Arial" w:cs="Arial"/>
          <w:sz w:val="24"/>
          <w:szCs w:val="24"/>
        </w:rPr>
      </w:pPr>
      <w:r w:rsidRPr="00B6506E">
        <w:rPr>
          <w:rFonts w:ascii="Arial" w:hAnsi="Arial" w:cs="Arial"/>
          <w:b/>
          <w:bCs/>
          <w:sz w:val="24"/>
          <w:szCs w:val="24"/>
        </w:rPr>
        <w:t>Legal</w:t>
      </w:r>
      <w:r w:rsidRPr="00B6506E">
        <w:rPr>
          <w:rFonts w:ascii="Arial" w:hAnsi="Arial" w:cs="Arial"/>
          <w:sz w:val="24"/>
          <w:szCs w:val="24"/>
        </w:rPr>
        <w:t xml:space="preserve">: The proposed legislation changes will </w:t>
      </w:r>
      <w:r w:rsidR="00DC6C4A">
        <w:rPr>
          <w:rFonts w:ascii="Arial" w:hAnsi="Arial" w:cs="Arial"/>
          <w:sz w:val="24"/>
          <w:szCs w:val="24"/>
        </w:rPr>
        <w:t xml:space="preserve">seek to </w:t>
      </w:r>
      <w:r w:rsidRPr="00B6506E">
        <w:rPr>
          <w:rFonts w:ascii="Arial" w:hAnsi="Arial" w:cs="Arial"/>
          <w:sz w:val="24"/>
          <w:szCs w:val="24"/>
        </w:rPr>
        <w:t xml:space="preserve">extend unfair dismissal rights from day </w:t>
      </w:r>
      <w:r w:rsidR="00823972" w:rsidRPr="00B6506E">
        <w:rPr>
          <w:rFonts w:ascii="Arial" w:hAnsi="Arial" w:cs="Arial"/>
          <w:sz w:val="24"/>
          <w:szCs w:val="24"/>
        </w:rPr>
        <w:t xml:space="preserve">one </w:t>
      </w:r>
      <w:r w:rsidRPr="00B6506E">
        <w:rPr>
          <w:rFonts w:ascii="Arial" w:hAnsi="Arial" w:cs="Arial"/>
          <w:sz w:val="24"/>
          <w:szCs w:val="24"/>
        </w:rPr>
        <w:t>and</w:t>
      </w:r>
      <w:r w:rsidR="00823972" w:rsidRPr="00B6506E">
        <w:rPr>
          <w:rFonts w:ascii="Arial" w:hAnsi="Arial" w:cs="Arial"/>
          <w:sz w:val="24"/>
          <w:szCs w:val="24"/>
        </w:rPr>
        <w:t xml:space="preserve"> introduce</w:t>
      </w:r>
      <w:r w:rsidRPr="00B6506E">
        <w:rPr>
          <w:rFonts w:ascii="Arial" w:hAnsi="Arial" w:cs="Arial"/>
          <w:sz w:val="24"/>
          <w:szCs w:val="24"/>
        </w:rPr>
        <w:t xml:space="preserve"> statutory probation periods.  </w:t>
      </w:r>
      <w:r w:rsidR="00823972" w:rsidRPr="00B6506E">
        <w:rPr>
          <w:rFonts w:ascii="Arial" w:hAnsi="Arial" w:cs="Arial"/>
          <w:sz w:val="24"/>
          <w:szCs w:val="24"/>
        </w:rPr>
        <w:t>These changes will require NPTCBC to review and update HR policies and procedures, upskill managers and strengthen performance management processes.  By doing so, it would ensure the Council are complying with the requirements and mitigate the risk of increased tribunal claims which could be costly to the organisation.</w:t>
      </w:r>
    </w:p>
    <w:p w14:paraId="21FCF346" w14:textId="77777777" w:rsidR="00823972" w:rsidRDefault="00823972" w:rsidP="00B6506E">
      <w:pPr>
        <w:spacing w:after="0"/>
        <w:jc w:val="both"/>
        <w:rPr>
          <w:rFonts w:ascii="Arial" w:hAnsi="Arial" w:cs="Arial"/>
          <w:sz w:val="24"/>
          <w:szCs w:val="24"/>
        </w:rPr>
      </w:pPr>
    </w:p>
    <w:p w14:paraId="051CB35B" w14:textId="6C46356E" w:rsidR="00B6506E" w:rsidRDefault="00823972" w:rsidP="00B6506E">
      <w:pPr>
        <w:spacing w:after="0"/>
        <w:jc w:val="both"/>
        <w:rPr>
          <w:rFonts w:ascii="Arial" w:hAnsi="Arial" w:cs="Arial"/>
          <w:sz w:val="24"/>
          <w:szCs w:val="24"/>
        </w:rPr>
      </w:pPr>
      <w:r w:rsidRPr="00B6506E">
        <w:rPr>
          <w:rFonts w:ascii="Arial" w:hAnsi="Arial" w:cs="Arial"/>
          <w:b/>
          <w:bCs/>
          <w:sz w:val="24"/>
          <w:szCs w:val="24"/>
        </w:rPr>
        <w:t>Economic</w:t>
      </w:r>
      <w:r w:rsidRPr="00B6506E">
        <w:rPr>
          <w:rFonts w:ascii="Arial" w:hAnsi="Arial" w:cs="Arial"/>
          <w:sz w:val="24"/>
          <w:szCs w:val="24"/>
        </w:rPr>
        <w:t xml:space="preserve">: </w:t>
      </w:r>
      <w:r w:rsidR="00D91068" w:rsidRPr="00B6506E">
        <w:rPr>
          <w:rFonts w:ascii="Arial" w:hAnsi="Arial" w:cs="Arial"/>
          <w:sz w:val="24"/>
          <w:szCs w:val="24"/>
        </w:rPr>
        <w:t>T</w:t>
      </w:r>
      <w:r w:rsidR="00810DA4" w:rsidRPr="00B6506E">
        <w:rPr>
          <w:rFonts w:ascii="Arial" w:hAnsi="Arial" w:cs="Arial"/>
          <w:sz w:val="24"/>
          <w:szCs w:val="24"/>
        </w:rPr>
        <w:t>he proposed National Minimum Wage (NMW) increase and ongoing constraints on government funding</w:t>
      </w:r>
      <w:r w:rsidR="00D91068" w:rsidRPr="00B6506E">
        <w:rPr>
          <w:rFonts w:ascii="Arial" w:hAnsi="Arial" w:cs="Arial"/>
          <w:sz w:val="24"/>
          <w:szCs w:val="24"/>
        </w:rPr>
        <w:t xml:space="preserve"> would increase the funding gap for next year which is in the order of £20m.  NPTCBC are already facing times of austerity and</w:t>
      </w:r>
      <w:r w:rsidR="00B6506E">
        <w:rPr>
          <w:rFonts w:ascii="Arial" w:hAnsi="Arial" w:cs="Arial"/>
          <w:sz w:val="24"/>
          <w:szCs w:val="24"/>
        </w:rPr>
        <w:t xml:space="preserve"> must take a strategic approach in considering cost saving measures to manage the impact</w:t>
      </w:r>
      <w:r w:rsidR="00C75600">
        <w:rPr>
          <w:rFonts w:ascii="Arial" w:hAnsi="Arial" w:cs="Arial"/>
          <w:sz w:val="24"/>
          <w:szCs w:val="24"/>
        </w:rPr>
        <w:t>,</w:t>
      </w:r>
      <w:r w:rsidR="00B6506E">
        <w:rPr>
          <w:rFonts w:ascii="Arial" w:hAnsi="Arial" w:cs="Arial"/>
          <w:sz w:val="24"/>
          <w:szCs w:val="24"/>
        </w:rPr>
        <w:t xml:space="preserve"> particularly in relation to lower paid roles and ensuring longer term sustainability regarding the future workforce and service delivery.</w:t>
      </w:r>
    </w:p>
    <w:p w14:paraId="7A7BD02B" w14:textId="39196421" w:rsidR="00B6506E" w:rsidRDefault="00B6506E" w:rsidP="00B6506E">
      <w:pPr>
        <w:spacing w:after="0"/>
        <w:jc w:val="both"/>
        <w:rPr>
          <w:rFonts w:ascii="Arial" w:hAnsi="Arial" w:cs="Arial"/>
          <w:sz w:val="24"/>
          <w:szCs w:val="24"/>
        </w:rPr>
      </w:pPr>
    </w:p>
    <w:p w14:paraId="667C277A" w14:textId="3BFA0DAA" w:rsidR="005E4DAD" w:rsidRPr="0043399C" w:rsidRDefault="005E4DAD" w:rsidP="00B6506E">
      <w:pPr>
        <w:spacing w:after="0"/>
        <w:jc w:val="both"/>
        <w:rPr>
          <w:rFonts w:ascii="Arial" w:hAnsi="Arial" w:cs="Arial"/>
          <w:b/>
          <w:bCs/>
          <w:color w:val="000000" w:themeColor="text1"/>
          <w:sz w:val="24"/>
          <w:szCs w:val="24"/>
        </w:rPr>
      </w:pPr>
      <w:r w:rsidRPr="0043399C">
        <w:rPr>
          <w:rFonts w:ascii="Arial" w:hAnsi="Arial" w:cs="Arial"/>
          <w:b/>
          <w:bCs/>
          <w:color w:val="000000" w:themeColor="text1"/>
          <w:sz w:val="24"/>
          <w:szCs w:val="24"/>
        </w:rPr>
        <w:t xml:space="preserve">Political: </w:t>
      </w:r>
    </w:p>
    <w:p w14:paraId="05C3FCD2" w14:textId="7060E709" w:rsidR="0043399C" w:rsidRDefault="0043399C" w:rsidP="00B6506E">
      <w:pPr>
        <w:spacing w:after="0"/>
        <w:jc w:val="both"/>
        <w:rPr>
          <w:rFonts w:ascii="Arial" w:hAnsi="Arial" w:cs="Arial"/>
          <w:color w:val="000000" w:themeColor="text1"/>
          <w:sz w:val="24"/>
          <w:szCs w:val="24"/>
        </w:rPr>
      </w:pPr>
      <w:r>
        <w:rPr>
          <w:rFonts w:ascii="Arial" w:hAnsi="Arial" w:cs="Arial"/>
          <w:sz w:val="24"/>
          <w:szCs w:val="24"/>
        </w:rPr>
        <w:t xml:space="preserve">The Make Work Pay Plan initiative is </w:t>
      </w:r>
      <w:r>
        <w:rPr>
          <w:rFonts w:ascii="Arial" w:hAnsi="Arial" w:cs="Arial"/>
          <w:color w:val="000000" w:themeColor="text1"/>
          <w:sz w:val="24"/>
          <w:szCs w:val="24"/>
        </w:rPr>
        <w:t>seeking a repeal of the Trade Union Act 2016 with the aim of strengthening Trade Union rights, tackling low pay and ensuring fairness and equality within the workplace.</w:t>
      </w:r>
    </w:p>
    <w:p w14:paraId="2C042E7C" w14:textId="77777777" w:rsidR="0043399C" w:rsidRDefault="0043399C" w:rsidP="00B6506E">
      <w:pPr>
        <w:spacing w:after="0"/>
        <w:jc w:val="both"/>
        <w:rPr>
          <w:rFonts w:ascii="Arial" w:hAnsi="Arial" w:cs="Arial"/>
          <w:color w:val="000000" w:themeColor="text1"/>
          <w:sz w:val="24"/>
          <w:szCs w:val="24"/>
        </w:rPr>
      </w:pPr>
    </w:p>
    <w:p w14:paraId="7D9FB60F" w14:textId="2A876732" w:rsidR="00F1592C" w:rsidRDefault="0043399C" w:rsidP="00B6506E">
      <w:pPr>
        <w:spacing w:after="0"/>
        <w:jc w:val="both"/>
        <w:rPr>
          <w:rFonts w:ascii="Arial" w:hAnsi="Arial" w:cs="Arial"/>
          <w:color w:val="000000" w:themeColor="text1"/>
          <w:sz w:val="24"/>
          <w:szCs w:val="24"/>
        </w:rPr>
      </w:pPr>
      <w:r>
        <w:rPr>
          <w:rFonts w:ascii="Arial" w:hAnsi="Arial" w:cs="Arial"/>
          <w:color w:val="000000" w:themeColor="text1"/>
          <w:sz w:val="24"/>
          <w:szCs w:val="24"/>
        </w:rPr>
        <w:t>NPTCBC are committed to working in social partnership with Trade Unions</w:t>
      </w:r>
      <w:r w:rsidR="003347E7">
        <w:rPr>
          <w:rFonts w:ascii="Arial" w:hAnsi="Arial" w:cs="Arial"/>
          <w:color w:val="000000" w:themeColor="text1"/>
          <w:sz w:val="24"/>
          <w:szCs w:val="24"/>
        </w:rPr>
        <w:t xml:space="preserve"> and have been recognised by Welsh Government as best practice for their approach.  </w:t>
      </w:r>
      <w:r w:rsidR="00F1592C">
        <w:rPr>
          <w:rFonts w:ascii="Arial" w:hAnsi="Arial" w:cs="Arial"/>
          <w:color w:val="000000" w:themeColor="text1"/>
          <w:sz w:val="24"/>
          <w:szCs w:val="24"/>
        </w:rPr>
        <w:t xml:space="preserve">However, the </w:t>
      </w:r>
      <w:r w:rsidR="003347E7">
        <w:rPr>
          <w:rFonts w:ascii="Arial" w:hAnsi="Arial" w:cs="Arial"/>
          <w:color w:val="000000" w:themeColor="text1"/>
          <w:sz w:val="24"/>
          <w:szCs w:val="24"/>
        </w:rPr>
        <w:t xml:space="preserve">proposals could </w:t>
      </w:r>
      <w:r w:rsidR="00F1592C">
        <w:rPr>
          <w:rFonts w:ascii="Arial" w:hAnsi="Arial" w:cs="Arial"/>
          <w:color w:val="000000" w:themeColor="text1"/>
          <w:sz w:val="24"/>
          <w:szCs w:val="24"/>
        </w:rPr>
        <w:t>change the dynamics</w:t>
      </w:r>
      <w:r w:rsidR="003347E7">
        <w:rPr>
          <w:rFonts w:ascii="Arial" w:hAnsi="Arial" w:cs="Arial"/>
          <w:color w:val="000000" w:themeColor="text1"/>
          <w:sz w:val="24"/>
          <w:szCs w:val="24"/>
        </w:rPr>
        <w:t xml:space="preserve"> of the relationship, impacting the </w:t>
      </w:r>
      <w:r w:rsidR="00F1592C">
        <w:rPr>
          <w:rFonts w:ascii="Arial" w:hAnsi="Arial" w:cs="Arial"/>
          <w:color w:val="000000" w:themeColor="text1"/>
          <w:sz w:val="24"/>
          <w:szCs w:val="24"/>
        </w:rPr>
        <w:t>future HR and Organisational Strategy.</w:t>
      </w:r>
    </w:p>
    <w:p w14:paraId="1AECED74" w14:textId="77777777" w:rsidR="00F1592C" w:rsidRDefault="00F1592C" w:rsidP="00B6506E">
      <w:pPr>
        <w:spacing w:after="0"/>
        <w:jc w:val="both"/>
        <w:rPr>
          <w:rFonts w:ascii="Arial" w:hAnsi="Arial" w:cs="Arial"/>
          <w:color w:val="000000" w:themeColor="text1"/>
          <w:sz w:val="24"/>
          <w:szCs w:val="24"/>
        </w:rPr>
      </w:pPr>
    </w:p>
    <w:p w14:paraId="15386A56" w14:textId="6894F89F" w:rsidR="00F1592C" w:rsidRDefault="00F1592C" w:rsidP="00B6506E">
      <w:pPr>
        <w:spacing w:after="0"/>
        <w:jc w:val="both"/>
        <w:rPr>
          <w:rFonts w:ascii="Arial" w:hAnsi="Arial" w:cs="Arial"/>
          <w:color w:val="000000" w:themeColor="text1"/>
          <w:sz w:val="24"/>
          <w:szCs w:val="24"/>
        </w:rPr>
      </w:pPr>
      <w:r>
        <w:rPr>
          <w:rFonts w:ascii="Arial" w:hAnsi="Arial" w:cs="Arial"/>
          <w:color w:val="000000" w:themeColor="text1"/>
          <w:sz w:val="24"/>
          <w:szCs w:val="24"/>
        </w:rPr>
        <w:t>On consideration of the above findings, it is recommended for NPTCBC to focus on ensuring the HR and Legal Teams keep abreast of the legislative changes, updating policies and procedures as necessary and provide bespoke training to managers.</w:t>
      </w:r>
    </w:p>
    <w:p w14:paraId="0CBCEDE2" w14:textId="77777777" w:rsidR="00F1592C" w:rsidRDefault="00F1592C" w:rsidP="00B6506E">
      <w:pPr>
        <w:spacing w:after="0"/>
        <w:jc w:val="both"/>
        <w:rPr>
          <w:rFonts w:ascii="Arial" w:hAnsi="Arial" w:cs="Arial"/>
          <w:color w:val="000000" w:themeColor="text1"/>
          <w:sz w:val="24"/>
          <w:szCs w:val="24"/>
        </w:rPr>
      </w:pPr>
    </w:p>
    <w:p w14:paraId="33C0177B" w14:textId="762B02D7" w:rsidR="00F1592C" w:rsidRDefault="00F1592C" w:rsidP="00B6506E">
      <w:pPr>
        <w:spacing w:after="0"/>
        <w:jc w:val="both"/>
        <w:rPr>
          <w:rFonts w:ascii="Arial" w:hAnsi="Arial" w:cs="Arial"/>
          <w:color w:val="000000" w:themeColor="text1"/>
          <w:sz w:val="24"/>
          <w:szCs w:val="24"/>
        </w:rPr>
      </w:pPr>
      <w:r>
        <w:rPr>
          <w:rFonts w:ascii="Arial" w:hAnsi="Arial" w:cs="Arial"/>
          <w:color w:val="000000" w:themeColor="text1"/>
          <w:sz w:val="24"/>
          <w:szCs w:val="24"/>
        </w:rPr>
        <w:t>Establishing a strategic working group, working with relevant stakeholders to evaluate both the financial and operational impact on wage increases and conduct integrated impact assessments</w:t>
      </w:r>
      <w:r w:rsidR="00B6506E">
        <w:rPr>
          <w:rFonts w:ascii="Arial" w:hAnsi="Arial" w:cs="Arial"/>
          <w:color w:val="000000" w:themeColor="text1"/>
          <w:sz w:val="24"/>
          <w:szCs w:val="24"/>
        </w:rPr>
        <w:t>.</w:t>
      </w:r>
    </w:p>
    <w:p w14:paraId="3049A816" w14:textId="77777777" w:rsidR="00F1592C" w:rsidRDefault="00F1592C" w:rsidP="00B6506E">
      <w:pPr>
        <w:spacing w:after="0"/>
        <w:jc w:val="both"/>
        <w:rPr>
          <w:rFonts w:ascii="Arial" w:hAnsi="Arial" w:cs="Arial"/>
          <w:color w:val="000000" w:themeColor="text1"/>
          <w:sz w:val="24"/>
          <w:szCs w:val="24"/>
        </w:rPr>
      </w:pPr>
    </w:p>
    <w:p w14:paraId="74462583" w14:textId="1A52BA8A" w:rsidR="00F1592C" w:rsidRDefault="00C75600" w:rsidP="00B6506E">
      <w:pPr>
        <w:spacing w:after="0"/>
        <w:jc w:val="both"/>
        <w:rPr>
          <w:rFonts w:ascii="Arial" w:hAnsi="Arial" w:cs="Arial"/>
          <w:color w:val="000000" w:themeColor="text1"/>
          <w:sz w:val="24"/>
          <w:szCs w:val="24"/>
        </w:rPr>
      </w:pPr>
      <w:r>
        <w:rPr>
          <w:rFonts w:ascii="Arial" w:hAnsi="Arial" w:cs="Arial"/>
          <w:color w:val="000000" w:themeColor="text1"/>
          <w:sz w:val="24"/>
          <w:szCs w:val="24"/>
        </w:rPr>
        <w:lastRenderedPageBreak/>
        <w:t>E</w:t>
      </w:r>
      <w:r w:rsidR="00266F31">
        <w:rPr>
          <w:rFonts w:ascii="Arial" w:hAnsi="Arial" w:cs="Arial"/>
          <w:color w:val="000000" w:themeColor="text1"/>
          <w:sz w:val="24"/>
          <w:szCs w:val="24"/>
        </w:rPr>
        <w:t>nhanc</w:t>
      </w:r>
      <w:r>
        <w:rPr>
          <w:rFonts w:ascii="Arial" w:hAnsi="Arial" w:cs="Arial"/>
          <w:color w:val="000000" w:themeColor="text1"/>
          <w:sz w:val="24"/>
          <w:szCs w:val="24"/>
        </w:rPr>
        <w:t xml:space="preserve">ing </w:t>
      </w:r>
      <w:r w:rsidR="00266F31">
        <w:rPr>
          <w:rFonts w:ascii="Arial" w:hAnsi="Arial" w:cs="Arial"/>
          <w:color w:val="000000" w:themeColor="text1"/>
          <w:sz w:val="24"/>
          <w:szCs w:val="24"/>
        </w:rPr>
        <w:t xml:space="preserve">communication and engagement strategies </w:t>
      </w:r>
      <w:r>
        <w:rPr>
          <w:rFonts w:ascii="Arial" w:hAnsi="Arial" w:cs="Arial"/>
          <w:color w:val="000000" w:themeColor="text1"/>
          <w:sz w:val="24"/>
          <w:szCs w:val="24"/>
        </w:rPr>
        <w:t xml:space="preserve">to support </w:t>
      </w:r>
      <w:r w:rsidR="00266F31">
        <w:rPr>
          <w:rFonts w:ascii="Arial" w:hAnsi="Arial" w:cs="Arial"/>
          <w:color w:val="000000" w:themeColor="text1"/>
          <w:sz w:val="24"/>
          <w:szCs w:val="24"/>
        </w:rPr>
        <w:t>the benefits of trade union membership, strengthening employee voice and promoting NPTCBC’s collaborative approach to attract and retain staff.</w:t>
      </w:r>
    </w:p>
    <w:p w14:paraId="34B04E11" w14:textId="77777777" w:rsidR="00B6506E" w:rsidRDefault="00B6506E" w:rsidP="00B6506E">
      <w:pPr>
        <w:spacing w:after="0"/>
        <w:jc w:val="both"/>
        <w:rPr>
          <w:rFonts w:ascii="Arial" w:hAnsi="Arial" w:cs="Arial"/>
          <w:color w:val="000000" w:themeColor="text1"/>
          <w:sz w:val="24"/>
          <w:szCs w:val="24"/>
        </w:rPr>
      </w:pPr>
    </w:p>
    <w:p w14:paraId="7425A79A" w14:textId="728E0FB3" w:rsidR="00B6506E" w:rsidRDefault="00B6506E" w:rsidP="00B6506E">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The regular use of PESTLE will support NPTCBC in having a proactive approach in anticipating risks and identifying opportunities which will be essential for the Council’s </w:t>
      </w:r>
      <w:r w:rsidR="00C75600">
        <w:rPr>
          <w:rFonts w:ascii="Arial" w:hAnsi="Arial" w:cs="Arial"/>
          <w:color w:val="000000" w:themeColor="text1"/>
          <w:sz w:val="24"/>
          <w:szCs w:val="24"/>
        </w:rPr>
        <w:t>long-term</w:t>
      </w:r>
      <w:r>
        <w:rPr>
          <w:rFonts w:ascii="Arial" w:hAnsi="Arial" w:cs="Arial"/>
          <w:color w:val="000000" w:themeColor="text1"/>
          <w:sz w:val="24"/>
          <w:szCs w:val="24"/>
        </w:rPr>
        <w:t xml:space="preserve"> sustainability and maintaining community expectations.</w:t>
      </w:r>
    </w:p>
    <w:p w14:paraId="596A7270" w14:textId="77777777" w:rsidR="00266F31" w:rsidRDefault="00266F31" w:rsidP="00B6506E">
      <w:pPr>
        <w:spacing w:after="0"/>
        <w:jc w:val="both"/>
        <w:rPr>
          <w:rFonts w:ascii="Arial" w:hAnsi="Arial" w:cs="Arial"/>
          <w:color w:val="000000" w:themeColor="text1"/>
          <w:sz w:val="24"/>
          <w:szCs w:val="24"/>
        </w:rPr>
      </w:pPr>
    </w:p>
    <w:p w14:paraId="3D729A6F" w14:textId="77777777" w:rsidR="00C01AF7" w:rsidRDefault="00C01AF7" w:rsidP="0057143B">
      <w:pPr>
        <w:spacing w:after="0"/>
        <w:rPr>
          <w:rFonts w:ascii="Arial" w:hAnsi="Arial" w:cs="Arial"/>
          <w:sz w:val="24"/>
          <w:szCs w:val="24"/>
        </w:rPr>
      </w:pPr>
    </w:p>
    <w:p w14:paraId="591614CB" w14:textId="77777777" w:rsidR="001F3959" w:rsidRDefault="001F3959" w:rsidP="0057143B">
      <w:pPr>
        <w:spacing w:after="0"/>
        <w:rPr>
          <w:rFonts w:ascii="Arial" w:hAnsi="Arial" w:cs="Arial"/>
          <w:sz w:val="24"/>
          <w:szCs w:val="24"/>
        </w:rPr>
      </w:pPr>
    </w:p>
    <w:p w14:paraId="14636C70" w14:textId="77777777" w:rsidR="001F3959" w:rsidRDefault="001F3959" w:rsidP="0057143B">
      <w:pPr>
        <w:spacing w:after="0"/>
        <w:rPr>
          <w:rFonts w:ascii="Arial" w:hAnsi="Arial" w:cs="Arial"/>
          <w:sz w:val="24"/>
          <w:szCs w:val="24"/>
        </w:rPr>
      </w:pPr>
    </w:p>
    <w:p w14:paraId="149E78C7" w14:textId="77777777" w:rsidR="005F6BBD" w:rsidRDefault="005F6BBD">
      <w:pPr>
        <w:rPr>
          <w:rFonts w:ascii="Arial" w:hAnsi="Arial" w:cs="Arial"/>
          <w:sz w:val="24"/>
          <w:szCs w:val="24"/>
        </w:rPr>
      </w:pPr>
      <w:r>
        <w:rPr>
          <w:rFonts w:ascii="Arial" w:hAnsi="Arial" w:cs="Arial"/>
          <w:sz w:val="24"/>
          <w:szCs w:val="24"/>
        </w:rPr>
        <w:br w:type="page"/>
      </w:r>
    </w:p>
    <w:p w14:paraId="5A3D4426" w14:textId="30FE8FE1" w:rsidR="0057143B" w:rsidRPr="005F6BBD" w:rsidRDefault="005F6BBD" w:rsidP="0057143B">
      <w:pPr>
        <w:spacing w:after="0"/>
        <w:rPr>
          <w:rFonts w:ascii="Arial" w:hAnsi="Arial" w:cs="Arial"/>
          <w:b/>
          <w:bCs/>
          <w:sz w:val="24"/>
          <w:szCs w:val="24"/>
        </w:rPr>
      </w:pPr>
      <w:r w:rsidRPr="005F6BBD">
        <w:rPr>
          <w:rFonts w:ascii="Arial" w:hAnsi="Arial" w:cs="Arial"/>
          <w:b/>
          <w:bCs/>
          <w:sz w:val="24"/>
          <w:szCs w:val="24"/>
        </w:rPr>
        <w:lastRenderedPageBreak/>
        <w:t>Table of contents</w:t>
      </w:r>
    </w:p>
    <w:p w14:paraId="467B375C" w14:textId="77777777" w:rsidR="005F6BBD" w:rsidRDefault="005F6BBD" w:rsidP="0057143B">
      <w:pPr>
        <w:spacing w:after="0"/>
        <w:rPr>
          <w:rFonts w:ascii="Arial" w:hAnsi="Arial" w:cs="Arial"/>
          <w:sz w:val="24"/>
          <w:szCs w:val="24"/>
        </w:rPr>
      </w:pP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4"/>
        <w:gridCol w:w="7234"/>
        <w:gridCol w:w="1083"/>
      </w:tblGrid>
      <w:tr w:rsidR="005F6BBD" w14:paraId="781D3525" w14:textId="77777777" w:rsidTr="00741A49">
        <w:tc>
          <w:tcPr>
            <w:tcW w:w="7938"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BF4256" w14:textId="77777777" w:rsidR="005F6BBD" w:rsidRDefault="005F6BBD" w:rsidP="00C972CA">
            <w:pPr>
              <w:spacing w:before="120" w:after="120"/>
              <w:rPr>
                <w:rFonts w:ascii="Arial" w:hAnsi="Arial" w:cs="Arial"/>
                <w:sz w:val="24"/>
                <w:szCs w:val="24"/>
              </w:rPr>
            </w:pPr>
          </w:p>
        </w:tc>
        <w:tc>
          <w:tcPr>
            <w:tcW w:w="1083" w:type="dxa"/>
            <w:tcBorders>
              <w:top w:val="single" w:sz="4" w:space="0" w:color="auto"/>
              <w:left w:val="single" w:sz="4" w:space="0" w:color="auto"/>
              <w:bottom w:val="single" w:sz="4" w:space="0" w:color="auto"/>
              <w:right w:val="single" w:sz="4" w:space="0" w:color="auto"/>
            </w:tcBorders>
          </w:tcPr>
          <w:p w14:paraId="6B60B56E" w14:textId="77777777" w:rsidR="005F6BBD" w:rsidRDefault="005F6BBD" w:rsidP="00C972CA">
            <w:pPr>
              <w:spacing w:before="120" w:after="120"/>
              <w:rPr>
                <w:rFonts w:ascii="Arial" w:hAnsi="Arial" w:cs="Arial"/>
                <w:sz w:val="24"/>
                <w:szCs w:val="24"/>
              </w:rPr>
            </w:pPr>
            <w:r>
              <w:rPr>
                <w:rFonts w:ascii="Arial" w:hAnsi="Arial" w:cs="Arial"/>
                <w:sz w:val="24"/>
                <w:szCs w:val="24"/>
              </w:rPr>
              <w:t>Page</w:t>
            </w:r>
          </w:p>
        </w:tc>
      </w:tr>
      <w:tr w:rsidR="00B87082" w14:paraId="066FFCFC" w14:textId="77777777" w:rsidTr="00741A49">
        <w:tc>
          <w:tcPr>
            <w:tcW w:w="704" w:type="dxa"/>
            <w:tcBorders>
              <w:top w:val="single" w:sz="4" w:space="0" w:color="auto"/>
              <w:left w:val="single" w:sz="4" w:space="0" w:color="auto"/>
              <w:bottom w:val="single" w:sz="4" w:space="0" w:color="auto"/>
              <w:right w:val="single" w:sz="4" w:space="0" w:color="auto"/>
            </w:tcBorders>
          </w:tcPr>
          <w:p w14:paraId="102498A6" w14:textId="77777777" w:rsidR="00B87082" w:rsidRDefault="00B87082" w:rsidP="00C972CA">
            <w:pPr>
              <w:spacing w:before="120" w:after="120"/>
              <w:rPr>
                <w:rFonts w:ascii="Arial" w:hAnsi="Arial" w:cs="Arial"/>
                <w:sz w:val="24"/>
                <w:szCs w:val="24"/>
              </w:rPr>
            </w:pPr>
          </w:p>
        </w:tc>
        <w:tc>
          <w:tcPr>
            <w:tcW w:w="7234" w:type="dxa"/>
            <w:tcBorders>
              <w:top w:val="single" w:sz="4" w:space="0" w:color="auto"/>
              <w:left w:val="single" w:sz="4" w:space="0" w:color="auto"/>
              <w:bottom w:val="single" w:sz="4" w:space="0" w:color="auto"/>
              <w:right w:val="single" w:sz="4" w:space="0" w:color="auto"/>
            </w:tcBorders>
          </w:tcPr>
          <w:p w14:paraId="6700E1A8" w14:textId="0805A32D" w:rsidR="00B87082" w:rsidRDefault="00B87082" w:rsidP="00C972CA">
            <w:pPr>
              <w:spacing w:before="120" w:after="120"/>
              <w:rPr>
                <w:rFonts w:ascii="Arial" w:hAnsi="Arial" w:cs="Arial"/>
                <w:sz w:val="24"/>
                <w:szCs w:val="24"/>
              </w:rPr>
            </w:pPr>
            <w:r>
              <w:rPr>
                <w:rFonts w:ascii="Arial" w:hAnsi="Arial" w:cs="Arial"/>
                <w:sz w:val="24"/>
                <w:szCs w:val="24"/>
              </w:rPr>
              <w:t>Table of Figures</w:t>
            </w:r>
          </w:p>
        </w:tc>
        <w:tc>
          <w:tcPr>
            <w:tcW w:w="1083" w:type="dxa"/>
            <w:tcBorders>
              <w:top w:val="single" w:sz="4" w:space="0" w:color="auto"/>
              <w:left w:val="single" w:sz="4" w:space="0" w:color="auto"/>
              <w:bottom w:val="single" w:sz="4" w:space="0" w:color="auto"/>
              <w:right w:val="single" w:sz="4" w:space="0" w:color="auto"/>
            </w:tcBorders>
          </w:tcPr>
          <w:p w14:paraId="27DDE391" w14:textId="5B51A946" w:rsidR="00B87082" w:rsidRDefault="00B87082" w:rsidP="00C972CA">
            <w:pPr>
              <w:spacing w:before="120" w:after="120"/>
              <w:rPr>
                <w:rFonts w:ascii="Arial" w:hAnsi="Arial" w:cs="Arial"/>
                <w:sz w:val="24"/>
                <w:szCs w:val="24"/>
              </w:rPr>
            </w:pPr>
            <w:r>
              <w:rPr>
                <w:rFonts w:ascii="Arial" w:hAnsi="Arial" w:cs="Arial"/>
                <w:sz w:val="24"/>
                <w:szCs w:val="24"/>
              </w:rPr>
              <w:t>5</w:t>
            </w:r>
          </w:p>
        </w:tc>
      </w:tr>
      <w:tr w:rsidR="005F6BBD" w14:paraId="471B8965" w14:textId="77777777" w:rsidTr="00741A49">
        <w:tc>
          <w:tcPr>
            <w:tcW w:w="704" w:type="dxa"/>
            <w:tcBorders>
              <w:top w:val="single" w:sz="4" w:space="0" w:color="auto"/>
              <w:left w:val="single" w:sz="4" w:space="0" w:color="auto"/>
              <w:bottom w:val="single" w:sz="4" w:space="0" w:color="auto"/>
              <w:right w:val="single" w:sz="4" w:space="0" w:color="auto"/>
            </w:tcBorders>
          </w:tcPr>
          <w:p w14:paraId="138CB3C5" w14:textId="77777777" w:rsidR="005F6BBD" w:rsidRDefault="005F6BBD" w:rsidP="00C972CA">
            <w:pPr>
              <w:spacing w:before="120" w:after="120"/>
              <w:rPr>
                <w:rFonts w:ascii="Arial" w:hAnsi="Arial" w:cs="Arial"/>
                <w:sz w:val="24"/>
                <w:szCs w:val="24"/>
              </w:rPr>
            </w:pPr>
            <w:r>
              <w:rPr>
                <w:rFonts w:ascii="Arial" w:hAnsi="Arial" w:cs="Arial"/>
                <w:sz w:val="24"/>
                <w:szCs w:val="24"/>
              </w:rPr>
              <w:t>1.</w:t>
            </w:r>
          </w:p>
        </w:tc>
        <w:tc>
          <w:tcPr>
            <w:tcW w:w="7234" w:type="dxa"/>
            <w:tcBorders>
              <w:top w:val="single" w:sz="4" w:space="0" w:color="auto"/>
              <w:left w:val="single" w:sz="4" w:space="0" w:color="auto"/>
              <w:bottom w:val="single" w:sz="4" w:space="0" w:color="auto"/>
              <w:right w:val="single" w:sz="4" w:space="0" w:color="auto"/>
            </w:tcBorders>
          </w:tcPr>
          <w:p w14:paraId="17D952A1" w14:textId="77777777" w:rsidR="005F6BBD" w:rsidRDefault="005F6BBD" w:rsidP="00C972CA">
            <w:pPr>
              <w:spacing w:before="120" w:after="120"/>
              <w:rPr>
                <w:rFonts w:ascii="Arial" w:hAnsi="Arial" w:cs="Arial"/>
                <w:sz w:val="24"/>
                <w:szCs w:val="24"/>
              </w:rPr>
            </w:pPr>
            <w:r>
              <w:rPr>
                <w:rFonts w:ascii="Arial" w:hAnsi="Arial" w:cs="Arial"/>
                <w:sz w:val="24"/>
                <w:szCs w:val="24"/>
              </w:rPr>
              <w:t>Introduction</w:t>
            </w:r>
          </w:p>
        </w:tc>
        <w:tc>
          <w:tcPr>
            <w:tcW w:w="1083" w:type="dxa"/>
            <w:tcBorders>
              <w:top w:val="single" w:sz="4" w:space="0" w:color="auto"/>
              <w:left w:val="single" w:sz="4" w:space="0" w:color="auto"/>
              <w:bottom w:val="single" w:sz="4" w:space="0" w:color="auto"/>
              <w:right w:val="single" w:sz="4" w:space="0" w:color="auto"/>
            </w:tcBorders>
          </w:tcPr>
          <w:p w14:paraId="07439799" w14:textId="1634613E" w:rsidR="005F6BBD" w:rsidRDefault="00B87082" w:rsidP="00C972CA">
            <w:pPr>
              <w:spacing w:before="120" w:after="120"/>
              <w:rPr>
                <w:rFonts w:ascii="Arial" w:hAnsi="Arial" w:cs="Arial"/>
                <w:sz w:val="24"/>
                <w:szCs w:val="24"/>
              </w:rPr>
            </w:pPr>
            <w:r>
              <w:rPr>
                <w:rFonts w:ascii="Arial" w:hAnsi="Arial" w:cs="Arial"/>
                <w:sz w:val="24"/>
                <w:szCs w:val="24"/>
              </w:rPr>
              <w:t>6 – 7</w:t>
            </w:r>
          </w:p>
        </w:tc>
      </w:tr>
      <w:tr w:rsidR="00AB16E0" w14:paraId="142CF921" w14:textId="77777777" w:rsidTr="00741A49">
        <w:tc>
          <w:tcPr>
            <w:tcW w:w="704" w:type="dxa"/>
            <w:tcBorders>
              <w:top w:val="single" w:sz="4" w:space="0" w:color="auto"/>
              <w:left w:val="single" w:sz="4" w:space="0" w:color="auto"/>
              <w:bottom w:val="single" w:sz="4" w:space="0" w:color="auto"/>
              <w:right w:val="single" w:sz="4" w:space="0" w:color="auto"/>
            </w:tcBorders>
          </w:tcPr>
          <w:p w14:paraId="4362447B" w14:textId="19841E31" w:rsidR="00AB16E0" w:rsidRDefault="00741A49" w:rsidP="00C972CA">
            <w:pPr>
              <w:spacing w:before="120" w:after="120"/>
              <w:rPr>
                <w:rFonts w:ascii="Arial" w:hAnsi="Arial" w:cs="Arial"/>
                <w:sz w:val="24"/>
                <w:szCs w:val="24"/>
              </w:rPr>
            </w:pPr>
            <w:r>
              <w:rPr>
                <w:rFonts w:ascii="Arial" w:hAnsi="Arial" w:cs="Arial"/>
                <w:sz w:val="24"/>
                <w:szCs w:val="24"/>
              </w:rPr>
              <w:t>2.</w:t>
            </w:r>
          </w:p>
        </w:tc>
        <w:tc>
          <w:tcPr>
            <w:tcW w:w="7234" w:type="dxa"/>
            <w:tcBorders>
              <w:top w:val="single" w:sz="4" w:space="0" w:color="auto"/>
              <w:left w:val="single" w:sz="4" w:space="0" w:color="auto"/>
              <w:bottom w:val="single" w:sz="4" w:space="0" w:color="auto"/>
              <w:right w:val="single" w:sz="4" w:space="0" w:color="auto"/>
            </w:tcBorders>
          </w:tcPr>
          <w:p w14:paraId="2BE9F4F5" w14:textId="6E06CBA2" w:rsidR="00AB16E0" w:rsidRDefault="00741A49" w:rsidP="00C972CA">
            <w:pPr>
              <w:spacing w:before="120" w:after="120"/>
              <w:rPr>
                <w:rFonts w:ascii="Arial" w:hAnsi="Arial" w:cs="Arial"/>
                <w:sz w:val="24"/>
                <w:szCs w:val="24"/>
              </w:rPr>
            </w:pPr>
            <w:r>
              <w:rPr>
                <w:rFonts w:ascii="Arial" w:hAnsi="Arial" w:cs="Arial"/>
                <w:sz w:val="24"/>
                <w:szCs w:val="24"/>
              </w:rPr>
              <w:t>Main Findings</w:t>
            </w:r>
          </w:p>
        </w:tc>
        <w:tc>
          <w:tcPr>
            <w:tcW w:w="1083" w:type="dxa"/>
            <w:tcBorders>
              <w:top w:val="single" w:sz="4" w:space="0" w:color="auto"/>
              <w:left w:val="single" w:sz="4" w:space="0" w:color="auto"/>
              <w:bottom w:val="single" w:sz="4" w:space="0" w:color="auto"/>
              <w:right w:val="single" w:sz="4" w:space="0" w:color="auto"/>
            </w:tcBorders>
          </w:tcPr>
          <w:p w14:paraId="49671F6A" w14:textId="3204E372" w:rsidR="00AB16E0" w:rsidRDefault="00B87082" w:rsidP="00C972CA">
            <w:pPr>
              <w:spacing w:before="120" w:after="120"/>
              <w:rPr>
                <w:rFonts w:ascii="Arial" w:hAnsi="Arial" w:cs="Arial"/>
                <w:sz w:val="24"/>
                <w:szCs w:val="24"/>
              </w:rPr>
            </w:pPr>
            <w:r>
              <w:rPr>
                <w:rFonts w:ascii="Arial" w:hAnsi="Arial" w:cs="Arial"/>
                <w:sz w:val="24"/>
                <w:szCs w:val="24"/>
              </w:rPr>
              <w:t>7</w:t>
            </w:r>
          </w:p>
        </w:tc>
      </w:tr>
      <w:tr w:rsidR="00AB16E0" w14:paraId="7BDB65F5" w14:textId="77777777" w:rsidTr="00741A49">
        <w:tc>
          <w:tcPr>
            <w:tcW w:w="704" w:type="dxa"/>
            <w:tcBorders>
              <w:top w:val="single" w:sz="4" w:space="0" w:color="auto"/>
              <w:left w:val="single" w:sz="4" w:space="0" w:color="auto"/>
              <w:bottom w:val="single" w:sz="4" w:space="0" w:color="auto"/>
              <w:right w:val="single" w:sz="4" w:space="0" w:color="auto"/>
            </w:tcBorders>
          </w:tcPr>
          <w:p w14:paraId="7D47C1BA" w14:textId="375B318C" w:rsidR="00AB16E0" w:rsidRDefault="00741A49" w:rsidP="00C972CA">
            <w:pPr>
              <w:spacing w:before="120" w:after="120"/>
              <w:rPr>
                <w:rFonts w:ascii="Arial" w:hAnsi="Arial" w:cs="Arial"/>
                <w:sz w:val="24"/>
                <w:szCs w:val="24"/>
              </w:rPr>
            </w:pPr>
            <w:r>
              <w:rPr>
                <w:rFonts w:ascii="Arial" w:hAnsi="Arial" w:cs="Arial"/>
                <w:sz w:val="24"/>
                <w:szCs w:val="24"/>
              </w:rPr>
              <w:t>2.1</w:t>
            </w:r>
          </w:p>
        </w:tc>
        <w:tc>
          <w:tcPr>
            <w:tcW w:w="7234" w:type="dxa"/>
            <w:tcBorders>
              <w:top w:val="single" w:sz="4" w:space="0" w:color="auto"/>
              <w:left w:val="single" w:sz="4" w:space="0" w:color="auto"/>
              <w:bottom w:val="single" w:sz="4" w:space="0" w:color="auto"/>
              <w:right w:val="single" w:sz="4" w:space="0" w:color="auto"/>
            </w:tcBorders>
          </w:tcPr>
          <w:p w14:paraId="44E0052A" w14:textId="445F4AD4" w:rsidR="00AB16E0" w:rsidRDefault="00741A49" w:rsidP="00C972CA">
            <w:pPr>
              <w:spacing w:before="120" w:after="120"/>
              <w:rPr>
                <w:rFonts w:ascii="Arial" w:hAnsi="Arial" w:cs="Arial"/>
                <w:sz w:val="24"/>
                <w:szCs w:val="24"/>
              </w:rPr>
            </w:pPr>
            <w:r>
              <w:rPr>
                <w:rFonts w:ascii="Arial" w:hAnsi="Arial" w:cs="Arial"/>
                <w:sz w:val="24"/>
                <w:szCs w:val="24"/>
              </w:rPr>
              <w:t>Legal Factor</w:t>
            </w:r>
          </w:p>
        </w:tc>
        <w:tc>
          <w:tcPr>
            <w:tcW w:w="1083" w:type="dxa"/>
            <w:tcBorders>
              <w:top w:val="single" w:sz="4" w:space="0" w:color="auto"/>
              <w:left w:val="single" w:sz="4" w:space="0" w:color="auto"/>
              <w:bottom w:val="single" w:sz="4" w:space="0" w:color="auto"/>
              <w:right w:val="single" w:sz="4" w:space="0" w:color="auto"/>
            </w:tcBorders>
          </w:tcPr>
          <w:p w14:paraId="6132FB31" w14:textId="24D8FF35" w:rsidR="00AB16E0" w:rsidRDefault="00B87082" w:rsidP="00C972CA">
            <w:pPr>
              <w:spacing w:before="120" w:after="120"/>
              <w:rPr>
                <w:rFonts w:ascii="Arial" w:hAnsi="Arial" w:cs="Arial"/>
                <w:sz w:val="24"/>
                <w:szCs w:val="24"/>
              </w:rPr>
            </w:pPr>
            <w:r>
              <w:rPr>
                <w:rFonts w:ascii="Arial" w:hAnsi="Arial" w:cs="Arial"/>
                <w:sz w:val="24"/>
                <w:szCs w:val="24"/>
              </w:rPr>
              <w:t>7 – 8</w:t>
            </w:r>
          </w:p>
        </w:tc>
      </w:tr>
      <w:tr w:rsidR="00AB16E0" w14:paraId="6580EF4E" w14:textId="77777777" w:rsidTr="00741A49">
        <w:tc>
          <w:tcPr>
            <w:tcW w:w="704" w:type="dxa"/>
            <w:tcBorders>
              <w:top w:val="single" w:sz="4" w:space="0" w:color="auto"/>
              <w:left w:val="single" w:sz="4" w:space="0" w:color="auto"/>
              <w:bottom w:val="single" w:sz="4" w:space="0" w:color="auto"/>
              <w:right w:val="single" w:sz="4" w:space="0" w:color="auto"/>
            </w:tcBorders>
          </w:tcPr>
          <w:p w14:paraId="0DB255AE" w14:textId="77AA09DA" w:rsidR="00AB16E0" w:rsidRDefault="00741A49" w:rsidP="00C972CA">
            <w:pPr>
              <w:spacing w:before="120" w:after="120"/>
              <w:rPr>
                <w:rFonts w:ascii="Arial" w:hAnsi="Arial" w:cs="Arial"/>
                <w:sz w:val="24"/>
                <w:szCs w:val="24"/>
              </w:rPr>
            </w:pPr>
            <w:r>
              <w:rPr>
                <w:rFonts w:ascii="Arial" w:hAnsi="Arial" w:cs="Arial"/>
                <w:sz w:val="24"/>
                <w:szCs w:val="24"/>
              </w:rPr>
              <w:t>2.2</w:t>
            </w:r>
          </w:p>
        </w:tc>
        <w:tc>
          <w:tcPr>
            <w:tcW w:w="7234" w:type="dxa"/>
            <w:tcBorders>
              <w:top w:val="single" w:sz="4" w:space="0" w:color="auto"/>
              <w:left w:val="single" w:sz="4" w:space="0" w:color="auto"/>
              <w:bottom w:val="single" w:sz="4" w:space="0" w:color="auto"/>
              <w:right w:val="single" w:sz="4" w:space="0" w:color="auto"/>
            </w:tcBorders>
          </w:tcPr>
          <w:p w14:paraId="0D8DBB65" w14:textId="62428483" w:rsidR="00AB16E0" w:rsidRDefault="00741A49" w:rsidP="00C972CA">
            <w:pPr>
              <w:spacing w:before="120" w:after="120"/>
              <w:rPr>
                <w:rFonts w:ascii="Arial" w:hAnsi="Arial" w:cs="Arial"/>
                <w:sz w:val="24"/>
                <w:szCs w:val="24"/>
              </w:rPr>
            </w:pPr>
            <w:r>
              <w:rPr>
                <w:rFonts w:ascii="Arial" w:hAnsi="Arial" w:cs="Arial"/>
                <w:sz w:val="24"/>
                <w:szCs w:val="24"/>
              </w:rPr>
              <w:t>Economic Factor</w:t>
            </w:r>
          </w:p>
        </w:tc>
        <w:tc>
          <w:tcPr>
            <w:tcW w:w="1083" w:type="dxa"/>
            <w:tcBorders>
              <w:top w:val="single" w:sz="4" w:space="0" w:color="auto"/>
              <w:left w:val="single" w:sz="4" w:space="0" w:color="auto"/>
              <w:bottom w:val="single" w:sz="4" w:space="0" w:color="auto"/>
              <w:right w:val="single" w:sz="4" w:space="0" w:color="auto"/>
            </w:tcBorders>
          </w:tcPr>
          <w:p w14:paraId="115ADA9A" w14:textId="0251F62C" w:rsidR="00AB16E0" w:rsidRDefault="00B87082" w:rsidP="00C972CA">
            <w:pPr>
              <w:spacing w:before="120" w:after="120"/>
              <w:rPr>
                <w:rFonts w:ascii="Arial" w:hAnsi="Arial" w:cs="Arial"/>
                <w:sz w:val="24"/>
                <w:szCs w:val="24"/>
              </w:rPr>
            </w:pPr>
            <w:r>
              <w:rPr>
                <w:rFonts w:ascii="Arial" w:hAnsi="Arial" w:cs="Arial"/>
                <w:sz w:val="24"/>
                <w:szCs w:val="24"/>
              </w:rPr>
              <w:t>9 – 11</w:t>
            </w:r>
          </w:p>
        </w:tc>
      </w:tr>
      <w:tr w:rsidR="00AB16E0" w14:paraId="6738C6A5" w14:textId="77777777" w:rsidTr="00741A49">
        <w:tc>
          <w:tcPr>
            <w:tcW w:w="704" w:type="dxa"/>
            <w:tcBorders>
              <w:top w:val="single" w:sz="4" w:space="0" w:color="auto"/>
              <w:left w:val="single" w:sz="4" w:space="0" w:color="auto"/>
              <w:bottom w:val="single" w:sz="4" w:space="0" w:color="auto"/>
              <w:right w:val="single" w:sz="4" w:space="0" w:color="auto"/>
            </w:tcBorders>
          </w:tcPr>
          <w:p w14:paraId="67A8D10E" w14:textId="79D0320C" w:rsidR="00AB16E0" w:rsidRDefault="00741A49" w:rsidP="00C972CA">
            <w:pPr>
              <w:spacing w:before="120" w:after="120"/>
              <w:rPr>
                <w:rFonts w:ascii="Arial" w:hAnsi="Arial" w:cs="Arial"/>
                <w:sz w:val="24"/>
                <w:szCs w:val="24"/>
              </w:rPr>
            </w:pPr>
            <w:r>
              <w:rPr>
                <w:rFonts w:ascii="Arial" w:hAnsi="Arial" w:cs="Arial"/>
                <w:sz w:val="24"/>
                <w:szCs w:val="24"/>
              </w:rPr>
              <w:t>2.3</w:t>
            </w:r>
          </w:p>
        </w:tc>
        <w:tc>
          <w:tcPr>
            <w:tcW w:w="7234" w:type="dxa"/>
            <w:tcBorders>
              <w:top w:val="single" w:sz="4" w:space="0" w:color="auto"/>
              <w:left w:val="single" w:sz="4" w:space="0" w:color="auto"/>
              <w:bottom w:val="single" w:sz="4" w:space="0" w:color="auto"/>
              <w:right w:val="single" w:sz="4" w:space="0" w:color="auto"/>
            </w:tcBorders>
          </w:tcPr>
          <w:p w14:paraId="5268E59E" w14:textId="741C4BA0" w:rsidR="00AB16E0" w:rsidRDefault="00741A49" w:rsidP="00C972CA">
            <w:pPr>
              <w:spacing w:before="120" w:after="120"/>
              <w:rPr>
                <w:rFonts w:ascii="Arial" w:hAnsi="Arial" w:cs="Arial"/>
                <w:sz w:val="24"/>
                <w:szCs w:val="24"/>
              </w:rPr>
            </w:pPr>
            <w:r>
              <w:rPr>
                <w:rFonts w:ascii="Arial" w:hAnsi="Arial" w:cs="Arial"/>
                <w:sz w:val="24"/>
                <w:szCs w:val="24"/>
              </w:rPr>
              <w:t>Political Factor</w:t>
            </w:r>
          </w:p>
        </w:tc>
        <w:tc>
          <w:tcPr>
            <w:tcW w:w="1083" w:type="dxa"/>
            <w:tcBorders>
              <w:top w:val="single" w:sz="4" w:space="0" w:color="auto"/>
              <w:left w:val="single" w:sz="4" w:space="0" w:color="auto"/>
              <w:bottom w:val="single" w:sz="4" w:space="0" w:color="auto"/>
              <w:right w:val="single" w:sz="4" w:space="0" w:color="auto"/>
            </w:tcBorders>
          </w:tcPr>
          <w:p w14:paraId="1D3DCEF1" w14:textId="7B1D5B3F" w:rsidR="00AB16E0" w:rsidRDefault="00B87082" w:rsidP="00C972CA">
            <w:pPr>
              <w:spacing w:before="120" w:after="120"/>
              <w:rPr>
                <w:rFonts w:ascii="Arial" w:hAnsi="Arial" w:cs="Arial"/>
                <w:sz w:val="24"/>
                <w:szCs w:val="24"/>
              </w:rPr>
            </w:pPr>
            <w:r>
              <w:rPr>
                <w:rFonts w:ascii="Arial" w:hAnsi="Arial" w:cs="Arial"/>
                <w:sz w:val="24"/>
                <w:szCs w:val="24"/>
              </w:rPr>
              <w:t>11 – 12</w:t>
            </w:r>
          </w:p>
        </w:tc>
      </w:tr>
      <w:tr w:rsidR="00AB16E0" w14:paraId="2B781788" w14:textId="77777777" w:rsidTr="00741A49">
        <w:tc>
          <w:tcPr>
            <w:tcW w:w="704" w:type="dxa"/>
            <w:tcBorders>
              <w:top w:val="single" w:sz="4" w:space="0" w:color="auto"/>
              <w:left w:val="single" w:sz="4" w:space="0" w:color="auto"/>
              <w:bottom w:val="single" w:sz="4" w:space="0" w:color="auto"/>
              <w:right w:val="single" w:sz="4" w:space="0" w:color="auto"/>
            </w:tcBorders>
          </w:tcPr>
          <w:p w14:paraId="2A4B8221" w14:textId="08872DBC" w:rsidR="00AB16E0" w:rsidRDefault="00741A49" w:rsidP="00C972CA">
            <w:pPr>
              <w:spacing w:before="120" w:after="120"/>
              <w:rPr>
                <w:rFonts w:ascii="Arial" w:hAnsi="Arial" w:cs="Arial"/>
                <w:sz w:val="24"/>
                <w:szCs w:val="24"/>
              </w:rPr>
            </w:pPr>
            <w:r>
              <w:rPr>
                <w:rFonts w:ascii="Arial" w:hAnsi="Arial" w:cs="Arial"/>
                <w:sz w:val="24"/>
                <w:szCs w:val="24"/>
              </w:rPr>
              <w:t>3</w:t>
            </w:r>
          </w:p>
        </w:tc>
        <w:tc>
          <w:tcPr>
            <w:tcW w:w="7234" w:type="dxa"/>
            <w:tcBorders>
              <w:top w:val="single" w:sz="4" w:space="0" w:color="auto"/>
              <w:left w:val="single" w:sz="4" w:space="0" w:color="auto"/>
              <w:bottom w:val="single" w:sz="4" w:space="0" w:color="auto"/>
              <w:right w:val="single" w:sz="4" w:space="0" w:color="auto"/>
            </w:tcBorders>
          </w:tcPr>
          <w:p w14:paraId="2DCC0501" w14:textId="58BE93DF" w:rsidR="00AB16E0" w:rsidRDefault="00741A49" w:rsidP="00C972CA">
            <w:pPr>
              <w:spacing w:before="120" w:after="120"/>
              <w:rPr>
                <w:rFonts w:ascii="Arial" w:hAnsi="Arial" w:cs="Arial"/>
                <w:sz w:val="24"/>
                <w:szCs w:val="24"/>
              </w:rPr>
            </w:pPr>
            <w:r>
              <w:rPr>
                <w:rFonts w:ascii="Arial" w:hAnsi="Arial" w:cs="Arial"/>
                <w:sz w:val="24"/>
                <w:szCs w:val="24"/>
              </w:rPr>
              <w:t>Conclusion</w:t>
            </w:r>
          </w:p>
        </w:tc>
        <w:tc>
          <w:tcPr>
            <w:tcW w:w="1083" w:type="dxa"/>
            <w:tcBorders>
              <w:top w:val="single" w:sz="4" w:space="0" w:color="auto"/>
              <w:left w:val="single" w:sz="4" w:space="0" w:color="auto"/>
              <w:bottom w:val="single" w:sz="4" w:space="0" w:color="auto"/>
              <w:right w:val="single" w:sz="4" w:space="0" w:color="auto"/>
            </w:tcBorders>
          </w:tcPr>
          <w:p w14:paraId="06E8C91D" w14:textId="52BBF776" w:rsidR="00AB16E0" w:rsidRDefault="00B87082" w:rsidP="00C972CA">
            <w:pPr>
              <w:spacing w:before="120" w:after="120"/>
              <w:rPr>
                <w:rFonts w:ascii="Arial" w:hAnsi="Arial" w:cs="Arial"/>
                <w:sz w:val="24"/>
                <w:szCs w:val="24"/>
              </w:rPr>
            </w:pPr>
            <w:r>
              <w:rPr>
                <w:rFonts w:ascii="Arial" w:hAnsi="Arial" w:cs="Arial"/>
                <w:sz w:val="24"/>
                <w:szCs w:val="24"/>
              </w:rPr>
              <w:t>12</w:t>
            </w:r>
          </w:p>
        </w:tc>
      </w:tr>
      <w:tr w:rsidR="00AB16E0" w14:paraId="76DD43F5" w14:textId="77777777" w:rsidTr="00741A49">
        <w:tc>
          <w:tcPr>
            <w:tcW w:w="704" w:type="dxa"/>
            <w:tcBorders>
              <w:top w:val="single" w:sz="4" w:space="0" w:color="auto"/>
              <w:left w:val="single" w:sz="4" w:space="0" w:color="auto"/>
              <w:bottom w:val="single" w:sz="4" w:space="0" w:color="auto"/>
              <w:right w:val="single" w:sz="4" w:space="0" w:color="auto"/>
            </w:tcBorders>
          </w:tcPr>
          <w:p w14:paraId="16BB9841" w14:textId="045453E1" w:rsidR="00AB16E0" w:rsidRDefault="00741A49" w:rsidP="00C972CA">
            <w:pPr>
              <w:spacing w:before="120" w:after="120"/>
              <w:rPr>
                <w:rFonts w:ascii="Arial" w:hAnsi="Arial" w:cs="Arial"/>
                <w:sz w:val="24"/>
                <w:szCs w:val="24"/>
              </w:rPr>
            </w:pPr>
            <w:r>
              <w:rPr>
                <w:rFonts w:ascii="Arial" w:hAnsi="Arial" w:cs="Arial"/>
                <w:sz w:val="24"/>
                <w:szCs w:val="24"/>
              </w:rPr>
              <w:t>4</w:t>
            </w:r>
          </w:p>
        </w:tc>
        <w:tc>
          <w:tcPr>
            <w:tcW w:w="7234" w:type="dxa"/>
            <w:tcBorders>
              <w:top w:val="single" w:sz="4" w:space="0" w:color="auto"/>
              <w:left w:val="single" w:sz="4" w:space="0" w:color="auto"/>
              <w:bottom w:val="single" w:sz="4" w:space="0" w:color="auto"/>
              <w:right w:val="single" w:sz="4" w:space="0" w:color="auto"/>
            </w:tcBorders>
          </w:tcPr>
          <w:p w14:paraId="35CCA5A5" w14:textId="45EBDB99" w:rsidR="00AB16E0" w:rsidRDefault="00741A49" w:rsidP="00C972CA">
            <w:pPr>
              <w:spacing w:before="120" w:after="120"/>
              <w:rPr>
                <w:rFonts w:ascii="Arial" w:hAnsi="Arial" w:cs="Arial"/>
                <w:sz w:val="24"/>
                <w:szCs w:val="24"/>
              </w:rPr>
            </w:pPr>
            <w:r>
              <w:rPr>
                <w:rFonts w:ascii="Arial" w:hAnsi="Arial" w:cs="Arial"/>
                <w:sz w:val="24"/>
                <w:szCs w:val="24"/>
              </w:rPr>
              <w:t>Recommendations</w:t>
            </w:r>
          </w:p>
        </w:tc>
        <w:tc>
          <w:tcPr>
            <w:tcW w:w="1083" w:type="dxa"/>
            <w:tcBorders>
              <w:top w:val="single" w:sz="4" w:space="0" w:color="auto"/>
              <w:left w:val="single" w:sz="4" w:space="0" w:color="auto"/>
              <w:bottom w:val="single" w:sz="4" w:space="0" w:color="auto"/>
              <w:right w:val="single" w:sz="4" w:space="0" w:color="auto"/>
            </w:tcBorders>
          </w:tcPr>
          <w:p w14:paraId="06FB6EFB" w14:textId="74FE1640" w:rsidR="00AB16E0" w:rsidRDefault="00B87082" w:rsidP="00C972CA">
            <w:pPr>
              <w:spacing w:before="120" w:after="120"/>
              <w:rPr>
                <w:rFonts w:ascii="Arial" w:hAnsi="Arial" w:cs="Arial"/>
                <w:sz w:val="24"/>
                <w:szCs w:val="24"/>
              </w:rPr>
            </w:pPr>
            <w:r>
              <w:rPr>
                <w:rFonts w:ascii="Arial" w:hAnsi="Arial" w:cs="Arial"/>
                <w:sz w:val="24"/>
                <w:szCs w:val="24"/>
              </w:rPr>
              <w:t>12 - 14</w:t>
            </w:r>
          </w:p>
        </w:tc>
      </w:tr>
      <w:tr w:rsidR="00AB16E0" w14:paraId="4AFD54DA" w14:textId="77777777" w:rsidTr="00741A49">
        <w:tc>
          <w:tcPr>
            <w:tcW w:w="704" w:type="dxa"/>
            <w:tcBorders>
              <w:top w:val="single" w:sz="4" w:space="0" w:color="auto"/>
              <w:left w:val="single" w:sz="4" w:space="0" w:color="auto"/>
              <w:bottom w:val="single" w:sz="4" w:space="0" w:color="auto"/>
              <w:right w:val="single" w:sz="4" w:space="0" w:color="auto"/>
            </w:tcBorders>
          </w:tcPr>
          <w:p w14:paraId="21F7882C" w14:textId="77777777" w:rsidR="00AB16E0" w:rsidRDefault="00AB16E0" w:rsidP="00C972CA">
            <w:pPr>
              <w:spacing w:before="120" w:after="120"/>
              <w:rPr>
                <w:rFonts w:ascii="Arial" w:hAnsi="Arial" w:cs="Arial"/>
                <w:sz w:val="24"/>
                <w:szCs w:val="24"/>
              </w:rPr>
            </w:pPr>
          </w:p>
        </w:tc>
        <w:tc>
          <w:tcPr>
            <w:tcW w:w="7234" w:type="dxa"/>
            <w:tcBorders>
              <w:top w:val="single" w:sz="4" w:space="0" w:color="auto"/>
              <w:left w:val="single" w:sz="4" w:space="0" w:color="auto"/>
              <w:bottom w:val="single" w:sz="4" w:space="0" w:color="auto"/>
              <w:right w:val="single" w:sz="4" w:space="0" w:color="auto"/>
            </w:tcBorders>
          </w:tcPr>
          <w:p w14:paraId="302FB33D" w14:textId="7F7D9407" w:rsidR="00AB16E0" w:rsidRDefault="00DB549C" w:rsidP="00C972CA">
            <w:pPr>
              <w:spacing w:before="120" w:after="120"/>
              <w:rPr>
                <w:rFonts w:ascii="Arial" w:hAnsi="Arial" w:cs="Arial"/>
                <w:sz w:val="24"/>
                <w:szCs w:val="24"/>
              </w:rPr>
            </w:pPr>
            <w:r>
              <w:rPr>
                <w:rFonts w:ascii="Arial" w:hAnsi="Arial" w:cs="Arial"/>
                <w:sz w:val="24"/>
                <w:szCs w:val="24"/>
              </w:rPr>
              <w:t>References</w:t>
            </w:r>
          </w:p>
        </w:tc>
        <w:tc>
          <w:tcPr>
            <w:tcW w:w="1083" w:type="dxa"/>
            <w:tcBorders>
              <w:top w:val="single" w:sz="4" w:space="0" w:color="auto"/>
              <w:left w:val="single" w:sz="4" w:space="0" w:color="auto"/>
              <w:bottom w:val="single" w:sz="4" w:space="0" w:color="auto"/>
              <w:right w:val="single" w:sz="4" w:space="0" w:color="auto"/>
            </w:tcBorders>
          </w:tcPr>
          <w:p w14:paraId="30FBE7EE" w14:textId="46BE34D2" w:rsidR="00AB16E0" w:rsidRDefault="00B87082" w:rsidP="00C972CA">
            <w:pPr>
              <w:spacing w:before="120" w:after="120"/>
              <w:rPr>
                <w:rFonts w:ascii="Arial" w:hAnsi="Arial" w:cs="Arial"/>
                <w:sz w:val="24"/>
                <w:szCs w:val="24"/>
              </w:rPr>
            </w:pPr>
            <w:r>
              <w:rPr>
                <w:rFonts w:ascii="Arial" w:hAnsi="Arial" w:cs="Arial"/>
                <w:sz w:val="24"/>
                <w:szCs w:val="24"/>
              </w:rPr>
              <w:t>15 - 18</w:t>
            </w:r>
          </w:p>
        </w:tc>
      </w:tr>
      <w:tr w:rsidR="00AB16E0" w14:paraId="30F87FBD" w14:textId="77777777" w:rsidTr="00741A49">
        <w:tc>
          <w:tcPr>
            <w:tcW w:w="704" w:type="dxa"/>
            <w:tcBorders>
              <w:top w:val="single" w:sz="4" w:space="0" w:color="auto"/>
              <w:left w:val="single" w:sz="4" w:space="0" w:color="auto"/>
              <w:bottom w:val="single" w:sz="4" w:space="0" w:color="auto"/>
              <w:right w:val="single" w:sz="4" w:space="0" w:color="auto"/>
            </w:tcBorders>
          </w:tcPr>
          <w:p w14:paraId="755B2E4D" w14:textId="77777777" w:rsidR="00AB16E0" w:rsidRDefault="00AB16E0" w:rsidP="00C972CA">
            <w:pPr>
              <w:spacing w:before="120" w:after="120"/>
              <w:rPr>
                <w:rFonts w:ascii="Arial" w:hAnsi="Arial" w:cs="Arial"/>
                <w:sz w:val="24"/>
                <w:szCs w:val="24"/>
              </w:rPr>
            </w:pPr>
          </w:p>
        </w:tc>
        <w:tc>
          <w:tcPr>
            <w:tcW w:w="7234" w:type="dxa"/>
            <w:tcBorders>
              <w:top w:val="single" w:sz="4" w:space="0" w:color="auto"/>
              <w:left w:val="single" w:sz="4" w:space="0" w:color="auto"/>
              <w:bottom w:val="single" w:sz="4" w:space="0" w:color="auto"/>
              <w:right w:val="single" w:sz="4" w:space="0" w:color="auto"/>
            </w:tcBorders>
          </w:tcPr>
          <w:p w14:paraId="460C4951" w14:textId="3B86DA1D" w:rsidR="00AB16E0" w:rsidRDefault="00DB549C" w:rsidP="00C972CA">
            <w:pPr>
              <w:spacing w:before="120" w:after="120"/>
              <w:rPr>
                <w:rFonts w:ascii="Arial" w:hAnsi="Arial" w:cs="Arial"/>
                <w:sz w:val="24"/>
                <w:szCs w:val="24"/>
              </w:rPr>
            </w:pPr>
            <w:r>
              <w:rPr>
                <w:rFonts w:ascii="Arial" w:hAnsi="Arial" w:cs="Arial"/>
                <w:sz w:val="24"/>
                <w:szCs w:val="24"/>
              </w:rPr>
              <w:t>Appendices</w:t>
            </w:r>
          </w:p>
        </w:tc>
        <w:tc>
          <w:tcPr>
            <w:tcW w:w="1083" w:type="dxa"/>
            <w:tcBorders>
              <w:top w:val="single" w:sz="4" w:space="0" w:color="auto"/>
              <w:left w:val="single" w:sz="4" w:space="0" w:color="auto"/>
              <w:bottom w:val="single" w:sz="4" w:space="0" w:color="auto"/>
              <w:right w:val="single" w:sz="4" w:space="0" w:color="auto"/>
            </w:tcBorders>
          </w:tcPr>
          <w:p w14:paraId="60658051" w14:textId="1D679571" w:rsidR="00AB16E0" w:rsidRDefault="00B87082" w:rsidP="00C972CA">
            <w:pPr>
              <w:spacing w:before="120" w:after="120"/>
              <w:rPr>
                <w:rFonts w:ascii="Arial" w:hAnsi="Arial" w:cs="Arial"/>
                <w:sz w:val="24"/>
                <w:szCs w:val="24"/>
              </w:rPr>
            </w:pPr>
            <w:r>
              <w:rPr>
                <w:rFonts w:ascii="Arial" w:hAnsi="Arial" w:cs="Arial"/>
                <w:sz w:val="24"/>
                <w:szCs w:val="24"/>
              </w:rPr>
              <w:t>19 - 22</w:t>
            </w:r>
          </w:p>
        </w:tc>
      </w:tr>
      <w:tr w:rsidR="00AB16E0" w14:paraId="3FFFBA99" w14:textId="77777777" w:rsidTr="00741A49">
        <w:tc>
          <w:tcPr>
            <w:tcW w:w="704" w:type="dxa"/>
            <w:tcBorders>
              <w:top w:val="single" w:sz="4" w:space="0" w:color="auto"/>
              <w:left w:val="single" w:sz="4" w:space="0" w:color="auto"/>
              <w:bottom w:val="single" w:sz="4" w:space="0" w:color="auto"/>
              <w:right w:val="single" w:sz="4" w:space="0" w:color="auto"/>
            </w:tcBorders>
          </w:tcPr>
          <w:p w14:paraId="1AD4B265" w14:textId="77777777" w:rsidR="00AB16E0" w:rsidRDefault="00AB16E0" w:rsidP="00C972CA">
            <w:pPr>
              <w:spacing w:before="120" w:after="120"/>
              <w:rPr>
                <w:rFonts w:ascii="Arial" w:hAnsi="Arial" w:cs="Arial"/>
                <w:sz w:val="24"/>
                <w:szCs w:val="24"/>
              </w:rPr>
            </w:pPr>
          </w:p>
        </w:tc>
        <w:tc>
          <w:tcPr>
            <w:tcW w:w="7234" w:type="dxa"/>
            <w:tcBorders>
              <w:top w:val="single" w:sz="4" w:space="0" w:color="auto"/>
              <w:left w:val="single" w:sz="4" w:space="0" w:color="auto"/>
              <w:bottom w:val="single" w:sz="4" w:space="0" w:color="auto"/>
              <w:right w:val="single" w:sz="4" w:space="0" w:color="auto"/>
            </w:tcBorders>
          </w:tcPr>
          <w:p w14:paraId="6CCC7CDE" w14:textId="77777777" w:rsidR="00AB16E0" w:rsidRDefault="00AB16E0" w:rsidP="00C972CA">
            <w:pPr>
              <w:spacing w:before="120" w:after="120"/>
              <w:rPr>
                <w:rFonts w:ascii="Arial" w:hAnsi="Arial" w:cs="Arial"/>
                <w:sz w:val="24"/>
                <w:szCs w:val="24"/>
              </w:rPr>
            </w:pPr>
          </w:p>
        </w:tc>
        <w:tc>
          <w:tcPr>
            <w:tcW w:w="1083" w:type="dxa"/>
            <w:tcBorders>
              <w:top w:val="single" w:sz="4" w:space="0" w:color="auto"/>
              <w:left w:val="single" w:sz="4" w:space="0" w:color="auto"/>
              <w:bottom w:val="single" w:sz="4" w:space="0" w:color="auto"/>
              <w:right w:val="single" w:sz="4" w:space="0" w:color="auto"/>
            </w:tcBorders>
          </w:tcPr>
          <w:p w14:paraId="7BDF48FB" w14:textId="77777777" w:rsidR="00AB16E0" w:rsidRDefault="00AB16E0" w:rsidP="00C972CA">
            <w:pPr>
              <w:spacing w:before="120" w:after="120"/>
              <w:rPr>
                <w:rFonts w:ascii="Arial" w:hAnsi="Arial" w:cs="Arial"/>
                <w:sz w:val="24"/>
                <w:szCs w:val="24"/>
              </w:rPr>
            </w:pPr>
          </w:p>
        </w:tc>
      </w:tr>
      <w:tr w:rsidR="00AB16E0" w14:paraId="569866C1" w14:textId="77777777" w:rsidTr="00741A49">
        <w:tc>
          <w:tcPr>
            <w:tcW w:w="704" w:type="dxa"/>
            <w:tcBorders>
              <w:top w:val="single" w:sz="4" w:space="0" w:color="auto"/>
              <w:left w:val="single" w:sz="4" w:space="0" w:color="auto"/>
              <w:bottom w:val="single" w:sz="4" w:space="0" w:color="auto"/>
              <w:right w:val="single" w:sz="4" w:space="0" w:color="auto"/>
            </w:tcBorders>
          </w:tcPr>
          <w:p w14:paraId="37427497" w14:textId="77777777" w:rsidR="00AB16E0" w:rsidRDefault="00AB16E0" w:rsidP="00C972CA">
            <w:pPr>
              <w:spacing w:before="120" w:after="120"/>
              <w:rPr>
                <w:rFonts w:ascii="Arial" w:hAnsi="Arial" w:cs="Arial"/>
                <w:sz w:val="24"/>
                <w:szCs w:val="24"/>
              </w:rPr>
            </w:pPr>
          </w:p>
        </w:tc>
        <w:tc>
          <w:tcPr>
            <w:tcW w:w="7234" w:type="dxa"/>
            <w:tcBorders>
              <w:top w:val="single" w:sz="4" w:space="0" w:color="auto"/>
              <w:left w:val="single" w:sz="4" w:space="0" w:color="auto"/>
              <w:bottom w:val="single" w:sz="4" w:space="0" w:color="auto"/>
              <w:right w:val="single" w:sz="4" w:space="0" w:color="auto"/>
            </w:tcBorders>
          </w:tcPr>
          <w:p w14:paraId="0B7F9A81" w14:textId="77777777" w:rsidR="00AB16E0" w:rsidRDefault="00AB16E0" w:rsidP="00C972CA">
            <w:pPr>
              <w:spacing w:before="120" w:after="120"/>
              <w:rPr>
                <w:rFonts w:ascii="Arial" w:hAnsi="Arial" w:cs="Arial"/>
                <w:sz w:val="24"/>
                <w:szCs w:val="24"/>
              </w:rPr>
            </w:pPr>
          </w:p>
        </w:tc>
        <w:tc>
          <w:tcPr>
            <w:tcW w:w="1083" w:type="dxa"/>
            <w:tcBorders>
              <w:top w:val="single" w:sz="4" w:space="0" w:color="auto"/>
              <w:left w:val="single" w:sz="4" w:space="0" w:color="auto"/>
              <w:bottom w:val="single" w:sz="4" w:space="0" w:color="auto"/>
              <w:right w:val="single" w:sz="4" w:space="0" w:color="auto"/>
            </w:tcBorders>
          </w:tcPr>
          <w:p w14:paraId="3956EB94" w14:textId="77777777" w:rsidR="00AB16E0" w:rsidRDefault="00AB16E0" w:rsidP="00C972CA">
            <w:pPr>
              <w:spacing w:before="120" w:after="120"/>
              <w:rPr>
                <w:rFonts w:ascii="Arial" w:hAnsi="Arial" w:cs="Arial"/>
                <w:sz w:val="24"/>
                <w:szCs w:val="24"/>
              </w:rPr>
            </w:pPr>
          </w:p>
        </w:tc>
      </w:tr>
    </w:tbl>
    <w:p w14:paraId="493CA75A" w14:textId="77777777" w:rsidR="005F6BBD" w:rsidRDefault="005F6BBD" w:rsidP="0057143B">
      <w:pPr>
        <w:spacing w:after="0"/>
        <w:rPr>
          <w:rFonts w:ascii="Arial" w:hAnsi="Arial" w:cs="Arial"/>
          <w:sz w:val="24"/>
          <w:szCs w:val="24"/>
        </w:rPr>
      </w:pPr>
    </w:p>
    <w:p w14:paraId="1C210C89" w14:textId="0003DF74" w:rsidR="00B87082" w:rsidRDefault="00B87082">
      <w:pPr>
        <w:rPr>
          <w:rFonts w:ascii="Arial" w:hAnsi="Arial" w:cs="Arial"/>
          <w:sz w:val="24"/>
          <w:szCs w:val="24"/>
        </w:rPr>
      </w:pPr>
      <w:r>
        <w:rPr>
          <w:rFonts w:ascii="Arial" w:hAnsi="Arial" w:cs="Arial"/>
          <w:sz w:val="24"/>
          <w:szCs w:val="24"/>
        </w:rPr>
        <w:br w:type="page"/>
      </w:r>
    </w:p>
    <w:p w14:paraId="2FA0249B" w14:textId="58F96152" w:rsidR="00B87082" w:rsidRPr="00B87082" w:rsidRDefault="00B87082" w:rsidP="0057143B">
      <w:pPr>
        <w:spacing w:after="0"/>
        <w:rPr>
          <w:rFonts w:ascii="Arial" w:hAnsi="Arial" w:cs="Arial"/>
          <w:b/>
          <w:bCs/>
          <w:sz w:val="24"/>
          <w:szCs w:val="24"/>
        </w:rPr>
      </w:pPr>
      <w:r w:rsidRPr="00B87082">
        <w:rPr>
          <w:rFonts w:ascii="Arial" w:hAnsi="Arial" w:cs="Arial"/>
          <w:b/>
          <w:bCs/>
          <w:sz w:val="24"/>
          <w:szCs w:val="24"/>
        </w:rPr>
        <w:lastRenderedPageBreak/>
        <w:t>Table of Figures</w:t>
      </w:r>
    </w:p>
    <w:p w14:paraId="0991A7BF" w14:textId="77777777" w:rsidR="00B87082" w:rsidRDefault="00B87082" w:rsidP="0057143B">
      <w:pPr>
        <w:spacing w:after="0"/>
        <w:rPr>
          <w:rFonts w:ascii="Arial" w:hAnsi="Arial" w:cs="Arial"/>
          <w:sz w:val="24"/>
          <w:szCs w:val="24"/>
        </w:rPr>
      </w:pPr>
    </w:p>
    <w:p w14:paraId="3E9F68FE" w14:textId="122B29C0" w:rsidR="00B87082" w:rsidRDefault="00B87082" w:rsidP="0057143B">
      <w:pPr>
        <w:spacing w:after="0"/>
        <w:rPr>
          <w:rFonts w:ascii="Arial" w:hAnsi="Arial" w:cs="Arial"/>
          <w:sz w:val="24"/>
          <w:szCs w:val="24"/>
        </w:rPr>
      </w:pPr>
      <w:r>
        <w:rPr>
          <w:rFonts w:ascii="Arial" w:hAnsi="Arial" w:cs="Arial"/>
          <w:sz w:val="24"/>
          <w:szCs w:val="24"/>
        </w:rPr>
        <w:t>Figure 1</w:t>
      </w:r>
      <w:r>
        <w:rPr>
          <w:rFonts w:ascii="Arial" w:hAnsi="Arial" w:cs="Arial"/>
          <w:sz w:val="24"/>
          <w:szCs w:val="24"/>
        </w:rPr>
        <w:tab/>
      </w:r>
      <w:r w:rsidRPr="00267428">
        <w:rPr>
          <w:rFonts w:ascii="Arial" w:hAnsi="Arial" w:cs="Arial"/>
          <w:sz w:val="24"/>
          <w:szCs w:val="24"/>
        </w:rPr>
        <w:t>Examples of</w:t>
      </w:r>
      <w:r>
        <w:rPr>
          <w:rFonts w:ascii="Arial" w:hAnsi="Arial" w:cs="Arial"/>
          <w:b/>
          <w:sz w:val="24"/>
          <w:szCs w:val="24"/>
        </w:rPr>
        <w:t xml:space="preserve"> </w:t>
      </w:r>
      <w:r>
        <w:rPr>
          <w:rFonts w:ascii="Arial" w:hAnsi="Arial" w:cs="Arial"/>
          <w:sz w:val="24"/>
          <w:szCs w:val="24"/>
        </w:rPr>
        <w:t>PESTLE analysis factors</w:t>
      </w:r>
    </w:p>
    <w:p w14:paraId="556E3569" w14:textId="77777777" w:rsidR="00B87082" w:rsidRDefault="00B87082" w:rsidP="0057143B">
      <w:pPr>
        <w:spacing w:after="0"/>
        <w:rPr>
          <w:rFonts w:ascii="Arial" w:hAnsi="Arial" w:cs="Arial"/>
          <w:sz w:val="24"/>
          <w:szCs w:val="24"/>
        </w:rPr>
      </w:pPr>
    </w:p>
    <w:p w14:paraId="044A131C" w14:textId="77777777" w:rsidR="005F6BBD" w:rsidRDefault="005F6BBD">
      <w:pPr>
        <w:rPr>
          <w:rFonts w:ascii="Arial" w:hAnsi="Arial" w:cs="Arial"/>
          <w:sz w:val="24"/>
          <w:szCs w:val="24"/>
        </w:rPr>
      </w:pPr>
      <w:r>
        <w:rPr>
          <w:rFonts w:ascii="Arial" w:hAnsi="Arial" w:cs="Arial"/>
          <w:sz w:val="24"/>
          <w:szCs w:val="24"/>
        </w:rPr>
        <w:br w:type="page"/>
      </w:r>
    </w:p>
    <w:p w14:paraId="060DB93D" w14:textId="77777777" w:rsidR="005F6BBD" w:rsidRPr="001E5BE3" w:rsidRDefault="005F6BBD" w:rsidP="005F6BBD">
      <w:pPr>
        <w:pStyle w:val="ListParagraph"/>
        <w:numPr>
          <w:ilvl w:val="0"/>
          <w:numId w:val="1"/>
        </w:numPr>
        <w:spacing w:after="0"/>
        <w:ind w:hanging="720"/>
        <w:jc w:val="both"/>
        <w:rPr>
          <w:rFonts w:ascii="Arial" w:hAnsi="Arial" w:cs="Arial"/>
          <w:b/>
          <w:bCs/>
          <w:sz w:val="24"/>
          <w:szCs w:val="24"/>
        </w:rPr>
      </w:pPr>
      <w:r w:rsidRPr="001E5BE3">
        <w:rPr>
          <w:rFonts w:ascii="Arial" w:hAnsi="Arial" w:cs="Arial"/>
          <w:b/>
          <w:bCs/>
          <w:sz w:val="24"/>
          <w:szCs w:val="24"/>
        </w:rPr>
        <w:lastRenderedPageBreak/>
        <w:t>Introduction</w:t>
      </w:r>
    </w:p>
    <w:p w14:paraId="578808E3" w14:textId="77777777" w:rsidR="005F6BBD" w:rsidRDefault="005F6BBD" w:rsidP="005F6BBD">
      <w:pPr>
        <w:spacing w:after="0"/>
        <w:jc w:val="both"/>
        <w:rPr>
          <w:rFonts w:ascii="Arial" w:hAnsi="Arial" w:cs="Arial"/>
          <w:sz w:val="24"/>
          <w:szCs w:val="24"/>
        </w:rPr>
      </w:pPr>
      <w:bookmarkStart w:id="1" w:name="_Hlk214692976"/>
    </w:p>
    <w:p w14:paraId="18C9E15B" w14:textId="77777777" w:rsidR="005F6BBD" w:rsidRPr="001E5BE3" w:rsidRDefault="005F6BBD" w:rsidP="005F6BBD">
      <w:pPr>
        <w:spacing w:after="0"/>
        <w:jc w:val="both"/>
        <w:rPr>
          <w:rFonts w:ascii="Arial" w:hAnsi="Arial" w:cs="Arial"/>
          <w:b/>
          <w:bCs/>
          <w:sz w:val="24"/>
          <w:szCs w:val="24"/>
        </w:rPr>
      </w:pPr>
      <w:r>
        <w:rPr>
          <w:rFonts w:ascii="Arial" w:hAnsi="Arial" w:cs="Arial"/>
          <w:b/>
          <w:bCs/>
          <w:sz w:val="24"/>
          <w:szCs w:val="24"/>
        </w:rPr>
        <w:t>1.1</w:t>
      </w:r>
      <w:r>
        <w:rPr>
          <w:rFonts w:ascii="Arial" w:hAnsi="Arial" w:cs="Arial"/>
          <w:b/>
          <w:bCs/>
          <w:sz w:val="24"/>
          <w:szCs w:val="24"/>
        </w:rPr>
        <w:tab/>
      </w:r>
      <w:r w:rsidRPr="001E5BE3">
        <w:rPr>
          <w:rFonts w:ascii="Arial" w:hAnsi="Arial" w:cs="Arial"/>
          <w:b/>
          <w:bCs/>
          <w:sz w:val="24"/>
          <w:szCs w:val="24"/>
        </w:rPr>
        <w:t>Purpose</w:t>
      </w:r>
    </w:p>
    <w:p w14:paraId="13D72153" w14:textId="402C6527" w:rsidR="005F6BBD" w:rsidRDefault="005F6BBD" w:rsidP="005F6BBD">
      <w:pPr>
        <w:spacing w:after="0"/>
        <w:jc w:val="both"/>
        <w:rPr>
          <w:rFonts w:ascii="Arial" w:hAnsi="Arial" w:cs="Arial"/>
          <w:sz w:val="24"/>
          <w:szCs w:val="24"/>
        </w:rPr>
      </w:pPr>
      <w:r>
        <w:rPr>
          <w:rFonts w:ascii="Arial" w:hAnsi="Arial" w:cs="Arial"/>
          <w:sz w:val="24"/>
          <w:szCs w:val="24"/>
        </w:rPr>
        <w:t xml:space="preserve">The purpose of this report is to critically analyse the use of ‘PESTLE’ in evaluating the Political, Legal and Economic factors </w:t>
      </w:r>
      <w:r w:rsidR="00DC6C4A">
        <w:rPr>
          <w:rFonts w:ascii="Arial" w:hAnsi="Arial" w:cs="Arial"/>
          <w:sz w:val="24"/>
          <w:szCs w:val="24"/>
        </w:rPr>
        <w:t xml:space="preserve">that may </w:t>
      </w:r>
      <w:r>
        <w:rPr>
          <w:rFonts w:ascii="Arial" w:hAnsi="Arial" w:cs="Arial"/>
          <w:sz w:val="24"/>
          <w:szCs w:val="24"/>
        </w:rPr>
        <w:t xml:space="preserve">impact </w:t>
      </w:r>
      <w:r w:rsidR="00741A49">
        <w:rPr>
          <w:rFonts w:ascii="Arial" w:hAnsi="Arial" w:cs="Arial"/>
          <w:sz w:val="24"/>
          <w:szCs w:val="24"/>
        </w:rPr>
        <w:t>NPTCBC.</w:t>
      </w:r>
      <w:r>
        <w:rPr>
          <w:rFonts w:ascii="Arial" w:hAnsi="Arial" w:cs="Arial"/>
          <w:sz w:val="24"/>
          <w:szCs w:val="24"/>
        </w:rPr>
        <w:t xml:space="preserve">  Recent research has been undertaken as to how these factors influence decision making, competitive advantage and long-term sustainability.</w:t>
      </w:r>
    </w:p>
    <w:p w14:paraId="3F2628A5" w14:textId="77777777" w:rsidR="005F6BBD" w:rsidRPr="00A75EEE" w:rsidRDefault="005F6BBD" w:rsidP="005F6BBD">
      <w:pPr>
        <w:spacing w:after="0"/>
        <w:ind w:right="-188"/>
        <w:rPr>
          <w:rFonts w:ascii="Arial" w:hAnsi="Arial" w:cs="Arial"/>
          <w:i/>
          <w:sz w:val="24"/>
          <w:szCs w:val="24"/>
        </w:rPr>
      </w:pPr>
    </w:p>
    <w:p w14:paraId="35F22453" w14:textId="77777777" w:rsidR="005F6BBD" w:rsidRDefault="005F6BBD" w:rsidP="005F6BBD">
      <w:pPr>
        <w:spacing w:after="0"/>
        <w:jc w:val="both"/>
        <w:rPr>
          <w:rFonts w:ascii="Arial" w:hAnsi="Arial" w:cs="Arial"/>
          <w:sz w:val="24"/>
          <w:szCs w:val="24"/>
        </w:rPr>
      </w:pPr>
      <w:r>
        <w:rPr>
          <w:rFonts w:ascii="Arial" w:hAnsi="Arial" w:cs="Arial"/>
          <w:sz w:val="24"/>
          <w:szCs w:val="24"/>
        </w:rPr>
        <w:t xml:space="preserve">As described by Hayden (2025), a PESTLE analysis is a macro environment analytical tool and an acronym for </w:t>
      </w:r>
      <w:r w:rsidRPr="003706E0">
        <w:rPr>
          <w:rFonts w:ascii="Arial" w:hAnsi="Arial" w:cs="Arial"/>
          <w:b/>
          <w:bCs/>
          <w:sz w:val="24"/>
          <w:szCs w:val="24"/>
        </w:rPr>
        <w:t>P</w:t>
      </w:r>
      <w:r>
        <w:rPr>
          <w:rFonts w:ascii="Arial" w:hAnsi="Arial" w:cs="Arial"/>
          <w:sz w:val="24"/>
          <w:szCs w:val="24"/>
        </w:rPr>
        <w:t xml:space="preserve">olitical, </w:t>
      </w:r>
      <w:r w:rsidRPr="003706E0">
        <w:rPr>
          <w:rFonts w:ascii="Arial" w:hAnsi="Arial" w:cs="Arial"/>
          <w:b/>
          <w:bCs/>
          <w:sz w:val="24"/>
          <w:szCs w:val="24"/>
        </w:rPr>
        <w:t>S</w:t>
      </w:r>
      <w:r>
        <w:rPr>
          <w:rFonts w:ascii="Arial" w:hAnsi="Arial" w:cs="Arial"/>
          <w:sz w:val="24"/>
          <w:szCs w:val="24"/>
        </w:rPr>
        <w:t xml:space="preserve">ocial, </w:t>
      </w:r>
      <w:r w:rsidRPr="003706E0">
        <w:rPr>
          <w:rFonts w:ascii="Arial" w:hAnsi="Arial" w:cs="Arial"/>
          <w:b/>
          <w:bCs/>
          <w:sz w:val="24"/>
          <w:szCs w:val="24"/>
        </w:rPr>
        <w:t>T</w:t>
      </w:r>
      <w:r>
        <w:rPr>
          <w:rFonts w:ascii="Arial" w:hAnsi="Arial" w:cs="Arial"/>
          <w:sz w:val="24"/>
          <w:szCs w:val="24"/>
        </w:rPr>
        <w:t xml:space="preserve">echnological, </w:t>
      </w:r>
      <w:r w:rsidRPr="003706E0">
        <w:rPr>
          <w:rFonts w:ascii="Arial" w:hAnsi="Arial" w:cs="Arial"/>
          <w:b/>
          <w:bCs/>
          <w:sz w:val="24"/>
          <w:szCs w:val="24"/>
        </w:rPr>
        <w:t>L</w:t>
      </w:r>
      <w:r>
        <w:rPr>
          <w:rFonts w:ascii="Arial" w:hAnsi="Arial" w:cs="Arial"/>
          <w:sz w:val="24"/>
          <w:szCs w:val="24"/>
        </w:rPr>
        <w:t xml:space="preserve">egal and </w:t>
      </w:r>
      <w:r w:rsidRPr="003706E0">
        <w:rPr>
          <w:rFonts w:ascii="Arial" w:hAnsi="Arial" w:cs="Arial"/>
          <w:b/>
          <w:bCs/>
          <w:sz w:val="24"/>
          <w:szCs w:val="24"/>
        </w:rPr>
        <w:t>E</w:t>
      </w:r>
      <w:r>
        <w:rPr>
          <w:rFonts w:ascii="Arial" w:hAnsi="Arial" w:cs="Arial"/>
          <w:sz w:val="24"/>
          <w:szCs w:val="24"/>
        </w:rPr>
        <w:t xml:space="preserve">nvironmental which considers external factors that could affect strategic decision making within an organisation, </w:t>
      </w:r>
      <w:r w:rsidRPr="00F31AF0">
        <w:rPr>
          <w:rFonts w:ascii="Arial" w:hAnsi="Arial" w:cs="Arial"/>
          <w:b/>
          <w:bCs/>
          <w:i/>
          <w:iCs/>
          <w:sz w:val="24"/>
          <w:szCs w:val="24"/>
        </w:rPr>
        <w:t>(figure 1).</w:t>
      </w:r>
    </w:p>
    <w:p w14:paraId="25684A96" w14:textId="77777777" w:rsidR="005F6BBD" w:rsidRDefault="005F6BBD" w:rsidP="005F6BBD">
      <w:pPr>
        <w:spacing w:after="0"/>
        <w:jc w:val="both"/>
        <w:rPr>
          <w:rFonts w:ascii="Arial" w:hAnsi="Arial" w:cs="Arial"/>
          <w:sz w:val="24"/>
          <w:szCs w:val="24"/>
        </w:rPr>
      </w:pPr>
    </w:p>
    <w:tbl>
      <w:tblPr>
        <w:tblStyle w:val="TableGrid"/>
        <w:tblW w:w="0" w:type="auto"/>
        <w:tblLook w:val="04A0" w:firstRow="1" w:lastRow="0" w:firstColumn="1" w:lastColumn="0" w:noHBand="0" w:noVBand="1"/>
      </w:tblPr>
      <w:tblGrid>
        <w:gridCol w:w="2547"/>
        <w:gridCol w:w="6469"/>
      </w:tblGrid>
      <w:tr w:rsidR="005F6BBD" w14:paraId="02605880" w14:textId="77777777" w:rsidTr="00C972CA">
        <w:tc>
          <w:tcPr>
            <w:tcW w:w="2547" w:type="dxa"/>
          </w:tcPr>
          <w:p w14:paraId="374BCA0D" w14:textId="77777777" w:rsidR="005F6BBD" w:rsidRDefault="005F6BBD" w:rsidP="00C972CA">
            <w:pPr>
              <w:jc w:val="both"/>
              <w:rPr>
                <w:rFonts w:ascii="Arial" w:hAnsi="Arial" w:cs="Arial"/>
                <w:sz w:val="24"/>
                <w:szCs w:val="24"/>
              </w:rPr>
            </w:pPr>
          </w:p>
          <w:p w14:paraId="476FBD9F" w14:textId="77777777" w:rsidR="005F6BBD" w:rsidRDefault="005F6BBD" w:rsidP="00C972CA">
            <w:pPr>
              <w:jc w:val="both"/>
              <w:rPr>
                <w:rFonts w:ascii="Arial" w:hAnsi="Arial" w:cs="Arial"/>
                <w:sz w:val="24"/>
                <w:szCs w:val="24"/>
              </w:rPr>
            </w:pPr>
          </w:p>
        </w:tc>
        <w:tc>
          <w:tcPr>
            <w:tcW w:w="6469" w:type="dxa"/>
          </w:tcPr>
          <w:p w14:paraId="24CA5D0C" w14:textId="77777777" w:rsidR="005F6BBD" w:rsidRPr="00D93DE1" w:rsidRDefault="005F6BBD" w:rsidP="00C972CA">
            <w:pPr>
              <w:jc w:val="both"/>
              <w:rPr>
                <w:rFonts w:ascii="Arial" w:hAnsi="Arial" w:cs="Arial"/>
                <w:b/>
                <w:sz w:val="24"/>
                <w:szCs w:val="24"/>
              </w:rPr>
            </w:pPr>
            <w:r w:rsidRPr="00D93DE1">
              <w:rPr>
                <w:rFonts w:ascii="Arial" w:hAnsi="Arial" w:cs="Arial"/>
                <w:b/>
                <w:sz w:val="24"/>
                <w:szCs w:val="24"/>
              </w:rPr>
              <w:t>External factors to consider</w:t>
            </w:r>
          </w:p>
        </w:tc>
      </w:tr>
      <w:tr w:rsidR="005F6BBD" w14:paraId="50C02BD3" w14:textId="77777777" w:rsidTr="00C972CA">
        <w:tc>
          <w:tcPr>
            <w:tcW w:w="2547" w:type="dxa"/>
            <w:shd w:val="clear" w:color="auto" w:fill="FF0000"/>
          </w:tcPr>
          <w:p w14:paraId="452FD063" w14:textId="77777777" w:rsidR="005F6BBD" w:rsidRDefault="005F6BBD" w:rsidP="00C972CA">
            <w:pPr>
              <w:jc w:val="both"/>
              <w:rPr>
                <w:rFonts w:ascii="Arial" w:hAnsi="Arial" w:cs="Arial"/>
                <w:sz w:val="24"/>
                <w:szCs w:val="24"/>
              </w:rPr>
            </w:pPr>
            <w:r>
              <w:rPr>
                <w:rFonts w:ascii="Arial" w:hAnsi="Arial" w:cs="Arial"/>
                <w:sz w:val="24"/>
                <w:szCs w:val="24"/>
              </w:rPr>
              <w:t>Political</w:t>
            </w:r>
          </w:p>
          <w:p w14:paraId="565A2E0C" w14:textId="77777777" w:rsidR="005F6BBD" w:rsidRDefault="005F6BBD" w:rsidP="00C972CA">
            <w:pPr>
              <w:jc w:val="both"/>
              <w:rPr>
                <w:rFonts w:ascii="Arial" w:hAnsi="Arial" w:cs="Arial"/>
                <w:sz w:val="24"/>
                <w:szCs w:val="24"/>
              </w:rPr>
            </w:pPr>
          </w:p>
        </w:tc>
        <w:tc>
          <w:tcPr>
            <w:tcW w:w="6469" w:type="dxa"/>
          </w:tcPr>
          <w:p w14:paraId="5CA56929" w14:textId="77777777" w:rsidR="005F6BBD" w:rsidRDefault="005F6BBD" w:rsidP="00C972CA">
            <w:pPr>
              <w:jc w:val="both"/>
              <w:rPr>
                <w:rFonts w:ascii="Arial" w:hAnsi="Arial" w:cs="Arial"/>
                <w:sz w:val="24"/>
                <w:szCs w:val="24"/>
              </w:rPr>
            </w:pPr>
            <w:r>
              <w:rPr>
                <w:rFonts w:ascii="Arial" w:hAnsi="Arial" w:cs="Arial"/>
                <w:sz w:val="24"/>
                <w:szCs w:val="24"/>
              </w:rPr>
              <w:t>Government policy; Tax; political stability; industry regulations</w:t>
            </w:r>
          </w:p>
        </w:tc>
      </w:tr>
      <w:tr w:rsidR="005F6BBD" w14:paraId="1CEFDAFB" w14:textId="77777777" w:rsidTr="00C972CA">
        <w:tc>
          <w:tcPr>
            <w:tcW w:w="2547" w:type="dxa"/>
            <w:shd w:val="clear" w:color="auto" w:fill="FFC000"/>
          </w:tcPr>
          <w:p w14:paraId="775E2700" w14:textId="77777777" w:rsidR="005F6BBD" w:rsidRDefault="005F6BBD" w:rsidP="00C972CA">
            <w:pPr>
              <w:jc w:val="both"/>
              <w:rPr>
                <w:rFonts w:ascii="Arial" w:hAnsi="Arial" w:cs="Arial"/>
                <w:sz w:val="24"/>
                <w:szCs w:val="24"/>
              </w:rPr>
            </w:pPr>
            <w:r>
              <w:rPr>
                <w:rFonts w:ascii="Arial" w:hAnsi="Arial" w:cs="Arial"/>
                <w:sz w:val="24"/>
                <w:szCs w:val="24"/>
              </w:rPr>
              <w:t>Economic</w:t>
            </w:r>
          </w:p>
          <w:p w14:paraId="720B13AC" w14:textId="77777777" w:rsidR="005F6BBD" w:rsidRDefault="005F6BBD" w:rsidP="00C972CA">
            <w:pPr>
              <w:jc w:val="both"/>
              <w:rPr>
                <w:rFonts w:ascii="Arial" w:hAnsi="Arial" w:cs="Arial"/>
                <w:sz w:val="24"/>
                <w:szCs w:val="24"/>
              </w:rPr>
            </w:pPr>
          </w:p>
        </w:tc>
        <w:tc>
          <w:tcPr>
            <w:tcW w:w="6469" w:type="dxa"/>
          </w:tcPr>
          <w:p w14:paraId="2DFEA43F" w14:textId="77777777" w:rsidR="005F6BBD" w:rsidRDefault="005F6BBD" w:rsidP="00C972CA">
            <w:pPr>
              <w:jc w:val="both"/>
              <w:rPr>
                <w:rFonts w:ascii="Arial" w:hAnsi="Arial" w:cs="Arial"/>
                <w:sz w:val="24"/>
                <w:szCs w:val="24"/>
              </w:rPr>
            </w:pPr>
            <w:r>
              <w:rPr>
                <w:rFonts w:ascii="Arial" w:hAnsi="Arial" w:cs="Arial"/>
                <w:sz w:val="24"/>
                <w:szCs w:val="24"/>
              </w:rPr>
              <w:t>Interest rates, cost of living, unemployment rates (local and national)</w:t>
            </w:r>
          </w:p>
        </w:tc>
      </w:tr>
      <w:tr w:rsidR="005F6BBD" w14:paraId="1B9BEA1A" w14:textId="77777777" w:rsidTr="00C972CA">
        <w:tc>
          <w:tcPr>
            <w:tcW w:w="2547" w:type="dxa"/>
            <w:shd w:val="clear" w:color="auto" w:fill="00B0F0"/>
          </w:tcPr>
          <w:p w14:paraId="38B09DB6" w14:textId="77777777" w:rsidR="005F6BBD" w:rsidRDefault="005F6BBD" w:rsidP="00C972CA">
            <w:pPr>
              <w:jc w:val="both"/>
              <w:rPr>
                <w:rFonts w:ascii="Arial" w:hAnsi="Arial" w:cs="Arial"/>
                <w:sz w:val="24"/>
                <w:szCs w:val="24"/>
              </w:rPr>
            </w:pPr>
            <w:r>
              <w:rPr>
                <w:rFonts w:ascii="Arial" w:hAnsi="Arial" w:cs="Arial"/>
                <w:sz w:val="24"/>
                <w:szCs w:val="24"/>
              </w:rPr>
              <w:t>Social</w:t>
            </w:r>
          </w:p>
          <w:p w14:paraId="6A9F1061" w14:textId="77777777" w:rsidR="005F6BBD" w:rsidRDefault="005F6BBD" w:rsidP="00C972CA">
            <w:pPr>
              <w:jc w:val="both"/>
              <w:rPr>
                <w:rFonts w:ascii="Arial" w:hAnsi="Arial" w:cs="Arial"/>
                <w:sz w:val="24"/>
                <w:szCs w:val="24"/>
              </w:rPr>
            </w:pPr>
          </w:p>
        </w:tc>
        <w:tc>
          <w:tcPr>
            <w:tcW w:w="6469" w:type="dxa"/>
          </w:tcPr>
          <w:p w14:paraId="73443B18" w14:textId="77777777" w:rsidR="005F6BBD" w:rsidRDefault="005F6BBD" w:rsidP="00C972CA">
            <w:pPr>
              <w:jc w:val="both"/>
              <w:rPr>
                <w:rFonts w:ascii="Arial" w:hAnsi="Arial" w:cs="Arial"/>
                <w:sz w:val="24"/>
                <w:szCs w:val="24"/>
              </w:rPr>
            </w:pPr>
            <w:r>
              <w:rPr>
                <w:rFonts w:ascii="Arial" w:hAnsi="Arial" w:cs="Arial"/>
                <w:sz w:val="24"/>
                <w:szCs w:val="24"/>
              </w:rPr>
              <w:t>Lifestyle factors; work-life balance; population; demographics</w:t>
            </w:r>
          </w:p>
        </w:tc>
      </w:tr>
      <w:tr w:rsidR="005F6BBD" w14:paraId="3AA435B6" w14:textId="77777777" w:rsidTr="00C972CA">
        <w:tc>
          <w:tcPr>
            <w:tcW w:w="2547" w:type="dxa"/>
            <w:shd w:val="clear" w:color="auto" w:fill="FF0000"/>
          </w:tcPr>
          <w:p w14:paraId="4770ADF4" w14:textId="77777777" w:rsidR="005F6BBD" w:rsidRDefault="005F6BBD" w:rsidP="00C972CA">
            <w:pPr>
              <w:jc w:val="both"/>
              <w:rPr>
                <w:rFonts w:ascii="Arial" w:hAnsi="Arial" w:cs="Arial"/>
                <w:sz w:val="24"/>
                <w:szCs w:val="24"/>
              </w:rPr>
            </w:pPr>
            <w:r>
              <w:rPr>
                <w:rFonts w:ascii="Arial" w:hAnsi="Arial" w:cs="Arial"/>
                <w:sz w:val="24"/>
                <w:szCs w:val="24"/>
              </w:rPr>
              <w:t>Technology</w:t>
            </w:r>
          </w:p>
          <w:p w14:paraId="48CE408F" w14:textId="77777777" w:rsidR="005F6BBD" w:rsidRDefault="005F6BBD" w:rsidP="00C972CA">
            <w:pPr>
              <w:jc w:val="both"/>
              <w:rPr>
                <w:rFonts w:ascii="Arial" w:hAnsi="Arial" w:cs="Arial"/>
                <w:sz w:val="24"/>
                <w:szCs w:val="24"/>
              </w:rPr>
            </w:pPr>
          </w:p>
        </w:tc>
        <w:tc>
          <w:tcPr>
            <w:tcW w:w="6469" w:type="dxa"/>
          </w:tcPr>
          <w:p w14:paraId="2B8F7C67" w14:textId="77777777" w:rsidR="005F6BBD" w:rsidRDefault="005F6BBD" w:rsidP="00C972CA">
            <w:pPr>
              <w:jc w:val="both"/>
              <w:rPr>
                <w:rFonts w:ascii="Arial" w:hAnsi="Arial" w:cs="Arial"/>
                <w:sz w:val="24"/>
                <w:szCs w:val="24"/>
              </w:rPr>
            </w:pPr>
            <w:r>
              <w:rPr>
                <w:rFonts w:ascii="Arial" w:hAnsi="Arial" w:cs="Arial"/>
                <w:sz w:val="24"/>
                <w:szCs w:val="24"/>
              </w:rPr>
              <w:t>Automation; innovation; social networking; robotics</w:t>
            </w:r>
          </w:p>
        </w:tc>
      </w:tr>
      <w:tr w:rsidR="005F6BBD" w14:paraId="3189493C" w14:textId="77777777" w:rsidTr="00C972CA">
        <w:tc>
          <w:tcPr>
            <w:tcW w:w="2547" w:type="dxa"/>
            <w:shd w:val="clear" w:color="auto" w:fill="FFC000"/>
          </w:tcPr>
          <w:p w14:paraId="48AD6D18" w14:textId="77777777" w:rsidR="005F6BBD" w:rsidRDefault="005F6BBD" w:rsidP="00C972CA">
            <w:pPr>
              <w:jc w:val="both"/>
              <w:rPr>
                <w:rFonts w:ascii="Arial" w:hAnsi="Arial" w:cs="Arial"/>
                <w:sz w:val="24"/>
                <w:szCs w:val="24"/>
              </w:rPr>
            </w:pPr>
            <w:r>
              <w:rPr>
                <w:rFonts w:ascii="Arial" w:hAnsi="Arial" w:cs="Arial"/>
                <w:sz w:val="24"/>
                <w:szCs w:val="24"/>
              </w:rPr>
              <w:t>Legal</w:t>
            </w:r>
          </w:p>
          <w:p w14:paraId="403F13BA" w14:textId="77777777" w:rsidR="005F6BBD" w:rsidRDefault="005F6BBD" w:rsidP="00C972CA">
            <w:pPr>
              <w:jc w:val="both"/>
              <w:rPr>
                <w:rFonts w:ascii="Arial" w:hAnsi="Arial" w:cs="Arial"/>
                <w:sz w:val="24"/>
                <w:szCs w:val="24"/>
              </w:rPr>
            </w:pPr>
          </w:p>
        </w:tc>
        <w:tc>
          <w:tcPr>
            <w:tcW w:w="6469" w:type="dxa"/>
          </w:tcPr>
          <w:p w14:paraId="4EE49086" w14:textId="77777777" w:rsidR="005F6BBD" w:rsidRDefault="005F6BBD" w:rsidP="00C972CA">
            <w:pPr>
              <w:jc w:val="both"/>
              <w:rPr>
                <w:rFonts w:ascii="Arial" w:hAnsi="Arial" w:cs="Arial"/>
                <w:sz w:val="24"/>
                <w:szCs w:val="24"/>
              </w:rPr>
            </w:pPr>
            <w:r>
              <w:rPr>
                <w:rFonts w:ascii="Arial" w:hAnsi="Arial" w:cs="Arial"/>
                <w:sz w:val="24"/>
                <w:szCs w:val="24"/>
              </w:rPr>
              <w:t>Employment law; health and safety regulations; local labour law</w:t>
            </w:r>
          </w:p>
        </w:tc>
      </w:tr>
      <w:tr w:rsidR="005F6BBD" w14:paraId="08802A0D" w14:textId="77777777" w:rsidTr="00C972CA">
        <w:tc>
          <w:tcPr>
            <w:tcW w:w="2547" w:type="dxa"/>
            <w:shd w:val="clear" w:color="auto" w:fill="00B0F0"/>
          </w:tcPr>
          <w:p w14:paraId="7ACB537E" w14:textId="77777777" w:rsidR="005F6BBD" w:rsidRDefault="005F6BBD" w:rsidP="00C972CA">
            <w:pPr>
              <w:jc w:val="both"/>
              <w:rPr>
                <w:rFonts w:ascii="Arial" w:hAnsi="Arial" w:cs="Arial"/>
                <w:sz w:val="24"/>
                <w:szCs w:val="24"/>
              </w:rPr>
            </w:pPr>
            <w:r>
              <w:rPr>
                <w:rFonts w:ascii="Arial" w:hAnsi="Arial" w:cs="Arial"/>
                <w:sz w:val="24"/>
                <w:szCs w:val="24"/>
              </w:rPr>
              <w:t>Environmental</w:t>
            </w:r>
          </w:p>
          <w:p w14:paraId="654EFAAA" w14:textId="77777777" w:rsidR="005F6BBD" w:rsidRDefault="005F6BBD" w:rsidP="00C972CA">
            <w:pPr>
              <w:jc w:val="both"/>
              <w:rPr>
                <w:rFonts w:ascii="Arial" w:hAnsi="Arial" w:cs="Arial"/>
                <w:sz w:val="24"/>
                <w:szCs w:val="24"/>
              </w:rPr>
            </w:pPr>
          </w:p>
        </w:tc>
        <w:tc>
          <w:tcPr>
            <w:tcW w:w="6469" w:type="dxa"/>
          </w:tcPr>
          <w:p w14:paraId="21F32932" w14:textId="77777777" w:rsidR="005F6BBD" w:rsidRDefault="005F6BBD" w:rsidP="00C972CA">
            <w:pPr>
              <w:jc w:val="both"/>
              <w:rPr>
                <w:rFonts w:ascii="Arial" w:hAnsi="Arial" w:cs="Arial"/>
                <w:sz w:val="24"/>
                <w:szCs w:val="24"/>
              </w:rPr>
            </w:pPr>
            <w:r>
              <w:rPr>
                <w:rFonts w:ascii="Arial" w:hAnsi="Arial" w:cs="Arial"/>
                <w:sz w:val="24"/>
                <w:szCs w:val="24"/>
              </w:rPr>
              <w:t>Future pandemics; supply chain; procurement; transportation; ethical sourcing</w:t>
            </w:r>
          </w:p>
        </w:tc>
      </w:tr>
    </w:tbl>
    <w:p w14:paraId="37D9E1C1" w14:textId="17BF68A7" w:rsidR="005F6BBD" w:rsidRPr="00267428" w:rsidRDefault="005F6BBD" w:rsidP="005F6BBD">
      <w:pPr>
        <w:spacing w:after="0"/>
        <w:jc w:val="both"/>
        <w:rPr>
          <w:rFonts w:ascii="Arial" w:hAnsi="Arial" w:cs="Arial"/>
          <w:b/>
          <w:i/>
          <w:sz w:val="20"/>
          <w:szCs w:val="20"/>
        </w:rPr>
      </w:pPr>
      <w:r w:rsidRPr="00267428">
        <w:rPr>
          <w:rFonts w:ascii="Arial" w:hAnsi="Arial" w:cs="Arial"/>
          <w:b/>
          <w:i/>
          <w:sz w:val="20"/>
          <w:szCs w:val="20"/>
        </w:rPr>
        <w:t>Figure 1: Examples of PESTLE analysis factors</w:t>
      </w:r>
      <w:r>
        <w:rPr>
          <w:rFonts w:ascii="Arial" w:hAnsi="Arial" w:cs="Arial"/>
          <w:b/>
          <w:i/>
          <w:sz w:val="20"/>
          <w:szCs w:val="20"/>
        </w:rPr>
        <w:t xml:space="preserve"> –</w:t>
      </w:r>
      <w:r w:rsidRPr="00267428">
        <w:rPr>
          <w:rFonts w:ascii="Arial" w:hAnsi="Arial" w:cs="Arial"/>
          <w:b/>
          <w:i/>
          <w:sz w:val="20"/>
          <w:szCs w:val="20"/>
        </w:rPr>
        <w:t xml:space="preserve"> </w:t>
      </w:r>
      <w:r>
        <w:rPr>
          <w:rFonts w:ascii="Arial" w:hAnsi="Arial" w:cs="Arial"/>
          <w:b/>
          <w:i/>
          <w:sz w:val="20"/>
          <w:szCs w:val="20"/>
        </w:rPr>
        <w:t>(Hayden, 2025</w:t>
      </w:r>
      <w:r w:rsidRPr="00267428">
        <w:rPr>
          <w:rFonts w:ascii="Arial" w:hAnsi="Arial" w:cs="Arial"/>
          <w:b/>
          <w:i/>
          <w:sz w:val="20"/>
          <w:szCs w:val="20"/>
        </w:rPr>
        <w:t>)</w:t>
      </w:r>
    </w:p>
    <w:p w14:paraId="3CB68952" w14:textId="77777777" w:rsidR="005F6BBD" w:rsidRDefault="005F6BBD" w:rsidP="005F6BBD">
      <w:pPr>
        <w:spacing w:after="0"/>
        <w:jc w:val="both"/>
        <w:rPr>
          <w:rFonts w:ascii="Arial" w:hAnsi="Arial" w:cs="Arial"/>
          <w:sz w:val="24"/>
          <w:szCs w:val="24"/>
        </w:rPr>
      </w:pPr>
    </w:p>
    <w:p w14:paraId="41BEF152" w14:textId="67232A41" w:rsidR="005F6BBD" w:rsidRDefault="005F6BBD" w:rsidP="005F6BBD">
      <w:pPr>
        <w:spacing w:after="0"/>
        <w:jc w:val="both"/>
        <w:rPr>
          <w:rFonts w:ascii="Arial" w:hAnsi="Arial" w:cs="Arial"/>
          <w:sz w:val="24"/>
          <w:szCs w:val="24"/>
        </w:rPr>
      </w:pPr>
      <w:r>
        <w:rPr>
          <w:rFonts w:ascii="Arial" w:hAnsi="Arial" w:cs="Arial"/>
          <w:sz w:val="24"/>
          <w:szCs w:val="24"/>
        </w:rPr>
        <w:t>Kew &amp; Stredwick (2010, p.9) explain the benefits of organisations utilising the PESTLE tool by being proactive in identifying and analysing external environmental factors affecting and influencing current and future organisational and HR strategies. The analytical tool was first used in the early 1980’s referred to as PEST and by the</w:t>
      </w:r>
      <w:r w:rsidR="00DC6C4A">
        <w:rPr>
          <w:rFonts w:ascii="Arial" w:hAnsi="Arial" w:cs="Arial"/>
          <w:sz w:val="24"/>
          <w:szCs w:val="24"/>
        </w:rPr>
        <w:t xml:space="preserve"> early</w:t>
      </w:r>
      <w:r>
        <w:rPr>
          <w:rFonts w:ascii="Arial" w:hAnsi="Arial" w:cs="Arial"/>
          <w:sz w:val="24"/>
          <w:szCs w:val="24"/>
        </w:rPr>
        <w:t xml:space="preserve"> 2000’s </w:t>
      </w:r>
      <w:r w:rsidR="00DC6C4A">
        <w:rPr>
          <w:rFonts w:ascii="Arial" w:hAnsi="Arial" w:cs="Arial"/>
          <w:sz w:val="24"/>
          <w:szCs w:val="24"/>
        </w:rPr>
        <w:t xml:space="preserve">it </w:t>
      </w:r>
      <w:r>
        <w:rPr>
          <w:rFonts w:ascii="Arial" w:hAnsi="Arial" w:cs="Arial"/>
          <w:sz w:val="24"/>
          <w:szCs w:val="24"/>
        </w:rPr>
        <w:t>evolved into STEEPLE recognising ethics as an additional factor for consideration.</w:t>
      </w:r>
      <w:r w:rsidR="00DC6C4A">
        <w:rPr>
          <w:rFonts w:ascii="Arial" w:hAnsi="Arial" w:cs="Arial"/>
          <w:sz w:val="24"/>
          <w:szCs w:val="24"/>
        </w:rPr>
        <w:t xml:space="preserve">  However, this report is focussing on PESTLE.</w:t>
      </w:r>
    </w:p>
    <w:p w14:paraId="553CAB28" w14:textId="77777777" w:rsidR="005F6BBD" w:rsidRDefault="005F6BBD" w:rsidP="005F6BBD">
      <w:pPr>
        <w:spacing w:after="0"/>
        <w:jc w:val="both"/>
        <w:rPr>
          <w:rFonts w:ascii="Arial" w:hAnsi="Arial" w:cs="Arial"/>
          <w:sz w:val="24"/>
          <w:szCs w:val="24"/>
        </w:rPr>
      </w:pPr>
    </w:p>
    <w:p w14:paraId="137F0B9B" w14:textId="6CA496C6" w:rsidR="005F6BBD" w:rsidRDefault="005F6BBD" w:rsidP="005F6BBD">
      <w:pPr>
        <w:spacing w:after="0"/>
        <w:jc w:val="both"/>
        <w:rPr>
          <w:rFonts w:ascii="Arial" w:hAnsi="Arial" w:cs="Arial"/>
          <w:sz w:val="24"/>
          <w:szCs w:val="24"/>
        </w:rPr>
      </w:pPr>
      <w:r>
        <w:rPr>
          <w:rFonts w:ascii="Arial" w:hAnsi="Arial" w:cs="Arial"/>
          <w:sz w:val="24"/>
          <w:szCs w:val="24"/>
        </w:rPr>
        <w:t>Hayden (2025) refers to the PESTLE tool as a simple framework in supporting strategic decision making and longer-term sustainability</w:t>
      </w:r>
      <w:r w:rsidR="003B68E1">
        <w:rPr>
          <w:rFonts w:ascii="Arial" w:hAnsi="Arial" w:cs="Arial"/>
          <w:sz w:val="24"/>
          <w:szCs w:val="24"/>
        </w:rPr>
        <w:t xml:space="preserve">, </w:t>
      </w:r>
      <w:r w:rsidR="00205C10">
        <w:rPr>
          <w:rFonts w:ascii="Arial" w:hAnsi="Arial" w:cs="Arial"/>
          <w:sz w:val="24"/>
          <w:szCs w:val="24"/>
        </w:rPr>
        <w:t xml:space="preserve">template </w:t>
      </w:r>
      <w:r w:rsidR="003B68E1">
        <w:rPr>
          <w:rFonts w:ascii="Arial" w:hAnsi="Arial" w:cs="Arial"/>
          <w:sz w:val="24"/>
          <w:szCs w:val="24"/>
        </w:rPr>
        <w:t xml:space="preserve">example provided at </w:t>
      </w:r>
      <w:r w:rsidR="003B68E1" w:rsidRPr="003B68E1">
        <w:rPr>
          <w:rFonts w:ascii="Arial" w:hAnsi="Arial" w:cs="Arial"/>
          <w:b/>
          <w:bCs/>
          <w:sz w:val="24"/>
          <w:szCs w:val="24"/>
        </w:rPr>
        <w:t>Appendix 1</w:t>
      </w:r>
      <w:r w:rsidR="00205C10">
        <w:rPr>
          <w:rFonts w:ascii="Arial" w:hAnsi="Arial" w:cs="Arial"/>
          <w:b/>
          <w:bCs/>
          <w:sz w:val="24"/>
          <w:szCs w:val="24"/>
        </w:rPr>
        <w:t xml:space="preserve">, </w:t>
      </w:r>
      <w:r w:rsidR="00205C10" w:rsidRPr="00205C10">
        <w:rPr>
          <w:rFonts w:ascii="Arial" w:hAnsi="Arial" w:cs="Arial"/>
          <w:sz w:val="24"/>
          <w:szCs w:val="24"/>
        </w:rPr>
        <w:t>(CIPD 2025a)</w:t>
      </w:r>
      <w:r>
        <w:rPr>
          <w:rFonts w:ascii="Arial" w:hAnsi="Arial" w:cs="Arial"/>
          <w:sz w:val="24"/>
          <w:szCs w:val="24"/>
        </w:rPr>
        <w:t>.  However, in order for</w:t>
      </w:r>
      <w:r w:rsidR="00DC6C4A">
        <w:rPr>
          <w:rFonts w:ascii="Arial" w:hAnsi="Arial" w:cs="Arial"/>
          <w:sz w:val="24"/>
          <w:szCs w:val="24"/>
        </w:rPr>
        <w:t xml:space="preserve"> the tool </w:t>
      </w:r>
      <w:r>
        <w:rPr>
          <w:rFonts w:ascii="Arial" w:hAnsi="Arial" w:cs="Arial"/>
          <w:sz w:val="24"/>
          <w:szCs w:val="24"/>
        </w:rPr>
        <w:t>to be effective, it is suggested that it should be regularly reviewed and incorporated into change management processes, utilising expertise and resources within the organisation.</w:t>
      </w:r>
    </w:p>
    <w:p w14:paraId="0BECE645" w14:textId="77777777" w:rsidR="005F6BBD" w:rsidRDefault="005F6BBD" w:rsidP="005F6BBD">
      <w:pPr>
        <w:spacing w:after="0"/>
        <w:jc w:val="both"/>
        <w:rPr>
          <w:rFonts w:ascii="Arial" w:hAnsi="Arial" w:cs="Arial"/>
          <w:sz w:val="24"/>
          <w:szCs w:val="24"/>
        </w:rPr>
      </w:pPr>
    </w:p>
    <w:p w14:paraId="1A4A97F2" w14:textId="3141E5E8" w:rsidR="005F6BBD" w:rsidRDefault="005F6BBD" w:rsidP="005F6BBD">
      <w:pPr>
        <w:spacing w:after="0"/>
        <w:jc w:val="both"/>
        <w:rPr>
          <w:rFonts w:ascii="Arial" w:hAnsi="Arial" w:cs="Arial"/>
          <w:sz w:val="24"/>
          <w:szCs w:val="24"/>
        </w:rPr>
      </w:pPr>
      <w:r w:rsidRPr="00B94C03">
        <w:rPr>
          <w:rFonts w:ascii="Arial" w:hAnsi="Arial" w:cs="Arial"/>
          <w:sz w:val="24"/>
          <w:szCs w:val="24"/>
        </w:rPr>
        <w:t>NPTCBC is a public sector organisation</w:t>
      </w:r>
      <w:r>
        <w:rPr>
          <w:rFonts w:ascii="Arial" w:hAnsi="Arial" w:cs="Arial"/>
          <w:sz w:val="24"/>
          <w:szCs w:val="24"/>
        </w:rPr>
        <w:t xml:space="preserve"> providing diverse services to the community </w:t>
      </w:r>
      <w:r w:rsidRPr="00B94C03">
        <w:rPr>
          <w:rFonts w:ascii="Arial" w:hAnsi="Arial" w:cs="Arial"/>
          <w:sz w:val="24"/>
          <w:szCs w:val="24"/>
        </w:rPr>
        <w:t xml:space="preserve">with a focus on political agendas, budget constraints and particular interest from the community in relation to shaping service delivery.  </w:t>
      </w:r>
      <w:r>
        <w:rPr>
          <w:rFonts w:ascii="Arial" w:hAnsi="Arial" w:cs="Arial"/>
          <w:sz w:val="24"/>
          <w:szCs w:val="24"/>
        </w:rPr>
        <w:t xml:space="preserve">The Corporate Strategy (2025-2028) details the councils’ intentions in contributing to, and improving external environmental factors within the community whilst also aligning to the seven national well-being goals detailed within the Wellbeing of Future Generations (Wales) Act </w:t>
      </w:r>
      <w:r>
        <w:rPr>
          <w:rFonts w:ascii="Arial" w:hAnsi="Arial" w:cs="Arial"/>
          <w:sz w:val="24"/>
          <w:szCs w:val="24"/>
        </w:rPr>
        <w:lastRenderedPageBreak/>
        <w:t xml:space="preserve">(2015).  Applying the PESTLE framework will enable NPTCBC to anticipate current and emerging trends, identify any risks and </w:t>
      </w:r>
      <w:r w:rsidR="00DC6C4A">
        <w:rPr>
          <w:rFonts w:ascii="Arial" w:hAnsi="Arial" w:cs="Arial"/>
          <w:sz w:val="24"/>
          <w:szCs w:val="24"/>
        </w:rPr>
        <w:t xml:space="preserve">enable forward thinking to </w:t>
      </w:r>
      <w:r>
        <w:rPr>
          <w:rFonts w:ascii="Arial" w:hAnsi="Arial" w:cs="Arial"/>
          <w:sz w:val="24"/>
          <w:szCs w:val="24"/>
        </w:rPr>
        <w:t>implement measures to mitigate the risks whilst also identifying potential opportunities to support the organisation in delivering and achieving its strategic vision and objectives which will enable longer term sustainability.</w:t>
      </w:r>
    </w:p>
    <w:p w14:paraId="3AB3DF34" w14:textId="77777777" w:rsidR="005F6BBD" w:rsidRDefault="005F6BBD" w:rsidP="005F6BBD">
      <w:pPr>
        <w:spacing w:after="0"/>
        <w:jc w:val="both"/>
        <w:rPr>
          <w:rFonts w:ascii="Arial" w:hAnsi="Arial" w:cs="Arial"/>
          <w:sz w:val="24"/>
          <w:szCs w:val="24"/>
        </w:rPr>
      </w:pPr>
    </w:p>
    <w:p w14:paraId="2186A1E3" w14:textId="30CCC286" w:rsidR="005F6BBD" w:rsidRDefault="005F6BBD" w:rsidP="005F6BBD">
      <w:pPr>
        <w:spacing w:after="0"/>
        <w:jc w:val="both"/>
        <w:rPr>
          <w:rFonts w:ascii="Arial" w:hAnsi="Arial" w:cs="Arial"/>
          <w:sz w:val="24"/>
          <w:szCs w:val="24"/>
        </w:rPr>
      </w:pPr>
      <w:r>
        <w:rPr>
          <w:rFonts w:ascii="Arial" w:hAnsi="Arial" w:cs="Arial"/>
          <w:sz w:val="24"/>
          <w:szCs w:val="24"/>
        </w:rPr>
        <w:t>In order to undertake a PESTLE successfully, a</w:t>
      </w:r>
      <w:r w:rsidRPr="00B94C03">
        <w:rPr>
          <w:rFonts w:ascii="Arial" w:hAnsi="Arial" w:cs="Arial"/>
          <w:sz w:val="24"/>
          <w:szCs w:val="24"/>
        </w:rPr>
        <w:t xml:space="preserve">s suggested by Hayden (2025), it is important to outline the scope of the research, examining both current and potential future changes and ensure it remains relevant to the sector in which the organisation functions.  </w:t>
      </w:r>
      <w:r>
        <w:rPr>
          <w:rFonts w:ascii="Arial" w:hAnsi="Arial" w:cs="Arial"/>
          <w:sz w:val="24"/>
          <w:szCs w:val="24"/>
        </w:rPr>
        <w:t xml:space="preserve">As set out by legislation, NPTCBC has responsibility to deliver </w:t>
      </w:r>
      <w:r w:rsidR="00DC6C4A">
        <w:rPr>
          <w:rFonts w:ascii="Arial" w:hAnsi="Arial" w:cs="Arial"/>
          <w:sz w:val="24"/>
          <w:szCs w:val="24"/>
        </w:rPr>
        <w:t xml:space="preserve">both </w:t>
      </w:r>
      <w:r>
        <w:rPr>
          <w:rFonts w:ascii="Arial" w:hAnsi="Arial" w:cs="Arial"/>
          <w:sz w:val="24"/>
          <w:szCs w:val="24"/>
        </w:rPr>
        <w:t>statutory</w:t>
      </w:r>
      <w:r w:rsidR="00DC6C4A">
        <w:rPr>
          <w:rFonts w:ascii="Arial" w:hAnsi="Arial" w:cs="Arial"/>
          <w:sz w:val="24"/>
          <w:szCs w:val="24"/>
        </w:rPr>
        <w:t xml:space="preserve"> and non-statutory</w:t>
      </w:r>
      <w:r>
        <w:rPr>
          <w:rFonts w:ascii="Arial" w:hAnsi="Arial" w:cs="Arial"/>
          <w:sz w:val="24"/>
          <w:szCs w:val="24"/>
        </w:rPr>
        <w:t xml:space="preserve"> services to the community and in doing so is heavily reliant on funding from the government, (</w:t>
      </w:r>
      <w:r w:rsidR="00AB0F9F">
        <w:rPr>
          <w:rFonts w:ascii="Arial" w:hAnsi="Arial" w:cs="Arial"/>
          <w:sz w:val="24"/>
          <w:szCs w:val="24"/>
        </w:rPr>
        <w:t>WLGA 2015-2025</w:t>
      </w:r>
      <w:r>
        <w:rPr>
          <w:rFonts w:ascii="Arial" w:hAnsi="Arial" w:cs="Arial"/>
          <w:sz w:val="24"/>
          <w:szCs w:val="24"/>
        </w:rPr>
        <w:t xml:space="preserve">).  With the Council being the largest employer within the area, </w:t>
      </w:r>
      <w:r w:rsidRPr="00B94C03">
        <w:rPr>
          <w:rFonts w:ascii="Arial" w:hAnsi="Arial" w:cs="Arial"/>
          <w:sz w:val="24"/>
          <w:szCs w:val="24"/>
        </w:rPr>
        <w:t>the PESTLE offers a structured, evidenced based approach to support strategic planning across the organisation</w:t>
      </w:r>
      <w:r>
        <w:rPr>
          <w:rFonts w:ascii="Arial" w:hAnsi="Arial" w:cs="Arial"/>
          <w:sz w:val="24"/>
          <w:szCs w:val="24"/>
        </w:rPr>
        <w:t xml:space="preserve"> and maintain competitive advantage.</w:t>
      </w:r>
    </w:p>
    <w:p w14:paraId="44FD4CB1" w14:textId="77777777" w:rsidR="005F6BBD" w:rsidRDefault="005F6BBD" w:rsidP="005F6BBD">
      <w:pPr>
        <w:spacing w:after="0"/>
        <w:jc w:val="both"/>
        <w:rPr>
          <w:rFonts w:ascii="Arial" w:hAnsi="Arial" w:cs="Arial"/>
          <w:sz w:val="24"/>
          <w:szCs w:val="24"/>
        </w:rPr>
      </w:pPr>
    </w:p>
    <w:p w14:paraId="44740A3A" w14:textId="621FB268" w:rsidR="005F6BBD" w:rsidRDefault="005F6BBD" w:rsidP="005F6BBD">
      <w:pPr>
        <w:spacing w:after="0"/>
        <w:jc w:val="both"/>
        <w:rPr>
          <w:rFonts w:ascii="Arial" w:hAnsi="Arial" w:cs="Arial"/>
          <w:sz w:val="24"/>
          <w:szCs w:val="24"/>
        </w:rPr>
      </w:pPr>
      <w:r>
        <w:rPr>
          <w:rFonts w:ascii="Arial" w:hAnsi="Arial" w:cs="Arial"/>
          <w:sz w:val="24"/>
          <w:szCs w:val="24"/>
        </w:rPr>
        <w:t>Whilst the PESTLE analysis enables organisations to identify external factors, Buye (2021) recognises the effectiveness of PESTLE being integrated with other models including a SWOT analysis</w:t>
      </w:r>
      <w:r w:rsidR="00205C10">
        <w:rPr>
          <w:rFonts w:ascii="Arial" w:hAnsi="Arial" w:cs="Arial"/>
          <w:sz w:val="24"/>
          <w:szCs w:val="24"/>
        </w:rPr>
        <w:t xml:space="preserve">, </w:t>
      </w:r>
      <w:r w:rsidR="00205C10" w:rsidRPr="00205C10">
        <w:rPr>
          <w:rFonts w:ascii="Arial" w:hAnsi="Arial" w:cs="Arial"/>
          <w:b/>
          <w:bCs/>
          <w:sz w:val="24"/>
          <w:szCs w:val="24"/>
        </w:rPr>
        <w:t>appendix 2</w:t>
      </w:r>
      <w:r w:rsidR="00205C10">
        <w:rPr>
          <w:rFonts w:ascii="Arial" w:hAnsi="Arial" w:cs="Arial"/>
          <w:sz w:val="24"/>
          <w:szCs w:val="24"/>
        </w:rPr>
        <w:t xml:space="preserve"> (CIPD, 2025b)</w:t>
      </w:r>
      <w:r>
        <w:rPr>
          <w:rFonts w:ascii="Arial" w:hAnsi="Arial" w:cs="Arial"/>
          <w:sz w:val="24"/>
          <w:szCs w:val="24"/>
        </w:rPr>
        <w:t xml:space="preserve"> and Five Porters Forces</w:t>
      </w:r>
      <w:r w:rsidR="00FF416C">
        <w:rPr>
          <w:rFonts w:ascii="Arial" w:hAnsi="Arial" w:cs="Arial"/>
          <w:sz w:val="24"/>
          <w:szCs w:val="24"/>
        </w:rPr>
        <w:t>,</w:t>
      </w:r>
      <w:r w:rsidR="00205C10">
        <w:rPr>
          <w:rFonts w:ascii="Arial" w:hAnsi="Arial" w:cs="Arial"/>
          <w:sz w:val="24"/>
          <w:szCs w:val="24"/>
        </w:rPr>
        <w:t xml:space="preserve"> </w:t>
      </w:r>
      <w:r w:rsidR="00205C10" w:rsidRPr="00205C10">
        <w:rPr>
          <w:rFonts w:ascii="Arial" w:hAnsi="Arial" w:cs="Arial"/>
          <w:b/>
          <w:bCs/>
          <w:sz w:val="24"/>
          <w:szCs w:val="24"/>
        </w:rPr>
        <w:t>appendix 3</w:t>
      </w:r>
      <w:r w:rsidR="00205C10">
        <w:rPr>
          <w:rFonts w:ascii="Arial" w:hAnsi="Arial" w:cs="Arial"/>
          <w:sz w:val="24"/>
          <w:szCs w:val="24"/>
        </w:rPr>
        <w:t xml:space="preserve"> (Havard Business School, 2008) </w:t>
      </w:r>
      <w:r>
        <w:rPr>
          <w:rFonts w:ascii="Arial" w:hAnsi="Arial" w:cs="Arial"/>
          <w:sz w:val="24"/>
          <w:szCs w:val="24"/>
        </w:rPr>
        <w:t>obtaining critical internal and external information to enable holistic strategic decision making, support organisational goals and ensure sustainability in a competitive market.</w:t>
      </w:r>
    </w:p>
    <w:p w14:paraId="28882A4A" w14:textId="77777777" w:rsidR="00FF416C" w:rsidRDefault="00FF416C" w:rsidP="005F6BBD">
      <w:pPr>
        <w:spacing w:after="0"/>
        <w:jc w:val="both"/>
        <w:rPr>
          <w:rFonts w:ascii="Arial" w:hAnsi="Arial" w:cs="Arial"/>
          <w:sz w:val="24"/>
          <w:szCs w:val="24"/>
        </w:rPr>
      </w:pPr>
    </w:p>
    <w:p w14:paraId="049DDC97" w14:textId="3DB37479" w:rsidR="005F6BBD" w:rsidRDefault="005F6BBD" w:rsidP="005F6BBD">
      <w:pPr>
        <w:spacing w:after="0"/>
        <w:jc w:val="both"/>
        <w:rPr>
          <w:rFonts w:ascii="Arial" w:hAnsi="Arial" w:cs="Arial"/>
          <w:sz w:val="24"/>
          <w:szCs w:val="24"/>
        </w:rPr>
      </w:pPr>
      <w:r>
        <w:rPr>
          <w:rFonts w:ascii="Arial" w:hAnsi="Arial" w:cs="Arial"/>
          <w:sz w:val="24"/>
          <w:szCs w:val="24"/>
        </w:rPr>
        <w:t>Recommendations will be provided for consideration.</w:t>
      </w:r>
    </w:p>
    <w:p w14:paraId="5CE3A086" w14:textId="77777777" w:rsidR="005F6BBD" w:rsidRDefault="005F6BBD" w:rsidP="0057143B">
      <w:pPr>
        <w:spacing w:after="0"/>
        <w:rPr>
          <w:rFonts w:ascii="Arial" w:hAnsi="Arial" w:cs="Arial"/>
          <w:sz w:val="24"/>
          <w:szCs w:val="24"/>
        </w:rPr>
      </w:pPr>
    </w:p>
    <w:p w14:paraId="61CB10F6" w14:textId="41A66AA6" w:rsidR="00AB16E0" w:rsidRDefault="00AB16E0" w:rsidP="00AB16E0">
      <w:pPr>
        <w:pStyle w:val="ListParagraph"/>
        <w:numPr>
          <w:ilvl w:val="0"/>
          <w:numId w:val="1"/>
        </w:numPr>
        <w:spacing w:after="0"/>
        <w:ind w:left="709" w:hanging="709"/>
        <w:jc w:val="both"/>
        <w:rPr>
          <w:rFonts w:ascii="Arial" w:hAnsi="Arial" w:cs="Arial"/>
          <w:b/>
          <w:bCs/>
          <w:sz w:val="24"/>
          <w:szCs w:val="24"/>
        </w:rPr>
      </w:pPr>
      <w:r>
        <w:rPr>
          <w:rFonts w:ascii="Arial" w:hAnsi="Arial" w:cs="Arial"/>
          <w:b/>
          <w:bCs/>
          <w:sz w:val="24"/>
          <w:szCs w:val="24"/>
        </w:rPr>
        <w:t xml:space="preserve">Main </w:t>
      </w:r>
      <w:r w:rsidRPr="00006854">
        <w:rPr>
          <w:rFonts w:ascii="Arial" w:hAnsi="Arial" w:cs="Arial"/>
          <w:b/>
          <w:bCs/>
          <w:sz w:val="24"/>
          <w:szCs w:val="24"/>
        </w:rPr>
        <w:t>Findings</w:t>
      </w:r>
    </w:p>
    <w:p w14:paraId="031D3072" w14:textId="1A34373C" w:rsidR="00AB16E0" w:rsidRDefault="00AB16E0" w:rsidP="00AB16E0">
      <w:pPr>
        <w:spacing w:after="0"/>
        <w:jc w:val="both"/>
        <w:rPr>
          <w:rFonts w:ascii="Arial" w:hAnsi="Arial" w:cs="Arial"/>
          <w:sz w:val="24"/>
          <w:szCs w:val="24"/>
        </w:rPr>
      </w:pPr>
      <w:r>
        <w:rPr>
          <w:rFonts w:ascii="Arial" w:hAnsi="Arial" w:cs="Arial"/>
          <w:sz w:val="24"/>
          <w:szCs w:val="24"/>
        </w:rPr>
        <w:t xml:space="preserve">The following factors consider the current UK Government’s Make Work Pay plan which </w:t>
      </w:r>
      <w:r w:rsidR="006D65AB">
        <w:rPr>
          <w:rFonts w:ascii="Arial" w:hAnsi="Arial" w:cs="Arial"/>
          <w:sz w:val="24"/>
          <w:szCs w:val="24"/>
        </w:rPr>
        <w:t xml:space="preserve">is </w:t>
      </w:r>
      <w:r>
        <w:rPr>
          <w:rFonts w:ascii="Arial" w:hAnsi="Arial" w:cs="Arial"/>
          <w:sz w:val="24"/>
          <w:szCs w:val="24"/>
        </w:rPr>
        <w:t xml:space="preserve">a legislative measure aimed at enhancing and modernising protections for employees.  It seeks to address gaps in existing employment law, introduce new worker rights and improve enforcement mechanisms. </w:t>
      </w:r>
      <w:r w:rsidRPr="00132E18">
        <w:rPr>
          <w:rFonts w:ascii="Arial" w:hAnsi="Arial" w:cs="Arial"/>
          <w:sz w:val="24"/>
          <w:szCs w:val="24"/>
        </w:rPr>
        <w:t xml:space="preserve"> (UK Government, 2025</w:t>
      </w:r>
      <w:r>
        <w:rPr>
          <w:rFonts w:ascii="Arial" w:hAnsi="Arial" w:cs="Arial"/>
          <w:sz w:val="24"/>
          <w:szCs w:val="24"/>
        </w:rPr>
        <w:t>a</w:t>
      </w:r>
      <w:r w:rsidRPr="00132E18">
        <w:rPr>
          <w:rFonts w:ascii="Arial" w:hAnsi="Arial" w:cs="Arial"/>
          <w:sz w:val="24"/>
          <w:szCs w:val="24"/>
        </w:rPr>
        <w:t>)</w:t>
      </w:r>
      <w:r w:rsidR="00205C10">
        <w:rPr>
          <w:rFonts w:ascii="Arial" w:hAnsi="Arial" w:cs="Arial"/>
          <w:sz w:val="24"/>
          <w:szCs w:val="24"/>
        </w:rPr>
        <w:t>.</w:t>
      </w:r>
    </w:p>
    <w:p w14:paraId="11D82590" w14:textId="77777777" w:rsidR="00AB16E0" w:rsidRDefault="00AB16E0" w:rsidP="00AB16E0">
      <w:pPr>
        <w:spacing w:after="0"/>
        <w:jc w:val="both"/>
        <w:rPr>
          <w:rFonts w:ascii="Arial" w:hAnsi="Arial" w:cs="Arial"/>
          <w:b/>
          <w:bCs/>
          <w:sz w:val="24"/>
          <w:szCs w:val="24"/>
        </w:rPr>
      </w:pPr>
    </w:p>
    <w:p w14:paraId="2C25B5DF" w14:textId="7A006150" w:rsidR="00AB16E0" w:rsidRDefault="00AB16E0" w:rsidP="00AB16E0">
      <w:pPr>
        <w:spacing w:after="0"/>
        <w:jc w:val="both"/>
        <w:rPr>
          <w:rFonts w:ascii="Arial" w:hAnsi="Arial" w:cs="Arial"/>
          <w:b/>
          <w:bCs/>
          <w:sz w:val="24"/>
          <w:szCs w:val="24"/>
        </w:rPr>
      </w:pPr>
      <w:r>
        <w:rPr>
          <w:rFonts w:ascii="Arial" w:hAnsi="Arial" w:cs="Arial"/>
          <w:b/>
          <w:bCs/>
          <w:sz w:val="24"/>
          <w:szCs w:val="24"/>
        </w:rPr>
        <w:t>2.</w:t>
      </w:r>
      <w:r w:rsidR="00741A49">
        <w:rPr>
          <w:rFonts w:ascii="Arial" w:hAnsi="Arial" w:cs="Arial"/>
          <w:b/>
          <w:bCs/>
          <w:sz w:val="24"/>
          <w:szCs w:val="24"/>
        </w:rPr>
        <w:t>1</w:t>
      </w:r>
      <w:r>
        <w:rPr>
          <w:rFonts w:ascii="Arial" w:hAnsi="Arial" w:cs="Arial"/>
          <w:b/>
          <w:bCs/>
          <w:sz w:val="24"/>
          <w:szCs w:val="24"/>
        </w:rPr>
        <w:tab/>
      </w:r>
      <w:r w:rsidRPr="00D76722">
        <w:rPr>
          <w:rFonts w:ascii="Arial" w:hAnsi="Arial" w:cs="Arial"/>
          <w:b/>
          <w:bCs/>
          <w:sz w:val="24"/>
          <w:szCs w:val="24"/>
        </w:rPr>
        <w:t>Legal Factor</w:t>
      </w:r>
    </w:p>
    <w:p w14:paraId="3DBEEB1A" w14:textId="77777777" w:rsidR="00AB16E0" w:rsidRDefault="00AB16E0" w:rsidP="00AB16E0">
      <w:pPr>
        <w:spacing w:after="0"/>
        <w:jc w:val="both"/>
        <w:rPr>
          <w:rFonts w:ascii="Arial" w:hAnsi="Arial" w:cs="Arial"/>
          <w:sz w:val="24"/>
          <w:szCs w:val="24"/>
        </w:rPr>
      </w:pPr>
      <w:r>
        <w:rPr>
          <w:rFonts w:ascii="Arial" w:hAnsi="Arial" w:cs="Arial"/>
          <w:sz w:val="24"/>
          <w:szCs w:val="24"/>
        </w:rPr>
        <w:t>Organisations are compelled by legislative changes governed by law and therefore, it is important to be aware of how the proposals may impact NPTCBC in terms of decision making, competitive advantage and long-term sustainability.</w:t>
      </w:r>
    </w:p>
    <w:p w14:paraId="604E1C09" w14:textId="77777777" w:rsidR="00AB16E0" w:rsidRPr="00D420AC" w:rsidRDefault="00AB16E0" w:rsidP="00AB16E0">
      <w:pPr>
        <w:spacing w:after="0"/>
        <w:jc w:val="both"/>
        <w:rPr>
          <w:rFonts w:ascii="Arial" w:hAnsi="Arial" w:cs="Arial"/>
          <w:sz w:val="24"/>
          <w:szCs w:val="24"/>
          <w:highlight w:val="yellow"/>
        </w:rPr>
      </w:pPr>
    </w:p>
    <w:p w14:paraId="2F966C13" w14:textId="5C9FC1F2" w:rsidR="00AB16E0" w:rsidRDefault="00AB16E0" w:rsidP="00AB16E0">
      <w:pPr>
        <w:spacing w:after="0"/>
        <w:jc w:val="both"/>
        <w:rPr>
          <w:rFonts w:ascii="Arial" w:hAnsi="Arial" w:cs="Arial"/>
          <w:sz w:val="24"/>
          <w:szCs w:val="24"/>
        </w:rPr>
      </w:pPr>
      <w:r>
        <w:rPr>
          <w:rFonts w:ascii="Arial" w:hAnsi="Arial" w:cs="Arial"/>
          <w:sz w:val="24"/>
          <w:szCs w:val="24"/>
        </w:rPr>
        <w:t>The Employment Rights Bill proposes to provide employees with protection against unfair dismissal from the first day of employment and introduces a ‘statutory probation period’ to enhance employee protections and recognise the importance of ensuring a job is the right fit for both employers and employees.  (UK Government, 2025b)</w:t>
      </w:r>
      <w:r w:rsidR="00205C10">
        <w:rPr>
          <w:rFonts w:ascii="Arial" w:hAnsi="Arial" w:cs="Arial"/>
          <w:sz w:val="24"/>
          <w:szCs w:val="24"/>
        </w:rPr>
        <w:t>.</w:t>
      </w:r>
    </w:p>
    <w:p w14:paraId="38BCD079" w14:textId="77777777" w:rsidR="00AB16E0" w:rsidRDefault="00AB16E0" w:rsidP="00AB16E0">
      <w:pPr>
        <w:spacing w:after="0"/>
        <w:jc w:val="both"/>
        <w:rPr>
          <w:rFonts w:ascii="Arial" w:hAnsi="Arial" w:cs="Arial"/>
          <w:sz w:val="24"/>
          <w:szCs w:val="24"/>
        </w:rPr>
      </w:pPr>
    </w:p>
    <w:p w14:paraId="3E9674F1" w14:textId="77777777" w:rsidR="00AB16E0" w:rsidRDefault="00AB16E0" w:rsidP="00AB16E0">
      <w:pPr>
        <w:spacing w:after="0"/>
        <w:jc w:val="both"/>
        <w:rPr>
          <w:rFonts w:ascii="Arial" w:hAnsi="Arial" w:cs="Arial"/>
          <w:sz w:val="24"/>
          <w:szCs w:val="24"/>
        </w:rPr>
      </w:pPr>
      <w:r>
        <w:rPr>
          <w:rFonts w:ascii="Arial" w:hAnsi="Arial" w:cs="Arial"/>
          <w:sz w:val="24"/>
          <w:szCs w:val="24"/>
        </w:rPr>
        <w:t>Currently, employees need two years continuous service to qualify for unfair dismissal protection.  In addition, employers can use their discretion on whether to implement probationary periods.</w:t>
      </w:r>
    </w:p>
    <w:p w14:paraId="2D112A3A" w14:textId="77777777" w:rsidR="00AB16E0" w:rsidRDefault="00AB16E0" w:rsidP="00AB16E0">
      <w:pPr>
        <w:spacing w:after="0"/>
        <w:jc w:val="both"/>
        <w:rPr>
          <w:rFonts w:ascii="Arial" w:hAnsi="Arial" w:cs="Arial"/>
          <w:sz w:val="24"/>
          <w:szCs w:val="24"/>
        </w:rPr>
      </w:pPr>
    </w:p>
    <w:p w14:paraId="068DC366" w14:textId="5C109702" w:rsidR="00AB16E0" w:rsidRDefault="00AB16E0" w:rsidP="00AB16E0">
      <w:pPr>
        <w:spacing w:after="0"/>
        <w:jc w:val="both"/>
        <w:rPr>
          <w:rFonts w:ascii="Arial" w:hAnsi="Arial" w:cs="Arial"/>
          <w:sz w:val="24"/>
          <w:szCs w:val="24"/>
        </w:rPr>
      </w:pPr>
      <w:r>
        <w:rPr>
          <w:rFonts w:ascii="Arial" w:hAnsi="Arial" w:cs="Arial"/>
          <w:sz w:val="24"/>
          <w:szCs w:val="24"/>
        </w:rPr>
        <w:lastRenderedPageBreak/>
        <w:t>This matter was debated in the House of Lords on 28</w:t>
      </w:r>
      <w:r w:rsidRPr="00F24CA2">
        <w:rPr>
          <w:rFonts w:ascii="Arial" w:hAnsi="Arial" w:cs="Arial"/>
          <w:sz w:val="24"/>
          <w:szCs w:val="24"/>
          <w:vertAlign w:val="superscript"/>
        </w:rPr>
        <w:t>th</w:t>
      </w:r>
      <w:r>
        <w:rPr>
          <w:rFonts w:ascii="Arial" w:hAnsi="Arial" w:cs="Arial"/>
          <w:sz w:val="24"/>
          <w:szCs w:val="24"/>
        </w:rPr>
        <w:t xml:space="preserve"> October 2025 during which there was a call for consideration of reducing the qualifying period to 6 months, this remains ongoing </w:t>
      </w:r>
      <w:r w:rsidRPr="00316528">
        <w:rPr>
          <w:rFonts w:ascii="Arial" w:hAnsi="Arial" w:cs="Arial"/>
          <w:sz w:val="24"/>
          <w:szCs w:val="24"/>
        </w:rPr>
        <w:t>however, it is important for organisations to consider a strategic approach in preparing for the changes to avoid potential claims, (</w:t>
      </w:r>
      <w:r w:rsidR="007A3AE1">
        <w:rPr>
          <w:rFonts w:ascii="Arial" w:hAnsi="Arial" w:cs="Arial"/>
          <w:sz w:val="24"/>
          <w:szCs w:val="24"/>
        </w:rPr>
        <w:t xml:space="preserve">Moss, </w:t>
      </w:r>
      <w:r w:rsidRPr="00316528">
        <w:rPr>
          <w:rFonts w:ascii="Arial" w:hAnsi="Arial" w:cs="Arial"/>
          <w:sz w:val="24"/>
          <w:szCs w:val="24"/>
        </w:rPr>
        <w:t>2025</w:t>
      </w:r>
      <w:r w:rsidR="00535640">
        <w:rPr>
          <w:rFonts w:ascii="Arial" w:hAnsi="Arial" w:cs="Arial"/>
          <w:sz w:val="24"/>
          <w:szCs w:val="24"/>
        </w:rPr>
        <w:t>a</w:t>
      </w:r>
      <w:r w:rsidRPr="00316528">
        <w:rPr>
          <w:rFonts w:ascii="Arial" w:hAnsi="Arial" w:cs="Arial"/>
          <w:sz w:val="24"/>
          <w:szCs w:val="24"/>
        </w:rPr>
        <w:t>).</w:t>
      </w:r>
    </w:p>
    <w:p w14:paraId="078DC8BF" w14:textId="77777777" w:rsidR="00AB16E0" w:rsidRDefault="00AB16E0" w:rsidP="00AB16E0">
      <w:pPr>
        <w:spacing w:after="0"/>
        <w:jc w:val="both"/>
        <w:rPr>
          <w:rFonts w:ascii="Arial" w:hAnsi="Arial" w:cs="Arial"/>
          <w:sz w:val="24"/>
          <w:szCs w:val="24"/>
        </w:rPr>
      </w:pPr>
    </w:p>
    <w:p w14:paraId="655AECB3" w14:textId="6037ADB2" w:rsidR="00AB16E0" w:rsidRDefault="00AB16E0" w:rsidP="00AB16E0">
      <w:pPr>
        <w:spacing w:after="0"/>
        <w:jc w:val="both"/>
        <w:rPr>
          <w:rFonts w:ascii="Arial" w:hAnsi="Arial" w:cs="Arial"/>
          <w:sz w:val="24"/>
          <w:szCs w:val="24"/>
        </w:rPr>
      </w:pPr>
      <w:r w:rsidRPr="00553FE2">
        <w:rPr>
          <w:rFonts w:ascii="Arial" w:hAnsi="Arial" w:cs="Arial"/>
          <w:sz w:val="24"/>
          <w:szCs w:val="24"/>
        </w:rPr>
        <w:t>On 5 November 2025</w:t>
      </w:r>
      <w:r w:rsidR="006D65AB">
        <w:rPr>
          <w:rFonts w:ascii="Arial" w:hAnsi="Arial" w:cs="Arial"/>
          <w:sz w:val="24"/>
          <w:szCs w:val="24"/>
        </w:rPr>
        <w:t>,</w:t>
      </w:r>
      <w:r w:rsidRPr="00553FE2">
        <w:rPr>
          <w:rFonts w:ascii="Arial" w:hAnsi="Arial" w:cs="Arial"/>
          <w:sz w:val="24"/>
          <w:szCs w:val="24"/>
        </w:rPr>
        <w:t xml:space="preserve"> the House of Commons rejected the House of Lords proposal for a six-month qualifying period for un</w:t>
      </w:r>
      <w:r w:rsidR="00553FE2">
        <w:rPr>
          <w:rFonts w:ascii="Arial" w:hAnsi="Arial" w:cs="Arial"/>
          <w:sz w:val="24"/>
          <w:szCs w:val="24"/>
        </w:rPr>
        <w:t>f</w:t>
      </w:r>
      <w:r w:rsidRPr="00553FE2">
        <w:rPr>
          <w:rFonts w:ascii="Arial" w:hAnsi="Arial" w:cs="Arial"/>
          <w:sz w:val="24"/>
          <w:szCs w:val="24"/>
        </w:rPr>
        <w:t>air dismissal rights. The bill will now return to the House of Lords for further debate</w:t>
      </w:r>
      <w:r w:rsidR="00553FE2">
        <w:rPr>
          <w:rFonts w:ascii="Arial" w:hAnsi="Arial" w:cs="Arial"/>
          <w:sz w:val="24"/>
          <w:szCs w:val="24"/>
        </w:rPr>
        <w:t xml:space="preserve">, </w:t>
      </w:r>
      <w:r w:rsidR="00112A94">
        <w:rPr>
          <w:rFonts w:ascii="Arial" w:hAnsi="Arial" w:cs="Arial"/>
          <w:sz w:val="24"/>
          <w:szCs w:val="24"/>
        </w:rPr>
        <w:t>(Seery &amp; Jackson</w:t>
      </w:r>
      <w:r w:rsidR="00112A94" w:rsidRPr="00AC3BA5">
        <w:rPr>
          <w:rFonts w:ascii="Arial" w:hAnsi="Arial" w:cs="Arial"/>
          <w:sz w:val="24"/>
          <w:szCs w:val="24"/>
        </w:rPr>
        <w:t xml:space="preserve"> 20</w:t>
      </w:r>
      <w:r w:rsidR="00112A94">
        <w:rPr>
          <w:rFonts w:ascii="Arial" w:hAnsi="Arial" w:cs="Arial"/>
          <w:sz w:val="24"/>
          <w:szCs w:val="24"/>
        </w:rPr>
        <w:t>25</w:t>
      </w:r>
      <w:r w:rsidR="00112A94" w:rsidRPr="00AC3BA5">
        <w:rPr>
          <w:rFonts w:ascii="Arial" w:hAnsi="Arial" w:cs="Arial"/>
          <w:sz w:val="24"/>
          <w:szCs w:val="24"/>
        </w:rPr>
        <w:t>)</w:t>
      </w:r>
      <w:r w:rsidR="00112A94">
        <w:rPr>
          <w:rFonts w:ascii="Arial" w:hAnsi="Arial" w:cs="Arial"/>
          <w:sz w:val="24"/>
          <w:szCs w:val="24"/>
        </w:rPr>
        <w:t>.</w:t>
      </w:r>
    </w:p>
    <w:p w14:paraId="6C377A66" w14:textId="77777777" w:rsidR="00AB16E0" w:rsidRDefault="00AB16E0" w:rsidP="00AB16E0">
      <w:pPr>
        <w:spacing w:after="0"/>
        <w:jc w:val="both"/>
        <w:rPr>
          <w:rFonts w:ascii="Arial" w:hAnsi="Arial" w:cs="Arial"/>
          <w:sz w:val="24"/>
          <w:szCs w:val="24"/>
        </w:rPr>
      </w:pPr>
    </w:p>
    <w:p w14:paraId="275F800F" w14:textId="1E245583" w:rsidR="00AB16E0" w:rsidRDefault="00AB0F9F" w:rsidP="00AB16E0">
      <w:pPr>
        <w:spacing w:after="0"/>
        <w:jc w:val="both"/>
        <w:rPr>
          <w:rFonts w:ascii="Arial" w:hAnsi="Arial" w:cs="Arial"/>
          <w:sz w:val="24"/>
          <w:szCs w:val="24"/>
        </w:rPr>
      </w:pPr>
      <w:r>
        <w:rPr>
          <w:rFonts w:ascii="Arial" w:hAnsi="Arial" w:cs="Arial"/>
          <w:sz w:val="24"/>
          <w:szCs w:val="24"/>
        </w:rPr>
        <w:t xml:space="preserve">Wilmott </w:t>
      </w:r>
      <w:r w:rsidR="00AB16E0">
        <w:rPr>
          <w:rFonts w:ascii="Arial" w:hAnsi="Arial" w:cs="Arial"/>
          <w:sz w:val="24"/>
          <w:szCs w:val="24"/>
        </w:rPr>
        <w:t>(2025) suggests that the current legislation lowers the risk for employers when dismissing employees with less than 2 years’ service enabling them to make a decision without undertaking a fair and thorough process.  Whereas the implementation of this legislative change will ensure robust procedures are followed and employees treated equally irrelevant to their length of service.</w:t>
      </w:r>
    </w:p>
    <w:p w14:paraId="15C09399" w14:textId="77777777" w:rsidR="00AB16E0" w:rsidRDefault="00AB16E0" w:rsidP="00AB16E0">
      <w:pPr>
        <w:spacing w:after="0"/>
        <w:jc w:val="both"/>
        <w:rPr>
          <w:rFonts w:ascii="Arial" w:hAnsi="Arial" w:cs="Arial"/>
          <w:sz w:val="24"/>
          <w:szCs w:val="24"/>
        </w:rPr>
      </w:pPr>
    </w:p>
    <w:p w14:paraId="17EB0763" w14:textId="15CD1A61" w:rsidR="00AB16E0" w:rsidRDefault="00AB16E0" w:rsidP="00AB16E0">
      <w:pPr>
        <w:spacing w:after="0"/>
        <w:jc w:val="both"/>
        <w:rPr>
          <w:rFonts w:ascii="Arial" w:hAnsi="Arial" w:cs="Arial"/>
          <w:sz w:val="24"/>
          <w:szCs w:val="24"/>
        </w:rPr>
      </w:pPr>
      <w:r>
        <w:rPr>
          <w:rFonts w:ascii="Arial" w:hAnsi="Arial" w:cs="Arial"/>
          <w:sz w:val="24"/>
          <w:szCs w:val="24"/>
        </w:rPr>
        <w:t>The CIPD (2025</w:t>
      </w:r>
      <w:r w:rsidR="007A3AE1">
        <w:rPr>
          <w:rFonts w:ascii="Arial" w:hAnsi="Arial" w:cs="Arial"/>
          <w:sz w:val="24"/>
          <w:szCs w:val="24"/>
        </w:rPr>
        <w:t>c</w:t>
      </w:r>
      <w:r>
        <w:rPr>
          <w:rFonts w:ascii="Arial" w:hAnsi="Arial" w:cs="Arial"/>
          <w:sz w:val="24"/>
          <w:szCs w:val="24"/>
        </w:rPr>
        <w:t>)</w:t>
      </w:r>
      <w:r w:rsidR="00112A94">
        <w:rPr>
          <w:rFonts w:ascii="Arial" w:hAnsi="Arial" w:cs="Arial"/>
          <w:sz w:val="24"/>
          <w:szCs w:val="24"/>
        </w:rPr>
        <w:t xml:space="preserve"> emphasizes that these changes will require clear and more consistent dismissal procedures, particularly for public sector organisations likes NPTCBC who have a large, diverse workforce. </w:t>
      </w:r>
      <w:r>
        <w:rPr>
          <w:rFonts w:ascii="Arial" w:hAnsi="Arial" w:cs="Arial"/>
          <w:sz w:val="24"/>
          <w:szCs w:val="24"/>
        </w:rPr>
        <w:t xml:space="preserve"> </w:t>
      </w:r>
      <w:r w:rsidR="00B648DB">
        <w:rPr>
          <w:rFonts w:ascii="Arial" w:hAnsi="Arial" w:cs="Arial"/>
          <w:sz w:val="24"/>
          <w:szCs w:val="24"/>
        </w:rPr>
        <w:t xml:space="preserve">Therefore, it is suggested that the review of </w:t>
      </w:r>
      <w:r>
        <w:rPr>
          <w:rFonts w:ascii="Arial" w:hAnsi="Arial" w:cs="Arial"/>
          <w:sz w:val="24"/>
          <w:szCs w:val="24"/>
        </w:rPr>
        <w:t xml:space="preserve">policies and procedures in relation to the employment </w:t>
      </w:r>
      <w:r w:rsidR="00B648DB">
        <w:rPr>
          <w:rFonts w:ascii="Arial" w:hAnsi="Arial" w:cs="Arial"/>
          <w:sz w:val="24"/>
          <w:szCs w:val="24"/>
        </w:rPr>
        <w:t xml:space="preserve">lifecycle </w:t>
      </w:r>
      <w:r>
        <w:rPr>
          <w:rFonts w:ascii="Arial" w:hAnsi="Arial" w:cs="Arial"/>
          <w:sz w:val="24"/>
          <w:szCs w:val="24"/>
        </w:rPr>
        <w:t>e.g. recruitment, induction, performance management</w:t>
      </w:r>
      <w:r w:rsidR="00B648DB">
        <w:rPr>
          <w:rFonts w:ascii="Arial" w:hAnsi="Arial" w:cs="Arial"/>
          <w:sz w:val="24"/>
          <w:szCs w:val="24"/>
        </w:rPr>
        <w:t xml:space="preserve"> is important</w:t>
      </w:r>
      <w:r>
        <w:rPr>
          <w:rFonts w:ascii="Arial" w:hAnsi="Arial" w:cs="Arial"/>
          <w:sz w:val="24"/>
          <w:szCs w:val="24"/>
        </w:rPr>
        <w:t xml:space="preserve"> to ensure robust and effective processes are in place.</w:t>
      </w:r>
    </w:p>
    <w:p w14:paraId="74E27B99" w14:textId="77777777" w:rsidR="00112A94" w:rsidRDefault="00112A94" w:rsidP="00AB16E0">
      <w:pPr>
        <w:spacing w:after="0"/>
        <w:jc w:val="both"/>
        <w:rPr>
          <w:rFonts w:ascii="Arial" w:hAnsi="Arial" w:cs="Arial"/>
          <w:sz w:val="24"/>
          <w:szCs w:val="24"/>
        </w:rPr>
      </w:pPr>
    </w:p>
    <w:p w14:paraId="6D2C599F" w14:textId="1E80DE3D" w:rsidR="00AB16E0" w:rsidRDefault="00AB16E0" w:rsidP="00AB16E0">
      <w:pPr>
        <w:spacing w:after="0"/>
        <w:jc w:val="both"/>
        <w:rPr>
          <w:rFonts w:ascii="Arial" w:hAnsi="Arial" w:cs="Arial"/>
          <w:sz w:val="24"/>
          <w:szCs w:val="24"/>
        </w:rPr>
      </w:pPr>
      <w:r>
        <w:rPr>
          <w:rFonts w:ascii="Arial" w:hAnsi="Arial" w:cs="Arial"/>
          <w:sz w:val="24"/>
          <w:szCs w:val="24"/>
        </w:rPr>
        <w:t xml:space="preserve">On review of the </w:t>
      </w:r>
      <w:bookmarkStart w:id="2" w:name="_Hlk215080970"/>
      <w:r>
        <w:rPr>
          <w:rFonts w:ascii="Arial" w:hAnsi="Arial" w:cs="Arial"/>
          <w:sz w:val="24"/>
          <w:szCs w:val="24"/>
        </w:rPr>
        <w:t>annual workforce data report 2024/25 (NPTCBC, 2025b)</w:t>
      </w:r>
      <w:bookmarkEnd w:id="2"/>
      <w:r>
        <w:rPr>
          <w:rFonts w:ascii="Arial" w:hAnsi="Arial" w:cs="Arial"/>
          <w:sz w:val="24"/>
          <w:szCs w:val="24"/>
        </w:rPr>
        <w:t xml:space="preserve">, a total of 37 employees were dismissed from NPTCBC, 7 of which were employee’s with under 2 years’ service.  Fortunately, the Local Authority has not had any cases considered at an employment tribunal in the last </w:t>
      </w:r>
      <w:r w:rsidR="00B648DB">
        <w:rPr>
          <w:rFonts w:ascii="Arial" w:hAnsi="Arial" w:cs="Arial"/>
          <w:sz w:val="24"/>
          <w:szCs w:val="24"/>
        </w:rPr>
        <w:t xml:space="preserve">2 </w:t>
      </w:r>
      <w:r>
        <w:rPr>
          <w:rFonts w:ascii="Arial" w:hAnsi="Arial" w:cs="Arial"/>
          <w:sz w:val="24"/>
          <w:szCs w:val="24"/>
        </w:rPr>
        <w:t>years.  However, there have been 5 ACAS cases which suggests that cases could have progressed to Tribunal but they have settled prior to progressing to that stage.</w:t>
      </w:r>
    </w:p>
    <w:p w14:paraId="597714BB" w14:textId="77777777" w:rsidR="00AB16E0" w:rsidRDefault="00AB16E0" w:rsidP="00AB16E0">
      <w:pPr>
        <w:spacing w:after="0"/>
        <w:jc w:val="both"/>
        <w:rPr>
          <w:rFonts w:ascii="Arial" w:hAnsi="Arial" w:cs="Arial"/>
          <w:sz w:val="24"/>
          <w:szCs w:val="24"/>
        </w:rPr>
      </w:pPr>
    </w:p>
    <w:p w14:paraId="48634065" w14:textId="353DFBB3" w:rsidR="00AB16E0" w:rsidRDefault="00AB16E0" w:rsidP="00AB16E0">
      <w:pPr>
        <w:spacing w:after="0"/>
        <w:jc w:val="both"/>
        <w:rPr>
          <w:rFonts w:ascii="Arial" w:hAnsi="Arial" w:cs="Arial"/>
          <w:sz w:val="24"/>
          <w:szCs w:val="24"/>
        </w:rPr>
      </w:pPr>
      <w:r>
        <w:rPr>
          <w:rFonts w:ascii="Arial" w:hAnsi="Arial" w:cs="Arial"/>
          <w:sz w:val="24"/>
          <w:szCs w:val="24"/>
        </w:rPr>
        <w:t>It is important to recognise that if probation and performance management processes are not undertaken effectively, NPTCBC could see an increase in employment tribunal claims which could have an impact on the organisation</w:t>
      </w:r>
      <w:r w:rsidR="00B648DB">
        <w:rPr>
          <w:rFonts w:ascii="Arial" w:hAnsi="Arial" w:cs="Arial"/>
          <w:sz w:val="24"/>
          <w:szCs w:val="24"/>
        </w:rPr>
        <w:t>, (Morris, 2025).</w:t>
      </w:r>
    </w:p>
    <w:p w14:paraId="22AA4333" w14:textId="77777777" w:rsidR="00AB16E0" w:rsidRDefault="00AB16E0" w:rsidP="00AB16E0">
      <w:pPr>
        <w:spacing w:after="0"/>
        <w:jc w:val="both"/>
        <w:rPr>
          <w:rFonts w:ascii="Arial" w:hAnsi="Arial" w:cs="Arial"/>
          <w:sz w:val="24"/>
          <w:szCs w:val="24"/>
        </w:rPr>
      </w:pPr>
    </w:p>
    <w:p w14:paraId="78E0D391" w14:textId="1DEACEFE" w:rsidR="00AB16E0" w:rsidRDefault="00AB16E0" w:rsidP="00AB16E0">
      <w:pPr>
        <w:spacing w:after="0"/>
        <w:jc w:val="both"/>
        <w:rPr>
          <w:rFonts w:ascii="Arial" w:hAnsi="Arial" w:cs="Arial"/>
          <w:sz w:val="24"/>
          <w:szCs w:val="24"/>
        </w:rPr>
      </w:pPr>
      <w:r>
        <w:rPr>
          <w:rFonts w:ascii="Arial" w:hAnsi="Arial" w:cs="Arial"/>
          <w:sz w:val="24"/>
          <w:szCs w:val="24"/>
        </w:rPr>
        <w:t>NPTCBC has had a probation scheme in place for many years which was last reviewed in 2020 (NPTCBC, 2020).  Whilst all new starters are subject to a 6-month satisfactory probationary period which could be extended to 9 months, the annual workforce data report 2024/25 (NPTCBC, 2025b) outlines that during the last 12 months, 5 employees were dismissed due to unsatisfactory probation.</w:t>
      </w:r>
    </w:p>
    <w:p w14:paraId="64214BEC" w14:textId="77777777" w:rsidR="00AB16E0" w:rsidRDefault="00AB16E0" w:rsidP="00AB16E0">
      <w:pPr>
        <w:spacing w:after="0"/>
        <w:jc w:val="both"/>
        <w:rPr>
          <w:rFonts w:ascii="Arial" w:hAnsi="Arial" w:cs="Arial"/>
          <w:sz w:val="24"/>
          <w:szCs w:val="24"/>
          <w:highlight w:val="yellow"/>
        </w:rPr>
      </w:pPr>
    </w:p>
    <w:p w14:paraId="6C6A8C73" w14:textId="53671070" w:rsidR="00AB16E0" w:rsidRDefault="007A3AE1" w:rsidP="00AB16E0">
      <w:pPr>
        <w:spacing w:after="0"/>
        <w:jc w:val="both"/>
        <w:rPr>
          <w:rFonts w:ascii="Arial" w:hAnsi="Arial" w:cs="Arial"/>
          <w:sz w:val="24"/>
          <w:szCs w:val="24"/>
        </w:rPr>
      </w:pPr>
      <w:r>
        <w:rPr>
          <w:rFonts w:ascii="Arial" w:hAnsi="Arial" w:cs="Arial"/>
          <w:sz w:val="24"/>
          <w:szCs w:val="24"/>
        </w:rPr>
        <w:t>Faraghar</w:t>
      </w:r>
      <w:r w:rsidR="00AB16E0">
        <w:rPr>
          <w:rFonts w:ascii="Arial" w:hAnsi="Arial" w:cs="Arial"/>
          <w:sz w:val="24"/>
          <w:szCs w:val="24"/>
        </w:rPr>
        <w:t xml:space="preserve"> (2024), suggests that that whilst organisations can utilise probation periods to demonstrate a fair process, it is recognised that there will be increased pressure on line managers </w:t>
      </w:r>
      <w:r w:rsidR="00DC6C4A">
        <w:rPr>
          <w:rFonts w:ascii="Arial" w:hAnsi="Arial" w:cs="Arial"/>
          <w:sz w:val="24"/>
          <w:szCs w:val="24"/>
        </w:rPr>
        <w:t>to follow due process, ensuring the necessary documentation is in place</w:t>
      </w:r>
      <w:r w:rsidR="00AB16E0">
        <w:rPr>
          <w:rFonts w:ascii="Arial" w:hAnsi="Arial" w:cs="Arial"/>
          <w:sz w:val="24"/>
          <w:szCs w:val="24"/>
        </w:rPr>
        <w:t xml:space="preserve"> and implementing early intervention strategies to support fair dismissals.</w:t>
      </w:r>
    </w:p>
    <w:p w14:paraId="4E9B114F" w14:textId="77777777" w:rsidR="00AB16E0" w:rsidRDefault="00AB16E0" w:rsidP="00AB16E0">
      <w:pPr>
        <w:spacing w:after="0"/>
        <w:jc w:val="both"/>
        <w:rPr>
          <w:rFonts w:ascii="Arial" w:hAnsi="Arial" w:cs="Arial"/>
          <w:sz w:val="24"/>
          <w:szCs w:val="24"/>
        </w:rPr>
      </w:pPr>
    </w:p>
    <w:p w14:paraId="2DF3F584" w14:textId="77777777" w:rsidR="00AB16E0" w:rsidRDefault="00AB16E0" w:rsidP="00AB16E0">
      <w:pPr>
        <w:spacing w:after="0"/>
        <w:jc w:val="both"/>
        <w:rPr>
          <w:rFonts w:ascii="Arial" w:hAnsi="Arial" w:cs="Arial"/>
          <w:sz w:val="24"/>
          <w:szCs w:val="24"/>
        </w:rPr>
      </w:pPr>
      <w:r>
        <w:rPr>
          <w:rFonts w:ascii="Arial" w:hAnsi="Arial" w:cs="Arial"/>
          <w:sz w:val="24"/>
          <w:szCs w:val="24"/>
        </w:rPr>
        <w:lastRenderedPageBreak/>
        <w:t>The Government are proposing a phased approach which includes consultation taking place in Summer/Autumn 2025 with the aim of implementation in 2027, specific dates will be become apparent following the close of consultation, (UK Government, 2025c).</w:t>
      </w:r>
    </w:p>
    <w:p w14:paraId="031E9F6D" w14:textId="77777777" w:rsidR="00AB16E0" w:rsidRDefault="00AB16E0" w:rsidP="00AB16E0">
      <w:pPr>
        <w:spacing w:after="0"/>
        <w:jc w:val="both"/>
        <w:rPr>
          <w:rFonts w:ascii="Arial" w:hAnsi="Arial" w:cs="Arial"/>
          <w:sz w:val="24"/>
          <w:szCs w:val="24"/>
        </w:rPr>
      </w:pPr>
    </w:p>
    <w:p w14:paraId="7126A02E" w14:textId="47AA1E4A"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Therefore, it is important that businesses are proactive in considering any adaptions to their policies and practices as necessary.  NPTCBC will be required to review current policies and procedures to ensure they are fit for purpose and update</w:t>
      </w:r>
      <w:r w:rsidR="00DE69EF">
        <w:rPr>
          <w:rFonts w:ascii="Arial" w:hAnsi="Arial" w:cs="Arial"/>
          <w:color w:val="000000" w:themeColor="text1"/>
          <w:sz w:val="24"/>
          <w:szCs w:val="24"/>
        </w:rPr>
        <w:t>d</w:t>
      </w:r>
      <w:r>
        <w:rPr>
          <w:rFonts w:ascii="Arial" w:hAnsi="Arial" w:cs="Arial"/>
          <w:color w:val="000000" w:themeColor="text1"/>
          <w:sz w:val="24"/>
          <w:szCs w:val="24"/>
        </w:rPr>
        <w:t xml:space="preserve"> in line with legislative changes.  Communication is key to successful implementation and the HR and Organisational Development Team will play a vital role in supporting the organisation through the change and ensuring the workforce is fit for the future</w:t>
      </w:r>
      <w:r w:rsidR="00575B68">
        <w:rPr>
          <w:rFonts w:ascii="Arial" w:hAnsi="Arial" w:cs="Arial"/>
          <w:color w:val="000000" w:themeColor="text1"/>
          <w:sz w:val="24"/>
          <w:szCs w:val="24"/>
        </w:rPr>
        <w:t xml:space="preserve"> (Roberts, 2024).</w:t>
      </w:r>
    </w:p>
    <w:p w14:paraId="67401A9B" w14:textId="77777777" w:rsidR="00575B68" w:rsidRDefault="00575B68" w:rsidP="00AB16E0">
      <w:pPr>
        <w:spacing w:after="0"/>
        <w:jc w:val="both"/>
        <w:rPr>
          <w:rFonts w:ascii="Arial" w:hAnsi="Arial" w:cs="Arial"/>
          <w:sz w:val="24"/>
          <w:szCs w:val="24"/>
        </w:rPr>
      </w:pPr>
    </w:p>
    <w:p w14:paraId="71DBFF71" w14:textId="72DEF446" w:rsidR="00AB16E0" w:rsidRPr="0096086D" w:rsidRDefault="00AB16E0" w:rsidP="00AB16E0">
      <w:pPr>
        <w:spacing w:after="0"/>
        <w:jc w:val="both"/>
        <w:rPr>
          <w:rFonts w:ascii="Arial" w:hAnsi="Arial" w:cs="Arial"/>
          <w:color w:val="000000" w:themeColor="text1"/>
          <w:sz w:val="24"/>
          <w:szCs w:val="24"/>
        </w:rPr>
      </w:pPr>
      <w:r w:rsidRPr="0096086D">
        <w:rPr>
          <w:rFonts w:ascii="Arial" w:hAnsi="Arial" w:cs="Arial"/>
          <w:color w:val="000000" w:themeColor="text1"/>
          <w:sz w:val="24"/>
          <w:szCs w:val="24"/>
        </w:rPr>
        <w:t xml:space="preserve">NPTCBC already recognise the importance of policy development and as detailed within the </w:t>
      </w:r>
      <w:r w:rsidR="00AB0F9F">
        <w:rPr>
          <w:rFonts w:ascii="Arial" w:hAnsi="Arial" w:cs="Arial"/>
          <w:color w:val="000000" w:themeColor="text1"/>
          <w:sz w:val="24"/>
          <w:szCs w:val="24"/>
        </w:rPr>
        <w:t xml:space="preserve">Future of Work Strategy </w:t>
      </w:r>
      <w:r w:rsidRPr="0096086D">
        <w:rPr>
          <w:rFonts w:ascii="Arial" w:hAnsi="Arial" w:cs="Arial"/>
          <w:color w:val="000000" w:themeColor="text1"/>
          <w:sz w:val="24"/>
          <w:szCs w:val="24"/>
        </w:rPr>
        <w:t>there is a commitment to review performance management processes to ensure they are fit for purpose and applied consistently across the organisation (NPTCBC</w:t>
      </w:r>
      <w:r w:rsidR="00B648DB">
        <w:rPr>
          <w:rFonts w:ascii="Arial" w:hAnsi="Arial" w:cs="Arial"/>
          <w:color w:val="000000" w:themeColor="text1"/>
          <w:sz w:val="24"/>
          <w:szCs w:val="24"/>
        </w:rPr>
        <w:t>,</w:t>
      </w:r>
      <w:r w:rsidRPr="0096086D">
        <w:rPr>
          <w:rFonts w:ascii="Arial" w:hAnsi="Arial" w:cs="Arial"/>
          <w:color w:val="000000" w:themeColor="text1"/>
          <w:sz w:val="24"/>
          <w:szCs w:val="24"/>
        </w:rPr>
        <w:t xml:space="preserve"> 2022-2027).</w:t>
      </w:r>
    </w:p>
    <w:p w14:paraId="1FE38046" w14:textId="77777777" w:rsidR="00AB16E0" w:rsidRDefault="00AB16E0" w:rsidP="00AB16E0">
      <w:pPr>
        <w:spacing w:after="0"/>
        <w:jc w:val="both"/>
        <w:rPr>
          <w:rFonts w:ascii="Arial" w:hAnsi="Arial" w:cs="Arial"/>
          <w:sz w:val="24"/>
          <w:szCs w:val="24"/>
        </w:rPr>
      </w:pPr>
    </w:p>
    <w:p w14:paraId="75BCB865" w14:textId="2BA44D92"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Whilst we may see a rise in Unfair Dismissal claims, NPTCBC must have a proactive approach to mitigate the risk of unfair dismissal claims by working in Social Partnership with Trade Unions in embedding a culture of effective recruitment and performance management practices across the </w:t>
      </w:r>
      <w:r w:rsidRPr="00A546A0">
        <w:rPr>
          <w:rFonts w:ascii="Arial" w:hAnsi="Arial" w:cs="Arial"/>
          <w:color w:val="000000" w:themeColor="text1"/>
          <w:sz w:val="24"/>
          <w:szCs w:val="24"/>
        </w:rPr>
        <w:t>organisation, (CIPD, 2025</w:t>
      </w:r>
      <w:r w:rsidR="00A546A0">
        <w:rPr>
          <w:rFonts w:ascii="Arial" w:hAnsi="Arial" w:cs="Arial"/>
          <w:color w:val="000000" w:themeColor="text1"/>
          <w:sz w:val="24"/>
          <w:szCs w:val="24"/>
        </w:rPr>
        <w:t>f</w:t>
      </w:r>
      <w:r w:rsidRPr="00A546A0">
        <w:rPr>
          <w:rFonts w:ascii="Arial" w:hAnsi="Arial" w:cs="Arial"/>
          <w:color w:val="000000" w:themeColor="text1"/>
          <w:sz w:val="24"/>
          <w:szCs w:val="24"/>
        </w:rPr>
        <w:t>).</w:t>
      </w:r>
    </w:p>
    <w:p w14:paraId="63FAF905" w14:textId="77777777" w:rsidR="00AB16E0" w:rsidRDefault="00AB16E0" w:rsidP="00AB16E0">
      <w:pPr>
        <w:spacing w:after="0"/>
        <w:jc w:val="both"/>
        <w:rPr>
          <w:rFonts w:ascii="Arial" w:hAnsi="Arial" w:cs="Arial"/>
          <w:sz w:val="24"/>
          <w:szCs w:val="24"/>
        </w:rPr>
      </w:pPr>
    </w:p>
    <w:p w14:paraId="2E30183F" w14:textId="66515D57" w:rsidR="00AB16E0" w:rsidRDefault="00AB16E0" w:rsidP="00AB16E0">
      <w:pPr>
        <w:spacing w:after="0"/>
        <w:jc w:val="both"/>
        <w:rPr>
          <w:rFonts w:ascii="Arial" w:hAnsi="Arial" w:cs="Arial"/>
          <w:sz w:val="24"/>
          <w:szCs w:val="24"/>
        </w:rPr>
      </w:pPr>
      <w:r w:rsidRPr="00575B68">
        <w:rPr>
          <w:rFonts w:ascii="Arial" w:hAnsi="Arial" w:cs="Arial"/>
          <w:sz w:val="24"/>
          <w:szCs w:val="24"/>
        </w:rPr>
        <w:t>NPTCBC is a Local Government Organisation with the public having a particular interest in decision making around budget.  Therefore, it is important to recognise the impact on the organisation in relation to legal, financial, operational and reputational consequences should there be an increase in unfair dismissal claims</w:t>
      </w:r>
      <w:r w:rsidR="00575B68" w:rsidRPr="00EA4844">
        <w:rPr>
          <w:rFonts w:ascii="Arial" w:hAnsi="Arial" w:cs="Arial"/>
          <w:sz w:val="24"/>
          <w:szCs w:val="24"/>
        </w:rPr>
        <w:t>, (CIPD, 2025</w:t>
      </w:r>
      <w:r w:rsidR="00EA4844" w:rsidRPr="00EA4844">
        <w:rPr>
          <w:rFonts w:ascii="Arial" w:hAnsi="Arial" w:cs="Arial"/>
          <w:sz w:val="24"/>
          <w:szCs w:val="24"/>
        </w:rPr>
        <w:t>d</w:t>
      </w:r>
      <w:r w:rsidR="00575B68" w:rsidRPr="00EA4844">
        <w:rPr>
          <w:rFonts w:ascii="Arial" w:hAnsi="Arial" w:cs="Arial"/>
          <w:sz w:val="24"/>
          <w:szCs w:val="24"/>
        </w:rPr>
        <w:t>).</w:t>
      </w:r>
    </w:p>
    <w:p w14:paraId="061F0427" w14:textId="77777777" w:rsidR="00AB16E0" w:rsidRDefault="00AB16E0" w:rsidP="00AB16E0">
      <w:pPr>
        <w:spacing w:after="0"/>
        <w:jc w:val="both"/>
        <w:rPr>
          <w:rFonts w:ascii="Arial" w:hAnsi="Arial" w:cs="Arial"/>
          <w:b/>
          <w:bCs/>
          <w:color w:val="000000" w:themeColor="text1"/>
          <w:sz w:val="24"/>
          <w:szCs w:val="24"/>
        </w:rPr>
      </w:pPr>
    </w:p>
    <w:p w14:paraId="6EEF08C8" w14:textId="19484ED3" w:rsidR="00AB16E0" w:rsidRDefault="00AB16E0" w:rsidP="00AB16E0">
      <w:pPr>
        <w:spacing w:after="0"/>
        <w:jc w:val="both"/>
        <w:rPr>
          <w:rFonts w:ascii="Arial" w:hAnsi="Arial" w:cs="Arial"/>
          <w:b/>
          <w:bCs/>
          <w:color w:val="000000" w:themeColor="text1"/>
          <w:sz w:val="24"/>
          <w:szCs w:val="24"/>
        </w:rPr>
      </w:pPr>
      <w:r>
        <w:rPr>
          <w:rFonts w:ascii="Arial" w:hAnsi="Arial" w:cs="Arial"/>
          <w:b/>
          <w:bCs/>
          <w:color w:val="000000" w:themeColor="text1"/>
          <w:sz w:val="24"/>
          <w:szCs w:val="24"/>
        </w:rPr>
        <w:t>2.</w:t>
      </w:r>
      <w:r w:rsidR="00741A49">
        <w:rPr>
          <w:rFonts w:ascii="Arial" w:hAnsi="Arial" w:cs="Arial"/>
          <w:b/>
          <w:bCs/>
          <w:color w:val="000000" w:themeColor="text1"/>
          <w:sz w:val="24"/>
          <w:szCs w:val="24"/>
        </w:rPr>
        <w:t>2</w:t>
      </w:r>
      <w:r>
        <w:rPr>
          <w:rFonts w:ascii="Arial" w:hAnsi="Arial" w:cs="Arial"/>
          <w:b/>
          <w:bCs/>
          <w:color w:val="000000" w:themeColor="text1"/>
          <w:sz w:val="24"/>
          <w:szCs w:val="24"/>
        </w:rPr>
        <w:tab/>
        <w:t>Economic</w:t>
      </w:r>
    </w:p>
    <w:p w14:paraId="6330DED5"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As part of the UK Governments agenda to make a significant shift in improving working lives of lower paid workers, it should be recognised that whilst the agenda will have a positive impact in relation to health and wellbeing and economic stability, there needs to be a balance between protecting workers with business sustainability, (CIPD, 2025a).</w:t>
      </w:r>
    </w:p>
    <w:p w14:paraId="64E18D15" w14:textId="77777777" w:rsidR="00AB16E0" w:rsidRDefault="00AB16E0" w:rsidP="00AB16E0">
      <w:pPr>
        <w:spacing w:after="0"/>
        <w:jc w:val="both"/>
        <w:rPr>
          <w:rFonts w:ascii="Arial" w:hAnsi="Arial" w:cs="Arial"/>
          <w:color w:val="000000" w:themeColor="text1"/>
          <w:sz w:val="24"/>
          <w:szCs w:val="24"/>
        </w:rPr>
      </w:pPr>
    </w:p>
    <w:p w14:paraId="3BEE5A90" w14:textId="346B84CA"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Consultation is currently underway in relation to an increase in the National Minimum Wage (NMW) from April 2026 with the aim of improving the standard of living for low paid workers.  Whilst the rate is yet to be confirmed, there is a suggestion that we will see a rise from £12.21 per hour to approximately £12.71 per hour, which is a 4.1% increase, (UK Government, 2025</w:t>
      </w:r>
      <w:r w:rsidR="00AB0F9F">
        <w:rPr>
          <w:rFonts w:ascii="Arial" w:hAnsi="Arial" w:cs="Arial"/>
          <w:color w:val="000000" w:themeColor="text1"/>
          <w:sz w:val="24"/>
          <w:szCs w:val="24"/>
        </w:rPr>
        <w:t>d</w:t>
      </w:r>
      <w:r>
        <w:rPr>
          <w:rFonts w:ascii="Arial" w:hAnsi="Arial" w:cs="Arial"/>
          <w:color w:val="000000" w:themeColor="text1"/>
          <w:sz w:val="24"/>
          <w:szCs w:val="24"/>
        </w:rPr>
        <w:t>).</w:t>
      </w:r>
    </w:p>
    <w:p w14:paraId="42150A6C" w14:textId="77777777" w:rsidR="00AB16E0" w:rsidRDefault="00AB16E0" w:rsidP="00AB16E0">
      <w:pPr>
        <w:spacing w:after="0"/>
        <w:jc w:val="both"/>
        <w:rPr>
          <w:rFonts w:ascii="Arial" w:hAnsi="Arial" w:cs="Arial"/>
          <w:color w:val="000000" w:themeColor="text1"/>
          <w:sz w:val="24"/>
          <w:szCs w:val="24"/>
        </w:rPr>
      </w:pPr>
    </w:p>
    <w:p w14:paraId="3C3DAF58" w14:textId="18A53AA3"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Whilst Local Authorities received a 4.5% increase in Welsh Government funding during the 2024/2025 financial year, it should be recognised that without longer term sustainable funding, NPTCBC will continue to face significant financial pressures in order to protect jobs and provide essential services to the community, (</w:t>
      </w:r>
      <w:r w:rsidR="00AB0F9F">
        <w:rPr>
          <w:rFonts w:ascii="Arial" w:hAnsi="Arial" w:cs="Arial"/>
          <w:color w:val="000000" w:themeColor="text1"/>
          <w:sz w:val="24"/>
          <w:szCs w:val="24"/>
        </w:rPr>
        <w:t xml:space="preserve">Smith, </w:t>
      </w:r>
      <w:r>
        <w:rPr>
          <w:rFonts w:ascii="Arial" w:hAnsi="Arial" w:cs="Arial"/>
          <w:color w:val="000000" w:themeColor="text1"/>
          <w:sz w:val="24"/>
          <w:szCs w:val="24"/>
        </w:rPr>
        <w:t>2025).</w:t>
      </w:r>
    </w:p>
    <w:p w14:paraId="257CA234" w14:textId="77777777" w:rsidR="00AB16E0" w:rsidRDefault="00AB16E0" w:rsidP="00AB16E0">
      <w:pPr>
        <w:spacing w:after="0"/>
        <w:jc w:val="both"/>
        <w:rPr>
          <w:rFonts w:ascii="Arial" w:hAnsi="Arial" w:cs="Arial"/>
          <w:color w:val="000000" w:themeColor="text1"/>
          <w:sz w:val="24"/>
          <w:szCs w:val="24"/>
        </w:rPr>
      </w:pPr>
    </w:p>
    <w:p w14:paraId="3967798F"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lastRenderedPageBreak/>
        <w:t>NPTCBC is a Local Government organisation, employing over 6,500 people to deliver a diverse range of services to the community, making it one of the largest employers within the local area.  The annual workforce data report 2024/25 (NPTCBC, 2025b) identifies that staffing costs account for 46.6% of council spend or £281 million of gross expenditure.</w:t>
      </w:r>
    </w:p>
    <w:p w14:paraId="51AF4687" w14:textId="77777777" w:rsidR="00AB16E0" w:rsidRDefault="00AB16E0" w:rsidP="00AB16E0">
      <w:pPr>
        <w:spacing w:after="0"/>
        <w:jc w:val="both"/>
        <w:rPr>
          <w:rFonts w:ascii="Arial" w:hAnsi="Arial" w:cs="Arial"/>
          <w:color w:val="000000" w:themeColor="text1"/>
          <w:sz w:val="24"/>
          <w:szCs w:val="24"/>
        </w:rPr>
      </w:pPr>
    </w:p>
    <w:p w14:paraId="4C31923E" w14:textId="1B294971"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The National Joint Council (NJC) for Local Government services determines the pay spine for over 1.4 million government workers.  The most recent agreement for 2025-2026, accepted by employers and trade unions included a 3.2% increase to all pay spines with a commitment to deleting the lowest national pay spine point in 2026, (Local Government Association, 2025</w:t>
      </w:r>
      <w:r w:rsidR="00535640">
        <w:rPr>
          <w:rFonts w:ascii="Arial" w:hAnsi="Arial" w:cs="Arial"/>
          <w:color w:val="000000" w:themeColor="text1"/>
          <w:sz w:val="24"/>
          <w:szCs w:val="24"/>
        </w:rPr>
        <w:t>a</w:t>
      </w:r>
      <w:r>
        <w:rPr>
          <w:rFonts w:ascii="Arial" w:hAnsi="Arial" w:cs="Arial"/>
          <w:color w:val="000000" w:themeColor="text1"/>
          <w:sz w:val="24"/>
          <w:szCs w:val="24"/>
        </w:rPr>
        <w:t>).</w:t>
      </w:r>
    </w:p>
    <w:p w14:paraId="24C42F43" w14:textId="77777777" w:rsidR="00AB16E0" w:rsidRDefault="00AB16E0" w:rsidP="00AB16E0">
      <w:pPr>
        <w:spacing w:after="0"/>
        <w:jc w:val="both"/>
        <w:rPr>
          <w:rFonts w:ascii="Arial" w:hAnsi="Arial" w:cs="Arial"/>
          <w:color w:val="000000" w:themeColor="text1"/>
          <w:sz w:val="24"/>
          <w:szCs w:val="24"/>
        </w:rPr>
      </w:pPr>
    </w:p>
    <w:p w14:paraId="1555F5E8" w14:textId="541AFC28"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The annual workforce data shows that during the past 12 months, 678 employees joined the Council, 180 of which were appointed on the lowest pay grades with the hourly rate being just above the national minimum wage</w:t>
      </w:r>
      <w:r w:rsidR="00575B68">
        <w:rPr>
          <w:rFonts w:ascii="Arial" w:hAnsi="Arial" w:cs="Arial"/>
          <w:color w:val="000000" w:themeColor="text1"/>
          <w:sz w:val="24"/>
          <w:szCs w:val="24"/>
        </w:rPr>
        <w:t xml:space="preserve"> (NPTCBC, 2025b)</w:t>
      </w:r>
      <w:r>
        <w:rPr>
          <w:rFonts w:ascii="Arial" w:hAnsi="Arial" w:cs="Arial"/>
          <w:color w:val="000000" w:themeColor="text1"/>
          <w:sz w:val="24"/>
          <w:szCs w:val="24"/>
        </w:rPr>
        <w:t xml:space="preserve">.  The removal of the bottom pay spine in conjunction with the national minimum wage increase is going to affect 26.5% of the workforce who are currently paid within this pay bracket, the majority of which are within Catering, Cleaning and Social Care roles.  </w:t>
      </w:r>
      <w:r w:rsidR="00EA4844">
        <w:rPr>
          <w:rFonts w:ascii="Arial" w:hAnsi="Arial" w:cs="Arial"/>
          <w:color w:val="000000" w:themeColor="text1"/>
          <w:sz w:val="24"/>
          <w:szCs w:val="24"/>
        </w:rPr>
        <w:t>Cotton (2025)</w:t>
      </w:r>
      <w:r w:rsidRPr="007A3AE1">
        <w:rPr>
          <w:rFonts w:ascii="Arial" w:hAnsi="Arial" w:cs="Arial"/>
          <w:color w:val="000000" w:themeColor="text1"/>
          <w:sz w:val="24"/>
          <w:szCs w:val="24"/>
        </w:rPr>
        <w:t xml:space="preserve"> see</w:t>
      </w:r>
      <w:r w:rsidR="00EA4844">
        <w:rPr>
          <w:rFonts w:ascii="Arial" w:hAnsi="Arial" w:cs="Arial"/>
          <w:color w:val="000000" w:themeColor="text1"/>
          <w:sz w:val="24"/>
          <w:szCs w:val="24"/>
        </w:rPr>
        <w:t>s</w:t>
      </w:r>
      <w:r>
        <w:rPr>
          <w:rFonts w:ascii="Arial" w:hAnsi="Arial" w:cs="Arial"/>
          <w:color w:val="000000" w:themeColor="text1"/>
          <w:sz w:val="24"/>
          <w:szCs w:val="24"/>
        </w:rPr>
        <w:t xml:space="preserve"> this as having a positive impact in relation to employee financial wellbeing which in turn will improve performance, reduce poverty and support recruitment and retention.</w:t>
      </w:r>
    </w:p>
    <w:p w14:paraId="1DC79395" w14:textId="77777777" w:rsidR="00AB16E0" w:rsidRDefault="00AB16E0" w:rsidP="00AB16E0">
      <w:pPr>
        <w:spacing w:after="0"/>
        <w:jc w:val="both"/>
        <w:rPr>
          <w:rFonts w:ascii="Arial" w:hAnsi="Arial" w:cs="Arial"/>
          <w:color w:val="000000" w:themeColor="text1"/>
          <w:sz w:val="24"/>
          <w:szCs w:val="24"/>
        </w:rPr>
      </w:pPr>
    </w:p>
    <w:p w14:paraId="0C758DDA"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NPTCBC already recognise the importance of supporting lower paid workers and provide career development sessions for employees to gain skills and confidence with enhancing their career opportunities.  In addition, there is a commitment to reduce the Council’s Gender Pay Gap as currently, whilst the overall gender profile of the Council is 71% female, 97% of those employed in the lowest paid roles are female, (NPTCBC, 2024/2025).</w:t>
      </w:r>
    </w:p>
    <w:p w14:paraId="14CFAC0E" w14:textId="77777777" w:rsidR="00AB16E0" w:rsidRDefault="00AB16E0" w:rsidP="00AB16E0">
      <w:pPr>
        <w:spacing w:after="0"/>
        <w:jc w:val="both"/>
        <w:rPr>
          <w:rFonts w:ascii="Arial" w:hAnsi="Arial" w:cs="Arial"/>
          <w:color w:val="000000" w:themeColor="text1"/>
          <w:sz w:val="24"/>
          <w:szCs w:val="24"/>
        </w:rPr>
      </w:pPr>
    </w:p>
    <w:p w14:paraId="7E084FFA" w14:textId="3A43DD84"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Nevertheless, </w:t>
      </w:r>
      <w:r w:rsidRPr="00E95BA1">
        <w:rPr>
          <w:rFonts w:ascii="Arial" w:hAnsi="Arial" w:cs="Arial"/>
          <w:color w:val="000000" w:themeColor="text1"/>
          <w:sz w:val="24"/>
          <w:szCs w:val="24"/>
        </w:rPr>
        <w:t>the Department for Business and Trade (2025</w:t>
      </w:r>
      <w:r w:rsidR="00EA4844">
        <w:rPr>
          <w:rFonts w:ascii="Arial" w:hAnsi="Arial" w:cs="Arial"/>
          <w:color w:val="000000" w:themeColor="text1"/>
          <w:sz w:val="24"/>
          <w:szCs w:val="24"/>
        </w:rPr>
        <w:t>a</w:t>
      </w:r>
      <w:r w:rsidRPr="00E95BA1">
        <w:rPr>
          <w:rFonts w:ascii="Arial" w:hAnsi="Arial" w:cs="Arial"/>
          <w:color w:val="000000" w:themeColor="text1"/>
          <w:sz w:val="24"/>
          <w:szCs w:val="24"/>
        </w:rPr>
        <w:t>) recognise</w:t>
      </w:r>
      <w:r>
        <w:rPr>
          <w:rFonts w:ascii="Arial" w:hAnsi="Arial" w:cs="Arial"/>
          <w:color w:val="000000" w:themeColor="text1"/>
          <w:sz w:val="24"/>
          <w:szCs w:val="24"/>
        </w:rPr>
        <w:t xml:space="preserve"> that an increase in the NMW would cause further financial pressures for the Council in relation to its own staffing costs and the cost of services it commissions from external organisations particularly in the areas of social care and home to school transport.  As an example, a 4% rise in NMW would increase external care costs by £3m</w:t>
      </w:r>
      <w:r w:rsidRPr="005378A0">
        <w:rPr>
          <w:rFonts w:ascii="Arial" w:hAnsi="Arial" w:cs="Arial"/>
          <w:color w:val="000000" w:themeColor="text1"/>
          <w:sz w:val="24"/>
          <w:szCs w:val="24"/>
        </w:rPr>
        <w:t>, (NPTCBC, 2025</w:t>
      </w:r>
      <w:r>
        <w:rPr>
          <w:rFonts w:ascii="Arial" w:hAnsi="Arial" w:cs="Arial"/>
          <w:color w:val="000000" w:themeColor="text1"/>
          <w:sz w:val="24"/>
          <w:szCs w:val="24"/>
        </w:rPr>
        <w:t>/2026</w:t>
      </w:r>
      <w:r w:rsidRPr="005378A0">
        <w:rPr>
          <w:rFonts w:ascii="Arial" w:hAnsi="Arial" w:cs="Arial"/>
          <w:color w:val="000000" w:themeColor="text1"/>
          <w:sz w:val="24"/>
          <w:szCs w:val="24"/>
        </w:rPr>
        <w:t>).</w:t>
      </w:r>
    </w:p>
    <w:p w14:paraId="1FF1212F" w14:textId="77777777" w:rsidR="00AB16E0" w:rsidRDefault="00AB16E0" w:rsidP="00AB16E0">
      <w:pPr>
        <w:spacing w:after="0"/>
        <w:jc w:val="both"/>
        <w:rPr>
          <w:rFonts w:ascii="Arial" w:hAnsi="Arial" w:cs="Arial"/>
          <w:color w:val="000000" w:themeColor="text1"/>
          <w:sz w:val="24"/>
          <w:szCs w:val="24"/>
        </w:rPr>
      </w:pPr>
    </w:p>
    <w:p w14:paraId="0092C931" w14:textId="38966056"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Subsequently, any increase in the NMW would increase the funding gap for next year which is in the order of £20m.  In order to close the gap, there would need to be a range of cost saving measures including reducing services and increased </w:t>
      </w:r>
      <w:r w:rsidRPr="00A546A0">
        <w:rPr>
          <w:rFonts w:ascii="Arial" w:hAnsi="Arial" w:cs="Arial"/>
          <w:color w:val="000000" w:themeColor="text1"/>
          <w:sz w:val="24"/>
          <w:szCs w:val="24"/>
        </w:rPr>
        <w:t>redundancies which would require strategic direction and decision making in relation to longer term sustainability of the organisation regarding the future workforce and service delivery (</w:t>
      </w:r>
      <w:r w:rsidR="00A546A0" w:rsidRPr="00A546A0">
        <w:rPr>
          <w:rFonts w:ascii="Arial" w:hAnsi="Arial" w:cs="Arial"/>
          <w:color w:val="000000" w:themeColor="text1"/>
          <w:sz w:val="24"/>
          <w:szCs w:val="24"/>
        </w:rPr>
        <w:t xml:space="preserve">Local Government Association, </w:t>
      </w:r>
      <w:r w:rsidRPr="00A546A0">
        <w:rPr>
          <w:rFonts w:ascii="Arial" w:hAnsi="Arial" w:cs="Arial"/>
          <w:color w:val="000000" w:themeColor="text1"/>
          <w:sz w:val="24"/>
          <w:szCs w:val="24"/>
        </w:rPr>
        <w:t>2025</w:t>
      </w:r>
      <w:r w:rsidR="00A546A0" w:rsidRPr="00A546A0">
        <w:rPr>
          <w:rFonts w:ascii="Arial" w:hAnsi="Arial" w:cs="Arial"/>
          <w:color w:val="000000" w:themeColor="text1"/>
          <w:sz w:val="24"/>
          <w:szCs w:val="24"/>
        </w:rPr>
        <w:t>c</w:t>
      </w:r>
      <w:r w:rsidRPr="00A546A0">
        <w:rPr>
          <w:rFonts w:ascii="Arial" w:hAnsi="Arial" w:cs="Arial"/>
          <w:color w:val="000000" w:themeColor="text1"/>
          <w:sz w:val="24"/>
          <w:szCs w:val="24"/>
        </w:rPr>
        <w:t>).</w:t>
      </w:r>
    </w:p>
    <w:p w14:paraId="1A3D0A5C" w14:textId="77777777" w:rsidR="00AB16E0" w:rsidRDefault="00AB16E0" w:rsidP="00AB16E0">
      <w:pPr>
        <w:spacing w:after="0"/>
        <w:jc w:val="both"/>
        <w:rPr>
          <w:rFonts w:ascii="Arial" w:hAnsi="Arial" w:cs="Arial"/>
          <w:color w:val="000000" w:themeColor="text1"/>
          <w:sz w:val="24"/>
          <w:szCs w:val="24"/>
        </w:rPr>
      </w:pPr>
    </w:p>
    <w:p w14:paraId="32C32FAF" w14:textId="277F5608"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Brauer (2025) suggests that the NMW increase will inevitably increase living standards </w:t>
      </w:r>
      <w:r w:rsidR="005D1FDA">
        <w:rPr>
          <w:rFonts w:ascii="Arial" w:hAnsi="Arial" w:cs="Arial"/>
          <w:color w:val="000000" w:themeColor="text1"/>
          <w:sz w:val="24"/>
          <w:szCs w:val="24"/>
        </w:rPr>
        <w:t xml:space="preserve">and financial wellbeing </w:t>
      </w:r>
      <w:r>
        <w:rPr>
          <w:rFonts w:ascii="Arial" w:hAnsi="Arial" w:cs="Arial"/>
          <w:color w:val="000000" w:themeColor="text1"/>
          <w:sz w:val="24"/>
          <w:szCs w:val="24"/>
        </w:rPr>
        <w:t>for lower paid workers is within the spirit of the ‘Make Work Pay’ Plan however, it is important to understand the effects on employers</w:t>
      </w:r>
      <w:r w:rsidR="005D1FDA">
        <w:rPr>
          <w:rFonts w:ascii="Arial" w:hAnsi="Arial" w:cs="Arial"/>
          <w:color w:val="000000" w:themeColor="text1"/>
          <w:sz w:val="24"/>
          <w:szCs w:val="24"/>
        </w:rPr>
        <w:t xml:space="preserve"> in having a consistent and competitive approach and ensuring future organisational sustainability.  </w:t>
      </w:r>
      <w:r>
        <w:rPr>
          <w:rFonts w:ascii="Arial" w:hAnsi="Arial" w:cs="Arial"/>
          <w:color w:val="000000" w:themeColor="text1"/>
          <w:sz w:val="24"/>
          <w:szCs w:val="24"/>
        </w:rPr>
        <w:t>The concern for Local Government is that the increase</w:t>
      </w:r>
      <w:r w:rsidR="005D1FDA">
        <w:rPr>
          <w:rFonts w:ascii="Arial" w:hAnsi="Arial" w:cs="Arial"/>
          <w:color w:val="000000" w:themeColor="text1"/>
          <w:sz w:val="24"/>
          <w:szCs w:val="24"/>
        </w:rPr>
        <w:t xml:space="preserve"> in the NMW</w:t>
      </w:r>
      <w:r>
        <w:rPr>
          <w:rFonts w:ascii="Arial" w:hAnsi="Arial" w:cs="Arial"/>
          <w:color w:val="000000" w:themeColor="text1"/>
          <w:sz w:val="24"/>
          <w:szCs w:val="24"/>
        </w:rPr>
        <w:t xml:space="preserve"> will result in pay differentials at the lower end of the pay scales </w:t>
      </w:r>
      <w:r w:rsidR="005D1FDA">
        <w:rPr>
          <w:rFonts w:ascii="Arial" w:hAnsi="Arial" w:cs="Arial"/>
          <w:color w:val="000000" w:themeColor="text1"/>
          <w:sz w:val="24"/>
          <w:szCs w:val="24"/>
        </w:rPr>
        <w:t xml:space="preserve">which could </w:t>
      </w:r>
      <w:r>
        <w:rPr>
          <w:rFonts w:ascii="Arial" w:hAnsi="Arial" w:cs="Arial"/>
          <w:color w:val="000000" w:themeColor="text1"/>
          <w:sz w:val="24"/>
          <w:szCs w:val="24"/>
        </w:rPr>
        <w:t>affect staff morale, recruitment and retention.</w:t>
      </w:r>
    </w:p>
    <w:p w14:paraId="13023127" w14:textId="77777777" w:rsidR="005D1FDA" w:rsidRDefault="005D1FDA" w:rsidP="00AB16E0">
      <w:pPr>
        <w:spacing w:after="0"/>
        <w:jc w:val="both"/>
        <w:rPr>
          <w:rFonts w:ascii="Arial" w:hAnsi="Arial" w:cs="Arial"/>
          <w:color w:val="000000" w:themeColor="text1"/>
          <w:sz w:val="24"/>
          <w:szCs w:val="24"/>
        </w:rPr>
      </w:pPr>
    </w:p>
    <w:p w14:paraId="49C7811E" w14:textId="7B53EFED" w:rsidR="00AB16E0" w:rsidRDefault="00AB16E0" w:rsidP="00AB16E0">
      <w:pPr>
        <w:spacing w:after="0"/>
        <w:jc w:val="both"/>
        <w:rPr>
          <w:rFonts w:ascii="Arial" w:hAnsi="Arial" w:cs="Arial"/>
          <w:b/>
          <w:bCs/>
          <w:color w:val="000000" w:themeColor="text1"/>
          <w:sz w:val="24"/>
          <w:szCs w:val="24"/>
        </w:rPr>
      </w:pPr>
      <w:r>
        <w:rPr>
          <w:rFonts w:ascii="Arial" w:hAnsi="Arial" w:cs="Arial"/>
          <w:b/>
          <w:bCs/>
          <w:color w:val="000000" w:themeColor="text1"/>
          <w:sz w:val="24"/>
          <w:szCs w:val="24"/>
        </w:rPr>
        <w:t>2.</w:t>
      </w:r>
      <w:r w:rsidR="00741A49">
        <w:rPr>
          <w:rFonts w:ascii="Arial" w:hAnsi="Arial" w:cs="Arial"/>
          <w:b/>
          <w:bCs/>
          <w:color w:val="000000" w:themeColor="text1"/>
          <w:sz w:val="24"/>
          <w:szCs w:val="24"/>
        </w:rPr>
        <w:t>3</w:t>
      </w:r>
      <w:r>
        <w:rPr>
          <w:rFonts w:ascii="Arial" w:hAnsi="Arial" w:cs="Arial"/>
          <w:b/>
          <w:bCs/>
          <w:color w:val="000000" w:themeColor="text1"/>
          <w:sz w:val="24"/>
          <w:szCs w:val="24"/>
        </w:rPr>
        <w:tab/>
        <w:t>Political Factor</w:t>
      </w:r>
    </w:p>
    <w:p w14:paraId="05B131BC"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Currently 11 Trade Unions are affiliated with the Labour Party promoting a collaborative approach in providing working people with a strong voice and presence in the workplace.  Employees working within unionised organisations benefit from improved terms and conditions, higher pay, equality and representation in relation to employment related matters, (Labour, 2025).</w:t>
      </w:r>
    </w:p>
    <w:p w14:paraId="79CD9C36" w14:textId="77777777" w:rsidR="00AB16E0" w:rsidRDefault="00AB16E0" w:rsidP="00AB16E0">
      <w:pPr>
        <w:spacing w:after="0"/>
        <w:jc w:val="both"/>
        <w:rPr>
          <w:rFonts w:ascii="Arial" w:hAnsi="Arial" w:cs="Arial"/>
          <w:color w:val="000000" w:themeColor="text1"/>
          <w:sz w:val="24"/>
          <w:szCs w:val="24"/>
        </w:rPr>
      </w:pPr>
    </w:p>
    <w:p w14:paraId="5FEEB62E" w14:textId="31E981D6"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The UK Governments Make Work Pay initiative is seeking a repeal of the Trade Union Act 2016 which was passed by the previous Conservative Government with the aim of strengthening trade union rights, tackling low pay and ensuring fairness and equality within the workplace.  The plan aims to improve industrial relations by providing Trade Unions with a statutory right to access workplaces and removal of the 50% return threshold in relation to strike ballots</w:t>
      </w:r>
      <w:r w:rsidR="00535484">
        <w:rPr>
          <w:rFonts w:ascii="Arial" w:hAnsi="Arial" w:cs="Arial"/>
          <w:color w:val="000000" w:themeColor="text1"/>
          <w:sz w:val="24"/>
          <w:szCs w:val="24"/>
        </w:rPr>
        <w:t xml:space="preserve"> (NB: public services 40% of those entitled to vote must say ‘yes’, however never applied to devolved Welsh authorise)</w:t>
      </w:r>
      <w:r>
        <w:rPr>
          <w:rFonts w:ascii="Arial" w:hAnsi="Arial" w:cs="Arial"/>
          <w:color w:val="000000" w:themeColor="text1"/>
          <w:sz w:val="24"/>
          <w:szCs w:val="24"/>
        </w:rPr>
        <w:t>, only requiring a majority of members to vote in favour (T</w:t>
      </w:r>
      <w:r w:rsidRPr="00E95BA1">
        <w:rPr>
          <w:rFonts w:ascii="Arial" w:hAnsi="Arial" w:cs="Arial"/>
          <w:color w:val="000000" w:themeColor="text1"/>
          <w:sz w:val="24"/>
          <w:szCs w:val="24"/>
        </w:rPr>
        <w:t>he Department for Business and Trade 2025</w:t>
      </w:r>
      <w:r w:rsidR="00EA4844">
        <w:rPr>
          <w:rFonts w:ascii="Arial" w:hAnsi="Arial" w:cs="Arial"/>
          <w:color w:val="000000" w:themeColor="text1"/>
          <w:sz w:val="24"/>
          <w:szCs w:val="24"/>
        </w:rPr>
        <w:t>b</w:t>
      </w:r>
      <w:r>
        <w:rPr>
          <w:rFonts w:ascii="Arial" w:hAnsi="Arial" w:cs="Arial"/>
          <w:color w:val="000000" w:themeColor="text1"/>
          <w:sz w:val="24"/>
          <w:szCs w:val="24"/>
        </w:rPr>
        <w:t>).</w:t>
      </w:r>
    </w:p>
    <w:p w14:paraId="63CFF892" w14:textId="77777777" w:rsidR="00AB16E0" w:rsidRDefault="00AB16E0" w:rsidP="00AB16E0">
      <w:pPr>
        <w:spacing w:after="0"/>
        <w:jc w:val="both"/>
        <w:rPr>
          <w:rFonts w:ascii="Arial" w:hAnsi="Arial" w:cs="Arial"/>
          <w:color w:val="000000" w:themeColor="text1"/>
          <w:sz w:val="24"/>
          <w:szCs w:val="24"/>
        </w:rPr>
      </w:pPr>
    </w:p>
    <w:p w14:paraId="3C7FEE87" w14:textId="3060862D"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NPTCBC are committed to working in social partnership with Trade Unions and recognise the importance of having an open and transparent relationship, building trust and confidence in enabling effective engagement and encouragement in relation to employee voice, which is key in successfully achieving the organisational and HR objectives, </w:t>
      </w:r>
      <w:r w:rsidRPr="0096086D">
        <w:rPr>
          <w:rFonts w:ascii="Arial" w:hAnsi="Arial" w:cs="Arial"/>
          <w:color w:val="000000" w:themeColor="text1"/>
          <w:sz w:val="24"/>
          <w:szCs w:val="24"/>
        </w:rPr>
        <w:t>(NPTCBC, 2022-2027).</w:t>
      </w:r>
      <w:r>
        <w:rPr>
          <w:rFonts w:ascii="Arial" w:hAnsi="Arial" w:cs="Arial"/>
          <w:color w:val="000000" w:themeColor="text1"/>
          <w:sz w:val="24"/>
          <w:szCs w:val="24"/>
        </w:rPr>
        <w:t xml:space="preserve">  This approach was recognised by the Welsh Government as best practice with NPTCBC being the first employer in Wales to achieve People Development Partner status from the CIPD which is reflective of the commitment to championing better work and working lives, (Welsh Government, 2024).</w:t>
      </w:r>
    </w:p>
    <w:p w14:paraId="12EE83B1" w14:textId="77777777" w:rsidR="00AB16E0" w:rsidRDefault="00AB16E0" w:rsidP="00AB16E0">
      <w:pPr>
        <w:spacing w:after="0"/>
        <w:jc w:val="both"/>
        <w:rPr>
          <w:rFonts w:ascii="Arial" w:hAnsi="Arial" w:cs="Arial"/>
          <w:color w:val="000000" w:themeColor="text1"/>
          <w:sz w:val="24"/>
          <w:szCs w:val="24"/>
        </w:rPr>
      </w:pPr>
    </w:p>
    <w:p w14:paraId="633EDE30" w14:textId="40CF3C36" w:rsidR="00AB16E0" w:rsidRDefault="0053564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Moss, </w:t>
      </w:r>
      <w:r w:rsidR="00AB16E0">
        <w:rPr>
          <w:rFonts w:ascii="Arial" w:hAnsi="Arial" w:cs="Arial"/>
          <w:color w:val="000000" w:themeColor="text1"/>
          <w:sz w:val="24"/>
          <w:szCs w:val="24"/>
        </w:rPr>
        <w:t>(2025</w:t>
      </w:r>
      <w:r>
        <w:rPr>
          <w:rFonts w:ascii="Arial" w:hAnsi="Arial" w:cs="Arial"/>
          <w:color w:val="000000" w:themeColor="text1"/>
          <w:sz w:val="24"/>
          <w:szCs w:val="24"/>
        </w:rPr>
        <w:t>b</w:t>
      </w:r>
      <w:r w:rsidR="00AB16E0">
        <w:rPr>
          <w:rFonts w:ascii="Arial" w:hAnsi="Arial" w:cs="Arial"/>
          <w:color w:val="000000" w:themeColor="text1"/>
          <w:sz w:val="24"/>
          <w:szCs w:val="24"/>
        </w:rPr>
        <w:t xml:space="preserve">) recognise the potential challenges organisations may face in relation to the changes whilst also trying to maintain effective partnership working.  Many smaller organisations are not equipped in dealing with Trade Unions which will see an increased demand on advice services, therefore the Government need to consider providing additional resources and investment in organisations such as ACAS </w:t>
      </w:r>
      <w:r w:rsidR="0048057D">
        <w:rPr>
          <w:rFonts w:ascii="Arial" w:hAnsi="Arial" w:cs="Arial"/>
          <w:color w:val="000000" w:themeColor="text1"/>
          <w:sz w:val="24"/>
          <w:szCs w:val="24"/>
        </w:rPr>
        <w:t>in providing advice and support to</w:t>
      </w:r>
      <w:r w:rsidR="00AB16E0">
        <w:rPr>
          <w:rFonts w:ascii="Arial" w:hAnsi="Arial" w:cs="Arial"/>
          <w:color w:val="000000" w:themeColor="text1"/>
          <w:sz w:val="24"/>
          <w:szCs w:val="24"/>
        </w:rPr>
        <w:t xml:space="preserve"> avoid potential disputes.  In addition, the threat of strike action may influence decision making which could have greater implications on organisations and create workplace inequality.</w:t>
      </w:r>
    </w:p>
    <w:p w14:paraId="7DDEBCD0" w14:textId="77777777" w:rsidR="00AB16E0" w:rsidRDefault="00AB16E0" w:rsidP="00AB16E0">
      <w:pPr>
        <w:spacing w:after="0"/>
        <w:jc w:val="both"/>
        <w:rPr>
          <w:rFonts w:ascii="Arial" w:hAnsi="Arial" w:cs="Arial"/>
          <w:color w:val="000000" w:themeColor="text1"/>
          <w:sz w:val="24"/>
          <w:szCs w:val="24"/>
        </w:rPr>
      </w:pPr>
    </w:p>
    <w:p w14:paraId="64FE6E8C" w14:textId="796D3D8D"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NPTCBC formally recognise </w:t>
      </w:r>
      <w:r w:rsidRPr="007E0C22">
        <w:rPr>
          <w:rFonts w:ascii="Arial" w:hAnsi="Arial" w:cs="Arial"/>
          <w:color w:val="000000" w:themeColor="text1"/>
          <w:sz w:val="24"/>
          <w:szCs w:val="24"/>
        </w:rPr>
        <w:t xml:space="preserve">trade </w:t>
      </w:r>
      <w:r w:rsidRPr="001D6F0B">
        <w:rPr>
          <w:rFonts w:ascii="Arial" w:hAnsi="Arial" w:cs="Arial"/>
          <w:color w:val="000000" w:themeColor="text1"/>
          <w:sz w:val="24"/>
          <w:szCs w:val="24"/>
        </w:rPr>
        <w:t>unions for collective bargaining purposes which is embedded into HR and workforce strategies</w:t>
      </w:r>
      <w:r>
        <w:rPr>
          <w:rFonts w:ascii="Arial" w:hAnsi="Arial" w:cs="Arial"/>
          <w:color w:val="000000" w:themeColor="text1"/>
          <w:sz w:val="24"/>
          <w:szCs w:val="24"/>
        </w:rPr>
        <w:t xml:space="preserve"> to effectively achieve organisational objectives</w:t>
      </w:r>
      <w:r w:rsidRPr="001D6F0B">
        <w:rPr>
          <w:rFonts w:ascii="Arial" w:hAnsi="Arial" w:cs="Arial"/>
          <w:color w:val="000000" w:themeColor="text1"/>
          <w:sz w:val="24"/>
          <w:szCs w:val="24"/>
        </w:rPr>
        <w:t>.  Therefore</w:t>
      </w:r>
      <w:r>
        <w:rPr>
          <w:rFonts w:ascii="Arial" w:hAnsi="Arial" w:cs="Arial"/>
          <w:color w:val="000000" w:themeColor="text1"/>
          <w:sz w:val="24"/>
          <w:szCs w:val="24"/>
        </w:rPr>
        <w:t>,</w:t>
      </w:r>
      <w:r w:rsidRPr="001D6F0B">
        <w:rPr>
          <w:rFonts w:ascii="Arial" w:hAnsi="Arial" w:cs="Arial"/>
          <w:color w:val="000000" w:themeColor="text1"/>
          <w:sz w:val="24"/>
          <w:szCs w:val="24"/>
        </w:rPr>
        <w:t xml:space="preserve"> it is important to </w:t>
      </w:r>
      <w:r>
        <w:rPr>
          <w:rFonts w:ascii="Arial" w:hAnsi="Arial" w:cs="Arial"/>
          <w:color w:val="000000" w:themeColor="text1"/>
          <w:sz w:val="24"/>
          <w:szCs w:val="24"/>
        </w:rPr>
        <w:t>highlight how the legislative changes could impact the organisation.  An example of which being in relation to pay negotiations.  During recent years, Trade Unions have balloted their members in relation to pay</w:t>
      </w:r>
      <w:r w:rsidR="0048057D">
        <w:rPr>
          <w:rFonts w:ascii="Arial" w:hAnsi="Arial" w:cs="Arial"/>
          <w:color w:val="000000" w:themeColor="text1"/>
          <w:sz w:val="24"/>
          <w:szCs w:val="24"/>
        </w:rPr>
        <w:t xml:space="preserve"> and</w:t>
      </w:r>
      <w:r>
        <w:rPr>
          <w:rFonts w:ascii="Arial" w:hAnsi="Arial" w:cs="Arial"/>
          <w:color w:val="000000" w:themeColor="text1"/>
          <w:sz w:val="24"/>
          <w:szCs w:val="24"/>
        </w:rPr>
        <w:t xml:space="preserve"> </w:t>
      </w:r>
      <w:r>
        <w:rPr>
          <w:rFonts w:ascii="Arial" w:hAnsi="Arial" w:cs="Arial"/>
          <w:color w:val="000000" w:themeColor="text1"/>
          <w:sz w:val="24"/>
          <w:szCs w:val="24"/>
        </w:rPr>
        <w:lastRenderedPageBreak/>
        <w:t>terms and conditions however, as a result of the ballot return not meeting the 50% threshold, the National Pay Award for Local Government has settled the pay offer subsequently avoiding industrial action.  It should therefore be recognised that the change in legislation would have resulted in strike action</w:t>
      </w:r>
      <w:r w:rsidR="0048057D">
        <w:rPr>
          <w:rFonts w:ascii="Arial" w:hAnsi="Arial" w:cs="Arial"/>
          <w:color w:val="000000" w:themeColor="text1"/>
          <w:sz w:val="24"/>
          <w:szCs w:val="24"/>
        </w:rPr>
        <w:t xml:space="preserve"> being taken</w:t>
      </w:r>
      <w:r>
        <w:rPr>
          <w:rFonts w:ascii="Arial" w:hAnsi="Arial" w:cs="Arial"/>
          <w:color w:val="000000" w:themeColor="text1"/>
          <w:sz w:val="24"/>
          <w:szCs w:val="24"/>
        </w:rPr>
        <w:t xml:space="preserve"> against the Council.</w:t>
      </w:r>
    </w:p>
    <w:p w14:paraId="0FE3DBC9" w14:textId="77777777" w:rsidR="00AB16E0" w:rsidRDefault="00AB16E0" w:rsidP="00AB16E0">
      <w:pPr>
        <w:spacing w:after="0"/>
        <w:jc w:val="both"/>
        <w:rPr>
          <w:rFonts w:ascii="Arial" w:hAnsi="Arial" w:cs="Arial"/>
          <w:color w:val="000000" w:themeColor="text1"/>
          <w:sz w:val="24"/>
          <w:szCs w:val="24"/>
        </w:rPr>
      </w:pPr>
    </w:p>
    <w:p w14:paraId="33736937" w14:textId="0FC2F440"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Eversheds Sutherland (2025), recognise the practical implications the proposed measures will bring and whilst NPTCBC are recognised for their effective social partnership working with Trade Unions, the introduction of the new legislation could potentially change the dynamics of the employer and Trade Union relationship which in turn would affect staff morale,</w:t>
      </w:r>
      <w:r w:rsidR="0048057D">
        <w:rPr>
          <w:rFonts w:ascii="Arial" w:hAnsi="Arial" w:cs="Arial"/>
          <w:color w:val="000000" w:themeColor="text1"/>
          <w:sz w:val="24"/>
          <w:szCs w:val="24"/>
        </w:rPr>
        <w:t xml:space="preserve"> impacting performance and</w:t>
      </w:r>
      <w:r>
        <w:rPr>
          <w:rFonts w:ascii="Arial" w:hAnsi="Arial" w:cs="Arial"/>
          <w:color w:val="000000" w:themeColor="text1"/>
          <w:sz w:val="24"/>
          <w:szCs w:val="24"/>
        </w:rPr>
        <w:t xml:space="preserve"> los</w:t>
      </w:r>
      <w:r w:rsidR="0048057D">
        <w:rPr>
          <w:rFonts w:ascii="Arial" w:hAnsi="Arial" w:cs="Arial"/>
          <w:color w:val="000000" w:themeColor="text1"/>
          <w:sz w:val="24"/>
          <w:szCs w:val="24"/>
        </w:rPr>
        <w:t>ing</w:t>
      </w:r>
      <w:r>
        <w:rPr>
          <w:rFonts w:ascii="Arial" w:hAnsi="Arial" w:cs="Arial"/>
          <w:color w:val="000000" w:themeColor="text1"/>
          <w:sz w:val="24"/>
          <w:szCs w:val="24"/>
        </w:rPr>
        <w:t xml:space="preserve"> trust and confidence in senior leaders </w:t>
      </w:r>
      <w:r w:rsidR="0048057D">
        <w:rPr>
          <w:rFonts w:ascii="Arial" w:hAnsi="Arial" w:cs="Arial"/>
          <w:color w:val="000000" w:themeColor="text1"/>
          <w:sz w:val="24"/>
          <w:szCs w:val="24"/>
        </w:rPr>
        <w:t xml:space="preserve">which would </w:t>
      </w:r>
      <w:r>
        <w:rPr>
          <w:rFonts w:ascii="Arial" w:hAnsi="Arial" w:cs="Arial"/>
          <w:color w:val="000000" w:themeColor="text1"/>
          <w:sz w:val="24"/>
          <w:szCs w:val="24"/>
        </w:rPr>
        <w:t>work against the spirit of social partnership impacting the future HR and Organisational Strategy.</w:t>
      </w:r>
    </w:p>
    <w:bookmarkEnd w:id="1"/>
    <w:p w14:paraId="7D04164C" w14:textId="77777777" w:rsidR="00975184" w:rsidRDefault="00975184" w:rsidP="00975184">
      <w:pPr>
        <w:spacing w:after="0"/>
        <w:jc w:val="both"/>
        <w:rPr>
          <w:rFonts w:ascii="Arial" w:hAnsi="Arial" w:cs="Arial"/>
          <w:color w:val="000000" w:themeColor="text1"/>
          <w:sz w:val="24"/>
          <w:szCs w:val="24"/>
        </w:rPr>
      </w:pPr>
    </w:p>
    <w:p w14:paraId="20D85ED1" w14:textId="77777777" w:rsidR="00975184" w:rsidRPr="00AB16E0" w:rsidRDefault="00975184" w:rsidP="00975184">
      <w:pPr>
        <w:pStyle w:val="ListParagraph"/>
        <w:numPr>
          <w:ilvl w:val="0"/>
          <w:numId w:val="1"/>
        </w:numPr>
        <w:spacing w:after="0"/>
        <w:ind w:hanging="720"/>
        <w:jc w:val="both"/>
        <w:rPr>
          <w:rFonts w:ascii="Arial" w:hAnsi="Arial" w:cs="Arial"/>
          <w:b/>
          <w:bCs/>
          <w:color w:val="000000" w:themeColor="text1"/>
          <w:sz w:val="24"/>
          <w:szCs w:val="24"/>
        </w:rPr>
      </w:pPr>
      <w:r w:rsidRPr="00AB16E0">
        <w:rPr>
          <w:rFonts w:ascii="Arial" w:hAnsi="Arial" w:cs="Arial"/>
          <w:b/>
          <w:bCs/>
          <w:color w:val="000000" w:themeColor="text1"/>
          <w:sz w:val="24"/>
          <w:szCs w:val="24"/>
        </w:rPr>
        <w:t>Conclusion</w:t>
      </w:r>
    </w:p>
    <w:p w14:paraId="53CB0C8A" w14:textId="25F36206" w:rsidR="00880E8C" w:rsidRDefault="00880E8C" w:rsidP="00880E8C">
      <w:pPr>
        <w:spacing w:after="0"/>
        <w:jc w:val="both"/>
        <w:rPr>
          <w:rFonts w:ascii="Arial" w:hAnsi="Arial" w:cs="Arial"/>
          <w:sz w:val="24"/>
          <w:szCs w:val="24"/>
        </w:rPr>
      </w:pPr>
      <w:r>
        <w:rPr>
          <w:rFonts w:ascii="Arial" w:hAnsi="Arial" w:cs="Arial"/>
          <w:color w:val="000000" w:themeColor="text1"/>
          <w:sz w:val="24"/>
          <w:szCs w:val="24"/>
        </w:rPr>
        <w:t xml:space="preserve">In conclusion, it is apparent that the proposed changes detailed within the Make Work Pay Plan will have </w:t>
      </w:r>
      <w:r w:rsidR="0090279F">
        <w:rPr>
          <w:rFonts w:ascii="Arial" w:hAnsi="Arial" w:cs="Arial"/>
          <w:color w:val="000000" w:themeColor="text1"/>
          <w:sz w:val="24"/>
          <w:szCs w:val="24"/>
        </w:rPr>
        <w:t xml:space="preserve">substantial </w:t>
      </w:r>
      <w:r>
        <w:rPr>
          <w:rFonts w:ascii="Arial" w:hAnsi="Arial" w:cs="Arial"/>
          <w:color w:val="000000" w:themeColor="text1"/>
          <w:sz w:val="24"/>
          <w:szCs w:val="24"/>
        </w:rPr>
        <w:t>implications for NPTCBC in relation to strategic</w:t>
      </w:r>
      <w:r>
        <w:rPr>
          <w:rFonts w:ascii="Arial" w:hAnsi="Arial" w:cs="Arial"/>
          <w:sz w:val="24"/>
          <w:szCs w:val="24"/>
        </w:rPr>
        <w:t xml:space="preserve"> decision making, competitive advantage and long-term sustainability.</w:t>
      </w:r>
    </w:p>
    <w:p w14:paraId="03C8F56C" w14:textId="2FACE998" w:rsidR="00880E8C" w:rsidRDefault="00880E8C" w:rsidP="00975184">
      <w:pPr>
        <w:spacing w:after="0"/>
        <w:jc w:val="both"/>
        <w:rPr>
          <w:rFonts w:ascii="Arial" w:hAnsi="Arial" w:cs="Arial"/>
          <w:color w:val="000000" w:themeColor="text1"/>
          <w:sz w:val="24"/>
          <w:szCs w:val="24"/>
        </w:rPr>
      </w:pPr>
    </w:p>
    <w:p w14:paraId="2B4A662E" w14:textId="26053C8D" w:rsidR="00880E8C" w:rsidRDefault="00880E8C" w:rsidP="00975184">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Therefore, it is important for the organisation to keep abreast of the changes by utilising the PESTLE tool effectively in understanding the </w:t>
      </w:r>
      <w:r w:rsidR="002138E9">
        <w:rPr>
          <w:rFonts w:ascii="Arial" w:hAnsi="Arial" w:cs="Arial"/>
          <w:color w:val="000000" w:themeColor="text1"/>
          <w:sz w:val="24"/>
          <w:szCs w:val="24"/>
        </w:rPr>
        <w:t xml:space="preserve">external challenges and opportunities.  Working in </w:t>
      </w:r>
      <w:r w:rsidR="00163700">
        <w:rPr>
          <w:rFonts w:ascii="Arial" w:hAnsi="Arial" w:cs="Arial"/>
          <w:color w:val="000000" w:themeColor="text1"/>
          <w:sz w:val="24"/>
          <w:szCs w:val="24"/>
        </w:rPr>
        <w:t xml:space="preserve">close </w:t>
      </w:r>
      <w:r w:rsidR="002138E9">
        <w:rPr>
          <w:rFonts w:ascii="Arial" w:hAnsi="Arial" w:cs="Arial"/>
          <w:color w:val="000000" w:themeColor="text1"/>
          <w:sz w:val="24"/>
          <w:szCs w:val="24"/>
        </w:rPr>
        <w:t>collaboration with relevant stakeholders</w:t>
      </w:r>
      <w:r w:rsidR="00BE4C87">
        <w:rPr>
          <w:rFonts w:ascii="Arial" w:hAnsi="Arial" w:cs="Arial"/>
          <w:color w:val="000000" w:themeColor="text1"/>
          <w:sz w:val="24"/>
          <w:szCs w:val="24"/>
        </w:rPr>
        <w:t xml:space="preserve"> including Trade Unions and the wider workforce</w:t>
      </w:r>
      <w:r w:rsidR="0090279F">
        <w:rPr>
          <w:rFonts w:ascii="Arial" w:hAnsi="Arial" w:cs="Arial"/>
          <w:color w:val="000000" w:themeColor="text1"/>
          <w:sz w:val="24"/>
          <w:szCs w:val="24"/>
        </w:rPr>
        <w:t xml:space="preserve"> and</w:t>
      </w:r>
      <w:r w:rsidR="002138E9">
        <w:rPr>
          <w:rFonts w:ascii="Arial" w:hAnsi="Arial" w:cs="Arial"/>
          <w:color w:val="000000" w:themeColor="text1"/>
          <w:sz w:val="24"/>
          <w:szCs w:val="24"/>
        </w:rPr>
        <w:t xml:space="preserve"> having a proactive approach</w:t>
      </w:r>
      <w:r w:rsidR="00163700">
        <w:rPr>
          <w:rFonts w:ascii="Arial" w:hAnsi="Arial" w:cs="Arial"/>
          <w:color w:val="000000" w:themeColor="text1"/>
          <w:sz w:val="24"/>
          <w:szCs w:val="24"/>
        </w:rPr>
        <w:t xml:space="preserve"> in reviewing and adapting policies and procedures</w:t>
      </w:r>
      <w:r w:rsidR="002138E9">
        <w:rPr>
          <w:rFonts w:ascii="Arial" w:hAnsi="Arial" w:cs="Arial"/>
          <w:color w:val="000000" w:themeColor="text1"/>
          <w:sz w:val="24"/>
          <w:szCs w:val="24"/>
        </w:rPr>
        <w:t xml:space="preserve"> will be vital in responding to the ever-changing environment, (</w:t>
      </w:r>
      <w:r w:rsidR="002138E9" w:rsidRPr="002138E9">
        <w:rPr>
          <w:rFonts w:ascii="Arial" w:hAnsi="Arial" w:cs="Arial"/>
          <w:color w:val="000000" w:themeColor="text1"/>
          <w:sz w:val="24"/>
          <w:szCs w:val="24"/>
        </w:rPr>
        <w:t>Kew &amp; Stredwick 2010, p.9)</w:t>
      </w:r>
      <w:r w:rsidR="002138E9">
        <w:rPr>
          <w:rFonts w:ascii="Arial" w:hAnsi="Arial" w:cs="Arial"/>
          <w:color w:val="000000" w:themeColor="text1"/>
          <w:sz w:val="24"/>
          <w:szCs w:val="24"/>
        </w:rPr>
        <w:t>.</w:t>
      </w:r>
    </w:p>
    <w:p w14:paraId="226783F4" w14:textId="77777777" w:rsidR="0090279F" w:rsidRDefault="0090279F" w:rsidP="00975184">
      <w:pPr>
        <w:spacing w:after="0"/>
        <w:jc w:val="both"/>
        <w:rPr>
          <w:rFonts w:ascii="Arial" w:hAnsi="Arial" w:cs="Arial"/>
          <w:color w:val="000000" w:themeColor="text1"/>
          <w:sz w:val="24"/>
          <w:szCs w:val="24"/>
        </w:rPr>
      </w:pPr>
    </w:p>
    <w:p w14:paraId="11C7CE6F" w14:textId="607BD51B" w:rsidR="00BE4C87" w:rsidRDefault="0090279F" w:rsidP="00975184">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NPTCBC are already facing significant financial pressures and </w:t>
      </w:r>
      <w:r w:rsidR="00BE4C87">
        <w:rPr>
          <w:rFonts w:ascii="Arial" w:hAnsi="Arial" w:cs="Arial"/>
          <w:color w:val="000000" w:themeColor="text1"/>
          <w:sz w:val="24"/>
          <w:szCs w:val="24"/>
        </w:rPr>
        <w:t>therefore;</w:t>
      </w:r>
      <w:r>
        <w:rPr>
          <w:rFonts w:ascii="Arial" w:hAnsi="Arial" w:cs="Arial"/>
          <w:color w:val="000000" w:themeColor="text1"/>
          <w:sz w:val="24"/>
          <w:szCs w:val="24"/>
        </w:rPr>
        <w:t xml:space="preserve"> </w:t>
      </w:r>
      <w:r w:rsidR="00BE4C87">
        <w:rPr>
          <w:rFonts w:ascii="Arial" w:hAnsi="Arial" w:cs="Arial"/>
          <w:color w:val="000000" w:themeColor="text1"/>
          <w:sz w:val="24"/>
          <w:szCs w:val="24"/>
        </w:rPr>
        <w:t>by incorporating regular PESTLE analysis into change management processes and strategic planning, the Council will be well equipped in achieving both the HR and o</w:t>
      </w:r>
      <w:r>
        <w:rPr>
          <w:rFonts w:ascii="Arial" w:hAnsi="Arial" w:cs="Arial"/>
          <w:color w:val="000000" w:themeColor="text1"/>
          <w:sz w:val="24"/>
          <w:szCs w:val="24"/>
        </w:rPr>
        <w:t xml:space="preserve">rganisational </w:t>
      </w:r>
      <w:r w:rsidR="00BE4C87">
        <w:rPr>
          <w:rFonts w:ascii="Arial" w:hAnsi="Arial" w:cs="Arial"/>
          <w:color w:val="000000" w:themeColor="text1"/>
          <w:sz w:val="24"/>
          <w:szCs w:val="24"/>
        </w:rPr>
        <w:t>o</w:t>
      </w:r>
      <w:r>
        <w:rPr>
          <w:rFonts w:ascii="Arial" w:hAnsi="Arial" w:cs="Arial"/>
          <w:color w:val="000000" w:themeColor="text1"/>
          <w:sz w:val="24"/>
          <w:szCs w:val="24"/>
        </w:rPr>
        <w:t>bjectives</w:t>
      </w:r>
      <w:r w:rsidR="00BE4C87">
        <w:rPr>
          <w:rFonts w:ascii="Arial" w:hAnsi="Arial" w:cs="Arial"/>
          <w:color w:val="000000" w:themeColor="text1"/>
          <w:sz w:val="24"/>
          <w:szCs w:val="24"/>
        </w:rPr>
        <w:t xml:space="preserve">, ensuring </w:t>
      </w:r>
      <w:r>
        <w:rPr>
          <w:rFonts w:ascii="Arial" w:hAnsi="Arial" w:cs="Arial"/>
          <w:color w:val="000000" w:themeColor="text1"/>
          <w:sz w:val="24"/>
          <w:szCs w:val="24"/>
        </w:rPr>
        <w:t>future sustainability</w:t>
      </w:r>
      <w:r w:rsidR="00BE4C87">
        <w:rPr>
          <w:rFonts w:ascii="Arial" w:hAnsi="Arial" w:cs="Arial"/>
          <w:color w:val="000000" w:themeColor="text1"/>
          <w:sz w:val="24"/>
          <w:szCs w:val="24"/>
        </w:rPr>
        <w:t xml:space="preserve"> and maintaining community expectations, </w:t>
      </w:r>
      <w:r w:rsidR="00163700">
        <w:rPr>
          <w:rFonts w:ascii="Arial" w:hAnsi="Arial" w:cs="Arial"/>
          <w:color w:val="000000" w:themeColor="text1"/>
          <w:sz w:val="24"/>
          <w:szCs w:val="24"/>
        </w:rPr>
        <w:t>(</w:t>
      </w:r>
      <w:r w:rsidR="00BE4C87">
        <w:rPr>
          <w:rFonts w:ascii="Arial" w:hAnsi="Arial" w:cs="Arial"/>
          <w:sz w:val="24"/>
          <w:szCs w:val="24"/>
        </w:rPr>
        <w:t>Hayden</w:t>
      </w:r>
      <w:r w:rsidR="00163700">
        <w:rPr>
          <w:rFonts w:ascii="Arial" w:hAnsi="Arial" w:cs="Arial"/>
          <w:sz w:val="24"/>
          <w:szCs w:val="24"/>
        </w:rPr>
        <w:t>,</w:t>
      </w:r>
      <w:r w:rsidR="00BE4C87">
        <w:rPr>
          <w:rFonts w:ascii="Arial" w:hAnsi="Arial" w:cs="Arial"/>
          <w:sz w:val="24"/>
          <w:szCs w:val="24"/>
        </w:rPr>
        <w:t xml:space="preserve"> 2025).</w:t>
      </w:r>
    </w:p>
    <w:p w14:paraId="7E5BFB9E" w14:textId="44222D72" w:rsidR="00BE4C87" w:rsidRDefault="00BE4C87" w:rsidP="00975184">
      <w:pPr>
        <w:spacing w:after="0"/>
        <w:jc w:val="both"/>
        <w:rPr>
          <w:rFonts w:ascii="Arial" w:hAnsi="Arial" w:cs="Arial"/>
          <w:color w:val="000000" w:themeColor="text1"/>
          <w:sz w:val="24"/>
          <w:szCs w:val="24"/>
        </w:rPr>
      </w:pPr>
    </w:p>
    <w:p w14:paraId="0757F8F4" w14:textId="6524A5C2" w:rsidR="002138E9" w:rsidRDefault="00BE4C87" w:rsidP="00975184">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As highlighted </w:t>
      </w:r>
      <w:r w:rsidR="00163700">
        <w:rPr>
          <w:rFonts w:ascii="Arial" w:hAnsi="Arial" w:cs="Arial"/>
          <w:color w:val="000000" w:themeColor="text1"/>
          <w:sz w:val="24"/>
          <w:szCs w:val="24"/>
        </w:rPr>
        <w:t>previously;</w:t>
      </w:r>
      <w:r>
        <w:rPr>
          <w:rFonts w:ascii="Arial" w:hAnsi="Arial" w:cs="Arial"/>
          <w:color w:val="000000" w:themeColor="text1"/>
          <w:sz w:val="24"/>
          <w:szCs w:val="24"/>
        </w:rPr>
        <w:t xml:space="preserve"> </w:t>
      </w:r>
      <w:r w:rsidR="00163700">
        <w:rPr>
          <w:rFonts w:ascii="Arial" w:hAnsi="Arial" w:cs="Arial"/>
          <w:color w:val="000000" w:themeColor="text1"/>
          <w:sz w:val="24"/>
          <w:szCs w:val="24"/>
        </w:rPr>
        <w:t xml:space="preserve">in order to achieve effective business decisions, </w:t>
      </w:r>
      <w:r>
        <w:rPr>
          <w:rFonts w:ascii="Arial" w:hAnsi="Arial" w:cs="Arial"/>
          <w:color w:val="000000" w:themeColor="text1"/>
          <w:sz w:val="24"/>
          <w:szCs w:val="24"/>
        </w:rPr>
        <w:t>PESTLE</w:t>
      </w:r>
      <w:r w:rsidR="00163700">
        <w:rPr>
          <w:rFonts w:ascii="Arial" w:hAnsi="Arial" w:cs="Arial"/>
          <w:color w:val="000000" w:themeColor="text1"/>
          <w:sz w:val="24"/>
          <w:szCs w:val="24"/>
        </w:rPr>
        <w:t xml:space="preserve"> should be used </w:t>
      </w:r>
      <w:r>
        <w:rPr>
          <w:rFonts w:ascii="Arial" w:hAnsi="Arial" w:cs="Arial"/>
          <w:color w:val="000000" w:themeColor="text1"/>
          <w:sz w:val="24"/>
          <w:szCs w:val="24"/>
        </w:rPr>
        <w:t xml:space="preserve">in conjunction with </w:t>
      </w:r>
      <w:r w:rsidR="00163700">
        <w:rPr>
          <w:rFonts w:ascii="Arial" w:hAnsi="Arial" w:cs="Arial"/>
          <w:color w:val="000000" w:themeColor="text1"/>
          <w:sz w:val="24"/>
          <w:szCs w:val="24"/>
        </w:rPr>
        <w:t>other models such as SWOT analysis and Porter’s Five Forces.  This will enable the organisation to analyse both internal and external factors affecting the organisation</w:t>
      </w:r>
      <w:r w:rsidR="00C01AF7">
        <w:rPr>
          <w:rFonts w:ascii="Arial" w:hAnsi="Arial" w:cs="Arial"/>
          <w:color w:val="000000" w:themeColor="text1"/>
          <w:sz w:val="24"/>
          <w:szCs w:val="24"/>
        </w:rPr>
        <w:t>,</w:t>
      </w:r>
      <w:r w:rsidR="00163700">
        <w:rPr>
          <w:rFonts w:ascii="Arial" w:hAnsi="Arial" w:cs="Arial"/>
          <w:color w:val="000000" w:themeColor="text1"/>
          <w:sz w:val="24"/>
          <w:szCs w:val="24"/>
        </w:rPr>
        <w:t xml:space="preserve"> offering an in-depth understanding of the how aligning the organisational strategy with the people management strategy is essential in ensuring long-term success in its role as a leading public sector employer, (</w:t>
      </w:r>
      <w:r w:rsidR="00163700">
        <w:rPr>
          <w:rFonts w:ascii="Arial" w:hAnsi="Arial" w:cs="Arial"/>
          <w:sz w:val="24"/>
          <w:szCs w:val="24"/>
        </w:rPr>
        <w:t>Buye</w:t>
      </w:r>
      <w:r w:rsidR="00C64782">
        <w:rPr>
          <w:rFonts w:ascii="Arial" w:hAnsi="Arial" w:cs="Arial"/>
          <w:sz w:val="24"/>
          <w:szCs w:val="24"/>
        </w:rPr>
        <w:t>,</w:t>
      </w:r>
      <w:r w:rsidR="00163700">
        <w:rPr>
          <w:rFonts w:ascii="Arial" w:hAnsi="Arial" w:cs="Arial"/>
          <w:sz w:val="24"/>
          <w:szCs w:val="24"/>
        </w:rPr>
        <w:t xml:space="preserve"> 2021).</w:t>
      </w:r>
    </w:p>
    <w:p w14:paraId="6D98297C" w14:textId="77777777" w:rsidR="00AB16E0" w:rsidRDefault="00AB16E0" w:rsidP="00AB16E0">
      <w:pPr>
        <w:spacing w:after="0"/>
        <w:jc w:val="both"/>
        <w:rPr>
          <w:rFonts w:ascii="Arial" w:hAnsi="Arial" w:cs="Arial"/>
          <w:color w:val="000000" w:themeColor="text1"/>
          <w:sz w:val="24"/>
          <w:szCs w:val="24"/>
        </w:rPr>
      </w:pPr>
    </w:p>
    <w:p w14:paraId="700840A6" w14:textId="2EDCEE3C" w:rsidR="00AB16E0" w:rsidRPr="00AA50AD" w:rsidRDefault="00975184" w:rsidP="00AB16E0">
      <w:pPr>
        <w:spacing w:after="0"/>
        <w:jc w:val="both"/>
        <w:rPr>
          <w:rFonts w:ascii="Arial" w:hAnsi="Arial" w:cs="Arial"/>
          <w:b/>
          <w:bCs/>
          <w:color w:val="000000" w:themeColor="text1"/>
          <w:sz w:val="24"/>
          <w:szCs w:val="24"/>
        </w:rPr>
      </w:pPr>
      <w:r>
        <w:rPr>
          <w:rFonts w:ascii="Arial" w:hAnsi="Arial" w:cs="Arial"/>
          <w:b/>
          <w:bCs/>
          <w:color w:val="000000" w:themeColor="text1"/>
          <w:sz w:val="24"/>
          <w:szCs w:val="24"/>
        </w:rPr>
        <w:t>4.</w:t>
      </w:r>
      <w:r w:rsidR="00AB16E0">
        <w:rPr>
          <w:rFonts w:ascii="Arial" w:hAnsi="Arial" w:cs="Arial"/>
          <w:b/>
          <w:bCs/>
          <w:color w:val="000000" w:themeColor="text1"/>
          <w:sz w:val="24"/>
          <w:szCs w:val="24"/>
        </w:rPr>
        <w:tab/>
      </w:r>
      <w:r w:rsidR="00AB16E0" w:rsidRPr="00AA50AD">
        <w:rPr>
          <w:rFonts w:ascii="Arial" w:hAnsi="Arial" w:cs="Arial"/>
          <w:b/>
          <w:bCs/>
          <w:color w:val="000000" w:themeColor="text1"/>
          <w:sz w:val="24"/>
          <w:szCs w:val="24"/>
        </w:rPr>
        <w:t>Recommendations</w:t>
      </w:r>
    </w:p>
    <w:p w14:paraId="07A51A37" w14:textId="50F30303" w:rsidR="00AB16E0" w:rsidRDefault="006C163B" w:rsidP="00AB16E0">
      <w:pPr>
        <w:spacing w:after="0"/>
        <w:jc w:val="both"/>
        <w:rPr>
          <w:rFonts w:ascii="Arial" w:hAnsi="Arial" w:cs="Arial"/>
          <w:sz w:val="24"/>
          <w:szCs w:val="24"/>
        </w:rPr>
      </w:pPr>
      <w:r>
        <w:rPr>
          <w:rFonts w:ascii="Arial" w:hAnsi="Arial" w:cs="Arial"/>
          <w:sz w:val="24"/>
          <w:szCs w:val="24"/>
        </w:rPr>
        <w:t xml:space="preserve">In order to address the challenges detailed above, </w:t>
      </w:r>
      <w:r w:rsidR="00AB16E0">
        <w:rPr>
          <w:rFonts w:ascii="Arial" w:hAnsi="Arial" w:cs="Arial"/>
          <w:sz w:val="24"/>
          <w:szCs w:val="24"/>
        </w:rPr>
        <w:t>t</w:t>
      </w:r>
      <w:r w:rsidR="00AB16E0" w:rsidRPr="00981F4D">
        <w:rPr>
          <w:rFonts w:ascii="Arial" w:hAnsi="Arial" w:cs="Arial"/>
          <w:sz w:val="24"/>
          <w:szCs w:val="24"/>
        </w:rPr>
        <w:t>he following recommendations are made</w:t>
      </w:r>
      <w:r w:rsidR="00AB16E0">
        <w:rPr>
          <w:rFonts w:ascii="Arial" w:hAnsi="Arial" w:cs="Arial"/>
          <w:sz w:val="24"/>
          <w:szCs w:val="24"/>
        </w:rPr>
        <w:t xml:space="preserve"> to ensure longer term sustainability</w:t>
      </w:r>
      <w:r w:rsidR="00975184">
        <w:rPr>
          <w:rFonts w:ascii="Arial" w:hAnsi="Arial" w:cs="Arial"/>
          <w:sz w:val="24"/>
          <w:szCs w:val="24"/>
        </w:rPr>
        <w:t xml:space="preserve"> whilst supporting the workforce and maintaining service delivery for the community.</w:t>
      </w:r>
    </w:p>
    <w:p w14:paraId="5A17B679" w14:textId="77777777" w:rsidR="00741A49" w:rsidRDefault="00741A49" w:rsidP="00AB16E0">
      <w:pPr>
        <w:spacing w:after="0"/>
        <w:jc w:val="both"/>
        <w:rPr>
          <w:rFonts w:ascii="Arial" w:hAnsi="Arial" w:cs="Arial"/>
          <w:sz w:val="24"/>
          <w:szCs w:val="24"/>
        </w:rPr>
      </w:pPr>
    </w:p>
    <w:p w14:paraId="1A7352C1" w14:textId="77777777" w:rsidR="0048057D" w:rsidRDefault="0048057D" w:rsidP="00AB16E0">
      <w:pPr>
        <w:spacing w:after="0"/>
        <w:jc w:val="both"/>
        <w:rPr>
          <w:rFonts w:ascii="Arial" w:hAnsi="Arial" w:cs="Arial"/>
          <w:sz w:val="24"/>
          <w:szCs w:val="24"/>
        </w:rPr>
      </w:pPr>
    </w:p>
    <w:p w14:paraId="5B612DFF" w14:textId="06048347" w:rsidR="00AB16E0" w:rsidRPr="007C2386" w:rsidRDefault="00AB16E0" w:rsidP="00AB16E0">
      <w:pPr>
        <w:spacing w:after="0"/>
        <w:rPr>
          <w:rFonts w:ascii="Arial" w:hAnsi="Arial" w:cs="Arial"/>
          <w:b/>
          <w:bCs/>
          <w:sz w:val="24"/>
          <w:szCs w:val="24"/>
        </w:rPr>
      </w:pPr>
      <w:r w:rsidRPr="007C2386">
        <w:rPr>
          <w:rFonts w:ascii="Arial" w:hAnsi="Arial" w:cs="Arial"/>
          <w:b/>
          <w:bCs/>
          <w:sz w:val="24"/>
          <w:szCs w:val="24"/>
        </w:rPr>
        <w:lastRenderedPageBreak/>
        <w:t>Legal</w:t>
      </w:r>
    </w:p>
    <w:p w14:paraId="3A2E8700" w14:textId="67686588" w:rsidR="00AB16E0" w:rsidRDefault="00AB16E0" w:rsidP="00AB16E0">
      <w:pPr>
        <w:spacing w:after="0"/>
        <w:jc w:val="both"/>
        <w:rPr>
          <w:rFonts w:ascii="Arial" w:hAnsi="Arial" w:cs="Arial"/>
          <w:sz w:val="24"/>
          <w:szCs w:val="24"/>
        </w:rPr>
      </w:pPr>
      <w:r>
        <w:rPr>
          <w:rFonts w:ascii="Arial" w:hAnsi="Arial" w:cs="Arial"/>
          <w:sz w:val="24"/>
          <w:szCs w:val="24"/>
        </w:rPr>
        <w:t xml:space="preserve">In order to keep abreast </w:t>
      </w:r>
      <w:r w:rsidR="0007226C">
        <w:rPr>
          <w:rFonts w:ascii="Arial" w:hAnsi="Arial" w:cs="Arial"/>
          <w:sz w:val="24"/>
          <w:szCs w:val="24"/>
        </w:rPr>
        <w:t>of</w:t>
      </w:r>
      <w:r>
        <w:rPr>
          <w:rFonts w:ascii="Arial" w:hAnsi="Arial" w:cs="Arial"/>
          <w:sz w:val="24"/>
          <w:szCs w:val="24"/>
        </w:rPr>
        <w:t xml:space="preserve"> the proposed changes, the H</w:t>
      </w:r>
      <w:r w:rsidR="0007226C">
        <w:rPr>
          <w:rFonts w:ascii="Arial" w:hAnsi="Arial" w:cs="Arial"/>
          <w:sz w:val="24"/>
          <w:szCs w:val="24"/>
        </w:rPr>
        <w:t xml:space="preserve">uman </w:t>
      </w:r>
      <w:r>
        <w:rPr>
          <w:rFonts w:ascii="Arial" w:hAnsi="Arial" w:cs="Arial"/>
          <w:sz w:val="24"/>
          <w:szCs w:val="24"/>
        </w:rPr>
        <w:t>R</w:t>
      </w:r>
      <w:r w:rsidR="0007226C">
        <w:rPr>
          <w:rFonts w:ascii="Arial" w:hAnsi="Arial" w:cs="Arial"/>
          <w:sz w:val="24"/>
          <w:szCs w:val="24"/>
        </w:rPr>
        <w:t xml:space="preserve">esources and Organisational Development </w:t>
      </w:r>
      <w:r>
        <w:rPr>
          <w:rFonts w:ascii="Arial" w:hAnsi="Arial" w:cs="Arial"/>
          <w:sz w:val="24"/>
          <w:szCs w:val="24"/>
        </w:rPr>
        <w:t>Team in conjunction with Legal Services will be responsible for ensuring any changes to legislation and employment law are aligned to our policies and procedures.  The teams will be required to register and attend employment law updates and receive regular communication of any informed changes.  Overall, there will be no costs in attending these seminars as many organisations provide free updates and advice, (Local Government Association, 2025</w:t>
      </w:r>
      <w:r w:rsidR="00535640">
        <w:rPr>
          <w:rFonts w:ascii="Arial" w:hAnsi="Arial" w:cs="Arial"/>
          <w:sz w:val="24"/>
          <w:szCs w:val="24"/>
        </w:rPr>
        <w:t>b</w:t>
      </w:r>
      <w:r>
        <w:rPr>
          <w:rFonts w:ascii="Arial" w:hAnsi="Arial" w:cs="Arial"/>
          <w:sz w:val="24"/>
          <w:szCs w:val="24"/>
        </w:rPr>
        <w:t xml:space="preserve">, ACAS, 2025).  However, there will be a requirement to allow time for Senior Officers within the HR Team to attend and present updates to the wider Teams and Senior </w:t>
      </w:r>
      <w:r w:rsidR="008F029F">
        <w:rPr>
          <w:rFonts w:ascii="Arial" w:hAnsi="Arial" w:cs="Arial"/>
          <w:sz w:val="24"/>
          <w:szCs w:val="24"/>
        </w:rPr>
        <w:t>Leadership</w:t>
      </w:r>
      <w:r>
        <w:rPr>
          <w:rFonts w:ascii="Arial" w:hAnsi="Arial" w:cs="Arial"/>
          <w:sz w:val="24"/>
          <w:szCs w:val="24"/>
        </w:rPr>
        <w:t xml:space="preserve"> Team.  It is </w:t>
      </w:r>
      <w:r w:rsidR="0007226C">
        <w:rPr>
          <w:rFonts w:ascii="Arial" w:hAnsi="Arial" w:cs="Arial"/>
          <w:sz w:val="24"/>
          <w:szCs w:val="24"/>
        </w:rPr>
        <w:t xml:space="preserve">also </w:t>
      </w:r>
      <w:r>
        <w:rPr>
          <w:rFonts w:ascii="Arial" w:hAnsi="Arial" w:cs="Arial"/>
          <w:sz w:val="24"/>
          <w:szCs w:val="24"/>
        </w:rPr>
        <w:t>important to note the additional workload on the HR Team in preparing and implementing the changes</w:t>
      </w:r>
      <w:r w:rsidR="0007226C">
        <w:rPr>
          <w:rFonts w:ascii="Arial" w:hAnsi="Arial" w:cs="Arial"/>
          <w:sz w:val="24"/>
          <w:szCs w:val="24"/>
        </w:rPr>
        <w:t xml:space="preserve"> which may require a review of the resources available in delivering the workforce priorities.</w:t>
      </w:r>
    </w:p>
    <w:p w14:paraId="25FDCC0A" w14:textId="77777777" w:rsidR="00AB16E0" w:rsidRDefault="00AB16E0" w:rsidP="00AB16E0">
      <w:pPr>
        <w:spacing w:after="0"/>
        <w:jc w:val="both"/>
        <w:rPr>
          <w:rFonts w:ascii="Arial" w:hAnsi="Arial" w:cs="Arial"/>
          <w:sz w:val="24"/>
          <w:szCs w:val="24"/>
        </w:rPr>
      </w:pPr>
    </w:p>
    <w:p w14:paraId="14896896" w14:textId="32B25819" w:rsidR="00AB16E0" w:rsidRDefault="00AB16E0" w:rsidP="00AB16E0">
      <w:pPr>
        <w:spacing w:after="0"/>
        <w:jc w:val="both"/>
        <w:rPr>
          <w:rFonts w:ascii="Arial" w:hAnsi="Arial" w:cs="Arial"/>
          <w:sz w:val="24"/>
          <w:szCs w:val="24"/>
        </w:rPr>
      </w:pPr>
      <w:r>
        <w:rPr>
          <w:rFonts w:ascii="Arial" w:hAnsi="Arial" w:cs="Arial"/>
          <w:sz w:val="24"/>
          <w:szCs w:val="24"/>
        </w:rPr>
        <w:t>The new legislation will require managers to clearly understand and implement fair dismissal procedures.  Therefore, a requirement to upskill managers on effective performance management and conduct issues from day one, emphasising the importance of documentation and early intervention to support dismissal (CIPD, 2025</w:t>
      </w:r>
      <w:r w:rsidR="00535640">
        <w:rPr>
          <w:rFonts w:ascii="Arial" w:hAnsi="Arial" w:cs="Arial"/>
          <w:sz w:val="24"/>
          <w:szCs w:val="24"/>
        </w:rPr>
        <w:t>d</w:t>
      </w:r>
      <w:r>
        <w:rPr>
          <w:rFonts w:ascii="Arial" w:hAnsi="Arial" w:cs="Arial"/>
          <w:sz w:val="24"/>
          <w:szCs w:val="24"/>
        </w:rPr>
        <w:t>).  This can be incorporated into the already established Management Development Training Programme of which the HR Managers currently act as Subject Matter Experts and deliver sessions as part of the programme.</w:t>
      </w:r>
    </w:p>
    <w:p w14:paraId="767E0ADF" w14:textId="257F5118" w:rsidR="00AB16E0" w:rsidRDefault="00AB16E0" w:rsidP="0007226C">
      <w:pPr>
        <w:spacing w:after="0"/>
        <w:jc w:val="both"/>
        <w:rPr>
          <w:rFonts w:ascii="Arial" w:hAnsi="Arial" w:cs="Arial"/>
          <w:sz w:val="24"/>
          <w:szCs w:val="24"/>
        </w:rPr>
      </w:pPr>
    </w:p>
    <w:p w14:paraId="5C73F8AF" w14:textId="77777777" w:rsidR="00AB16E0" w:rsidRPr="001336E3" w:rsidRDefault="00AB16E0" w:rsidP="00AB16E0">
      <w:pPr>
        <w:spacing w:after="0"/>
        <w:rPr>
          <w:rFonts w:ascii="Arial" w:hAnsi="Arial" w:cs="Arial"/>
          <w:b/>
          <w:bCs/>
          <w:sz w:val="24"/>
          <w:szCs w:val="24"/>
        </w:rPr>
      </w:pPr>
      <w:r>
        <w:rPr>
          <w:rFonts w:ascii="Arial" w:hAnsi="Arial" w:cs="Arial"/>
          <w:b/>
          <w:bCs/>
          <w:sz w:val="24"/>
          <w:szCs w:val="24"/>
        </w:rPr>
        <w:t xml:space="preserve">Estimated Annual </w:t>
      </w:r>
      <w:r w:rsidRPr="001336E3">
        <w:rPr>
          <w:rFonts w:ascii="Arial" w:hAnsi="Arial" w:cs="Arial"/>
          <w:b/>
          <w:bCs/>
          <w:sz w:val="24"/>
          <w:szCs w:val="24"/>
        </w:rPr>
        <w:t>Costs</w:t>
      </w:r>
    </w:p>
    <w:p w14:paraId="68182C29" w14:textId="77777777" w:rsidR="00AB16E0" w:rsidRDefault="00AB16E0" w:rsidP="00AB16E0">
      <w:pPr>
        <w:pStyle w:val="ListParagraph"/>
        <w:numPr>
          <w:ilvl w:val="0"/>
          <w:numId w:val="2"/>
        </w:numPr>
        <w:spacing w:after="0"/>
        <w:ind w:left="426"/>
        <w:rPr>
          <w:rFonts w:ascii="Arial" w:hAnsi="Arial" w:cs="Arial"/>
          <w:sz w:val="24"/>
          <w:szCs w:val="24"/>
        </w:rPr>
      </w:pPr>
      <w:r>
        <w:rPr>
          <w:rFonts w:ascii="Arial" w:hAnsi="Arial" w:cs="Arial"/>
          <w:sz w:val="24"/>
          <w:szCs w:val="24"/>
        </w:rPr>
        <w:t>HR time to attend employment law update seminars - £650</w:t>
      </w:r>
    </w:p>
    <w:p w14:paraId="026311E4" w14:textId="77777777" w:rsidR="00AB16E0" w:rsidRDefault="00AB16E0" w:rsidP="00AB16E0">
      <w:pPr>
        <w:pStyle w:val="ListParagraph"/>
        <w:numPr>
          <w:ilvl w:val="0"/>
          <w:numId w:val="2"/>
        </w:numPr>
        <w:spacing w:after="0"/>
        <w:ind w:left="426"/>
        <w:rPr>
          <w:rFonts w:ascii="Arial" w:hAnsi="Arial" w:cs="Arial"/>
          <w:sz w:val="24"/>
          <w:szCs w:val="24"/>
        </w:rPr>
      </w:pPr>
      <w:r>
        <w:rPr>
          <w:rFonts w:ascii="Arial" w:hAnsi="Arial" w:cs="Arial"/>
          <w:sz w:val="24"/>
          <w:szCs w:val="24"/>
        </w:rPr>
        <w:t>HR Resources to deliver additional training - £650</w:t>
      </w:r>
    </w:p>
    <w:p w14:paraId="2DB20802" w14:textId="77777777" w:rsidR="00AB16E0" w:rsidRDefault="00AB16E0" w:rsidP="00AB16E0">
      <w:pPr>
        <w:spacing w:after="0"/>
        <w:jc w:val="both"/>
        <w:rPr>
          <w:rFonts w:ascii="Arial" w:hAnsi="Arial" w:cs="Arial"/>
          <w:b/>
          <w:bCs/>
          <w:color w:val="000000" w:themeColor="text1"/>
          <w:sz w:val="24"/>
          <w:szCs w:val="24"/>
        </w:rPr>
      </w:pPr>
    </w:p>
    <w:p w14:paraId="21EA06B4" w14:textId="643F3EC2" w:rsidR="00AB16E0" w:rsidRPr="00F74C9D" w:rsidRDefault="00AB16E0" w:rsidP="00AB16E0">
      <w:pPr>
        <w:spacing w:after="0"/>
        <w:jc w:val="both"/>
        <w:rPr>
          <w:rFonts w:ascii="Arial" w:hAnsi="Arial" w:cs="Arial"/>
          <w:b/>
          <w:bCs/>
          <w:color w:val="000000" w:themeColor="text1"/>
          <w:sz w:val="24"/>
          <w:szCs w:val="24"/>
        </w:rPr>
      </w:pPr>
      <w:r w:rsidRPr="00F74C9D">
        <w:rPr>
          <w:rFonts w:ascii="Arial" w:hAnsi="Arial" w:cs="Arial"/>
          <w:b/>
          <w:bCs/>
          <w:color w:val="000000" w:themeColor="text1"/>
          <w:sz w:val="24"/>
          <w:szCs w:val="24"/>
        </w:rPr>
        <w:t>Economic</w:t>
      </w:r>
    </w:p>
    <w:p w14:paraId="2A0FE6EE" w14:textId="598768F7" w:rsidR="00AB16E0" w:rsidRPr="00F74C9D"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Cribb, J et al. (2021) suggests that g</w:t>
      </w:r>
      <w:r w:rsidRPr="00F74C9D">
        <w:rPr>
          <w:rFonts w:ascii="Arial" w:hAnsi="Arial" w:cs="Arial"/>
          <w:color w:val="000000" w:themeColor="text1"/>
          <w:sz w:val="24"/>
          <w:szCs w:val="24"/>
        </w:rPr>
        <w:t xml:space="preserve">iven the impact the NMW increase will have </w:t>
      </w:r>
      <w:r>
        <w:rPr>
          <w:rFonts w:ascii="Arial" w:hAnsi="Arial" w:cs="Arial"/>
          <w:color w:val="000000" w:themeColor="text1"/>
          <w:sz w:val="24"/>
          <w:szCs w:val="24"/>
        </w:rPr>
        <w:t>i</w:t>
      </w:r>
      <w:r w:rsidRPr="00F74C9D">
        <w:rPr>
          <w:rFonts w:ascii="Arial" w:hAnsi="Arial" w:cs="Arial"/>
          <w:color w:val="000000" w:themeColor="text1"/>
          <w:sz w:val="24"/>
          <w:szCs w:val="24"/>
        </w:rPr>
        <w:t xml:space="preserve">n relation to financial pressures due to wage increases, </w:t>
      </w:r>
      <w:r w:rsidR="00B02DF6">
        <w:rPr>
          <w:rFonts w:ascii="Arial" w:hAnsi="Arial" w:cs="Arial"/>
          <w:color w:val="000000" w:themeColor="text1"/>
          <w:sz w:val="24"/>
          <w:szCs w:val="24"/>
        </w:rPr>
        <w:t xml:space="preserve">effective </w:t>
      </w:r>
      <w:r w:rsidRPr="00F74C9D">
        <w:rPr>
          <w:rFonts w:ascii="Arial" w:hAnsi="Arial" w:cs="Arial"/>
          <w:color w:val="000000" w:themeColor="text1"/>
          <w:sz w:val="24"/>
          <w:szCs w:val="24"/>
        </w:rPr>
        <w:t xml:space="preserve">service delivery and commissioned services, it is important to have a proactive approach </w:t>
      </w:r>
      <w:r w:rsidR="00B02DF6">
        <w:rPr>
          <w:rFonts w:ascii="Arial" w:hAnsi="Arial" w:cs="Arial"/>
          <w:color w:val="000000" w:themeColor="text1"/>
          <w:sz w:val="24"/>
          <w:szCs w:val="24"/>
        </w:rPr>
        <w:t xml:space="preserve">in considering preventative measures </w:t>
      </w:r>
      <w:r w:rsidRPr="00F74C9D">
        <w:rPr>
          <w:rFonts w:ascii="Arial" w:hAnsi="Arial" w:cs="Arial"/>
          <w:color w:val="000000" w:themeColor="text1"/>
          <w:sz w:val="24"/>
          <w:szCs w:val="24"/>
        </w:rPr>
        <w:t>which will hopefully mitigate the effects on the organisation</w:t>
      </w:r>
      <w:r>
        <w:rPr>
          <w:rFonts w:ascii="Arial" w:hAnsi="Arial" w:cs="Arial"/>
          <w:color w:val="000000" w:themeColor="text1"/>
          <w:sz w:val="24"/>
          <w:szCs w:val="24"/>
        </w:rPr>
        <w:t>.</w:t>
      </w:r>
    </w:p>
    <w:p w14:paraId="3F1B1380" w14:textId="77777777" w:rsidR="00AB16E0" w:rsidRPr="00F74C9D" w:rsidRDefault="00AB16E0" w:rsidP="00AB16E0">
      <w:pPr>
        <w:spacing w:after="0"/>
        <w:jc w:val="both"/>
        <w:rPr>
          <w:rFonts w:ascii="Arial" w:hAnsi="Arial" w:cs="Arial"/>
          <w:color w:val="000000" w:themeColor="text1"/>
          <w:sz w:val="24"/>
          <w:szCs w:val="24"/>
        </w:rPr>
      </w:pPr>
    </w:p>
    <w:p w14:paraId="0CC7E394" w14:textId="6CDBB11A" w:rsidR="00AB16E0" w:rsidRPr="00F74C9D" w:rsidRDefault="00AB16E0" w:rsidP="00AB16E0">
      <w:pPr>
        <w:spacing w:after="0"/>
        <w:jc w:val="both"/>
        <w:rPr>
          <w:rFonts w:ascii="Arial" w:hAnsi="Arial" w:cs="Arial"/>
          <w:color w:val="000000" w:themeColor="text1"/>
          <w:sz w:val="24"/>
          <w:szCs w:val="24"/>
        </w:rPr>
      </w:pPr>
      <w:r w:rsidRPr="00F74C9D">
        <w:rPr>
          <w:rFonts w:ascii="Arial" w:hAnsi="Arial" w:cs="Arial"/>
          <w:color w:val="000000" w:themeColor="text1"/>
          <w:sz w:val="24"/>
          <w:szCs w:val="24"/>
        </w:rPr>
        <w:t xml:space="preserve">Establishing a working group comprising of the Head of People and Organisational Development, Principal HR Manager, Director of Finance and Payroll Manager to work in conjunction with Trade Unions to consider the strategic </w:t>
      </w:r>
      <w:r w:rsidR="008F029F">
        <w:rPr>
          <w:rFonts w:ascii="Arial" w:hAnsi="Arial" w:cs="Arial"/>
          <w:color w:val="000000" w:themeColor="text1"/>
          <w:sz w:val="24"/>
          <w:szCs w:val="24"/>
        </w:rPr>
        <w:t>implications</w:t>
      </w:r>
      <w:r w:rsidRPr="00F74C9D">
        <w:rPr>
          <w:rFonts w:ascii="Arial" w:hAnsi="Arial" w:cs="Arial"/>
          <w:color w:val="000000" w:themeColor="text1"/>
          <w:sz w:val="24"/>
          <w:szCs w:val="24"/>
        </w:rPr>
        <w:t>.  This is also reflective of the commitment from Trade Unions to work with employers on a review of the National Joint Committee pay spine as a priority. (Trade Union side of the National Joint Council, 2025-26, p13-14).</w:t>
      </w:r>
    </w:p>
    <w:p w14:paraId="6B726294" w14:textId="77777777" w:rsidR="00AB16E0" w:rsidRPr="00F74C9D" w:rsidRDefault="00AB16E0" w:rsidP="00AB16E0">
      <w:pPr>
        <w:spacing w:after="0"/>
        <w:jc w:val="both"/>
        <w:rPr>
          <w:rFonts w:ascii="Arial" w:hAnsi="Arial" w:cs="Arial"/>
          <w:color w:val="000000" w:themeColor="text1"/>
          <w:sz w:val="24"/>
          <w:szCs w:val="24"/>
        </w:rPr>
      </w:pPr>
    </w:p>
    <w:p w14:paraId="1E3CC25A" w14:textId="77777777" w:rsidR="00AB16E0" w:rsidRDefault="00AB16E0" w:rsidP="00AB16E0">
      <w:pPr>
        <w:spacing w:after="0"/>
        <w:jc w:val="both"/>
        <w:rPr>
          <w:rFonts w:ascii="Arial" w:hAnsi="Arial" w:cs="Arial"/>
          <w:color w:val="000000" w:themeColor="text1"/>
          <w:sz w:val="24"/>
          <w:szCs w:val="24"/>
        </w:rPr>
      </w:pPr>
      <w:r w:rsidRPr="00F74C9D">
        <w:rPr>
          <w:rFonts w:ascii="Arial" w:hAnsi="Arial" w:cs="Arial"/>
          <w:color w:val="000000" w:themeColor="text1"/>
          <w:sz w:val="24"/>
          <w:szCs w:val="24"/>
        </w:rPr>
        <w:t xml:space="preserve">In accordance with the Public Sector Equality Duty, prior to commencing consultation in relation to any proposed changes to the National Joint Committee pay spine, there is a legal requirement to consider the impact any decisions may have on protected characteristics e.g. age, race, gender, disability.  Therefore, the completion of an Integrated Impact Assessment will ensure any potential inequalities can be identified and addressed prior to any decisions made which is essential </w:t>
      </w:r>
      <w:r>
        <w:rPr>
          <w:rFonts w:ascii="Arial" w:hAnsi="Arial" w:cs="Arial"/>
          <w:color w:val="000000" w:themeColor="text1"/>
          <w:sz w:val="24"/>
          <w:szCs w:val="24"/>
        </w:rPr>
        <w:t xml:space="preserve">in relation to </w:t>
      </w:r>
      <w:r w:rsidRPr="00F74C9D">
        <w:rPr>
          <w:rFonts w:ascii="Arial" w:hAnsi="Arial" w:cs="Arial"/>
          <w:color w:val="000000" w:themeColor="text1"/>
          <w:sz w:val="24"/>
          <w:szCs w:val="24"/>
        </w:rPr>
        <w:t>fair and legal decision making, (Close the Gap, 2016).</w:t>
      </w:r>
    </w:p>
    <w:p w14:paraId="1BF8B078" w14:textId="77777777" w:rsidR="00AB16E0" w:rsidRDefault="00AB16E0" w:rsidP="00AB16E0">
      <w:pPr>
        <w:spacing w:after="0"/>
        <w:jc w:val="both"/>
        <w:rPr>
          <w:rFonts w:ascii="Arial" w:hAnsi="Arial" w:cs="Arial"/>
          <w:color w:val="000000" w:themeColor="text1"/>
          <w:sz w:val="24"/>
          <w:szCs w:val="24"/>
        </w:rPr>
      </w:pPr>
    </w:p>
    <w:p w14:paraId="2E96A0CB" w14:textId="77777777" w:rsidR="00AB16E0" w:rsidRPr="00F74C9D"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lastRenderedPageBreak/>
        <w:t>Whilst there is no direct cost, the above will require investment in Strategic Officers time in engaging with the relevant stakeholders to consult on the proposed Organisational change and the completion of an Integrated Impact Assessment.</w:t>
      </w:r>
    </w:p>
    <w:p w14:paraId="2BE1285E" w14:textId="77777777" w:rsidR="00C64782" w:rsidRDefault="00C64782" w:rsidP="00AB16E0">
      <w:pPr>
        <w:spacing w:after="0"/>
        <w:jc w:val="both"/>
        <w:rPr>
          <w:rFonts w:ascii="Arial" w:hAnsi="Arial" w:cs="Arial"/>
          <w:color w:val="000000" w:themeColor="text1"/>
          <w:sz w:val="24"/>
          <w:szCs w:val="24"/>
        </w:rPr>
      </w:pPr>
    </w:p>
    <w:p w14:paraId="0E493F7F" w14:textId="0F518BF0" w:rsidR="00AB16E0" w:rsidRPr="003C092F" w:rsidRDefault="00AB16E0" w:rsidP="00AB16E0">
      <w:pPr>
        <w:spacing w:after="0"/>
        <w:jc w:val="both"/>
        <w:rPr>
          <w:rFonts w:ascii="Arial" w:hAnsi="Arial" w:cs="Arial"/>
          <w:b/>
          <w:bCs/>
          <w:color w:val="000000" w:themeColor="text1"/>
          <w:sz w:val="24"/>
          <w:szCs w:val="24"/>
        </w:rPr>
      </w:pPr>
      <w:r w:rsidRPr="003C092F">
        <w:rPr>
          <w:rFonts w:ascii="Arial" w:hAnsi="Arial" w:cs="Arial"/>
          <w:b/>
          <w:bCs/>
          <w:color w:val="000000" w:themeColor="text1"/>
          <w:sz w:val="24"/>
          <w:szCs w:val="24"/>
        </w:rPr>
        <w:t>Political</w:t>
      </w:r>
    </w:p>
    <w:p w14:paraId="2B159B9E" w14:textId="2056C82F"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Enabling employee voice and recognising the value of the workforce is vital in achieving organisational objectives.  It is therefore important to strengthen the communication regarding the benefits of employees joining a Trade Union which will enable a proactive approach in relation to the changes.  Enhance the message relayed by Strategic Leaders, HR and Trade Unions during the Corporate Induction Session</w:t>
      </w:r>
      <w:r w:rsidR="0007226C">
        <w:rPr>
          <w:rFonts w:ascii="Arial" w:hAnsi="Arial" w:cs="Arial"/>
          <w:color w:val="000000" w:themeColor="text1"/>
          <w:sz w:val="24"/>
          <w:szCs w:val="24"/>
        </w:rPr>
        <w:t>s</w:t>
      </w:r>
      <w:r>
        <w:rPr>
          <w:rFonts w:ascii="Arial" w:hAnsi="Arial" w:cs="Arial"/>
          <w:color w:val="000000" w:themeColor="text1"/>
          <w:sz w:val="24"/>
          <w:szCs w:val="24"/>
        </w:rPr>
        <w:t xml:space="preserve"> in relation to the joint working approach so employees understand how they add value to the overall strategy as this captures all new starters across the organisation, (CIPD, 2025e).  There will be no cost to this as the Corporate Inductions sessions are already planned throughout the year.</w:t>
      </w:r>
    </w:p>
    <w:p w14:paraId="76FFC3E1" w14:textId="77777777" w:rsidR="00AB16E0" w:rsidRDefault="00AB16E0" w:rsidP="00AB16E0">
      <w:pPr>
        <w:spacing w:after="0"/>
        <w:jc w:val="both"/>
        <w:rPr>
          <w:rFonts w:ascii="Arial" w:hAnsi="Arial" w:cs="Arial"/>
          <w:color w:val="000000" w:themeColor="text1"/>
          <w:sz w:val="24"/>
          <w:szCs w:val="24"/>
        </w:rPr>
      </w:pPr>
    </w:p>
    <w:p w14:paraId="4D0A7384" w14:textId="44E6BAEF"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In addition, </w:t>
      </w:r>
      <w:r w:rsidR="0007226C">
        <w:rPr>
          <w:rFonts w:ascii="Arial" w:hAnsi="Arial" w:cs="Arial"/>
          <w:color w:val="000000" w:themeColor="text1"/>
          <w:sz w:val="24"/>
          <w:szCs w:val="24"/>
        </w:rPr>
        <w:t>promote</w:t>
      </w:r>
      <w:r>
        <w:rPr>
          <w:rFonts w:ascii="Arial" w:hAnsi="Arial" w:cs="Arial"/>
          <w:color w:val="000000" w:themeColor="text1"/>
          <w:sz w:val="24"/>
          <w:szCs w:val="24"/>
        </w:rPr>
        <w:t xml:space="preserve"> NPTCBC via the corporate communication channels and recruitment platforms </w:t>
      </w:r>
      <w:r w:rsidR="0007226C">
        <w:rPr>
          <w:rFonts w:ascii="Arial" w:hAnsi="Arial" w:cs="Arial"/>
          <w:color w:val="000000" w:themeColor="text1"/>
          <w:sz w:val="24"/>
          <w:szCs w:val="24"/>
        </w:rPr>
        <w:t xml:space="preserve">as an employer recognised </w:t>
      </w:r>
      <w:r>
        <w:rPr>
          <w:rFonts w:ascii="Arial" w:hAnsi="Arial" w:cs="Arial"/>
          <w:color w:val="000000" w:themeColor="text1"/>
          <w:sz w:val="24"/>
          <w:szCs w:val="24"/>
        </w:rPr>
        <w:t>as best practice in relation to effective Social Partnership Working</w:t>
      </w:r>
      <w:r w:rsidR="0007226C">
        <w:rPr>
          <w:rFonts w:ascii="Arial" w:hAnsi="Arial" w:cs="Arial"/>
          <w:color w:val="000000" w:themeColor="text1"/>
          <w:sz w:val="24"/>
          <w:szCs w:val="24"/>
        </w:rPr>
        <w:t xml:space="preserve">.  This will evidence how the organisation encourages </w:t>
      </w:r>
      <w:r>
        <w:rPr>
          <w:rFonts w:ascii="Arial" w:hAnsi="Arial" w:cs="Arial"/>
          <w:color w:val="000000" w:themeColor="text1"/>
          <w:sz w:val="24"/>
          <w:szCs w:val="24"/>
        </w:rPr>
        <w:t>strong employee voice, which will promote the Council as an employer of choice, having a culture based on trust and fairness, enhancing the employment offer and attracting prospective candidates within a competitive market, (Unions 21, 2023).  There will be no additional cost as the Council already have communication mechanisms in place.</w:t>
      </w:r>
    </w:p>
    <w:p w14:paraId="017C7755" w14:textId="794FB800" w:rsidR="00AB16E0" w:rsidRDefault="00AB16E0" w:rsidP="00AB16E0">
      <w:pPr>
        <w:spacing w:after="0"/>
        <w:jc w:val="both"/>
        <w:rPr>
          <w:rFonts w:ascii="Arial" w:hAnsi="Arial" w:cs="Arial"/>
          <w:color w:val="000000" w:themeColor="text1"/>
          <w:sz w:val="24"/>
          <w:szCs w:val="24"/>
        </w:rPr>
      </w:pPr>
    </w:p>
    <w:p w14:paraId="5A1F83BC" w14:textId="77777777" w:rsidR="005F6BBD" w:rsidRDefault="005F6BBD" w:rsidP="0057143B">
      <w:pPr>
        <w:spacing w:after="0"/>
        <w:rPr>
          <w:rFonts w:ascii="Arial" w:hAnsi="Arial" w:cs="Arial"/>
          <w:sz w:val="24"/>
          <w:szCs w:val="24"/>
        </w:rPr>
      </w:pPr>
    </w:p>
    <w:p w14:paraId="4E3049B0" w14:textId="441F263D" w:rsidR="005F6BBD" w:rsidRDefault="005F6BBD">
      <w:pPr>
        <w:rPr>
          <w:rFonts w:ascii="Arial" w:hAnsi="Arial" w:cs="Arial"/>
          <w:sz w:val="24"/>
          <w:szCs w:val="24"/>
        </w:rPr>
      </w:pPr>
      <w:r>
        <w:rPr>
          <w:rFonts w:ascii="Arial" w:hAnsi="Arial" w:cs="Arial"/>
          <w:sz w:val="24"/>
          <w:szCs w:val="24"/>
        </w:rPr>
        <w:br w:type="page"/>
      </w:r>
    </w:p>
    <w:p w14:paraId="7A0AC82D" w14:textId="6BE14E41" w:rsidR="005F6BBD" w:rsidRPr="00AB16E0" w:rsidRDefault="00AB16E0" w:rsidP="0057143B">
      <w:pPr>
        <w:spacing w:after="0"/>
        <w:rPr>
          <w:rFonts w:ascii="Arial" w:hAnsi="Arial" w:cs="Arial"/>
          <w:b/>
          <w:bCs/>
          <w:sz w:val="24"/>
          <w:szCs w:val="24"/>
        </w:rPr>
      </w:pPr>
      <w:r w:rsidRPr="00AB16E0">
        <w:rPr>
          <w:rFonts w:ascii="Arial" w:hAnsi="Arial" w:cs="Arial"/>
          <w:b/>
          <w:bCs/>
          <w:sz w:val="24"/>
          <w:szCs w:val="24"/>
        </w:rPr>
        <w:lastRenderedPageBreak/>
        <w:t>Reference List</w:t>
      </w:r>
    </w:p>
    <w:p w14:paraId="67D9D349" w14:textId="77777777" w:rsidR="00B407D6" w:rsidRPr="00DE69EF" w:rsidRDefault="00B407D6" w:rsidP="00DE69EF">
      <w:pPr>
        <w:spacing w:after="0"/>
        <w:jc w:val="both"/>
        <w:rPr>
          <w:rFonts w:ascii="Arial" w:hAnsi="Arial" w:cs="Arial"/>
          <w:sz w:val="24"/>
          <w:szCs w:val="24"/>
        </w:rPr>
      </w:pPr>
    </w:p>
    <w:p w14:paraId="2A8B9194" w14:textId="77777777" w:rsidR="00B407D6" w:rsidRPr="00DE69EF" w:rsidRDefault="00B407D6" w:rsidP="00DE69EF">
      <w:pPr>
        <w:spacing w:after="0"/>
        <w:jc w:val="both"/>
        <w:rPr>
          <w:rFonts w:ascii="Arial" w:hAnsi="Arial" w:cs="Arial"/>
          <w:sz w:val="24"/>
          <w:szCs w:val="24"/>
        </w:rPr>
      </w:pPr>
      <w:r w:rsidRPr="00DE69EF">
        <w:rPr>
          <w:rFonts w:ascii="Arial" w:hAnsi="Arial" w:cs="Arial"/>
          <w:sz w:val="24"/>
          <w:szCs w:val="24"/>
        </w:rPr>
        <w:t xml:space="preserve">ACAS (2025) </w:t>
      </w:r>
      <w:r w:rsidRPr="00DE69EF">
        <w:rPr>
          <w:rFonts w:ascii="Arial" w:hAnsi="Arial" w:cs="Arial"/>
          <w:i/>
          <w:iCs/>
          <w:sz w:val="24"/>
          <w:szCs w:val="24"/>
        </w:rPr>
        <w:t>Webinars</w:t>
      </w:r>
      <w:r w:rsidRPr="00DE69EF">
        <w:rPr>
          <w:rFonts w:ascii="Arial" w:hAnsi="Arial" w:cs="Arial"/>
          <w:sz w:val="24"/>
          <w:szCs w:val="24"/>
        </w:rPr>
        <w:t xml:space="preserve">.  Available at: </w:t>
      </w:r>
      <w:hyperlink r:id="rId7" w:history="1">
        <w:r w:rsidRPr="00DE69EF">
          <w:rPr>
            <w:rStyle w:val="Hyperlink"/>
            <w:rFonts w:ascii="Arial" w:hAnsi="Arial" w:cs="Arial"/>
            <w:sz w:val="24"/>
            <w:szCs w:val="24"/>
          </w:rPr>
          <w:t>Webinars | Acas</w:t>
        </w:r>
      </w:hyperlink>
      <w:r w:rsidRPr="00DE69EF">
        <w:rPr>
          <w:rFonts w:ascii="Arial" w:hAnsi="Arial" w:cs="Arial"/>
          <w:sz w:val="24"/>
          <w:szCs w:val="24"/>
        </w:rPr>
        <w:t xml:space="preserve"> (Accessed: 26</w:t>
      </w:r>
      <w:r w:rsidRPr="00DE69EF">
        <w:rPr>
          <w:rFonts w:ascii="Arial" w:hAnsi="Arial" w:cs="Arial"/>
          <w:sz w:val="24"/>
          <w:szCs w:val="24"/>
          <w:vertAlign w:val="superscript"/>
        </w:rPr>
        <w:t>th</w:t>
      </w:r>
      <w:r w:rsidRPr="00DE69EF">
        <w:rPr>
          <w:rFonts w:ascii="Arial" w:hAnsi="Arial" w:cs="Arial"/>
          <w:sz w:val="24"/>
          <w:szCs w:val="24"/>
        </w:rPr>
        <w:t xml:space="preserve"> October 2025)</w:t>
      </w:r>
      <w:r>
        <w:rPr>
          <w:rFonts w:ascii="Arial" w:hAnsi="Arial" w:cs="Arial"/>
          <w:sz w:val="24"/>
          <w:szCs w:val="24"/>
        </w:rPr>
        <w:t>.</w:t>
      </w:r>
    </w:p>
    <w:p w14:paraId="2CF2C2A9" w14:textId="77777777" w:rsidR="00B407D6" w:rsidRDefault="00B407D6" w:rsidP="00DE69EF">
      <w:pPr>
        <w:spacing w:after="0"/>
        <w:jc w:val="both"/>
        <w:rPr>
          <w:rFonts w:ascii="Arial" w:hAnsi="Arial" w:cs="Arial"/>
          <w:color w:val="000000" w:themeColor="text1"/>
          <w:sz w:val="24"/>
          <w:szCs w:val="24"/>
        </w:rPr>
      </w:pPr>
    </w:p>
    <w:p w14:paraId="475CB07C" w14:textId="343694AF" w:rsidR="00B407D6" w:rsidRPr="00DE69EF" w:rsidRDefault="00B407D6" w:rsidP="00DE69EF">
      <w:pPr>
        <w:spacing w:after="0"/>
        <w:jc w:val="both"/>
        <w:rPr>
          <w:rFonts w:ascii="Arial" w:hAnsi="Arial" w:cs="Arial"/>
          <w:color w:val="000000" w:themeColor="text1"/>
          <w:sz w:val="24"/>
          <w:szCs w:val="24"/>
        </w:rPr>
      </w:pPr>
      <w:r w:rsidRPr="00DE69EF">
        <w:rPr>
          <w:rFonts w:ascii="Arial" w:hAnsi="Arial" w:cs="Arial"/>
          <w:color w:val="000000" w:themeColor="text1"/>
          <w:sz w:val="24"/>
          <w:szCs w:val="24"/>
        </w:rPr>
        <w:t xml:space="preserve">Brauer, P. (2025) </w:t>
      </w:r>
      <w:r w:rsidRPr="00DE69EF">
        <w:rPr>
          <w:rFonts w:ascii="Arial" w:hAnsi="Arial" w:cs="Arial"/>
          <w:i/>
          <w:iCs/>
          <w:color w:val="000000" w:themeColor="text1"/>
          <w:sz w:val="24"/>
          <w:szCs w:val="24"/>
        </w:rPr>
        <w:t>What employers need to consider about their pay structures with rise in minimum wage</w:t>
      </w:r>
      <w:r w:rsidRPr="00DE69EF">
        <w:rPr>
          <w:rFonts w:ascii="Arial" w:hAnsi="Arial" w:cs="Arial"/>
          <w:color w:val="000000" w:themeColor="text1"/>
          <w:sz w:val="24"/>
          <w:szCs w:val="24"/>
        </w:rPr>
        <w:t>. Available at:</w:t>
      </w:r>
      <w:r w:rsidRPr="00DE69EF">
        <w:rPr>
          <w:rFonts w:ascii="Arial" w:hAnsi="Arial" w:cs="Arial"/>
          <w:b/>
          <w:bCs/>
          <w:color w:val="000000" w:themeColor="text1"/>
          <w:sz w:val="24"/>
          <w:szCs w:val="24"/>
        </w:rPr>
        <w:t xml:space="preserve"> </w:t>
      </w:r>
      <w:hyperlink r:id="rId8" w:history="1">
        <w:r w:rsidRPr="00DE69EF">
          <w:rPr>
            <w:rStyle w:val="Hyperlink"/>
            <w:rFonts w:ascii="Arial" w:hAnsi="Arial" w:cs="Arial"/>
            <w:sz w:val="24"/>
            <w:szCs w:val="24"/>
          </w:rPr>
          <w:t>What employers need to consider about their pay structures with rise in minimum wage | Reward and Employee Benefits Association (REBA)</w:t>
        </w:r>
      </w:hyperlink>
      <w:r w:rsidRPr="00DE69EF">
        <w:rPr>
          <w:rFonts w:ascii="Arial" w:hAnsi="Arial" w:cs="Arial"/>
          <w:color w:val="000000" w:themeColor="text1"/>
          <w:sz w:val="24"/>
          <w:szCs w:val="24"/>
        </w:rPr>
        <w:t xml:space="preserve"> (Accessed: 9</w:t>
      </w:r>
      <w:r w:rsidRPr="00DE69EF">
        <w:rPr>
          <w:rFonts w:ascii="Arial" w:hAnsi="Arial" w:cs="Arial"/>
          <w:color w:val="000000" w:themeColor="text1"/>
          <w:sz w:val="24"/>
          <w:szCs w:val="24"/>
          <w:vertAlign w:val="superscript"/>
        </w:rPr>
        <w:t>th</w:t>
      </w:r>
      <w:r w:rsidRPr="00DE69EF">
        <w:rPr>
          <w:rFonts w:ascii="Arial" w:hAnsi="Arial" w:cs="Arial"/>
          <w:color w:val="000000" w:themeColor="text1"/>
          <w:sz w:val="24"/>
          <w:szCs w:val="24"/>
        </w:rPr>
        <w:t xml:space="preserve"> November 2025)</w:t>
      </w:r>
      <w:r>
        <w:rPr>
          <w:rFonts w:ascii="Arial" w:hAnsi="Arial" w:cs="Arial"/>
          <w:color w:val="000000" w:themeColor="text1"/>
          <w:sz w:val="24"/>
          <w:szCs w:val="24"/>
        </w:rPr>
        <w:t>.</w:t>
      </w:r>
    </w:p>
    <w:p w14:paraId="616E5D63" w14:textId="77777777" w:rsidR="00B407D6" w:rsidRDefault="00B407D6" w:rsidP="00DE69EF">
      <w:pPr>
        <w:spacing w:after="0"/>
        <w:jc w:val="both"/>
        <w:rPr>
          <w:rFonts w:ascii="Arial" w:hAnsi="Arial" w:cs="Arial"/>
          <w:sz w:val="24"/>
          <w:szCs w:val="24"/>
        </w:rPr>
      </w:pPr>
    </w:p>
    <w:p w14:paraId="6D78C906"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Buye, R. (2021) ‘Organisational analysis tools and techniques: critical reflection on the </w:t>
      </w:r>
    </w:p>
    <w:p w14:paraId="132E46E4" w14:textId="77777777" w:rsidR="00B407D6" w:rsidRDefault="00B407D6" w:rsidP="00DE69EF">
      <w:pPr>
        <w:spacing w:after="0"/>
        <w:jc w:val="both"/>
        <w:rPr>
          <w:rFonts w:ascii="Arial" w:hAnsi="Arial" w:cs="Arial"/>
          <w:sz w:val="24"/>
          <w:szCs w:val="24"/>
        </w:rPr>
      </w:pPr>
    </w:p>
    <w:p w14:paraId="49EB5718" w14:textId="4DC4D50E" w:rsidR="00B407D6" w:rsidRPr="00DE69EF" w:rsidRDefault="00B407D6" w:rsidP="00DE69EF">
      <w:pPr>
        <w:spacing w:after="0"/>
        <w:jc w:val="both"/>
        <w:rPr>
          <w:rFonts w:ascii="Arial" w:hAnsi="Arial" w:cs="Arial"/>
          <w:sz w:val="24"/>
          <w:szCs w:val="24"/>
        </w:rPr>
      </w:pPr>
      <w:r w:rsidRPr="00DE69EF">
        <w:rPr>
          <w:rFonts w:ascii="Arial" w:hAnsi="Arial" w:cs="Arial"/>
          <w:sz w:val="24"/>
          <w:szCs w:val="24"/>
        </w:rPr>
        <w:t xml:space="preserve">PESTLE analysis and other related techniques’, </w:t>
      </w:r>
      <w:r w:rsidRPr="00DE69EF">
        <w:rPr>
          <w:rFonts w:ascii="Arial" w:hAnsi="Arial" w:cs="Arial"/>
          <w:i/>
          <w:iCs/>
          <w:sz w:val="24"/>
          <w:szCs w:val="24"/>
        </w:rPr>
        <w:t>Research Gate</w:t>
      </w:r>
      <w:r w:rsidRPr="00DE69EF">
        <w:rPr>
          <w:rFonts w:ascii="Arial" w:hAnsi="Arial" w:cs="Arial"/>
          <w:sz w:val="24"/>
          <w:szCs w:val="24"/>
        </w:rPr>
        <w:t xml:space="preserve">.  Available at: </w:t>
      </w:r>
      <w:hyperlink r:id="rId9" w:tgtFrame="_blank" w:history="1">
        <w:r w:rsidRPr="00DE69EF">
          <w:rPr>
            <w:rStyle w:val="Hyperlink"/>
            <w:rFonts w:ascii="Arial" w:hAnsi="Arial" w:cs="Arial"/>
            <w:sz w:val="24"/>
            <w:szCs w:val="24"/>
          </w:rPr>
          <w:t>10.13140/RG.2.2.2</w:t>
        </w:r>
        <w:r w:rsidRPr="00DE69EF">
          <w:rPr>
            <w:rStyle w:val="Hyperlink"/>
            <w:rFonts w:ascii="Arial" w:hAnsi="Arial" w:cs="Arial"/>
            <w:sz w:val="24"/>
            <w:szCs w:val="24"/>
          </w:rPr>
          <w:t>7</w:t>
        </w:r>
        <w:r w:rsidRPr="00DE69EF">
          <w:rPr>
            <w:rStyle w:val="Hyperlink"/>
            <w:rFonts w:ascii="Arial" w:hAnsi="Arial" w:cs="Arial"/>
            <w:sz w:val="24"/>
            <w:szCs w:val="24"/>
          </w:rPr>
          <w:t>060.78727</w:t>
        </w:r>
      </w:hyperlink>
    </w:p>
    <w:p w14:paraId="642171FB" w14:textId="77777777" w:rsidR="00B407D6" w:rsidRDefault="00B407D6" w:rsidP="00DE69EF">
      <w:pPr>
        <w:spacing w:after="0"/>
        <w:jc w:val="both"/>
        <w:rPr>
          <w:rFonts w:ascii="Arial" w:hAnsi="Arial" w:cs="Arial"/>
          <w:sz w:val="24"/>
          <w:szCs w:val="24"/>
        </w:rPr>
      </w:pPr>
    </w:p>
    <w:p w14:paraId="64790996" w14:textId="71625345" w:rsidR="00B407D6" w:rsidRPr="00DE69EF" w:rsidRDefault="00B407D6" w:rsidP="00DE69EF">
      <w:pPr>
        <w:spacing w:after="0"/>
        <w:jc w:val="both"/>
        <w:rPr>
          <w:rFonts w:ascii="Arial" w:hAnsi="Arial" w:cs="Arial"/>
          <w:sz w:val="24"/>
          <w:szCs w:val="24"/>
        </w:rPr>
      </w:pPr>
      <w:r w:rsidRPr="00DE69EF">
        <w:rPr>
          <w:rFonts w:ascii="Arial" w:hAnsi="Arial" w:cs="Arial"/>
          <w:sz w:val="24"/>
          <w:szCs w:val="24"/>
        </w:rPr>
        <w:t xml:space="preserve">CIPD (2021a) </w:t>
      </w:r>
      <w:r w:rsidRPr="00B407D6">
        <w:rPr>
          <w:rFonts w:ascii="Arial" w:hAnsi="Arial" w:cs="Arial"/>
          <w:i/>
          <w:iCs/>
          <w:sz w:val="24"/>
          <w:szCs w:val="24"/>
        </w:rPr>
        <w:t>Financial wellbeing: An evidence review</w:t>
      </w:r>
      <w:r>
        <w:rPr>
          <w:rFonts w:ascii="Arial" w:hAnsi="Arial" w:cs="Arial"/>
          <w:sz w:val="24"/>
          <w:szCs w:val="24"/>
        </w:rPr>
        <w:t>:</w:t>
      </w:r>
      <w:r w:rsidRPr="00DE69EF">
        <w:rPr>
          <w:rFonts w:ascii="Arial" w:hAnsi="Arial" w:cs="Arial"/>
          <w:sz w:val="24"/>
          <w:szCs w:val="24"/>
        </w:rPr>
        <w:t xml:space="preserve"> Available at </w:t>
      </w:r>
      <w:hyperlink r:id="rId10" w:history="1">
        <w:r w:rsidRPr="00DE69EF">
          <w:rPr>
            <w:rStyle w:val="Hyperlink"/>
            <w:rFonts w:ascii="Arial" w:hAnsi="Arial" w:cs="Arial"/>
            <w:sz w:val="24"/>
            <w:szCs w:val="24"/>
          </w:rPr>
          <w:t>Fina</w:t>
        </w:r>
        <w:r w:rsidRPr="00DE69EF">
          <w:rPr>
            <w:rStyle w:val="Hyperlink"/>
            <w:rFonts w:ascii="Arial" w:hAnsi="Arial" w:cs="Arial"/>
            <w:sz w:val="24"/>
            <w:szCs w:val="24"/>
          </w:rPr>
          <w:t>n</w:t>
        </w:r>
        <w:r w:rsidRPr="00DE69EF">
          <w:rPr>
            <w:rStyle w:val="Hyperlink"/>
            <w:rFonts w:ascii="Arial" w:hAnsi="Arial" w:cs="Arial"/>
            <w:sz w:val="24"/>
            <w:szCs w:val="24"/>
          </w:rPr>
          <w:t>cial wellbeing: an evidence revie</w:t>
        </w:r>
        <w:r w:rsidRPr="00DE69EF">
          <w:rPr>
            <w:rStyle w:val="Hyperlink"/>
            <w:rFonts w:ascii="Arial" w:hAnsi="Arial" w:cs="Arial"/>
            <w:sz w:val="24"/>
            <w:szCs w:val="24"/>
          </w:rPr>
          <w:t>w</w:t>
        </w:r>
        <w:r w:rsidRPr="00DE69EF">
          <w:rPr>
            <w:rStyle w:val="Hyperlink"/>
            <w:rFonts w:ascii="Arial" w:hAnsi="Arial" w:cs="Arial"/>
            <w:sz w:val="24"/>
            <w:szCs w:val="24"/>
          </w:rPr>
          <w:t xml:space="preserve"> | CIPD | CIPD</w:t>
        </w:r>
      </w:hyperlink>
      <w:r w:rsidRPr="00DE69EF">
        <w:rPr>
          <w:rFonts w:ascii="Arial" w:hAnsi="Arial" w:cs="Arial"/>
          <w:sz w:val="24"/>
          <w:szCs w:val="24"/>
        </w:rPr>
        <w:t xml:space="preserve"> (Accessed: 9</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17BBABDB" w14:textId="77777777" w:rsidR="00B407D6" w:rsidRDefault="00B407D6" w:rsidP="00DE69EF">
      <w:pPr>
        <w:spacing w:after="0"/>
        <w:jc w:val="both"/>
        <w:rPr>
          <w:rFonts w:ascii="Arial" w:hAnsi="Arial" w:cs="Arial"/>
          <w:sz w:val="24"/>
          <w:szCs w:val="24"/>
        </w:rPr>
      </w:pPr>
    </w:p>
    <w:p w14:paraId="12719F7A" w14:textId="721E8405" w:rsidR="00B407D6" w:rsidRPr="00DE69EF" w:rsidRDefault="00B407D6" w:rsidP="00DE69EF">
      <w:pPr>
        <w:spacing w:after="0"/>
        <w:jc w:val="both"/>
        <w:rPr>
          <w:rFonts w:ascii="Arial" w:hAnsi="Arial" w:cs="Arial"/>
          <w:sz w:val="24"/>
          <w:szCs w:val="24"/>
        </w:rPr>
      </w:pPr>
      <w:r w:rsidRPr="00DE69EF">
        <w:rPr>
          <w:rFonts w:ascii="Arial" w:hAnsi="Arial" w:cs="Arial"/>
          <w:sz w:val="24"/>
          <w:szCs w:val="24"/>
        </w:rPr>
        <w:t xml:space="preserve">CIPD (2025a) </w:t>
      </w:r>
      <w:r w:rsidRPr="00DE69EF">
        <w:rPr>
          <w:rFonts w:ascii="Arial" w:hAnsi="Arial" w:cs="Arial"/>
          <w:i/>
          <w:iCs/>
          <w:sz w:val="24"/>
          <w:szCs w:val="24"/>
        </w:rPr>
        <w:t>PESTLE Template</w:t>
      </w:r>
      <w:r w:rsidRPr="00DE69EF">
        <w:rPr>
          <w:rFonts w:ascii="Arial" w:hAnsi="Arial" w:cs="Arial"/>
          <w:sz w:val="24"/>
          <w:szCs w:val="24"/>
        </w:rPr>
        <w:t xml:space="preserve">.  Available at: </w:t>
      </w:r>
      <w:hyperlink r:id="rId11" w:history="1">
        <w:r w:rsidRPr="00DE69EF">
          <w:rPr>
            <w:rStyle w:val="Hyperlink"/>
            <w:rFonts w:ascii="Arial" w:hAnsi="Arial" w:cs="Arial"/>
            <w:sz w:val="24"/>
            <w:szCs w:val="24"/>
          </w:rPr>
          <w:t>PESTLE factsheet</w:t>
        </w:r>
      </w:hyperlink>
      <w:r w:rsidRPr="00DE69EF">
        <w:rPr>
          <w:rFonts w:ascii="Arial" w:hAnsi="Arial" w:cs="Arial"/>
          <w:sz w:val="24"/>
          <w:szCs w:val="24"/>
        </w:rPr>
        <w:t xml:space="preserve"> (Accessed: 20</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00E23F76" w14:textId="77777777" w:rsidR="00B407D6" w:rsidRDefault="00B407D6" w:rsidP="00DE69EF">
      <w:pPr>
        <w:spacing w:after="0"/>
        <w:jc w:val="both"/>
        <w:rPr>
          <w:rFonts w:ascii="Arial" w:hAnsi="Arial" w:cs="Arial"/>
          <w:sz w:val="24"/>
          <w:szCs w:val="24"/>
        </w:rPr>
      </w:pPr>
    </w:p>
    <w:p w14:paraId="2BFFD8F3" w14:textId="15BCA3BD" w:rsidR="00B407D6" w:rsidRPr="00DE69EF" w:rsidRDefault="00B407D6" w:rsidP="00DE69EF">
      <w:pPr>
        <w:spacing w:after="0"/>
        <w:jc w:val="both"/>
        <w:rPr>
          <w:rFonts w:ascii="Arial" w:hAnsi="Arial" w:cs="Arial"/>
          <w:sz w:val="24"/>
          <w:szCs w:val="24"/>
        </w:rPr>
      </w:pPr>
      <w:r w:rsidRPr="00DE69EF">
        <w:rPr>
          <w:rFonts w:ascii="Arial" w:hAnsi="Arial" w:cs="Arial"/>
          <w:sz w:val="24"/>
          <w:szCs w:val="24"/>
        </w:rPr>
        <w:t xml:space="preserve">CIPD (2025b) </w:t>
      </w:r>
      <w:r w:rsidRPr="00DE69EF">
        <w:rPr>
          <w:rFonts w:ascii="Arial" w:hAnsi="Arial" w:cs="Arial"/>
          <w:i/>
          <w:iCs/>
          <w:sz w:val="24"/>
          <w:szCs w:val="24"/>
        </w:rPr>
        <w:t>SWOT Template</w:t>
      </w:r>
      <w:r w:rsidRPr="00DE69EF">
        <w:rPr>
          <w:rFonts w:ascii="Arial" w:hAnsi="Arial" w:cs="Arial"/>
          <w:sz w:val="24"/>
          <w:szCs w:val="24"/>
        </w:rPr>
        <w:t xml:space="preserve">.  Available at: </w:t>
      </w:r>
      <w:hyperlink r:id="rId12" w:history="1">
        <w:r w:rsidRPr="00DE69EF">
          <w:rPr>
            <w:rStyle w:val="Hyperlink"/>
            <w:rFonts w:ascii="Arial" w:hAnsi="Arial" w:cs="Arial"/>
            <w:sz w:val="24"/>
            <w:szCs w:val="24"/>
          </w:rPr>
          <w:t>swot-analysis-template-2024.pdf</w:t>
        </w:r>
      </w:hyperlink>
      <w:r w:rsidRPr="00DE69EF">
        <w:rPr>
          <w:rFonts w:ascii="Arial" w:hAnsi="Arial" w:cs="Arial"/>
          <w:sz w:val="24"/>
          <w:szCs w:val="24"/>
        </w:rPr>
        <w:t xml:space="preserve"> (Accessed: 20</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353D36F8" w14:textId="77777777" w:rsidR="00B407D6" w:rsidRDefault="00B407D6" w:rsidP="00DE69EF">
      <w:pPr>
        <w:spacing w:after="0"/>
        <w:jc w:val="both"/>
        <w:rPr>
          <w:rFonts w:ascii="Arial" w:hAnsi="Arial" w:cs="Arial"/>
          <w:sz w:val="24"/>
          <w:szCs w:val="24"/>
        </w:rPr>
      </w:pPr>
    </w:p>
    <w:p w14:paraId="11329CA6" w14:textId="02A95562" w:rsidR="00B407D6" w:rsidRPr="00DE69EF" w:rsidRDefault="00B407D6" w:rsidP="00DE69EF">
      <w:pPr>
        <w:spacing w:after="0"/>
        <w:jc w:val="both"/>
        <w:rPr>
          <w:rFonts w:ascii="Arial" w:hAnsi="Arial" w:cs="Arial"/>
          <w:sz w:val="24"/>
          <w:szCs w:val="24"/>
        </w:rPr>
      </w:pPr>
      <w:r w:rsidRPr="00DE69EF">
        <w:rPr>
          <w:rFonts w:ascii="Arial" w:hAnsi="Arial" w:cs="Arial"/>
          <w:sz w:val="24"/>
          <w:szCs w:val="24"/>
        </w:rPr>
        <w:t xml:space="preserve">CIPD (2025c) </w:t>
      </w:r>
      <w:r w:rsidRPr="00B407D6">
        <w:rPr>
          <w:rFonts w:ascii="Arial" w:hAnsi="Arial" w:cs="Arial"/>
          <w:i/>
          <w:iCs/>
          <w:sz w:val="24"/>
          <w:szCs w:val="24"/>
        </w:rPr>
        <w:t>UK employment law in October 2025: Legal changes people professionals need to know:</w:t>
      </w:r>
      <w:r w:rsidRPr="00DE69EF">
        <w:rPr>
          <w:rFonts w:ascii="Arial" w:hAnsi="Arial" w:cs="Arial"/>
          <w:sz w:val="24"/>
          <w:szCs w:val="24"/>
        </w:rPr>
        <w:t xml:space="preserve">  Available at </w:t>
      </w:r>
      <w:hyperlink r:id="rId13" w:history="1">
        <w:r w:rsidRPr="00DE69EF">
          <w:rPr>
            <w:rStyle w:val="Hyperlink"/>
            <w:rFonts w:ascii="Arial" w:hAnsi="Arial" w:cs="Arial"/>
            <w:sz w:val="24"/>
            <w:szCs w:val="24"/>
          </w:rPr>
          <w:t xml:space="preserve">Employment law changes in October 2025 | </w:t>
        </w:r>
        <w:r w:rsidRPr="00DE69EF">
          <w:rPr>
            <w:rStyle w:val="Hyperlink"/>
            <w:rFonts w:ascii="Arial" w:hAnsi="Arial" w:cs="Arial"/>
            <w:sz w:val="24"/>
            <w:szCs w:val="24"/>
          </w:rPr>
          <w:t>CIPD</w:t>
        </w:r>
      </w:hyperlink>
      <w:r w:rsidRPr="00DE69EF">
        <w:rPr>
          <w:rFonts w:ascii="Arial" w:hAnsi="Arial" w:cs="Arial"/>
          <w:sz w:val="24"/>
          <w:szCs w:val="24"/>
        </w:rPr>
        <w:t xml:space="preserve"> (Accessed: 2</w:t>
      </w:r>
      <w:r w:rsidRPr="00DE69EF">
        <w:rPr>
          <w:rFonts w:ascii="Arial" w:hAnsi="Arial" w:cs="Arial"/>
          <w:sz w:val="24"/>
          <w:szCs w:val="24"/>
          <w:vertAlign w:val="superscript"/>
        </w:rPr>
        <w:t>nd</w:t>
      </w:r>
      <w:r w:rsidRPr="00DE69EF">
        <w:rPr>
          <w:rFonts w:ascii="Arial" w:hAnsi="Arial" w:cs="Arial"/>
          <w:sz w:val="24"/>
          <w:szCs w:val="24"/>
        </w:rPr>
        <w:t xml:space="preserve"> November 2025)</w:t>
      </w:r>
      <w:r>
        <w:rPr>
          <w:rFonts w:ascii="Arial" w:hAnsi="Arial" w:cs="Arial"/>
          <w:sz w:val="24"/>
          <w:szCs w:val="24"/>
        </w:rPr>
        <w:t>.</w:t>
      </w:r>
    </w:p>
    <w:p w14:paraId="2CB486DC" w14:textId="77777777" w:rsidR="00B407D6" w:rsidRDefault="00B407D6" w:rsidP="00DE69EF">
      <w:pPr>
        <w:spacing w:after="0"/>
        <w:jc w:val="both"/>
        <w:rPr>
          <w:rFonts w:ascii="Arial" w:hAnsi="Arial" w:cs="Arial"/>
          <w:sz w:val="24"/>
          <w:szCs w:val="24"/>
        </w:rPr>
      </w:pPr>
    </w:p>
    <w:p w14:paraId="5DB052E3" w14:textId="08728713"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CIPD (2025d) </w:t>
      </w:r>
      <w:r w:rsidRPr="00B407D6">
        <w:rPr>
          <w:rFonts w:ascii="Arial" w:hAnsi="Arial" w:cs="Arial"/>
          <w:i/>
          <w:iCs/>
          <w:sz w:val="24"/>
          <w:szCs w:val="24"/>
        </w:rPr>
        <w:t>Dismissal Procedures</w:t>
      </w:r>
      <w:r w:rsidRPr="00DE69EF">
        <w:rPr>
          <w:rFonts w:ascii="Arial" w:hAnsi="Arial" w:cs="Arial"/>
          <w:sz w:val="24"/>
          <w:szCs w:val="24"/>
        </w:rPr>
        <w:t xml:space="preserve">: Available at: </w:t>
      </w:r>
      <w:hyperlink r:id="rId14" w:anchor="what-is-dismissal" w:history="1">
        <w:r w:rsidRPr="00DE69EF">
          <w:rPr>
            <w:rStyle w:val="Hyperlink"/>
            <w:rFonts w:ascii="Arial" w:hAnsi="Arial" w:cs="Arial"/>
            <w:sz w:val="24"/>
            <w:szCs w:val="24"/>
          </w:rPr>
          <w:t>Dism</w:t>
        </w:r>
        <w:r w:rsidRPr="00DE69EF">
          <w:rPr>
            <w:rStyle w:val="Hyperlink"/>
            <w:rFonts w:ascii="Arial" w:hAnsi="Arial" w:cs="Arial"/>
            <w:sz w:val="24"/>
            <w:szCs w:val="24"/>
          </w:rPr>
          <w:t>i</w:t>
        </w:r>
        <w:r w:rsidRPr="00DE69EF">
          <w:rPr>
            <w:rStyle w:val="Hyperlink"/>
            <w:rFonts w:ascii="Arial" w:hAnsi="Arial" w:cs="Arial"/>
            <w:sz w:val="24"/>
            <w:szCs w:val="24"/>
          </w:rPr>
          <w:t>ssal Procedures | Factsheets | CIPD</w:t>
        </w:r>
      </w:hyperlink>
      <w:r w:rsidRPr="00DE69EF">
        <w:rPr>
          <w:rFonts w:ascii="Arial" w:hAnsi="Arial" w:cs="Arial"/>
          <w:sz w:val="24"/>
          <w:szCs w:val="24"/>
        </w:rPr>
        <w:t xml:space="preserve"> (Accessed: 26</w:t>
      </w:r>
      <w:r w:rsidRPr="00DE69EF">
        <w:rPr>
          <w:rFonts w:ascii="Arial" w:hAnsi="Arial" w:cs="Arial"/>
          <w:sz w:val="24"/>
          <w:szCs w:val="24"/>
          <w:vertAlign w:val="superscript"/>
        </w:rPr>
        <w:t>th</w:t>
      </w:r>
      <w:r w:rsidRPr="00DE69EF">
        <w:rPr>
          <w:rFonts w:ascii="Arial" w:hAnsi="Arial" w:cs="Arial"/>
          <w:sz w:val="24"/>
          <w:szCs w:val="24"/>
        </w:rPr>
        <w:t xml:space="preserve"> October 2025)</w:t>
      </w:r>
      <w:r>
        <w:rPr>
          <w:rFonts w:ascii="Arial" w:hAnsi="Arial" w:cs="Arial"/>
          <w:sz w:val="24"/>
          <w:szCs w:val="24"/>
        </w:rPr>
        <w:t>.</w:t>
      </w:r>
    </w:p>
    <w:p w14:paraId="1E1AD025" w14:textId="77777777" w:rsidR="00B407D6" w:rsidRPr="00DE69EF" w:rsidRDefault="00B407D6" w:rsidP="00DE69EF">
      <w:pPr>
        <w:spacing w:after="0"/>
        <w:jc w:val="both"/>
        <w:rPr>
          <w:rFonts w:ascii="Arial" w:hAnsi="Arial" w:cs="Arial"/>
          <w:sz w:val="24"/>
          <w:szCs w:val="24"/>
        </w:rPr>
      </w:pPr>
    </w:p>
    <w:p w14:paraId="5068AC59"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CIPD (2025e) </w:t>
      </w:r>
      <w:r w:rsidRPr="00DE69EF">
        <w:rPr>
          <w:rFonts w:ascii="Arial" w:hAnsi="Arial" w:cs="Arial"/>
          <w:i/>
          <w:iCs/>
          <w:sz w:val="24"/>
          <w:szCs w:val="24"/>
        </w:rPr>
        <w:t>Working with trade unions</w:t>
      </w:r>
      <w:r w:rsidRPr="00DE69EF">
        <w:rPr>
          <w:rFonts w:ascii="Arial" w:hAnsi="Arial" w:cs="Arial"/>
          <w:sz w:val="24"/>
          <w:szCs w:val="24"/>
        </w:rPr>
        <w:t xml:space="preserve">.  Available at: </w:t>
      </w:r>
      <w:hyperlink r:id="rId15" w:anchor="handling-negotiations" w:history="1">
        <w:r w:rsidRPr="00DE69EF">
          <w:rPr>
            <w:rStyle w:val="Hyperlink"/>
            <w:rFonts w:ascii="Arial" w:hAnsi="Arial" w:cs="Arial"/>
            <w:sz w:val="24"/>
            <w:szCs w:val="24"/>
          </w:rPr>
          <w:t>Working with trade unions | CIPD</w:t>
        </w:r>
      </w:hyperlink>
      <w:r w:rsidRPr="00DE69EF">
        <w:rPr>
          <w:rFonts w:ascii="Arial" w:hAnsi="Arial" w:cs="Arial"/>
          <w:sz w:val="24"/>
          <w:szCs w:val="24"/>
        </w:rPr>
        <w:t xml:space="preserve"> (Accessed: 11</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47C26B07" w14:textId="77777777" w:rsidR="00B407D6" w:rsidRPr="00DE69EF" w:rsidRDefault="00B407D6" w:rsidP="00DE69EF">
      <w:pPr>
        <w:spacing w:after="0"/>
        <w:jc w:val="both"/>
        <w:rPr>
          <w:rFonts w:ascii="Arial" w:hAnsi="Arial" w:cs="Arial"/>
          <w:sz w:val="24"/>
          <w:szCs w:val="24"/>
        </w:rPr>
      </w:pPr>
    </w:p>
    <w:p w14:paraId="5AA8C306"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CIPD (2025f) </w:t>
      </w:r>
      <w:r w:rsidRPr="00B407D6">
        <w:rPr>
          <w:rFonts w:ascii="Arial" w:hAnsi="Arial" w:cs="Arial"/>
          <w:i/>
          <w:iCs/>
          <w:sz w:val="24"/>
          <w:szCs w:val="24"/>
        </w:rPr>
        <w:t>Tracking law changes: Employment Rights Bill and Make Work Pay plan</w:t>
      </w:r>
      <w:r w:rsidRPr="00DE69EF">
        <w:rPr>
          <w:rFonts w:ascii="Arial" w:hAnsi="Arial" w:cs="Arial"/>
          <w:sz w:val="24"/>
          <w:szCs w:val="24"/>
        </w:rPr>
        <w:t xml:space="preserve">.  Available at: </w:t>
      </w:r>
      <w:hyperlink r:id="rId16" w:anchor="unfair-dismissal" w:history="1">
        <w:r w:rsidRPr="00DE69EF">
          <w:rPr>
            <w:rStyle w:val="Hyperlink"/>
            <w:rFonts w:ascii="Arial" w:hAnsi="Arial" w:cs="Arial"/>
            <w:sz w:val="24"/>
            <w:szCs w:val="24"/>
          </w:rPr>
          <w:t>Employment R</w:t>
        </w:r>
        <w:r w:rsidRPr="00DE69EF">
          <w:rPr>
            <w:rStyle w:val="Hyperlink"/>
            <w:rFonts w:ascii="Arial" w:hAnsi="Arial" w:cs="Arial"/>
            <w:sz w:val="24"/>
            <w:szCs w:val="24"/>
          </w:rPr>
          <w:t>i</w:t>
        </w:r>
        <w:r w:rsidRPr="00DE69EF">
          <w:rPr>
            <w:rStyle w:val="Hyperlink"/>
            <w:rFonts w:ascii="Arial" w:hAnsi="Arial" w:cs="Arial"/>
            <w:sz w:val="24"/>
            <w:szCs w:val="24"/>
          </w:rPr>
          <w:t>g</w:t>
        </w:r>
        <w:r w:rsidRPr="00DE69EF">
          <w:rPr>
            <w:rStyle w:val="Hyperlink"/>
            <w:rFonts w:ascii="Arial" w:hAnsi="Arial" w:cs="Arial"/>
            <w:sz w:val="24"/>
            <w:szCs w:val="24"/>
          </w:rPr>
          <w:t>h</w:t>
        </w:r>
        <w:r w:rsidRPr="00DE69EF">
          <w:rPr>
            <w:rStyle w:val="Hyperlink"/>
            <w:rFonts w:ascii="Arial" w:hAnsi="Arial" w:cs="Arial"/>
            <w:sz w:val="24"/>
            <w:szCs w:val="24"/>
          </w:rPr>
          <w:t>t</w:t>
        </w:r>
        <w:r w:rsidRPr="00DE69EF">
          <w:rPr>
            <w:rStyle w:val="Hyperlink"/>
            <w:rFonts w:ascii="Arial" w:hAnsi="Arial" w:cs="Arial"/>
            <w:sz w:val="24"/>
            <w:szCs w:val="24"/>
          </w:rPr>
          <w:t>s Bi</w:t>
        </w:r>
        <w:r w:rsidRPr="00DE69EF">
          <w:rPr>
            <w:rStyle w:val="Hyperlink"/>
            <w:rFonts w:ascii="Arial" w:hAnsi="Arial" w:cs="Arial"/>
            <w:sz w:val="24"/>
            <w:szCs w:val="24"/>
          </w:rPr>
          <w:t>l</w:t>
        </w:r>
        <w:r w:rsidRPr="00DE69EF">
          <w:rPr>
            <w:rStyle w:val="Hyperlink"/>
            <w:rFonts w:ascii="Arial" w:hAnsi="Arial" w:cs="Arial"/>
            <w:sz w:val="24"/>
            <w:szCs w:val="24"/>
          </w:rPr>
          <w:t>l and Make Work Pay plan changes | CIPD</w:t>
        </w:r>
      </w:hyperlink>
      <w:r w:rsidRPr="00DE69EF">
        <w:rPr>
          <w:rFonts w:ascii="Arial" w:hAnsi="Arial" w:cs="Arial"/>
          <w:sz w:val="24"/>
          <w:szCs w:val="24"/>
        </w:rPr>
        <w:t xml:space="preserve"> (Accessed: 26</w:t>
      </w:r>
      <w:r w:rsidRPr="00DE69EF">
        <w:rPr>
          <w:rFonts w:ascii="Arial" w:hAnsi="Arial" w:cs="Arial"/>
          <w:sz w:val="24"/>
          <w:szCs w:val="24"/>
          <w:vertAlign w:val="superscript"/>
        </w:rPr>
        <w:t>th</w:t>
      </w:r>
      <w:r w:rsidRPr="00DE69EF">
        <w:rPr>
          <w:rFonts w:ascii="Arial" w:hAnsi="Arial" w:cs="Arial"/>
          <w:sz w:val="24"/>
          <w:szCs w:val="24"/>
        </w:rPr>
        <w:t xml:space="preserve"> October 2025)</w:t>
      </w:r>
      <w:r>
        <w:rPr>
          <w:rFonts w:ascii="Arial" w:hAnsi="Arial" w:cs="Arial"/>
          <w:sz w:val="24"/>
          <w:szCs w:val="24"/>
        </w:rPr>
        <w:t>.</w:t>
      </w:r>
    </w:p>
    <w:p w14:paraId="327A1EA0" w14:textId="77777777" w:rsidR="00B407D6" w:rsidRPr="00DE69EF" w:rsidRDefault="00B407D6" w:rsidP="00DE69EF">
      <w:pPr>
        <w:spacing w:after="0"/>
        <w:jc w:val="both"/>
        <w:rPr>
          <w:rFonts w:ascii="Arial" w:hAnsi="Arial" w:cs="Arial"/>
          <w:sz w:val="24"/>
          <w:szCs w:val="24"/>
        </w:rPr>
      </w:pPr>
    </w:p>
    <w:p w14:paraId="174E9E37"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Close the Gap (2016) </w:t>
      </w:r>
      <w:r w:rsidRPr="00B407D6">
        <w:rPr>
          <w:rFonts w:ascii="Arial" w:hAnsi="Arial" w:cs="Arial"/>
          <w:i/>
          <w:iCs/>
          <w:sz w:val="24"/>
          <w:szCs w:val="24"/>
        </w:rPr>
        <w:t>Equality Impact Assessment</w:t>
      </w:r>
      <w:r w:rsidRPr="00DE69EF">
        <w:rPr>
          <w:rFonts w:ascii="Arial" w:hAnsi="Arial" w:cs="Arial"/>
          <w:sz w:val="24"/>
          <w:szCs w:val="24"/>
        </w:rPr>
        <w:t xml:space="preserve">.  Available at: </w:t>
      </w:r>
      <w:hyperlink r:id="rId17" w:history="1">
        <w:r w:rsidRPr="00DE69EF">
          <w:rPr>
            <w:rStyle w:val="Hyperlink"/>
            <w:rFonts w:ascii="Arial" w:hAnsi="Arial" w:cs="Arial"/>
            <w:sz w:val="24"/>
            <w:szCs w:val="24"/>
          </w:rPr>
          <w:t>Close the Gap | Equality Impact Assessment</w:t>
        </w:r>
      </w:hyperlink>
      <w:r w:rsidRPr="00DE69EF">
        <w:rPr>
          <w:rFonts w:ascii="Arial" w:hAnsi="Arial" w:cs="Arial"/>
          <w:sz w:val="24"/>
          <w:szCs w:val="24"/>
        </w:rPr>
        <w:t xml:space="preserve"> (Accessed: 9</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17E9AD10" w14:textId="77777777" w:rsidR="00B407D6" w:rsidRPr="00DE69EF" w:rsidRDefault="00B407D6" w:rsidP="00DE69EF">
      <w:pPr>
        <w:spacing w:after="0"/>
        <w:jc w:val="both"/>
        <w:rPr>
          <w:rFonts w:ascii="Arial" w:hAnsi="Arial" w:cs="Arial"/>
          <w:sz w:val="24"/>
          <w:szCs w:val="24"/>
        </w:rPr>
      </w:pPr>
    </w:p>
    <w:p w14:paraId="3E186013"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Cotton, C. (2025) </w:t>
      </w:r>
      <w:r w:rsidRPr="00DE69EF">
        <w:rPr>
          <w:rFonts w:ascii="Arial" w:hAnsi="Arial" w:cs="Arial"/>
          <w:i/>
          <w:iCs/>
          <w:sz w:val="24"/>
          <w:szCs w:val="24"/>
        </w:rPr>
        <w:t>Analysis | Why should employers take action on employee financial wellbeing?</w:t>
      </w:r>
      <w:r w:rsidRPr="00DE69EF">
        <w:rPr>
          <w:rFonts w:ascii="Arial" w:hAnsi="Arial" w:cs="Arial"/>
          <w:sz w:val="24"/>
          <w:szCs w:val="24"/>
        </w:rPr>
        <w:t xml:space="preserve"> Available at: </w:t>
      </w:r>
      <w:hyperlink r:id="rId18" w:history="1">
        <w:r w:rsidRPr="00DE69EF">
          <w:rPr>
            <w:rStyle w:val="Hyperlink"/>
            <w:rFonts w:ascii="Arial" w:hAnsi="Arial" w:cs="Arial"/>
            <w:sz w:val="24"/>
            <w:szCs w:val="24"/>
          </w:rPr>
          <w:t xml:space="preserve">Analysis | Why should employers take action on employee financial wellbeing? | </w:t>
        </w:r>
        <w:r w:rsidRPr="00DE69EF">
          <w:rPr>
            <w:rStyle w:val="Hyperlink"/>
            <w:rFonts w:ascii="Arial" w:hAnsi="Arial" w:cs="Arial"/>
            <w:sz w:val="24"/>
            <w:szCs w:val="24"/>
          </w:rPr>
          <w:t>C</w:t>
        </w:r>
        <w:r w:rsidRPr="00DE69EF">
          <w:rPr>
            <w:rStyle w:val="Hyperlink"/>
            <w:rFonts w:ascii="Arial" w:hAnsi="Arial" w:cs="Arial"/>
            <w:sz w:val="24"/>
            <w:szCs w:val="24"/>
          </w:rPr>
          <w:t>IPD</w:t>
        </w:r>
      </w:hyperlink>
      <w:r w:rsidRPr="00DE69EF">
        <w:rPr>
          <w:rFonts w:ascii="Arial" w:hAnsi="Arial" w:cs="Arial"/>
          <w:sz w:val="24"/>
          <w:szCs w:val="24"/>
        </w:rPr>
        <w:t xml:space="preserve"> (Accessed: 4</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0FF3DF16" w14:textId="77777777" w:rsidR="00B407D6" w:rsidRPr="00DE69EF" w:rsidRDefault="00B407D6" w:rsidP="00DE69EF">
      <w:pPr>
        <w:spacing w:after="0"/>
        <w:jc w:val="both"/>
        <w:rPr>
          <w:rFonts w:ascii="Arial" w:hAnsi="Arial" w:cs="Arial"/>
          <w:sz w:val="24"/>
          <w:szCs w:val="24"/>
        </w:rPr>
      </w:pPr>
    </w:p>
    <w:p w14:paraId="482A864E"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Cribb, J et al. (2021). </w:t>
      </w:r>
      <w:r w:rsidRPr="00DE69EF">
        <w:rPr>
          <w:rFonts w:ascii="Arial" w:hAnsi="Arial" w:cs="Arial"/>
          <w:i/>
          <w:iCs/>
          <w:sz w:val="24"/>
          <w:szCs w:val="24"/>
        </w:rPr>
        <w:t>The impact of the National Living Wage on wages, employment and household incomes</w:t>
      </w:r>
      <w:r w:rsidRPr="00DE69EF">
        <w:rPr>
          <w:rFonts w:ascii="Arial" w:hAnsi="Arial" w:cs="Arial"/>
          <w:sz w:val="24"/>
          <w:szCs w:val="24"/>
        </w:rPr>
        <w:t xml:space="preserve">. The IFS. Available at: </w:t>
      </w:r>
      <w:hyperlink r:id="rId19" w:history="1">
        <w:r w:rsidRPr="00DE69EF">
          <w:rPr>
            <w:rStyle w:val="Hyperlink"/>
            <w:rFonts w:ascii="Arial" w:hAnsi="Arial" w:cs="Arial"/>
            <w:sz w:val="24"/>
            <w:szCs w:val="24"/>
          </w:rPr>
          <w:t>https://ifs.org.uk/publications/impact-national-living-wage-wages-</w:t>
        </w:r>
        <w:r w:rsidRPr="00DE69EF">
          <w:rPr>
            <w:rStyle w:val="Hyperlink"/>
            <w:rFonts w:ascii="Arial" w:hAnsi="Arial" w:cs="Arial"/>
            <w:sz w:val="24"/>
            <w:szCs w:val="24"/>
          </w:rPr>
          <w:t>e</w:t>
        </w:r>
        <w:r w:rsidRPr="00DE69EF">
          <w:rPr>
            <w:rStyle w:val="Hyperlink"/>
            <w:rFonts w:ascii="Arial" w:hAnsi="Arial" w:cs="Arial"/>
            <w:sz w:val="24"/>
            <w:szCs w:val="24"/>
          </w:rPr>
          <w:t>mployment-and-household-incomes</w:t>
        </w:r>
      </w:hyperlink>
      <w:r w:rsidRPr="00DE69EF">
        <w:rPr>
          <w:rFonts w:ascii="Arial" w:hAnsi="Arial" w:cs="Arial"/>
          <w:sz w:val="24"/>
          <w:szCs w:val="24"/>
        </w:rPr>
        <w:t xml:space="preserve"> (Accessed: 9 November 2025)</w:t>
      </w:r>
      <w:r>
        <w:rPr>
          <w:rFonts w:ascii="Arial" w:hAnsi="Arial" w:cs="Arial"/>
          <w:sz w:val="24"/>
          <w:szCs w:val="24"/>
        </w:rPr>
        <w:t>.</w:t>
      </w:r>
    </w:p>
    <w:p w14:paraId="443E77BF" w14:textId="77777777" w:rsidR="00B407D6" w:rsidRPr="00DE69EF" w:rsidRDefault="00B407D6" w:rsidP="00DE69EF">
      <w:pPr>
        <w:spacing w:after="0"/>
        <w:jc w:val="both"/>
        <w:rPr>
          <w:rFonts w:ascii="Arial" w:hAnsi="Arial" w:cs="Arial"/>
          <w:sz w:val="24"/>
          <w:szCs w:val="24"/>
        </w:rPr>
      </w:pPr>
    </w:p>
    <w:p w14:paraId="226F2A2A"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Eversheds Sutherland (2025) </w:t>
      </w:r>
      <w:r w:rsidRPr="00DE69EF">
        <w:rPr>
          <w:rFonts w:ascii="Arial" w:hAnsi="Arial" w:cs="Arial"/>
          <w:i/>
          <w:iCs/>
          <w:sz w:val="24"/>
          <w:szCs w:val="24"/>
        </w:rPr>
        <w:t>The UK Employment Rights Bill: trade unions and industrial relations</w:t>
      </w:r>
      <w:r w:rsidRPr="00DE69EF">
        <w:rPr>
          <w:rFonts w:ascii="Arial" w:hAnsi="Arial" w:cs="Arial"/>
          <w:sz w:val="24"/>
          <w:szCs w:val="24"/>
        </w:rPr>
        <w:t xml:space="preserve">.  Available at:  </w:t>
      </w:r>
      <w:hyperlink r:id="rId20" w:history="1">
        <w:r w:rsidRPr="00DE69EF">
          <w:rPr>
            <w:rStyle w:val="Hyperlink"/>
            <w:rFonts w:ascii="Arial" w:hAnsi="Arial" w:cs="Arial"/>
            <w:sz w:val="24"/>
            <w:szCs w:val="24"/>
          </w:rPr>
          <w:t>The UK Employment Rights Bill: trade unions and industrial relations</w:t>
        </w:r>
      </w:hyperlink>
      <w:r w:rsidRPr="00DE69EF">
        <w:rPr>
          <w:rFonts w:ascii="Arial" w:hAnsi="Arial" w:cs="Arial"/>
          <w:sz w:val="24"/>
          <w:szCs w:val="24"/>
        </w:rPr>
        <w:t xml:space="preserve"> (Accessed: 11</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1D92A047" w14:textId="77777777" w:rsidR="00B407D6" w:rsidRPr="00DE69EF" w:rsidRDefault="00B407D6" w:rsidP="00DE69EF">
      <w:pPr>
        <w:spacing w:after="0"/>
        <w:jc w:val="both"/>
        <w:rPr>
          <w:rFonts w:ascii="Arial" w:hAnsi="Arial" w:cs="Arial"/>
          <w:sz w:val="24"/>
          <w:szCs w:val="24"/>
        </w:rPr>
      </w:pPr>
    </w:p>
    <w:p w14:paraId="1DB16035"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Faraghar, J. (2024)</w:t>
      </w:r>
      <w:r w:rsidRPr="00DE69EF">
        <w:rPr>
          <w:rFonts w:ascii="Arial" w:hAnsi="Arial" w:cs="Arial"/>
          <w:i/>
          <w:iCs/>
          <w:sz w:val="24"/>
          <w:szCs w:val="24"/>
        </w:rPr>
        <w:t xml:space="preserve"> </w:t>
      </w:r>
      <w:r w:rsidRPr="00DE69EF">
        <w:rPr>
          <w:rFonts w:ascii="Arial" w:hAnsi="Arial" w:cs="Arial"/>
          <w:sz w:val="24"/>
          <w:szCs w:val="24"/>
        </w:rPr>
        <w:t>'Three-quarters concerned about day-one unfair dismissal rights’</w:t>
      </w:r>
      <w:r w:rsidRPr="00DE69EF">
        <w:rPr>
          <w:rFonts w:ascii="Arial" w:hAnsi="Arial" w:cs="Arial"/>
          <w:i/>
          <w:iCs/>
          <w:sz w:val="24"/>
          <w:szCs w:val="24"/>
        </w:rPr>
        <w:t xml:space="preserve"> Personnel Today, </w:t>
      </w:r>
      <w:r w:rsidRPr="00DE69EF">
        <w:rPr>
          <w:rFonts w:ascii="Arial" w:hAnsi="Arial" w:cs="Arial"/>
          <w:sz w:val="24"/>
          <w:szCs w:val="24"/>
        </w:rPr>
        <w:t>(21</w:t>
      </w:r>
      <w:r w:rsidRPr="00DE69EF">
        <w:rPr>
          <w:rFonts w:ascii="Arial" w:hAnsi="Arial" w:cs="Arial"/>
          <w:sz w:val="24"/>
          <w:szCs w:val="24"/>
          <w:vertAlign w:val="superscript"/>
        </w:rPr>
        <w:t>st</w:t>
      </w:r>
      <w:r w:rsidRPr="00DE69EF">
        <w:rPr>
          <w:rFonts w:ascii="Arial" w:hAnsi="Arial" w:cs="Arial"/>
          <w:sz w:val="24"/>
          <w:szCs w:val="24"/>
        </w:rPr>
        <w:t xml:space="preserve"> October 2024).</w:t>
      </w:r>
      <w:r w:rsidRPr="00DE69EF">
        <w:rPr>
          <w:rFonts w:ascii="Arial" w:hAnsi="Arial" w:cs="Arial"/>
          <w:i/>
          <w:iCs/>
          <w:sz w:val="24"/>
          <w:szCs w:val="24"/>
        </w:rPr>
        <w:t xml:space="preserve"> </w:t>
      </w:r>
      <w:r w:rsidRPr="00DE69EF">
        <w:rPr>
          <w:rFonts w:ascii="Arial" w:hAnsi="Arial" w:cs="Arial"/>
          <w:sz w:val="24"/>
          <w:szCs w:val="24"/>
        </w:rPr>
        <w:t>Available at</w:t>
      </w:r>
      <w:r w:rsidRPr="00DE69EF">
        <w:rPr>
          <w:rFonts w:ascii="Arial" w:hAnsi="Arial" w:cs="Arial"/>
          <w:i/>
          <w:iCs/>
          <w:sz w:val="24"/>
          <w:szCs w:val="24"/>
        </w:rPr>
        <w:t xml:space="preserve">: </w:t>
      </w:r>
      <w:hyperlink r:id="rId21" w:history="1">
        <w:r w:rsidRPr="00DE69EF">
          <w:rPr>
            <w:rStyle w:val="Hyperlink"/>
            <w:rFonts w:ascii="Arial" w:hAnsi="Arial" w:cs="Arial"/>
            <w:sz w:val="24"/>
            <w:szCs w:val="24"/>
          </w:rPr>
          <w:t>Brightmine: Three-quarters concerned about unfair dismissal rights</w:t>
        </w:r>
      </w:hyperlink>
      <w:r w:rsidRPr="00DE69EF">
        <w:rPr>
          <w:rFonts w:ascii="Arial" w:hAnsi="Arial" w:cs="Arial"/>
          <w:i/>
          <w:iCs/>
          <w:sz w:val="24"/>
          <w:szCs w:val="24"/>
        </w:rPr>
        <w:t xml:space="preserve"> </w:t>
      </w:r>
      <w:r w:rsidRPr="00DE69EF">
        <w:rPr>
          <w:rFonts w:ascii="Arial" w:hAnsi="Arial" w:cs="Arial"/>
          <w:sz w:val="24"/>
          <w:szCs w:val="24"/>
        </w:rPr>
        <w:t>(Accessed: 26</w:t>
      </w:r>
      <w:r w:rsidRPr="00DE69EF">
        <w:rPr>
          <w:rFonts w:ascii="Arial" w:hAnsi="Arial" w:cs="Arial"/>
          <w:sz w:val="24"/>
          <w:szCs w:val="24"/>
          <w:vertAlign w:val="superscript"/>
        </w:rPr>
        <w:t>th</w:t>
      </w:r>
      <w:r w:rsidRPr="00DE69EF">
        <w:rPr>
          <w:rFonts w:ascii="Arial" w:hAnsi="Arial" w:cs="Arial"/>
          <w:sz w:val="24"/>
          <w:szCs w:val="24"/>
        </w:rPr>
        <w:t xml:space="preserve"> October 2025)</w:t>
      </w:r>
      <w:r>
        <w:rPr>
          <w:rFonts w:ascii="Arial" w:hAnsi="Arial" w:cs="Arial"/>
          <w:sz w:val="24"/>
          <w:szCs w:val="24"/>
        </w:rPr>
        <w:t>.</w:t>
      </w:r>
    </w:p>
    <w:p w14:paraId="4547BADF" w14:textId="77777777" w:rsidR="00B407D6" w:rsidRPr="00DE69EF" w:rsidRDefault="00B407D6" w:rsidP="00DE69EF">
      <w:pPr>
        <w:spacing w:after="0"/>
        <w:jc w:val="both"/>
        <w:rPr>
          <w:rFonts w:ascii="Arial" w:hAnsi="Arial" w:cs="Arial"/>
          <w:sz w:val="24"/>
          <w:szCs w:val="24"/>
        </w:rPr>
      </w:pPr>
    </w:p>
    <w:p w14:paraId="38C487A7" w14:textId="77777777" w:rsidR="00B407D6" w:rsidRDefault="00B407D6" w:rsidP="00DE69EF">
      <w:pPr>
        <w:spacing w:after="0"/>
        <w:jc w:val="both"/>
        <w:rPr>
          <w:rFonts w:ascii="Arial" w:hAnsi="Arial" w:cs="Arial"/>
          <w:sz w:val="24"/>
          <w:szCs w:val="24"/>
        </w:rPr>
      </w:pPr>
      <w:bookmarkStart w:id="3" w:name="_Hlk214563226"/>
      <w:r w:rsidRPr="00DE69EF">
        <w:rPr>
          <w:rFonts w:ascii="Arial" w:hAnsi="Arial" w:cs="Arial"/>
          <w:sz w:val="24"/>
          <w:szCs w:val="24"/>
        </w:rPr>
        <w:t xml:space="preserve">Havard Business School (2008) </w:t>
      </w:r>
      <w:bookmarkEnd w:id="3"/>
      <w:r w:rsidRPr="00DE69EF">
        <w:rPr>
          <w:rFonts w:ascii="Arial" w:hAnsi="Arial" w:cs="Arial"/>
          <w:sz w:val="24"/>
          <w:szCs w:val="24"/>
        </w:rPr>
        <w:t xml:space="preserve">The Five Forces.  Available at: </w:t>
      </w:r>
      <w:hyperlink r:id="rId22" w:history="1">
        <w:r w:rsidRPr="00DE69EF">
          <w:rPr>
            <w:rStyle w:val="Hyperlink"/>
            <w:rFonts w:ascii="Arial" w:hAnsi="Arial" w:cs="Arial"/>
            <w:sz w:val="24"/>
            <w:szCs w:val="24"/>
          </w:rPr>
          <w:t>The Five Forces - Institute For Strategy And Competitiveness - Harvard Business School</w:t>
        </w:r>
      </w:hyperlink>
      <w:r w:rsidRPr="00DE69EF">
        <w:rPr>
          <w:rFonts w:ascii="Arial" w:hAnsi="Arial" w:cs="Arial"/>
          <w:sz w:val="24"/>
          <w:szCs w:val="24"/>
        </w:rPr>
        <w:t xml:space="preserve"> (Accessed: 20</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78F67805" w14:textId="77777777" w:rsidR="00B407D6" w:rsidRPr="00DE69EF" w:rsidRDefault="00B407D6" w:rsidP="00DE69EF">
      <w:pPr>
        <w:spacing w:after="0"/>
        <w:jc w:val="both"/>
        <w:rPr>
          <w:rFonts w:ascii="Arial" w:hAnsi="Arial" w:cs="Arial"/>
          <w:sz w:val="24"/>
          <w:szCs w:val="24"/>
        </w:rPr>
      </w:pPr>
    </w:p>
    <w:p w14:paraId="6694E68F"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Hayden, D. (2025). </w:t>
      </w:r>
      <w:r w:rsidRPr="00DE69EF">
        <w:rPr>
          <w:rFonts w:ascii="Arial" w:hAnsi="Arial" w:cs="Arial"/>
          <w:i/>
          <w:iCs/>
          <w:sz w:val="24"/>
          <w:szCs w:val="24"/>
        </w:rPr>
        <w:t>Pestle Analysis</w:t>
      </w:r>
      <w:r w:rsidRPr="00DE69EF">
        <w:rPr>
          <w:rFonts w:ascii="Arial" w:hAnsi="Arial" w:cs="Arial"/>
          <w:sz w:val="24"/>
          <w:szCs w:val="24"/>
        </w:rPr>
        <w:t xml:space="preserve">.  Available at: </w:t>
      </w:r>
      <w:hyperlink r:id="rId23" w:history="1">
        <w:r w:rsidRPr="00DE69EF">
          <w:rPr>
            <w:rStyle w:val="Hyperlink"/>
            <w:rFonts w:ascii="Arial" w:hAnsi="Arial" w:cs="Arial"/>
            <w:sz w:val="24"/>
            <w:szCs w:val="24"/>
          </w:rPr>
          <w:t>PESTLE analysis | CIPD</w:t>
        </w:r>
      </w:hyperlink>
      <w:r w:rsidRPr="00DE69EF">
        <w:rPr>
          <w:rFonts w:ascii="Arial" w:hAnsi="Arial" w:cs="Arial"/>
          <w:sz w:val="24"/>
          <w:szCs w:val="24"/>
        </w:rPr>
        <w:t xml:space="preserve"> (Accessed: 17</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50EDB6E0" w14:textId="77777777" w:rsidR="00B407D6" w:rsidRPr="00DE69EF" w:rsidRDefault="00B407D6" w:rsidP="00DE69EF">
      <w:pPr>
        <w:spacing w:after="0"/>
        <w:jc w:val="both"/>
        <w:rPr>
          <w:rFonts w:ascii="Arial" w:hAnsi="Arial" w:cs="Arial"/>
          <w:sz w:val="24"/>
          <w:szCs w:val="24"/>
        </w:rPr>
      </w:pPr>
    </w:p>
    <w:p w14:paraId="795DF46E" w14:textId="77777777" w:rsidR="00B407D6" w:rsidRPr="00DE69EF" w:rsidRDefault="00B407D6" w:rsidP="00DE69EF">
      <w:pPr>
        <w:spacing w:after="0"/>
        <w:rPr>
          <w:rFonts w:ascii="Arial" w:hAnsi="Arial" w:cs="Arial"/>
          <w:sz w:val="24"/>
          <w:szCs w:val="24"/>
        </w:rPr>
      </w:pPr>
      <w:r w:rsidRPr="00DE69EF">
        <w:rPr>
          <w:rFonts w:ascii="Arial" w:hAnsi="Arial" w:cs="Arial"/>
          <w:sz w:val="24"/>
          <w:szCs w:val="24"/>
        </w:rPr>
        <w:t xml:space="preserve">Kew, J. and Stredwick, J. (2010) </w:t>
      </w:r>
      <w:r w:rsidRPr="00DE69EF">
        <w:rPr>
          <w:rFonts w:ascii="Arial" w:hAnsi="Arial" w:cs="Arial"/>
          <w:i/>
          <w:sz w:val="24"/>
          <w:szCs w:val="24"/>
        </w:rPr>
        <w:t>Human Resource Management in Context</w:t>
      </w:r>
      <w:r w:rsidRPr="00DE69EF">
        <w:rPr>
          <w:rFonts w:ascii="Arial" w:hAnsi="Arial" w:cs="Arial"/>
          <w:sz w:val="24"/>
          <w:szCs w:val="24"/>
        </w:rPr>
        <w:t>. CIPD.</w:t>
      </w:r>
    </w:p>
    <w:p w14:paraId="14D2D188" w14:textId="77777777" w:rsidR="00B407D6" w:rsidRDefault="00B407D6" w:rsidP="00DE69EF">
      <w:pPr>
        <w:spacing w:after="0"/>
        <w:jc w:val="both"/>
        <w:rPr>
          <w:rFonts w:ascii="Arial" w:hAnsi="Arial" w:cs="Arial"/>
          <w:sz w:val="24"/>
          <w:szCs w:val="24"/>
        </w:rPr>
      </w:pPr>
    </w:p>
    <w:p w14:paraId="2477232A" w14:textId="79358240"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Labour (2025) </w:t>
      </w:r>
      <w:r w:rsidRPr="00B407D6">
        <w:rPr>
          <w:rFonts w:ascii="Arial" w:hAnsi="Arial" w:cs="Arial"/>
          <w:i/>
          <w:iCs/>
          <w:sz w:val="24"/>
          <w:szCs w:val="24"/>
        </w:rPr>
        <w:t>Affiliated Unions</w:t>
      </w:r>
      <w:r w:rsidRPr="00DE69EF">
        <w:rPr>
          <w:rFonts w:ascii="Arial" w:hAnsi="Arial" w:cs="Arial"/>
          <w:sz w:val="24"/>
          <w:szCs w:val="24"/>
        </w:rPr>
        <w:t xml:space="preserve">:  Available at: </w:t>
      </w:r>
      <w:hyperlink r:id="rId24" w:history="1">
        <w:r w:rsidRPr="00DE69EF">
          <w:rPr>
            <w:rStyle w:val="Hyperlink"/>
            <w:rFonts w:ascii="Arial" w:hAnsi="Arial" w:cs="Arial"/>
            <w:sz w:val="24"/>
            <w:szCs w:val="24"/>
          </w:rPr>
          <w:t>Affiliated Unions – The Labour Party</w:t>
        </w:r>
      </w:hyperlink>
      <w:r w:rsidRPr="00DE69EF">
        <w:rPr>
          <w:rFonts w:ascii="Arial" w:hAnsi="Arial" w:cs="Arial"/>
          <w:sz w:val="24"/>
          <w:szCs w:val="24"/>
        </w:rPr>
        <w:t xml:space="preserve"> (Accessed: 10</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357C3622" w14:textId="77777777" w:rsidR="00B407D6" w:rsidRPr="00DE69EF" w:rsidRDefault="00B407D6" w:rsidP="00DE69EF">
      <w:pPr>
        <w:spacing w:after="0"/>
        <w:jc w:val="both"/>
        <w:rPr>
          <w:rFonts w:ascii="Arial" w:hAnsi="Arial" w:cs="Arial"/>
          <w:sz w:val="24"/>
          <w:szCs w:val="24"/>
        </w:rPr>
      </w:pPr>
    </w:p>
    <w:p w14:paraId="098CB7D6" w14:textId="07D64339"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Local Government Association (2025a): </w:t>
      </w:r>
      <w:r w:rsidRPr="00B407D6">
        <w:rPr>
          <w:rFonts w:ascii="Arial" w:hAnsi="Arial" w:cs="Arial"/>
          <w:i/>
          <w:iCs/>
          <w:sz w:val="24"/>
          <w:szCs w:val="24"/>
        </w:rPr>
        <w:t>Local government services pay agreement 2025</w:t>
      </w:r>
      <w:r w:rsidRPr="00DE69EF">
        <w:rPr>
          <w:rFonts w:ascii="Arial" w:hAnsi="Arial" w:cs="Arial"/>
          <w:sz w:val="24"/>
          <w:szCs w:val="24"/>
        </w:rPr>
        <w:t>.  Available at:</w:t>
      </w:r>
      <w:r w:rsidRPr="00DE69EF">
        <w:rPr>
          <w:rFonts w:ascii="Arial" w:hAnsi="Arial" w:cs="Arial"/>
          <w:b/>
          <w:bCs/>
          <w:sz w:val="24"/>
          <w:szCs w:val="24"/>
        </w:rPr>
        <w:t xml:space="preserve"> </w:t>
      </w:r>
      <w:hyperlink r:id="rId25" w:history="1">
        <w:r w:rsidRPr="00DE69EF">
          <w:rPr>
            <w:rStyle w:val="Hyperlink"/>
            <w:rFonts w:ascii="Arial" w:hAnsi="Arial" w:cs="Arial"/>
            <w:sz w:val="24"/>
            <w:szCs w:val="24"/>
          </w:rPr>
          <w:t>Local government services pay agreement 2025 | Local Government Association</w:t>
        </w:r>
      </w:hyperlink>
      <w:r w:rsidRPr="00DE69EF">
        <w:rPr>
          <w:rFonts w:ascii="Arial" w:hAnsi="Arial" w:cs="Arial"/>
          <w:sz w:val="24"/>
          <w:szCs w:val="24"/>
        </w:rPr>
        <w:t xml:space="preserve"> (Accessed: 2</w:t>
      </w:r>
      <w:r w:rsidRPr="00DE69EF">
        <w:rPr>
          <w:rFonts w:ascii="Arial" w:hAnsi="Arial" w:cs="Arial"/>
          <w:sz w:val="24"/>
          <w:szCs w:val="24"/>
          <w:vertAlign w:val="superscript"/>
        </w:rPr>
        <w:t>nd</w:t>
      </w:r>
      <w:r w:rsidRPr="00DE69EF">
        <w:rPr>
          <w:rFonts w:ascii="Arial" w:hAnsi="Arial" w:cs="Arial"/>
          <w:sz w:val="24"/>
          <w:szCs w:val="24"/>
        </w:rPr>
        <w:t xml:space="preserve"> November 2025)</w:t>
      </w:r>
      <w:r>
        <w:rPr>
          <w:rFonts w:ascii="Arial" w:hAnsi="Arial" w:cs="Arial"/>
          <w:sz w:val="24"/>
          <w:szCs w:val="24"/>
        </w:rPr>
        <w:t>.</w:t>
      </w:r>
    </w:p>
    <w:p w14:paraId="4BD00ED8" w14:textId="77777777" w:rsidR="00B407D6" w:rsidRPr="00DE69EF" w:rsidRDefault="00B407D6" w:rsidP="00DE69EF">
      <w:pPr>
        <w:spacing w:after="0"/>
        <w:jc w:val="both"/>
        <w:rPr>
          <w:rFonts w:ascii="Arial" w:hAnsi="Arial" w:cs="Arial"/>
          <w:sz w:val="24"/>
          <w:szCs w:val="24"/>
        </w:rPr>
      </w:pPr>
    </w:p>
    <w:p w14:paraId="76753B58"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Local Government Association (2025b) </w:t>
      </w:r>
      <w:r w:rsidRPr="00DE69EF">
        <w:rPr>
          <w:rFonts w:ascii="Arial" w:hAnsi="Arial" w:cs="Arial"/>
          <w:i/>
          <w:iCs/>
          <w:sz w:val="24"/>
          <w:szCs w:val="24"/>
        </w:rPr>
        <w:t>Make Work Pay</w:t>
      </w:r>
      <w:r w:rsidRPr="00DE69EF">
        <w:rPr>
          <w:rFonts w:ascii="Arial" w:hAnsi="Arial" w:cs="Arial"/>
          <w:sz w:val="24"/>
          <w:szCs w:val="24"/>
        </w:rPr>
        <w:t xml:space="preserve">.  Available at: </w:t>
      </w:r>
      <w:hyperlink r:id="rId26" w:history="1">
        <w:r w:rsidRPr="00DE69EF">
          <w:rPr>
            <w:rStyle w:val="Hyperlink"/>
            <w:rFonts w:ascii="Arial" w:hAnsi="Arial" w:cs="Arial"/>
            <w:sz w:val="24"/>
            <w:szCs w:val="24"/>
          </w:rPr>
          <w:t>Make work pay | Local Government Association</w:t>
        </w:r>
      </w:hyperlink>
      <w:r w:rsidRPr="00DE69EF">
        <w:rPr>
          <w:rFonts w:ascii="Arial" w:hAnsi="Arial" w:cs="Arial"/>
          <w:sz w:val="24"/>
          <w:szCs w:val="24"/>
        </w:rPr>
        <w:t xml:space="preserve"> (Accessed: 26</w:t>
      </w:r>
      <w:r w:rsidRPr="00DE69EF">
        <w:rPr>
          <w:rFonts w:ascii="Arial" w:hAnsi="Arial" w:cs="Arial"/>
          <w:sz w:val="24"/>
          <w:szCs w:val="24"/>
          <w:vertAlign w:val="superscript"/>
        </w:rPr>
        <w:t>th</w:t>
      </w:r>
      <w:r w:rsidRPr="00DE69EF">
        <w:rPr>
          <w:rFonts w:ascii="Arial" w:hAnsi="Arial" w:cs="Arial"/>
          <w:sz w:val="24"/>
          <w:szCs w:val="24"/>
        </w:rPr>
        <w:t xml:space="preserve"> October 2025)</w:t>
      </w:r>
      <w:r>
        <w:rPr>
          <w:rFonts w:ascii="Arial" w:hAnsi="Arial" w:cs="Arial"/>
          <w:sz w:val="24"/>
          <w:szCs w:val="24"/>
        </w:rPr>
        <w:t>.</w:t>
      </w:r>
    </w:p>
    <w:p w14:paraId="6C242415" w14:textId="77777777" w:rsidR="00B407D6" w:rsidRPr="00DE69EF" w:rsidRDefault="00B407D6" w:rsidP="00DE69EF">
      <w:pPr>
        <w:spacing w:after="0"/>
        <w:jc w:val="both"/>
        <w:rPr>
          <w:rFonts w:ascii="Arial" w:hAnsi="Arial" w:cs="Arial"/>
          <w:sz w:val="24"/>
          <w:szCs w:val="24"/>
        </w:rPr>
      </w:pPr>
    </w:p>
    <w:p w14:paraId="0A729E6D"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Local Government Association (2025c) </w:t>
      </w:r>
      <w:r w:rsidRPr="00B407D6">
        <w:rPr>
          <w:rFonts w:ascii="Arial" w:hAnsi="Arial" w:cs="Arial"/>
          <w:i/>
          <w:iCs/>
          <w:sz w:val="24"/>
          <w:szCs w:val="24"/>
        </w:rPr>
        <w:t>Save local services: Council pressures explained.</w:t>
      </w:r>
      <w:r w:rsidRPr="00DE69EF">
        <w:rPr>
          <w:rFonts w:ascii="Arial" w:hAnsi="Arial" w:cs="Arial"/>
          <w:sz w:val="24"/>
          <w:szCs w:val="24"/>
        </w:rPr>
        <w:t xml:space="preserve">  Available at: </w:t>
      </w:r>
      <w:hyperlink r:id="rId27" w:history="1">
        <w:r w:rsidRPr="00DE69EF">
          <w:rPr>
            <w:rStyle w:val="Hyperlink"/>
            <w:rFonts w:ascii="Arial" w:hAnsi="Arial" w:cs="Arial"/>
            <w:sz w:val="24"/>
            <w:szCs w:val="24"/>
          </w:rPr>
          <w:t>Save local services: Council pressures explained | Local Government Association</w:t>
        </w:r>
      </w:hyperlink>
      <w:r w:rsidRPr="00DE69EF">
        <w:rPr>
          <w:rFonts w:ascii="Arial" w:hAnsi="Arial" w:cs="Arial"/>
          <w:sz w:val="24"/>
          <w:szCs w:val="24"/>
        </w:rPr>
        <w:t xml:space="preserve"> (Accessed: 30</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442F8395" w14:textId="77777777" w:rsidR="00B407D6" w:rsidRPr="002513C7" w:rsidRDefault="00B407D6" w:rsidP="00DE69EF">
      <w:pPr>
        <w:spacing w:after="0"/>
        <w:jc w:val="both"/>
        <w:rPr>
          <w:rFonts w:ascii="Arial" w:hAnsi="Arial" w:cs="Arial"/>
          <w:sz w:val="24"/>
          <w:szCs w:val="24"/>
        </w:rPr>
      </w:pPr>
    </w:p>
    <w:p w14:paraId="6A346E06" w14:textId="77777777" w:rsidR="00B407D6" w:rsidRPr="00DE69EF" w:rsidRDefault="00B407D6" w:rsidP="00DE69EF">
      <w:pPr>
        <w:jc w:val="both"/>
        <w:rPr>
          <w:rFonts w:ascii="Arial" w:hAnsi="Arial" w:cs="Arial"/>
          <w:sz w:val="24"/>
          <w:szCs w:val="24"/>
        </w:rPr>
      </w:pPr>
      <w:r w:rsidRPr="00DE69EF">
        <w:rPr>
          <w:rFonts w:ascii="Arial" w:hAnsi="Arial" w:cs="Arial"/>
          <w:sz w:val="24"/>
          <w:szCs w:val="24"/>
        </w:rPr>
        <w:t xml:space="preserve">Morris, A. (2025) </w:t>
      </w:r>
      <w:r w:rsidRPr="00DE69EF">
        <w:rPr>
          <w:rFonts w:ascii="Arial" w:hAnsi="Arial" w:cs="Arial"/>
          <w:i/>
          <w:iCs/>
          <w:sz w:val="24"/>
          <w:szCs w:val="24"/>
        </w:rPr>
        <w:t>How to Dismiss an Employee for Poor Performance</w:t>
      </w:r>
      <w:r w:rsidRPr="00DE69EF">
        <w:rPr>
          <w:rFonts w:ascii="Arial" w:hAnsi="Arial" w:cs="Arial"/>
          <w:sz w:val="24"/>
          <w:szCs w:val="24"/>
        </w:rPr>
        <w:t xml:space="preserve">.  Available at: </w:t>
      </w:r>
      <w:hyperlink r:id="rId28" w:history="1">
        <w:r w:rsidRPr="00DE69EF">
          <w:rPr>
            <w:rStyle w:val="Hyperlink"/>
            <w:rFonts w:ascii="Arial" w:hAnsi="Arial" w:cs="Arial"/>
            <w:sz w:val="24"/>
            <w:szCs w:val="24"/>
          </w:rPr>
          <w:t>How to Dismiss an Employee for Poor Performance | DavidsonMorris</w:t>
        </w:r>
      </w:hyperlink>
      <w:r w:rsidRPr="00DE69EF">
        <w:rPr>
          <w:rFonts w:ascii="Arial" w:hAnsi="Arial" w:cs="Arial"/>
          <w:sz w:val="24"/>
          <w:szCs w:val="24"/>
        </w:rPr>
        <w:t xml:space="preserve"> (Accessed: 22</w:t>
      </w:r>
      <w:r w:rsidRPr="00DE69EF">
        <w:rPr>
          <w:rFonts w:ascii="Arial" w:hAnsi="Arial" w:cs="Arial"/>
          <w:sz w:val="24"/>
          <w:szCs w:val="24"/>
          <w:vertAlign w:val="superscript"/>
        </w:rPr>
        <w:t>nd</w:t>
      </w:r>
      <w:r w:rsidRPr="00DE69EF">
        <w:rPr>
          <w:rFonts w:ascii="Arial" w:hAnsi="Arial" w:cs="Arial"/>
          <w:sz w:val="24"/>
          <w:szCs w:val="24"/>
        </w:rPr>
        <w:t xml:space="preserve"> November 2025)</w:t>
      </w:r>
      <w:r>
        <w:rPr>
          <w:rFonts w:ascii="Arial" w:hAnsi="Arial" w:cs="Arial"/>
          <w:sz w:val="24"/>
          <w:szCs w:val="24"/>
        </w:rPr>
        <w:t>.</w:t>
      </w:r>
    </w:p>
    <w:p w14:paraId="786DBF62"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Moss, R. (2025a) ‘Employment Rights Bill: Ministers won’t ‘water down’ day-one rights’ </w:t>
      </w:r>
      <w:r w:rsidRPr="00DE69EF">
        <w:rPr>
          <w:rFonts w:ascii="Arial" w:hAnsi="Arial" w:cs="Arial"/>
          <w:i/>
          <w:iCs/>
          <w:sz w:val="24"/>
          <w:szCs w:val="24"/>
        </w:rPr>
        <w:t>Personnel Today,</w:t>
      </w:r>
      <w:r w:rsidRPr="00DE69EF">
        <w:rPr>
          <w:rFonts w:ascii="Arial" w:hAnsi="Arial" w:cs="Arial"/>
          <w:sz w:val="24"/>
          <w:szCs w:val="24"/>
        </w:rPr>
        <w:t xml:space="preserve"> (28</w:t>
      </w:r>
      <w:r w:rsidRPr="00DE69EF">
        <w:rPr>
          <w:rFonts w:ascii="Arial" w:hAnsi="Arial" w:cs="Arial"/>
          <w:sz w:val="24"/>
          <w:szCs w:val="24"/>
          <w:vertAlign w:val="superscript"/>
        </w:rPr>
        <w:t>th</w:t>
      </w:r>
      <w:r w:rsidRPr="00DE69EF">
        <w:rPr>
          <w:rFonts w:ascii="Arial" w:hAnsi="Arial" w:cs="Arial"/>
          <w:sz w:val="24"/>
          <w:szCs w:val="24"/>
        </w:rPr>
        <w:t xml:space="preserve"> October 2025).  Available at:</w:t>
      </w:r>
      <w:r w:rsidRPr="00DE69EF">
        <w:rPr>
          <w:rFonts w:ascii="Arial" w:hAnsi="Arial" w:cs="Arial"/>
          <w:b/>
          <w:bCs/>
          <w:sz w:val="24"/>
          <w:szCs w:val="24"/>
        </w:rPr>
        <w:t xml:space="preserve"> </w:t>
      </w:r>
      <w:hyperlink r:id="rId29" w:history="1">
        <w:r w:rsidRPr="00DE69EF">
          <w:rPr>
            <w:rStyle w:val="Hyperlink"/>
            <w:rFonts w:ascii="Arial" w:hAnsi="Arial" w:cs="Arial"/>
            <w:sz w:val="24"/>
            <w:szCs w:val="24"/>
          </w:rPr>
          <w:t>Employment Rights Bill: Ministers won’t ‘water down’ day-one rights</w:t>
        </w:r>
      </w:hyperlink>
      <w:r w:rsidRPr="00DE69EF">
        <w:rPr>
          <w:rFonts w:ascii="Arial" w:hAnsi="Arial" w:cs="Arial"/>
          <w:sz w:val="24"/>
          <w:szCs w:val="24"/>
        </w:rPr>
        <w:t xml:space="preserve"> (Accessed: 2</w:t>
      </w:r>
      <w:r w:rsidRPr="00DE69EF">
        <w:rPr>
          <w:rFonts w:ascii="Arial" w:hAnsi="Arial" w:cs="Arial"/>
          <w:sz w:val="24"/>
          <w:szCs w:val="24"/>
          <w:vertAlign w:val="superscript"/>
        </w:rPr>
        <w:t>nd</w:t>
      </w:r>
      <w:r w:rsidRPr="00DE69EF">
        <w:rPr>
          <w:rFonts w:ascii="Arial" w:hAnsi="Arial" w:cs="Arial"/>
          <w:sz w:val="24"/>
          <w:szCs w:val="24"/>
        </w:rPr>
        <w:t xml:space="preserve"> November 2025)</w:t>
      </w:r>
      <w:r>
        <w:rPr>
          <w:rFonts w:ascii="Arial" w:hAnsi="Arial" w:cs="Arial"/>
          <w:sz w:val="24"/>
          <w:szCs w:val="24"/>
        </w:rPr>
        <w:t>.</w:t>
      </w:r>
    </w:p>
    <w:p w14:paraId="0A6CC71B" w14:textId="77777777" w:rsidR="00B407D6" w:rsidRPr="00DE69EF" w:rsidRDefault="00B407D6" w:rsidP="00DE69EF">
      <w:pPr>
        <w:spacing w:after="0"/>
        <w:jc w:val="both"/>
        <w:rPr>
          <w:rFonts w:ascii="Arial" w:hAnsi="Arial" w:cs="Arial"/>
          <w:sz w:val="24"/>
          <w:szCs w:val="24"/>
        </w:rPr>
      </w:pPr>
    </w:p>
    <w:p w14:paraId="2553FF53"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Moss, R. (2025b). </w:t>
      </w:r>
      <w:r w:rsidRPr="00DE69EF">
        <w:rPr>
          <w:rFonts w:ascii="Arial" w:hAnsi="Arial" w:cs="Arial"/>
          <w:i/>
          <w:iCs/>
          <w:sz w:val="24"/>
          <w:szCs w:val="24"/>
        </w:rPr>
        <w:t>Employment Rights Bill: Six key changes to trade union laws: Personnel Today (should this be italics)</w:t>
      </w:r>
      <w:r w:rsidRPr="00DE69EF">
        <w:rPr>
          <w:rFonts w:ascii="Arial" w:hAnsi="Arial" w:cs="Arial"/>
          <w:sz w:val="24"/>
          <w:szCs w:val="24"/>
        </w:rPr>
        <w:t>:  Available at</w:t>
      </w:r>
      <w:r>
        <w:rPr>
          <w:rFonts w:ascii="Arial" w:hAnsi="Arial" w:cs="Arial"/>
          <w:sz w:val="24"/>
          <w:szCs w:val="24"/>
        </w:rPr>
        <w:t>:</w:t>
      </w:r>
      <w:r w:rsidRPr="00DE69EF">
        <w:rPr>
          <w:rFonts w:ascii="Arial" w:hAnsi="Arial" w:cs="Arial"/>
          <w:sz w:val="24"/>
          <w:szCs w:val="24"/>
        </w:rPr>
        <w:t xml:space="preserve"> </w:t>
      </w:r>
      <w:hyperlink r:id="rId30" w:history="1">
        <w:r w:rsidRPr="00DE69EF">
          <w:rPr>
            <w:rStyle w:val="Hyperlink"/>
            <w:rFonts w:ascii="Arial" w:hAnsi="Arial" w:cs="Arial"/>
            <w:sz w:val="24"/>
            <w:szCs w:val="24"/>
          </w:rPr>
          <w:t>Employment Rights Bill: Six key changes to trade union laws</w:t>
        </w:r>
      </w:hyperlink>
      <w:r w:rsidRPr="00DE69EF">
        <w:rPr>
          <w:rFonts w:ascii="Arial" w:hAnsi="Arial" w:cs="Arial"/>
          <w:sz w:val="24"/>
          <w:szCs w:val="24"/>
        </w:rPr>
        <w:t xml:space="preserve"> (Accessed: 10</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62A9B1E6" w14:textId="77777777" w:rsidR="00B407D6" w:rsidRPr="00DE69EF" w:rsidRDefault="00B407D6" w:rsidP="00DE69EF">
      <w:pPr>
        <w:spacing w:after="0"/>
        <w:jc w:val="both"/>
        <w:rPr>
          <w:rFonts w:ascii="Arial" w:hAnsi="Arial" w:cs="Arial"/>
          <w:sz w:val="24"/>
          <w:szCs w:val="24"/>
        </w:rPr>
      </w:pPr>
    </w:p>
    <w:p w14:paraId="2276DC36" w14:textId="77777777" w:rsidR="00B407D6" w:rsidRPr="00DE69EF" w:rsidRDefault="00B407D6" w:rsidP="00DE69EF">
      <w:pPr>
        <w:spacing w:after="0"/>
        <w:jc w:val="both"/>
        <w:rPr>
          <w:rFonts w:ascii="Arial" w:hAnsi="Arial" w:cs="Arial"/>
          <w:sz w:val="24"/>
          <w:szCs w:val="24"/>
        </w:rPr>
      </w:pPr>
      <w:r w:rsidRPr="00DE69EF">
        <w:rPr>
          <w:rFonts w:ascii="Arial" w:hAnsi="Arial" w:cs="Arial"/>
          <w:sz w:val="24"/>
          <w:szCs w:val="24"/>
        </w:rPr>
        <w:t xml:space="preserve">NPTCBC (2020) </w:t>
      </w:r>
      <w:r w:rsidRPr="00B407D6">
        <w:rPr>
          <w:rFonts w:ascii="Arial" w:hAnsi="Arial" w:cs="Arial"/>
          <w:sz w:val="24"/>
          <w:szCs w:val="24"/>
        </w:rPr>
        <w:t>Probation Scheme</w:t>
      </w:r>
      <w:r w:rsidRPr="00DE69EF">
        <w:rPr>
          <w:rFonts w:ascii="Arial" w:hAnsi="Arial" w:cs="Arial"/>
          <w:sz w:val="24"/>
          <w:szCs w:val="24"/>
        </w:rPr>
        <w:t>.  NPTCBC. Unpublished</w:t>
      </w:r>
      <w:r>
        <w:rPr>
          <w:rFonts w:ascii="Arial" w:hAnsi="Arial" w:cs="Arial"/>
          <w:sz w:val="24"/>
          <w:szCs w:val="24"/>
        </w:rPr>
        <w:t>.</w:t>
      </w:r>
    </w:p>
    <w:p w14:paraId="44EABAEA"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NPTCBC (2022-2027) </w:t>
      </w:r>
      <w:r w:rsidRPr="00B407D6">
        <w:rPr>
          <w:rFonts w:ascii="Arial" w:hAnsi="Arial" w:cs="Arial"/>
          <w:sz w:val="24"/>
          <w:szCs w:val="24"/>
        </w:rPr>
        <w:t>Future of Work Strategy</w:t>
      </w:r>
      <w:r w:rsidRPr="00DE69EF">
        <w:rPr>
          <w:rFonts w:ascii="Arial" w:hAnsi="Arial" w:cs="Arial"/>
          <w:sz w:val="24"/>
          <w:szCs w:val="24"/>
        </w:rPr>
        <w:t>.  NPTCBC. Unpublished</w:t>
      </w:r>
      <w:r>
        <w:rPr>
          <w:rFonts w:ascii="Arial" w:hAnsi="Arial" w:cs="Arial"/>
          <w:sz w:val="24"/>
          <w:szCs w:val="24"/>
        </w:rPr>
        <w:t>.</w:t>
      </w:r>
    </w:p>
    <w:p w14:paraId="51634188" w14:textId="77777777" w:rsidR="00B407D6" w:rsidRPr="00DE69EF" w:rsidRDefault="00B407D6" w:rsidP="00DE69EF">
      <w:pPr>
        <w:spacing w:after="0"/>
        <w:jc w:val="both"/>
        <w:rPr>
          <w:rFonts w:ascii="Arial" w:hAnsi="Arial" w:cs="Arial"/>
          <w:color w:val="000000" w:themeColor="text1"/>
          <w:sz w:val="24"/>
          <w:szCs w:val="24"/>
        </w:rPr>
      </w:pPr>
    </w:p>
    <w:p w14:paraId="7C117ECB" w14:textId="77777777" w:rsidR="00B407D6" w:rsidRPr="00DE69EF" w:rsidRDefault="00B407D6" w:rsidP="00DE69EF">
      <w:pPr>
        <w:spacing w:after="0"/>
        <w:jc w:val="both"/>
        <w:rPr>
          <w:rFonts w:ascii="Arial" w:hAnsi="Arial" w:cs="Arial"/>
          <w:sz w:val="24"/>
          <w:szCs w:val="24"/>
        </w:rPr>
      </w:pPr>
      <w:r w:rsidRPr="00DE69EF">
        <w:rPr>
          <w:rFonts w:ascii="Arial" w:hAnsi="Arial" w:cs="Arial"/>
          <w:sz w:val="24"/>
          <w:szCs w:val="24"/>
        </w:rPr>
        <w:t xml:space="preserve">NPTCBC (2024/2025) Pay Policy Statement 2024/2025.  Available at:  </w:t>
      </w:r>
      <w:hyperlink r:id="rId31" w:history="1">
        <w:r w:rsidRPr="00DE69EF">
          <w:rPr>
            <w:rStyle w:val="Hyperlink"/>
            <w:rFonts w:ascii="Arial" w:hAnsi="Arial" w:cs="Arial"/>
            <w:sz w:val="24"/>
            <w:szCs w:val="24"/>
          </w:rPr>
          <w:t>Pay policy statement 2024/2025 - Neath Port Talbot Council</w:t>
        </w:r>
      </w:hyperlink>
      <w:r w:rsidRPr="00DE69EF">
        <w:rPr>
          <w:rFonts w:ascii="Arial" w:hAnsi="Arial" w:cs="Arial"/>
          <w:sz w:val="24"/>
          <w:szCs w:val="24"/>
        </w:rPr>
        <w:t xml:space="preserve"> (Accessed: 8</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03AAF28D" w14:textId="77777777" w:rsidR="00B407D6" w:rsidRDefault="00B407D6" w:rsidP="00DE69EF">
      <w:pPr>
        <w:spacing w:after="0"/>
        <w:jc w:val="both"/>
        <w:rPr>
          <w:rFonts w:ascii="Arial" w:hAnsi="Arial" w:cs="Arial"/>
          <w:sz w:val="24"/>
          <w:szCs w:val="24"/>
        </w:rPr>
      </w:pPr>
    </w:p>
    <w:p w14:paraId="463A1F24" w14:textId="6E8BC900" w:rsidR="00B407D6" w:rsidRDefault="00B407D6" w:rsidP="00DE69EF">
      <w:pPr>
        <w:spacing w:after="0"/>
        <w:jc w:val="both"/>
        <w:rPr>
          <w:rFonts w:ascii="Arial" w:hAnsi="Arial" w:cs="Arial"/>
          <w:sz w:val="24"/>
          <w:szCs w:val="24"/>
        </w:rPr>
      </w:pPr>
      <w:r w:rsidRPr="00DE69EF">
        <w:rPr>
          <w:rFonts w:ascii="Arial" w:hAnsi="Arial" w:cs="Arial"/>
          <w:sz w:val="24"/>
          <w:szCs w:val="24"/>
        </w:rPr>
        <w:t>NPTCBC (2025/2026) Budget Paper.  NPTCBC. Unpublished</w:t>
      </w:r>
      <w:r>
        <w:rPr>
          <w:rFonts w:ascii="Arial" w:hAnsi="Arial" w:cs="Arial"/>
          <w:sz w:val="24"/>
          <w:szCs w:val="24"/>
        </w:rPr>
        <w:t>.</w:t>
      </w:r>
    </w:p>
    <w:p w14:paraId="13EC6282" w14:textId="77777777" w:rsidR="00B407D6" w:rsidRPr="00DE69EF" w:rsidRDefault="00B407D6" w:rsidP="00DE69EF">
      <w:pPr>
        <w:spacing w:after="0"/>
        <w:jc w:val="both"/>
        <w:rPr>
          <w:rFonts w:ascii="Arial" w:hAnsi="Arial" w:cs="Arial"/>
          <w:sz w:val="24"/>
          <w:szCs w:val="24"/>
        </w:rPr>
      </w:pPr>
    </w:p>
    <w:p w14:paraId="3EC98969"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NPTCBC (2025/2028) Corporate Strategy.  NPTCBC. Unpublished</w:t>
      </w:r>
      <w:r>
        <w:rPr>
          <w:rFonts w:ascii="Arial" w:hAnsi="Arial" w:cs="Arial"/>
          <w:sz w:val="24"/>
          <w:szCs w:val="24"/>
        </w:rPr>
        <w:t>.</w:t>
      </w:r>
    </w:p>
    <w:p w14:paraId="1D47C7AC" w14:textId="77777777" w:rsidR="00B407D6" w:rsidRPr="00DE69EF" w:rsidRDefault="00B407D6" w:rsidP="00DE69EF">
      <w:pPr>
        <w:spacing w:after="0"/>
        <w:jc w:val="both"/>
        <w:rPr>
          <w:rFonts w:ascii="Arial" w:hAnsi="Arial" w:cs="Arial"/>
          <w:sz w:val="24"/>
          <w:szCs w:val="24"/>
        </w:rPr>
      </w:pPr>
    </w:p>
    <w:p w14:paraId="54A9591C" w14:textId="77777777" w:rsidR="00B407D6" w:rsidRDefault="00B407D6" w:rsidP="00DE69EF">
      <w:pPr>
        <w:spacing w:after="0"/>
        <w:jc w:val="both"/>
        <w:rPr>
          <w:rFonts w:ascii="Arial" w:hAnsi="Arial" w:cs="Arial"/>
          <w:sz w:val="24"/>
          <w:szCs w:val="24"/>
        </w:rPr>
      </w:pPr>
      <w:bookmarkStart w:id="4" w:name="_Hlk215081000"/>
      <w:r w:rsidRPr="00DE69EF">
        <w:rPr>
          <w:rFonts w:ascii="Arial" w:hAnsi="Arial" w:cs="Arial"/>
          <w:sz w:val="24"/>
          <w:szCs w:val="24"/>
        </w:rPr>
        <w:t xml:space="preserve">NPTCBC (2025b) </w:t>
      </w:r>
      <w:r w:rsidRPr="00B407D6">
        <w:rPr>
          <w:rFonts w:ascii="Arial" w:hAnsi="Arial" w:cs="Arial"/>
          <w:sz w:val="24"/>
          <w:szCs w:val="24"/>
        </w:rPr>
        <w:t>Annual Workforce Information Report</w:t>
      </w:r>
      <w:r w:rsidRPr="00DE69EF">
        <w:rPr>
          <w:rFonts w:ascii="Arial" w:hAnsi="Arial" w:cs="Arial"/>
          <w:sz w:val="24"/>
          <w:szCs w:val="24"/>
        </w:rPr>
        <w:t>.  NPTCBC. Unpublished</w:t>
      </w:r>
      <w:r>
        <w:rPr>
          <w:rFonts w:ascii="Arial" w:hAnsi="Arial" w:cs="Arial"/>
          <w:sz w:val="24"/>
          <w:szCs w:val="24"/>
        </w:rPr>
        <w:t>.</w:t>
      </w:r>
    </w:p>
    <w:p w14:paraId="22B29FAE" w14:textId="77777777" w:rsidR="00B407D6" w:rsidRPr="00DE69EF" w:rsidRDefault="00B407D6" w:rsidP="00DE69EF">
      <w:pPr>
        <w:spacing w:after="0"/>
        <w:jc w:val="both"/>
        <w:rPr>
          <w:rFonts w:ascii="Arial" w:hAnsi="Arial" w:cs="Arial"/>
          <w:sz w:val="24"/>
          <w:szCs w:val="24"/>
        </w:rPr>
      </w:pPr>
    </w:p>
    <w:bookmarkEnd w:id="4"/>
    <w:p w14:paraId="7FCC6A73"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Roberts, A. (2024) </w:t>
      </w:r>
      <w:r w:rsidRPr="00DE69EF">
        <w:rPr>
          <w:rFonts w:ascii="Arial" w:hAnsi="Arial" w:cs="Arial"/>
          <w:i/>
          <w:iCs/>
          <w:sz w:val="24"/>
          <w:szCs w:val="24"/>
        </w:rPr>
        <w:t xml:space="preserve">Change management: A guide for people professionals. </w:t>
      </w:r>
      <w:r w:rsidRPr="00DE69EF">
        <w:rPr>
          <w:rFonts w:ascii="Arial" w:hAnsi="Arial" w:cs="Arial"/>
          <w:sz w:val="24"/>
          <w:szCs w:val="24"/>
        </w:rPr>
        <w:t xml:space="preserve">Available at: </w:t>
      </w:r>
      <w:hyperlink r:id="rId32" w:history="1">
        <w:r w:rsidRPr="00DE69EF">
          <w:rPr>
            <w:rStyle w:val="Hyperlink"/>
            <w:rFonts w:ascii="Arial" w:hAnsi="Arial" w:cs="Arial"/>
            <w:sz w:val="24"/>
            <w:szCs w:val="24"/>
          </w:rPr>
          <w:t>Change management: A guide for people professionals | CIPD</w:t>
        </w:r>
      </w:hyperlink>
      <w:r w:rsidRPr="00DE69EF">
        <w:rPr>
          <w:rFonts w:ascii="Arial" w:hAnsi="Arial" w:cs="Arial"/>
          <w:sz w:val="24"/>
          <w:szCs w:val="24"/>
        </w:rPr>
        <w:t xml:space="preserve"> (Accessed: 22</w:t>
      </w:r>
      <w:r w:rsidRPr="00DE69EF">
        <w:rPr>
          <w:rFonts w:ascii="Arial" w:hAnsi="Arial" w:cs="Arial"/>
          <w:sz w:val="24"/>
          <w:szCs w:val="24"/>
          <w:vertAlign w:val="superscript"/>
        </w:rPr>
        <w:t>nd</w:t>
      </w:r>
      <w:r w:rsidRPr="00DE69EF">
        <w:rPr>
          <w:rFonts w:ascii="Arial" w:hAnsi="Arial" w:cs="Arial"/>
          <w:sz w:val="24"/>
          <w:szCs w:val="24"/>
        </w:rPr>
        <w:t xml:space="preserve"> November 2025)</w:t>
      </w:r>
      <w:r>
        <w:rPr>
          <w:rFonts w:ascii="Arial" w:hAnsi="Arial" w:cs="Arial"/>
          <w:sz w:val="24"/>
          <w:szCs w:val="24"/>
        </w:rPr>
        <w:t>.</w:t>
      </w:r>
    </w:p>
    <w:p w14:paraId="07E58829" w14:textId="77777777" w:rsidR="00B407D6" w:rsidRPr="00DE69EF" w:rsidRDefault="00B407D6" w:rsidP="00DE69EF">
      <w:pPr>
        <w:spacing w:after="0"/>
        <w:jc w:val="both"/>
        <w:rPr>
          <w:rFonts w:ascii="Arial" w:hAnsi="Arial" w:cs="Arial"/>
          <w:sz w:val="24"/>
          <w:szCs w:val="24"/>
        </w:rPr>
      </w:pPr>
    </w:p>
    <w:p w14:paraId="601CB177"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Seery, J and Jackson, J. (2025) </w:t>
      </w:r>
      <w:r w:rsidRPr="00DE69EF">
        <w:rPr>
          <w:rFonts w:ascii="Arial" w:hAnsi="Arial" w:cs="Arial"/>
          <w:i/>
          <w:iCs/>
          <w:sz w:val="24"/>
          <w:szCs w:val="24"/>
        </w:rPr>
        <w:t>House of Lords Passes New Amendments to the Employment Rights Bill</w:t>
      </w:r>
      <w:r w:rsidRPr="00DE69EF">
        <w:rPr>
          <w:rFonts w:ascii="Arial" w:hAnsi="Arial" w:cs="Arial"/>
          <w:sz w:val="24"/>
          <w:szCs w:val="24"/>
        </w:rPr>
        <w:t xml:space="preserve">.  Available at: </w:t>
      </w:r>
      <w:hyperlink r:id="rId33" w:history="1">
        <w:r w:rsidRPr="00DE69EF">
          <w:rPr>
            <w:rStyle w:val="Hyperlink"/>
            <w:rFonts w:ascii="Arial" w:hAnsi="Arial" w:cs="Arial"/>
            <w:sz w:val="24"/>
            <w:szCs w:val="24"/>
          </w:rPr>
          <w:t>House of Lords Passes New Amendments to the Employment Rights Bill</w:t>
        </w:r>
      </w:hyperlink>
      <w:r w:rsidRPr="00DE69EF">
        <w:rPr>
          <w:rFonts w:ascii="Arial" w:hAnsi="Arial" w:cs="Arial"/>
          <w:sz w:val="24"/>
          <w:szCs w:val="24"/>
        </w:rPr>
        <w:t xml:space="preserve"> (Accessed: 22</w:t>
      </w:r>
      <w:r w:rsidRPr="00DE69EF">
        <w:rPr>
          <w:rFonts w:ascii="Arial" w:hAnsi="Arial" w:cs="Arial"/>
          <w:sz w:val="24"/>
          <w:szCs w:val="24"/>
          <w:vertAlign w:val="superscript"/>
        </w:rPr>
        <w:t>nd</w:t>
      </w:r>
      <w:r w:rsidRPr="00DE69EF">
        <w:rPr>
          <w:rFonts w:ascii="Arial" w:hAnsi="Arial" w:cs="Arial"/>
          <w:sz w:val="24"/>
          <w:szCs w:val="24"/>
        </w:rPr>
        <w:t xml:space="preserve"> November 2025)</w:t>
      </w:r>
      <w:r>
        <w:rPr>
          <w:rFonts w:ascii="Arial" w:hAnsi="Arial" w:cs="Arial"/>
          <w:sz w:val="24"/>
          <w:szCs w:val="24"/>
        </w:rPr>
        <w:t>.</w:t>
      </w:r>
    </w:p>
    <w:p w14:paraId="60B6AF4F" w14:textId="77777777" w:rsidR="00B407D6" w:rsidRPr="00DE69EF" w:rsidRDefault="00B407D6" w:rsidP="00DE69EF">
      <w:pPr>
        <w:spacing w:after="0"/>
        <w:jc w:val="both"/>
        <w:rPr>
          <w:rFonts w:ascii="Arial" w:hAnsi="Arial" w:cs="Arial"/>
          <w:sz w:val="24"/>
          <w:szCs w:val="24"/>
        </w:rPr>
      </w:pPr>
    </w:p>
    <w:p w14:paraId="47D10D74"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Smith, L. (2025) ‘Final budget for Neath Port Talbot approved’ </w:t>
      </w:r>
      <w:r w:rsidRPr="00DE69EF">
        <w:rPr>
          <w:rFonts w:ascii="Arial" w:hAnsi="Arial" w:cs="Arial"/>
          <w:i/>
          <w:iCs/>
          <w:sz w:val="24"/>
          <w:szCs w:val="24"/>
        </w:rPr>
        <w:t xml:space="preserve">Nation Cymru, </w:t>
      </w:r>
      <w:r w:rsidRPr="00DE69EF">
        <w:rPr>
          <w:rFonts w:ascii="Arial" w:hAnsi="Arial" w:cs="Arial"/>
          <w:sz w:val="24"/>
          <w:szCs w:val="24"/>
        </w:rPr>
        <w:t>(8</w:t>
      </w:r>
      <w:r w:rsidRPr="00DE69EF">
        <w:rPr>
          <w:rFonts w:ascii="Arial" w:hAnsi="Arial" w:cs="Arial"/>
          <w:sz w:val="24"/>
          <w:szCs w:val="24"/>
          <w:vertAlign w:val="superscript"/>
        </w:rPr>
        <w:t>th</w:t>
      </w:r>
      <w:r w:rsidRPr="00DE69EF">
        <w:rPr>
          <w:rFonts w:ascii="Arial" w:hAnsi="Arial" w:cs="Arial"/>
          <w:sz w:val="24"/>
          <w:szCs w:val="24"/>
        </w:rPr>
        <w:t xml:space="preserve"> March 2025): Available at: </w:t>
      </w:r>
      <w:hyperlink r:id="rId34" w:history="1">
        <w:r w:rsidRPr="00DE69EF">
          <w:rPr>
            <w:rStyle w:val="Hyperlink"/>
            <w:rFonts w:ascii="Arial" w:hAnsi="Arial" w:cs="Arial"/>
            <w:sz w:val="24"/>
            <w:szCs w:val="24"/>
          </w:rPr>
          <w:t>Final budget for Neath Port Talbot approved</w:t>
        </w:r>
      </w:hyperlink>
      <w:r w:rsidRPr="00DE69EF">
        <w:rPr>
          <w:rFonts w:ascii="Arial" w:hAnsi="Arial" w:cs="Arial"/>
          <w:sz w:val="24"/>
          <w:szCs w:val="24"/>
        </w:rPr>
        <w:t xml:space="preserve"> (Accessed: 3</w:t>
      </w:r>
      <w:r w:rsidRPr="00DE69EF">
        <w:rPr>
          <w:rFonts w:ascii="Arial" w:hAnsi="Arial" w:cs="Arial"/>
          <w:sz w:val="24"/>
          <w:szCs w:val="24"/>
          <w:vertAlign w:val="superscript"/>
        </w:rPr>
        <w:t>rd</w:t>
      </w:r>
      <w:r w:rsidRPr="00DE69EF">
        <w:rPr>
          <w:rFonts w:ascii="Arial" w:hAnsi="Arial" w:cs="Arial"/>
          <w:sz w:val="24"/>
          <w:szCs w:val="24"/>
        </w:rPr>
        <w:t xml:space="preserve"> November 2025)</w:t>
      </w:r>
      <w:r>
        <w:rPr>
          <w:rFonts w:ascii="Arial" w:hAnsi="Arial" w:cs="Arial"/>
          <w:sz w:val="24"/>
          <w:szCs w:val="24"/>
        </w:rPr>
        <w:t>.</w:t>
      </w:r>
    </w:p>
    <w:p w14:paraId="7D2C532E" w14:textId="77777777" w:rsidR="00B407D6" w:rsidRPr="00DE69EF" w:rsidRDefault="00B407D6" w:rsidP="00DE69EF">
      <w:pPr>
        <w:spacing w:after="0"/>
        <w:jc w:val="both"/>
        <w:rPr>
          <w:rFonts w:ascii="Arial" w:hAnsi="Arial" w:cs="Arial"/>
          <w:sz w:val="24"/>
          <w:szCs w:val="24"/>
        </w:rPr>
      </w:pPr>
    </w:p>
    <w:p w14:paraId="39FDF235"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The Department for Business and Trade (2025a): </w:t>
      </w:r>
      <w:r w:rsidRPr="001908B7">
        <w:rPr>
          <w:rFonts w:ascii="Arial" w:hAnsi="Arial" w:cs="Arial"/>
          <w:i/>
          <w:iCs/>
          <w:sz w:val="24"/>
          <w:szCs w:val="24"/>
        </w:rPr>
        <w:t>National Living Wage and National Minimum Wage</w:t>
      </w:r>
      <w:r>
        <w:rPr>
          <w:rFonts w:ascii="Arial" w:hAnsi="Arial" w:cs="Arial"/>
          <w:sz w:val="24"/>
          <w:szCs w:val="24"/>
        </w:rPr>
        <w:t>.</w:t>
      </w:r>
      <w:r w:rsidRPr="00DE69EF">
        <w:rPr>
          <w:rFonts w:ascii="Arial" w:hAnsi="Arial" w:cs="Arial"/>
          <w:sz w:val="24"/>
          <w:szCs w:val="24"/>
        </w:rPr>
        <w:t xml:space="preserve"> Available at: </w:t>
      </w:r>
      <w:hyperlink r:id="rId35" w:history="1">
        <w:r w:rsidRPr="00DE69EF">
          <w:rPr>
            <w:rStyle w:val="Hyperlink"/>
            <w:rFonts w:ascii="Arial" w:hAnsi="Arial" w:cs="Arial"/>
            <w:sz w:val="24"/>
            <w:szCs w:val="24"/>
          </w:rPr>
          <w:t>National Living Wage and National Minimum Wage – Government evidence on enforcement and compliance in 2024 to 2025</w:t>
        </w:r>
      </w:hyperlink>
      <w:r w:rsidRPr="00DE69EF">
        <w:rPr>
          <w:rFonts w:ascii="Arial" w:hAnsi="Arial" w:cs="Arial"/>
          <w:sz w:val="24"/>
          <w:szCs w:val="24"/>
        </w:rPr>
        <w:t xml:space="preserve"> (Accessed: 8</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5339230C" w14:textId="77777777" w:rsidR="00B407D6" w:rsidRPr="00DE69EF" w:rsidRDefault="00B407D6" w:rsidP="00DE69EF">
      <w:pPr>
        <w:spacing w:after="0"/>
        <w:jc w:val="both"/>
        <w:rPr>
          <w:rFonts w:ascii="Arial" w:hAnsi="Arial" w:cs="Arial"/>
          <w:sz w:val="24"/>
          <w:szCs w:val="24"/>
        </w:rPr>
      </w:pPr>
    </w:p>
    <w:p w14:paraId="5E41B7A4"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The Department for Business and Trade (2025b) </w:t>
      </w:r>
      <w:r w:rsidRPr="00DE69EF">
        <w:rPr>
          <w:rFonts w:ascii="Arial" w:hAnsi="Arial" w:cs="Arial"/>
          <w:i/>
          <w:iCs/>
          <w:sz w:val="24"/>
          <w:szCs w:val="24"/>
        </w:rPr>
        <w:t>Repeal of the Trade Union Act 2016</w:t>
      </w:r>
      <w:r w:rsidRPr="00DE69EF">
        <w:rPr>
          <w:rFonts w:ascii="Arial" w:hAnsi="Arial" w:cs="Arial"/>
          <w:sz w:val="24"/>
          <w:szCs w:val="24"/>
        </w:rPr>
        <w:t xml:space="preserve">: Available at: </w:t>
      </w:r>
      <w:hyperlink r:id="rId36" w:history="1">
        <w:r w:rsidRPr="00DE69EF">
          <w:rPr>
            <w:rStyle w:val="Hyperlink"/>
            <w:rFonts w:ascii="Arial" w:hAnsi="Arial" w:cs="Arial"/>
            <w:sz w:val="24"/>
            <w:szCs w:val="24"/>
          </w:rPr>
          <w:t>Trade Unions</w:t>
        </w:r>
      </w:hyperlink>
      <w:r w:rsidRPr="00DE69EF">
        <w:rPr>
          <w:rFonts w:ascii="Arial" w:hAnsi="Arial" w:cs="Arial"/>
          <w:sz w:val="24"/>
          <w:szCs w:val="24"/>
        </w:rPr>
        <w:t xml:space="preserve"> (Accessed: 10</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41258F09" w14:textId="77777777" w:rsidR="00B407D6" w:rsidRPr="00DE69EF" w:rsidRDefault="00B407D6" w:rsidP="00DE69EF">
      <w:pPr>
        <w:spacing w:after="0"/>
        <w:jc w:val="both"/>
        <w:rPr>
          <w:rFonts w:ascii="Arial" w:hAnsi="Arial" w:cs="Arial"/>
          <w:sz w:val="24"/>
          <w:szCs w:val="24"/>
        </w:rPr>
      </w:pPr>
    </w:p>
    <w:p w14:paraId="1A2EE6FF"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Trade Union Side of the National Joint Council for Local Government Service (2025-26) </w:t>
      </w:r>
      <w:r w:rsidRPr="00DE69EF">
        <w:rPr>
          <w:rFonts w:ascii="Arial" w:hAnsi="Arial" w:cs="Arial"/>
          <w:i/>
          <w:iCs/>
          <w:sz w:val="24"/>
          <w:szCs w:val="24"/>
        </w:rPr>
        <w:t>NJC Pay Claim 2025-26</w:t>
      </w:r>
      <w:r w:rsidRPr="00DE69EF">
        <w:rPr>
          <w:rFonts w:ascii="Arial" w:hAnsi="Arial" w:cs="Arial"/>
          <w:sz w:val="24"/>
          <w:szCs w:val="24"/>
        </w:rPr>
        <w:t>.  Available at</w:t>
      </w:r>
      <w:r>
        <w:rPr>
          <w:rFonts w:ascii="Arial" w:hAnsi="Arial" w:cs="Arial"/>
          <w:sz w:val="24"/>
          <w:szCs w:val="24"/>
        </w:rPr>
        <w:t>:</w:t>
      </w:r>
      <w:r w:rsidRPr="00DE69EF">
        <w:rPr>
          <w:rFonts w:ascii="Arial" w:hAnsi="Arial" w:cs="Arial"/>
          <w:sz w:val="24"/>
          <w:szCs w:val="24"/>
        </w:rPr>
        <w:t xml:space="preserve"> </w:t>
      </w:r>
      <w:hyperlink r:id="rId37" w:history="1">
        <w:r w:rsidRPr="00DE69EF">
          <w:rPr>
            <w:rStyle w:val="Hyperlink"/>
            <w:rFonts w:ascii="Arial" w:hAnsi="Arial" w:cs="Arial"/>
            <w:sz w:val="24"/>
            <w:szCs w:val="24"/>
          </w:rPr>
          <w:t>NJC-Pay-Claim-2025-26.pdf</w:t>
        </w:r>
      </w:hyperlink>
      <w:r w:rsidRPr="00DE69EF">
        <w:rPr>
          <w:rFonts w:ascii="Arial" w:hAnsi="Arial" w:cs="Arial"/>
          <w:sz w:val="24"/>
          <w:szCs w:val="24"/>
        </w:rPr>
        <w:t xml:space="preserve"> Accessed: 9</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1A550EF2" w14:textId="77777777" w:rsidR="00B407D6" w:rsidRPr="00DE69EF" w:rsidRDefault="00B407D6" w:rsidP="00DE69EF">
      <w:pPr>
        <w:spacing w:after="0"/>
        <w:jc w:val="both"/>
        <w:rPr>
          <w:rFonts w:ascii="Arial" w:hAnsi="Arial" w:cs="Arial"/>
          <w:sz w:val="24"/>
          <w:szCs w:val="24"/>
        </w:rPr>
      </w:pPr>
    </w:p>
    <w:p w14:paraId="14608501"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UK Government (</w:t>
      </w:r>
      <w:r w:rsidRPr="00B407D6">
        <w:rPr>
          <w:rFonts w:ascii="Arial" w:hAnsi="Arial" w:cs="Arial"/>
          <w:color w:val="000000" w:themeColor="text1"/>
          <w:sz w:val="24"/>
          <w:szCs w:val="24"/>
        </w:rPr>
        <w:t>2025a)</w:t>
      </w:r>
      <w:r w:rsidRPr="00DE69EF">
        <w:rPr>
          <w:rFonts w:ascii="Arial" w:hAnsi="Arial" w:cs="Arial"/>
          <w:sz w:val="24"/>
          <w:szCs w:val="24"/>
        </w:rPr>
        <w:t xml:space="preserve"> </w:t>
      </w:r>
      <w:r w:rsidRPr="00DE69EF">
        <w:rPr>
          <w:rFonts w:ascii="Arial" w:hAnsi="Arial" w:cs="Arial"/>
          <w:i/>
          <w:iCs/>
          <w:sz w:val="24"/>
          <w:szCs w:val="24"/>
        </w:rPr>
        <w:t>Make work pay</w:t>
      </w:r>
      <w:r w:rsidRPr="00DE69EF">
        <w:rPr>
          <w:rFonts w:ascii="Arial" w:hAnsi="Arial" w:cs="Arial"/>
          <w:sz w:val="24"/>
          <w:szCs w:val="24"/>
        </w:rPr>
        <w:t xml:space="preserve">. Available at: </w:t>
      </w:r>
      <w:hyperlink r:id="rId38" w:history="1">
        <w:r w:rsidRPr="00DE69EF">
          <w:rPr>
            <w:rStyle w:val="Hyperlink"/>
            <w:rFonts w:ascii="Arial" w:hAnsi="Arial" w:cs="Arial"/>
            <w:sz w:val="24"/>
            <w:szCs w:val="24"/>
          </w:rPr>
          <w:t>https://www.gov.uk/government/collections/make-work-pay</w:t>
        </w:r>
      </w:hyperlink>
      <w:r w:rsidRPr="00DE69EF">
        <w:rPr>
          <w:rFonts w:ascii="Arial" w:hAnsi="Arial" w:cs="Arial"/>
          <w:sz w:val="24"/>
          <w:szCs w:val="24"/>
        </w:rPr>
        <w:t xml:space="preserve"> (Accessed: 17</w:t>
      </w:r>
      <w:r w:rsidRPr="00DE69EF">
        <w:rPr>
          <w:rFonts w:ascii="Arial" w:hAnsi="Arial" w:cs="Arial"/>
          <w:sz w:val="24"/>
          <w:szCs w:val="24"/>
          <w:vertAlign w:val="superscript"/>
        </w:rPr>
        <w:t>th</w:t>
      </w:r>
      <w:r w:rsidRPr="00DE69EF">
        <w:rPr>
          <w:rFonts w:ascii="Arial" w:hAnsi="Arial" w:cs="Arial"/>
          <w:sz w:val="24"/>
          <w:szCs w:val="24"/>
        </w:rPr>
        <w:t xml:space="preserve"> October 2025)</w:t>
      </w:r>
      <w:r>
        <w:rPr>
          <w:rFonts w:ascii="Arial" w:hAnsi="Arial" w:cs="Arial"/>
          <w:sz w:val="24"/>
          <w:szCs w:val="24"/>
        </w:rPr>
        <w:t>.</w:t>
      </w:r>
    </w:p>
    <w:p w14:paraId="2B965C87" w14:textId="77777777" w:rsidR="00B407D6" w:rsidRPr="00DE69EF" w:rsidRDefault="00B407D6" w:rsidP="00DE69EF">
      <w:pPr>
        <w:spacing w:after="0"/>
        <w:jc w:val="both"/>
        <w:rPr>
          <w:rFonts w:ascii="Arial" w:hAnsi="Arial" w:cs="Arial"/>
          <w:sz w:val="24"/>
          <w:szCs w:val="24"/>
        </w:rPr>
      </w:pPr>
    </w:p>
    <w:p w14:paraId="55DB2BF6"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UK Government (</w:t>
      </w:r>
      <w:r w:rsidRPr="00B407D6">
        <w:rPr>
          <w:rFonts w:ascii="Arial" w:hAnsi="Arial" w:cs="Arial"/>
          <w:color w:val="000000" w:themeColor="text1"/>
          <w:sz w:val="24"/>
          <w:szCs w:val="24"/>
        </w:rPr>
        <w:t>2025b)</w:t>
      </w:r>
      <w:r w:rsidRPr="00DE69EF">
        <w:rPr>
          <w:rFonts w:ascii="Arial" w:hAnsi="Arial" w:cs="Arial"/>
          <w:sz w:val="24"/>
          <w:szCs w:val="24"/>
        </w:rPr>
        <w:t xml:space="preserve"> </w:t>
      </w:r>
      <w:r w:rsidRPr="00DE69EF">
        <w:rPr>
          <w:rFonts w:ascii="Arial" w:hAnsi="Arial" w:cs="Arial"/>
          <w:i/>
          <w:iCs/>
          <w:sz w:val="24"/>
          <w:szCs w:val="24"/>
        </w:rPr>
        <w:t>Unfair Dismissal</w:t>
      </w:r>
      <w:r w:rsidRPr="00DE69EF">
        <w:rPr>
          <w:rFonts w:ascii="Arial" w:hAnsi="Arial" w:cs="Arial"/>
          <w:sz w:val="24"/>
          <w:szCs w:val="24"/>
        </w:rPr>
        <w:t xml:space="preserve">.  Available at: </w:t>
      </w:r>
      <w:hyperlink r:id="rId39" w:history="1">
        <w:r w:rsidRPr="00DE69EF">
          <w:rPr>
            <w:rStyle w:val="Hyperlink"/>
            <w:rFonts w:ascii="Arial" w:hAnsi="Arial" w:cs="Arial"/>
            <w:sz w:val="24"/>
            <w:szCs w:val="24"/>
          </w:rPr>
          <w:t>Employment Rights Bill: factsheets - GOV.UK</w:t>
        </w:r>
      </w:hyperlink>
      <w:r w:rsidRPr="00DE69EF">
        <w:rPr>
          <w:rFonts w:ascii="Arial" w:hAnsi="Arial" w:cs="Arial"/>
          <w:sz w:val="24"/>
          <w:szCs w:val="24"/>
        </w:rPr>
        <w:t xml:space="preserve"> (Accessed: 17</w:t>
      </w:r>
      <w:r w:rsidRPr="00DE69EF">
        <w:rPr>
          <w:rFonts w:ascii="Arial" w:hAnsi="Arial" w:cs="Arial"/>
          <w:sz w:val="24"/>
          <w:szCs w:val="24"/>
          <w:vertAlign w:val="superscript"/>
        </w:rPr>
        <w:t>th</w:t>
      </w:r>
      <w:r w:rsidRPr="00DE69EF">
        <w:rPr>
          <w:rFonts w:ascii="Arial" w:hAnsi="Arial" w:cs="Arial"/>
          <w:sz w:val="24"/>
          <w:szCs w:val="24"/>
        </w:rPr>
        <w:t xml:space="preserve"> October 2025)</w:t>
      </w:r>
      <w:r>
        <w:rPr>
          <w:rFonts w:ascii="Arial" w:hAnsi="Arial" w:cs="Arial"/>
          <w:sz w:val="24"/>
          <w:szCs w:val="24"/>
        </w:rPr>
        <w:t>.</w:t>
      </w:r>
    </w:p>
    <w:p w14:paraId="3A0BFEFA" w14:textId="77777777" w:rsidR="00B407D6" w:rsidRPr="00DE69EF" w:rsidRDefault="00B407D6" w:rsidP="00DE69EF">
      <w:pPr>
        <w:spacing w:after="0"/>
        <w:jc w:val="both"/>
        <w:rPr>
          <w:rFonts w:ascii="Arial" w:hAnsi="Arial" w:cs="Arial"/>
          <w:sz w:val="24"/>
          <w:szCs w:val="24"/>
        </w:rPr>
      </w:pPr>
    </w:p>
    <w:p w14:paraId="543269D6" w14:textId="77777777" w:rsidR="00B407D6" w:rsidRPr="00DE69EF" w:rsidRDefault="00B407D6" w:rsidP="00DE69EF">
      <w:pPr>
        <w:spacing w:after="0"/>
        <w:jc w:val="both"/>
        <w:rPr>
          <w:rFonts w:ascii="Arial" w:hAnsi="Arial" w:cs="Arial"/>
          <w:sz w:val="24"/>
          <w:szCs w:val="24"/>
        </w:rPr>
      </w:pPr>
      <w:r w:rsidRPr="00DE69EF">
        <w:rPr>
          <w:rFonts w:ascii="Arial" w:hAnsi="Arial" w:cs="Arial"/>
          <w:sz w:val="24"/>
          <w:szCs w:val="24"/>
        </w:rPr>
        <w:t xml:space="preserve">UK Government (2025c) </w:t>
      </w:r>
      <w:r w:rsidRPr="00DE69EF">
        <w:rPr>
          <w:rFonts w:ascii="Arial" w:hAnsi="Arial" w:cs="Arial"/>
          <w:i/>
          <w:iCs/>
          <w:sz w:val="24"/>
          <w:szCs w:val="24"/>
        </w:rPr>
        <w:t>Implementing the Employment Rights Bill – Our roadmap for delivering change</w:t>
      </w:r>
      <w:r w:rsidRPr="00DE69EF">
        <w:rPr>
          <w:rFonts w:ascii="Arial" w:hAnsi="Arial" w:cs="Arial"/>
          <w:sz w:val="24"/>
          <w:szCs w:val="24"/>
        </w:rPr>
        <w:t xml:space="preserve">.  Available at: </w:t>
      </w:r>
      <w:hyperlink r:id="rId40" w:history="1">
        <w:r w:rsidRPr="00DE69EF">
          <w:rPr>
            <w:rStyle w:val="Hyperlink"/>
            <w:rFonts w:ascii="Arial" w:hAnsi="Arial" w:cs="Arial"/>
            <w:sz w:val="24"/>
            <w:szCs w:val="24"/>
          </w:rPr>
          <w:t>Implementing the Employment Rights Bill - Our roadmap for delivering change</w:t>
        </w:r>
      </w:hyperlink>
      <w:r w:rsidRPr="00DE69EF">
        <w:rPr>
          <w:rFonts w:ascii="Arial" w:hAnsi="Arial" w:cs="Arial"/>
          <w:sz w:val="24"/>
          <w:szCs w:val="24"/>
        </w:rPr>
        <w:t xml:space="preserve"> (Accessed: 26</w:t>
      </w:r>
      <w:r w:rsidRPr="00DE69EF">
        <w:rPr>
          <w:rFonts w:ascii="Arial" w:hAnsi="Arial" w:cs="Arial"/>
          <w:sz w:val="24"/>
          <w:szCs w:val="24"/>
          <w:vertAlign w:val="superscript"/>
        </w:rPr>
        <w:t>th</w:t>
      </w:r>
      <w:r w:rsidRPr="00DE69EF">
        <w:rPr>
          <w:rFonts w:ascii="Arial" w:hAnsi="Arial" w:cs="Arial"/>
          <w:sz w:val="24"/>
          <w:szCs w:val="24"/>
        </w:rPr>
        <w:t xml:space="preserve"> October 2025)</w:t>
      </w:r>
      <w:r>
        <w:rPr>
          <w:rFonts w:ascii="Arial" w:hAnsi="Arial" w:cs="Arial"/>
          <w:sz w:val="24"/>
          <w:szCs w:val="24"/>
        </w:rPr>
        <w:t>.</w:t>
      </w:r>
    </w:p>
    <w:p w14:paraId="2D131F0B"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UK Government (2025d) </w:t>
      </w:r>
      <w:r w:rsidRPr="00B407D6">
        <w:rPr>
          <w:rFonts w:ascii="Arial" w:hAnsi="Arial" w:cs="Arial"/>
          <w:i/>
          <w:iCs/>
          <w:sz w:val="24"/>
          <w:szCs w:val="24"/>
        </w:rPr>
        <w:t>National Living Wage estimate update</w:t>
      </w:r>
      <w:r w:rsidRPr="00DE69EF">
        <w:rPr>
          <w:rFonts w:ascii="Arial" w:hAnsi="Arial" w:cs="Arial"/>
          <w:sz w:val="24"/>
          <w:szCs w:val="24"/>
        </w:rPr>
        <w:t xml:space="preserve">.  Available at: </w:t>
      </w:r>
      <w:hyperlink r:id="rId41" w:history="1">
        <w:r w:rsidRPr="00DE69EF">
          <w:rPr>
            <w:rStyle w:val="Hyperlink"/>
            <w:rFonts w:ascii="Arial" w:hAnsi="Arial" w:cs="Arial"/>
            <w:sz w:val="24"/>
            <w:szCs w:val="24"/>
          </w:rPr>
          <w:t>National Living Wage estimate update - GOV.UK</w:t>
        </w:r>
      </w:hyperlink>
      <w:r w:rsidRPr="00DE69EF">
        <w:rPr>
          <w:rFonts w:ascii="Arial" w:hAnsi="Arial" w:cs="Arial"/>
          <w:sz w:val="24"/>
          <w:szCs w:val="24"/>
        </w:rPr>
        <w:t xml:space="preserve"> (Accessed: 3</w:t>
      </w:r>
      <w:r w:rsidRPr="00DE69EF">
        <w:rPr>
          <w:rFonts w:ascii="Arial" w:hAnsi="Arial" w:cs="Arial"/>
          <w:sz w:val="24"/>
          <w:szCs w:val="24"/>
          <w:vertAlign w:val="superscript"/>
        </w:rPr>
        <w:t>rd</w:t>
      </w:r>
      <w:r w:rsidRPr="00DE69EF">
        <w:rPr>
          <w:rFonts w:ascii="Arial" w:hAnsi="Arial" w:cs="Arial"/>
          <w:sz w:val="24"/>
          <w:szCs w:val="24"/>
        </w:rPr>
        <w:t xml:space="preserve"> November 2025)</w:t>
      </w:r>
      <w:r>
        <w:rPr>
          <w:rFonts w:ascii="Arial" w:hAnsi="Arial" w:cs="Arial"/>
          <w:sz w:val="24"/>
          <w:szCs w:val="24"/>
        </w:rPr>
        <w:t>.</w:t>
      </w:r>
    </w:p>
    <w:p w14:paraId="655FF601" w14:textId="77777777" w:rsidR="00B407D6" w:rsidRPr="00DE69EF" w:rsidRDefault="00B407D6" w:rsidP="00DE69EF">
      <w:pPr>
        <w:spacing w:after="0"/>
        <w:jc w:val="both"/>
        <w:rPr>
          <w:rFonts w:ascii="Arial" w:hAnsi="Arial" w:cs="Arial"/>
          <w:sz w:val="24"/>
          <w:szCs w:val="24"/>
        </w:rPr>
      </w:pPr>
    </w:p>
    <w:p w14:paraId="519ABCD7"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Unions21 (2023) </w:t>
      </w:r>
      <w:r w:rsidRPr="00DE69EF">
        <w:rPr>
          <w:rFonts w:ascii="Arial" w:hAnsi="Arial" w:cs="Arial"/>
          <w:i/>
          <w:iCs/>
          <w:sz w:val="24"/>
          <w:szCs w:val="24"/>
        </w:rPr>
        <w:t>Social partnership – a blueprint for the UK?</w:t>
      </w:r>
      <w:r w:rsidRPr="00DE69EF">
        <w:rPr>
          <w:rFonts w:ascii="Arial" w:hAnsi="Arial" w:cs="Arial"/>
          <w:sz w:val="24"/>
          <w:szCs w:val="24"/>
        </w:rPr>
        <w:t>. Available at:</w:t>
      </w:r>
      <w:r w:rsidRPr="00DE69EF">
        <w:rPr>
          <w:rFonts w:ascii="Arial" w:hAnsi="Arial" w:cs="Arial"/>
          <w:b/>
          <w:bCs/>
          <w:sz w:val="24"/>
          <w:szCs w:val="24"/>
        </w:rPr>
        <w:t xml:space="preserve"> </w:t>
      </w:r>
      <w:hyperlink r:id="rId42" w:history="1">
        <w:r w:rsidRPr="00DE69EF">
          <w:rPr>
            <w:rStyle w:val="Hyperlink"/>
            <w:rFonts w:ascii="Arial" w:hAnsi="Arial" w:cs="Arial"/>
            <w:sz w:val="24"/>
            <w:szCs w:val="24"/>
          </w:rPr>
          <w:t>Social partnership – a blueprint for the UK? | Unions 21</w:t>
        </w:r>
      </w:hyperlink>
      <w:r w:rsidRPr="00DE69EF">
        <w:rPr>
          <w:rFonts w:ascii="Arial" w:hAnsi="Arial" w:cs="Arial"/>
          <w:sz w:val="24"/>
          <w:szCs w:val="24"/>
        </w:rPr>
        <w:t xml:space="preserve"> (Accessed: 11</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5892B940" w14:textId="77777777" w:rsidR="00B407D6" w:rsidRPr="00DE69EF" w:rsidRDefault="00B407D6" w:rsidP="00DE69EF">
      <w:pPr>
        <w:spacing w:after="0"/>
        <w:jc w:val="both"/>
        <w:rPr>
          <w:rFonts w:ascii="Arial" w:hAnsi="Arial" w:cs="Arial"/>
          <w:sz w:val="24"/>
          <w:szCs w:val="24"/>
        </w:rPr>
      </w:pPr>
    </w:p>
    <w:p w14:paraId="384B67C3"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Welsh Government (2015) </w:t>
      </w:r>
      <w:r w:rsidRPr="00DE69EF">
        <w:rPr>
          <w:rFonts w:ascii="Arial" w:hAnsi="Arial" w:cs="Arial"/>
          <w:i/>
          <w:iCs/>
          <w:sz w:val="24"/>
          <w:szCs w:val="24"/>
        </w:rPr>
        <w:t xml:space="preserve">Well-being of Future Generations (Wales) Act 2015: the essentials.  </w:t>
      </w:r>
      <w:r w:rsidRPr="00DE69EF">
        <w:rPr>
          <w:rFonts w:ascii="Arial" w:hAnsi="Arial" w:cs="Arial"/>
          <w:sz w:val="24"/>
          <w:szCs w:val="24"/>
        </w:rPr>
        <w:t xml:space="preserve">Available at: </w:t>
      </w:r>
      <w:hyperlink r:id="rId43" w:history="1">
        <w:r w:rsidRPr="00DE69EF">
          <w:rPr>
            <w:rStyle w:val="Hyperlink"/>
            <w:rFonts w:ascii="Arial" w:hAnsi="Arial" w:cs="Arial"/>
            <w:sz w:val="24"/>
            <w:szCs w:val="24"/>
          </w:rPr>
          <w:t>Well-being of Future Generations (Wales) Act 2015: the essentials [HTML] | GOV.WALES</w:t>
        </w:r>
      </w:hyperlink>
      <w:r w:rsidRPr="00DE69EF">
        <w:rPr>
          <w:rFonts w:ascii="Arial" w:hAnsi="Arial" w:cs="Arial"/>
          <w:sz w:val="24"/>
          <w:szCs w:val="24"/>
        </w:rPr>
        <w:t xml:space="preserve"> (Accessed: 20</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2D3B4137" w14:textId="77777777" w:rsidR="00B407D6" w:rsidRPr="00DE69EF" w:rsidRDefault="00B407D6" w:rsidP="00DE69EF">
      <w:pPr>
        <w:spacing w:after="0"/>
        <w:jc w:val="both"/>
        <w:rPr>
          <w:rFonts w:ascii="Arial" w:hAnsi="Arial" w:cs="Arial"/>
          <w:sz w:val="24"/>
          <w:szCs w:val="24"/>
        </w:rPr>
      </w:pPr>
    </w:p>
    <w:p w14:paraId="3FD86DA5"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Welsh Government (2024) </w:t>
      </w:r>
      <w:r w:rsidRPr="00DE69EF">
        <w:rPr>
          <w:rFonts w:ascii="Arial" w:hAnsi="Arial" w:cs="Arial"/>
          <w:i/>
          <w:iCs/>
          <w:sz w:val="24"/>
          <w:szCs w:val="24"/>
        </w:rPr>
        <w:t>Strengthening Social Partnership</w:t>
      </w:r>
      <w:r>
        <w:rPr>
          <w:rFonts w:ascii="Arial" w:hAnsi="Arial" w:cs="Arial"/>
          <w:i/>
          <w:iCs/>
          <w:sz w:val="24"/>
          <w:szCs w:val="24"/>
        </w:rPr>
        <w:t>.</w:t>
      </w:r>
      <w:r w:rsidRPr="00DE69EF">
        <w:rPr>
          <w:rFonts w:ascii="Arial" w:hAnsi="Arial" w:cs="Arial"/>
          <w:i/>
          <w:iCs/>
          <w:sz w:val="24"/>
          <w:szCs w:val="24"/>
        </w:rPr>
        <w:t xml:space="preserve"> </w:t>
      </w:r>
      <w:r w:rsidRPr="00DE69EF">
        <w:rPr>
          <w:rFonts w:ascii="Arial" w:hAnsi="Arial" w:cs="Arial"/>
          <w:sz w:val="24"/>
          <w:szCs w:val="24"/>
        </w:rPr>
        <w:t>Available at:</w:t>
      </w:r>
      <w:r w:rsidRPr="00DE69EF">
        <w:rPr>
          <w:rFonts w:ascii="Arial" w:hAnsi="Arial" w:cs="Arial"/>
          <w:i/>
          <w:iCs/>
          <w:sz w:val="24"/>
          <w:szCs w:val="24"/>
        </w:rPr>
        <w:t xml:space="preserve"> </w:t>
      </w:r>
      <w:hyperlink r:id="rId44" w:history="1">
        <w:r w:rsidRPr="00DE69EF">
          <w:rPr>
            <w:rStyle w:val="Hyperlink"/>
            <w:rFonts w:ascii="Arial" w:hAnsi="Arial" w:cs="Arial"/>
            <w:sz w:val="24"/>
            <w:szCs w:val="24"/>
          </w:rPr>
          <w:t>Neath Port Talbot Council Social Partnership</w:t>
        </w:r>
      </w:hyperlink>
      <w:r w:rsidRPr="00DE69EF">
        <w:rPr>
          <w:rFonts w:ascii="Arial" w:hAnsi="Arial" w:cs="Arial"/>
          <w:sz w:val="24"/>
          <w:szCs w:val="24"/>
        </w:rPr>
        <w:t xml:space="preserve"> (Accessed: 10</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54E52C68" w14:textId="77777777" w:rsidR="00B407D6" w:rsidRPr="00DE69EF" w:rsidRDefault="00B407D6" w:rsidP="00DE69EF">
      <w:pPr>
        <w:spacing w:after="0"/>
        <w:jc w:val="both"/>
        <w:rPr>
          <w:rFonts w:ascii="Arial" w:hAnsi="Arial" w:cs="Arial"/>
          <w:sz w:val="24"/>
          <w:szCs w:val="24"/>
        </w:rPr>
      </w:pPr>
    </w:p>
    <w:p w14:paraId="6CF3298E" w14:textId="77777777" w:rsidR="00B407D6" w:rsidRDefault="00B407D6" w:rsidP="00DE69EF">
      <w:pPr>
        <w:spacing w:after="0"/>
        <w:jc w:val="both"/>
        <w:rPr>
          <w:rFonts w:ascii="Arial" w:hAnsi="Arial" w:cs="Arial"/>
          <w:sz w:val="24"/>
          <w:szCs w:val="24"/>
        </w:rPr>
      </w:pPr>
      <w:r w:rsidRPr="00DE69EF">
        <w:rPr>
          <w:rFonts w:ascii="Arial" w:hAnsi="Arial" w:cs="Arial"/>
          <w:sz w:val="24"/>
          <w:szCs w:val="24"/>
        </w:rPr>
        <w:t xml:space="preserve">Wilmott, B. (2025) ‘Employment Rights Bill Updates’, </w:t>
      </w:r>
      <w:r w:rsidRPr="00DE69EF">
        <w:rPr>
          <w:rFonts w:ascii="Arial" w:hAnsi="Arial" w:cs="Arial"/>
          <w:i/>
          <w:iCs/>
          <w:sz w:val="24"/>
          <w:szCs w:val="24"/>
        </w:rPr>
        <w:t>People Management</w:t>
      </w:r>
      <w:r w:rsidRPr="00DE69EF">
        <w:rPr>
          <w:rFonts w:ascii="Arial" w:hAnsi="Arial" w:cs="Arial"/>
          <w:sz w:val="24"/>
          <w:szCs w:val="24"/>
        </w:rPr>
        <w:t xml:space="preserve">, (August – October), P52.  Available at: </w:t>
      </w:r>
      <w:hyperlink r:id="rId45" w:history="1">
        <w:r w:rsidRPr="00DE69EF">
          <w:rPr>
            <w:rStyle w:val="Hyperlink"/>
            <w:rFonts w:ascii="Arial" w:hAnsi="Arial" w:cs="Arial"/>
            <w:sz w:val="24"/>
            <w:szCs w:val="24"/>
          </w:rPr>
          <w:t>PMAutumn25.pdf</w:t>
        </w:r>
      </w:hyperlink>
      <w:r w:rsidRPr="00DE69EF">
        <w:rPr>
          <w:rFonts w:ascii="Arial" w:hAnsi="Arial" w:cs="Arial"/>
          <w:sz w:val="24"/>
          <w:szCs w:val="24"/>
        </w:rPr>
        <w:t xml:space="preserve"> (Accessed: 26</w:t>
      </w:r>
      <w:r w:rsidRPr="00DE69EF">
        <w:rPr>
          <w:rFonts w:ascii="Arial" w:hAnsi="Arial" w:cs="Arial"/>
          <w:sz w:val="24"/>
          <w:szCs w:val="24"/>
          <w:vertAlign w:val="superscript"/>
        </w:rPr>
        <w:t>th</w:t>
      </w:r>
      <w:r w:rsidRPr="00DE69EF">
        <w:rPr>
          <w:rFonts w:ascii="Arial" w:hAnsi="Arial" w:cs="Arial"/>
          <w:sz w:val="24"/>
          <w:szCs w:val="24"/>
        </w:rPr>
        <w:t>October 2025)</w:t>
      </w:r>
      <w:r>
        <w:rPr>
          <w:rFonts w:ascii="Arial" w:hAnsi="Arial" w:cs="Arial"/>
          <w:sz w:val="24"/>
          <w:szCs w:val="24"/>
        </w:rPr>
        <w:t>.</w:t>
      </w:r>
    </w:p>
    <w:p w14:paraId="5E639622" w14:textId="77777777" w:rsidR="00B407D6" w:rsidRPr="00DE69EF" w:rsidRDefault="00B407D6" w:rsidP="00DE69EF">
      <w:pPr>
        <w:spacing w:after="0"/>
        <w:jc w:val="both"/>
        <w:rPr>
          <w:rFonts w:ascii="Arial" w:hAnsi="Arial" w:cs="Arial"/>
          <w:sz w:val="24"/>
          <w:szCs w:val="24"/>
        </w:rPr>
      </w:pPr>
    </w:p>
    <w:p w14:paraId="478E2BE4" w14:textId="77777777" w:rsidR="00B407D6" w:rsidRPr="00DE69EF" w:rsidRDefault="00B407D6" w:rsidP="00DE69EF">
      <w:pPr>
        <w:spacing w:after="0"/>
        <w:jc w:val="both"/>
        <w:rPr>
          <w:rFonts w:ascii="Arial" w:hAnsi="Arial" w:cs="Arial"/>
          <w:sz w:val="24"/>
          <w:szCs w:val="24"/>
        </w:rPr>
      </w:pPr>
      <w:r w:rsidRPr="00DE69EF">
        <w:rPr>
          <w:rFonts w:ascii="Arial" w:hAnsi="Arial" w:cs="Arial"/>
          <w:sz w:val="24"/>
          <w:szCs w:val="24"/>
        </w:rPr>
        <w:t xml:space="preserve">WLGA (2015-2025) </w:t>
      </w:r>
      <w:r w:rsidRPr="00DE69EF">
        <w:rPr>
          <w:rFonts w:ascii="Arial" w:hAnsi="Arial" w:cs="Arial"/>
          <w:i/>
          <w:iCs/>
          <w:sz w:val="24"/>
          <w:szCs w:val="24"/>
        </w:rPr>
        <w:t>Supporting local government and protecting local democracy in Wales.</w:t>
      </w:r>
      <w:r w:rsidRPr="00DE69EF">
        <w:rPr>
          <w:rFonts w:ascii="Arial" w:hAnsi="Arial" w:cs="Arial"/>
          <w:b/>
          <w:bCs/>
          <w:sz w:val="24"/>
          <w:szCs w:val="24"/>
        </w:rPr>
        <w:t xml:space="preserve"> </w:t>
      </w:r>
      <w:r w:rsidRPr="00B407D6">
        <w:rPr>
          <w:rFonts w:ascii="Arial" w:hAnsi="Arial" w:cs="Arial"/>
          <w:sz w:val="24"/>
          <w:szCs w:val="24"/>
        </w:rPr>
        <w:t>Available at:</w:t>
      </w:r>
      <w:r w:rsidRPr="00DE69EF">
        <w:rPr>
          <w:rFonts w:ascii="Arial" w:hAnsi="Arial" w:cs="Arial"/>
          <w:b/>
          <w:bCs/>
          <w:sz w:val="24"/>
          <w:szCs w:val="24"/>
        </w:rPr>
        <w:t xml:space="preserve"> </w:t>
      </w:r>
      <w:hyperlink r:id="rId46" w:history="1">
        <w:r w:rsidRPr="00DE69EF">
          <w:rPr>
            <w:rStyle w:val="Hyperlink"/>
            <w:rFonts w:ascii="Arial" w:hAnsi="Arial" w:cs="Arial"/>
            <w:sz w:val="24"/>
            <w:szCs w:val="24"/>
          </w:rPr>
          <w:t>Local government in Wales - WLGA</w:t>
        </w:r>
      </w:hyperlink>
      <w:r w:rsidRPr="00DE69EF">
        <w:rPr>
          <w:rFonts w:ascii="Arial" w:hAnsi="Arial" w:cs="Arial"/>
          <w:sz w:val="24"/>
          <w:szCs w:val="24"/>
        </w:rPr>
        <w:t xml:space="preserve"> (Accessed</w:t>
      </w:r>
      <w:r>
        <w:rPr>
          <w:rFonts w:ascii="Arial" w:hAnsi="Arial" w:cs="Arial"/>
          <w:sz w:val="24"/>
          <w:szCs w:val="24"/>
        </w:rPr>
        <w:t>:</w:t>
      </w:r>
      <w:r w:rsidRPr="00DE69EF">
        <w:rPr>
          <w:rFonts w:ascii="Arial" w:hAnsi="Arial" w:cs="Arial"/>
          <w:sz w:val="24"/>
          <w:szCs w:val="24"/>
        </w:rPr>
        <w:t xml:space="preserve"> 20</w:t>
      </w:r>
      <w:r w:rsidRPr="00DE69EF">
        <w:rPr>
          <w:rFonts w:ascii="Arial" w:hAnsi="Arial" w:cs="Arial"/>
          <w:sz w:val="24"/>
          <w:szCs w:val="24"/>
          <w:vertAlign w:val="superscript"/>
        </w:rPr>
        <w:t>th</w:t>
      </w:r>
      <w:r w:rsidRPr="00DE69EF">
        <w:rPr>
          <w:rFonts w:ascii="Arial" w:hAnsi="Arial" w:cs="Arial"/>
          <w:sz w:val="24"/>
          <w:szCs w:val="24"/>
        </w:rPr>
        <w:t xml:space="preserve"> November 2025)</w:t>
      </w:r>
      <w:r>
        <w:rPr>
          <w:rFonts w:ascii="Arial" w:hAnsi="Arial" w:cs="Arial"/>
          <w:sz w:val="24"/>
          <w:szCs w:val="24"/>
        </w:rPr>
        <w:t>.</w:t>
      </w:r>
    </w:p>
    <w:p w14:paraId="2A1909BB" w14:textId="77777777" w:rsidR="00AB16E0" w:rsidRDefault="00AB16E0" w:rsidP="0057143B">
      <w:pPr>
        <w:spacing w:after="0"/>
        <w:rPr>
          <w:rFonts w:ascii="Arial" w:hAnsi="Arial" w:cs="Arial"/>
          <w:sz w:val="24"/>
          <w:szCs w:val="24"/>
        </w:rPr>
      </w:pPr>
    </w:p>
    <w:p w14:paraId="2972777C" w14:textId="736427DD" w:rsidR="00836B97" w:rsidRDefault="00836B97">
      <w:pPr>
        <w:rPr>
          <w:rFonts w:ascii="Arial" w:hAnsi="Arial" w:cs="Arial"/>
          <w:sz w:val="24"/>
          <w:szCs w:val="24"/>
        </w:rPr>
      </w:pPr>
      <w:r>
        <w:rPr>
          <w:rFonts w:ascii="Arial" w:hAnsi="Arial" w:cs="Arial"/>
          <w:sz w:val="24"/>
          <w:szCs w:val="24"/>
        </w:rPr>
        <w:br w:type="page"/>
      </w:r>
    </w:p>
    <w:p w14:paraId="3638CA0F" w14:textId="77777777" w:rsidR="003B68E1" w:rsidRPr="00836B97" w:rsidRDefault="003B68E1" w:rsidP="003B68E1">
      <w:pPr>
        <w:spacing w:after="0"/>
        <w:rPr>
          <w:rFonts w:ascii="Arial" w:hAnsi="Arial" w:cs="Arial"/>
          <w:b/>
          <w:bCs/>
          <w:sz w:val="24"/>
          <w:szCs w:val="24"/>
        </w:rPr>
      </w:pPr>
      <w:r w:rsidRPr="00836B97">
        <w:rPr>
          <w:rFonts w:ascii="Arial" w:hAnsi="Arial" w:cs="Arial"/>
          <w:b/>
          <w:bCs/>
          <w:sz w:val="24"/>
          <w:szCs w:val="24"/>
        </w:rPr>
        <w:lastRenderedPageBreak/>
        <w:t>Appendix 1</w:t>
      </w:r>
    </w:p>
    <w:p w14:paraId="3BAC7598" w14:textId="52F7C3AD" w:rsidR="003B68E1" w:rsidRPr="00836B97" w:rsidRDefault="003B68E1" w:rsidP="003B68E1">
      <w:pPr>
        <w:spacing w:after="0"/>
        <w:rPr>
          <w:rFonts w:ascii="Arial" w:hAnsi="Arial" w:cs="Arial"/>
          <w:b/>
          <w:bCs/>
          <w:sz w:val="24"/>
          <w:szCs w:val="24"/>
        </w:rPr>
      </w:pPr>
      <w:r>
        <w:rPr>
          <w:rFonts w:ascii="Arial" w:hAnsi="Arial" w:cs="Arial"/>
          <w:b/>
          <w:bCs/>
          <w:sz w:val="24"/>
          <w:szCs w:val="24"/>
        </w:rPr>
        <w:t xml:space="preserve">PESTLE </w:t>
      </w:r>
      <w:r w:rsidRPr="00836B97">
        <w:rPr>
          <w:rFonts w:ascii="Arial" w:hAnsi="Arial" w:cs="Arial"/>
          <w:b/>
          <w:bCs/>
          <w:sz w:val="24"/>
          <w:szCs w:val="24"/>
        </w:rPr>
        <w:t>analysis template</w:t>
      </w:r>
    </w:p>
    <w:p w14:paraId="76A706F4" w14:textId="77777777" w:rsidR="003B68E1" w:rsidRDefault="003B68E1" w:rsidP="0057143B">
      <w:pPr>
        <w:spacing w:after="0"/>
        <w:rPr>
          <w:rFonts w:ascii="Arial" w:hAnsi="Arial" w:cs="Arial"/>
          <w:b/>
          <w:bCs/>
          <w:sz w:val="24"/>
          <w:szCs w:val="24"/>
        </w:rPr>
      </w:pPr>
    </w:p>
    <w:p w14:paraId="48C185FE" w14:textId="442D4B10" w:rsidR="003B68E1" w:rsidRDefault="003B68E1" w:rsidP="0057143B">
      <w:pPr>
        <w:spacing w:after="0"/>
        <w:rPr>
          <w:rFonts w:ascii="Arial" w:hAnsi="Arial" w:cs="Arial"/>
          <w:b/>
          <w:bCs/>
          <w:sz w:val="24"/>
          <w:szCs w:val="24"/>
        </w:rPr>
      </w:pPr>
      <w:r w:rsidRPr="00836B97">
        <w:rPr>
          <w:rFonts w:ascii="Arial" w:hAnsi="Arial" w:cs="Arial"/>
          <w:noProof/>
          <w:sz w:val="24"/>
          <w:szCs w:val="24"/>
        </w:rPr>
        <w:drawing>
          <wp:inline distT="0" distB="0" distL="0" distR="0" wp14:anchorId="18A581A7" wp14:editId="206B992B">
            <wp:extent cx="5494020" cy="7784070"/>
            <wp:effectExtent l="0" t="0" r="0" b="7620"/>
            <wp:docPr id="1270281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281216" name=""/>
                    <pic:cNvPicPr/>
                  </pic:nvPicPr>
                  <pic:blipFill>
                    <a:blip r:embed="rId47"/>
                    <a:stretch>
                      <a:fillRect/>
                    </a:stretch>
                  </pic:blipFill>
                  <pic:spPr>
                    <a:xfrm>
                      <a:off x="0" y="0"/>
                      <a:ext cx="5496543" cy="7787645"/>
                    </a:xfrm>
                    <a:prstGeom prst="rect">
                      <a:avLst/>
                    </a:prstGeom>
                  </pic:spPr>
                </pic:pic>
              </a:graphicData>
            </a:graphic>
          </wp:inline>
        </w:drawing>
      </w:r>
    </w:p>
    <w:p w14:paraId="1E7620D5" w14:textId="7C4937C4" w:rsidR="003B68E1" w:rsidRDefault="003B68E1" w:rsidP="0057143B">
      <w:pPr>
        <w:spacing w:after="0"/>
        <w:rPr>
          <w:rFonts w:ascii="Arial" w:hAnsi="Arial" w:cs="Arial"/>
          <w:b/>
          <w:bCs/>
          <w:sz w:val="24"/>
          <w:szCs w:val="24"/>
        </w:rPr>
      </w:pPr>
      <w:r w:rsidRPr="00836B97">
        <w:rPr>
          <w:rFonts w:ascii="Arial" w:hAnsi="Arial" w:cs="Arial"/>
          <w:noProof/>
          <w:sz w:val="24"/>
          <w:szCs w:val="24"/>
        </w:rPr>
        <w:lastRenderedPageBreak/>
        <w:drawing>
          <wp:inline distT="0" distB="0" distL="0" distR="0" wp14:anchorId="1FED49B3" wp14:editId="6D31164A">
            <wp:extent cx="5478780" cy="7388050"/>
            <wp:effectExtent l="0" t="0" r="7620" b="3810"/>
            <wp:docPr id="1776211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211298" name=""/>
                    <pic:cNvPicPr/>
                  </pic:nvPicPr>
                  <pic:blipFill>
                    <a:blip r:embed="rId48"/>
                    <a:stretch>
                      <a:fillRect/>
                    </a:stretch>
                  </pic:blipFill>
                  <pic:spPr>
                    <a:xfrm>
                      <a:off x="0" y="0"/>
                      <a:ext cx="5483239" cy="7394062"/>
                    </a:xfrm>
                    <a:prstGeom prst="rect">
                      <a:avLst/>
                    </a:prstGeom>
                  </pic:spPr>
                </pic:pic>
              </a:graphicData>
            </a:graphic>
          </wp:inline>
        </w:drawing>
      </w:r>
    </w:p>
    <w:p w14:paraId="4703F270" w14:textId="77777777" w:rsidR="003B68E1" w:rsidRDefault="003B68E1" w:rsidP="0057143B">
      <w:pPr>
        <w:spacing w:after="0"/>
        <w:rPr>
          <w:rFonts w:ascii="Arial" w:hAnsi="Arial" w:cs="Arial"/>
          <w:b/>
          <w:bCs/>
          <w:sz w:val="24"/>
          <w:szCs w:val="24"/>
        </w:rPr>
      </w:pPr>
    </w:p>
    <w:p w14:paraId="12978108" w14:textId="77777777" w:rsidR="003B68E1" w:rsidRDefault="003B68E1" w:rsidP="0057143B">
      <w:pPr>
        <w:spacing w:after="0"/>
        <w:rPr>
          <w:rFonts w:ascii="Arial" w:hAnsi="Arial" w:cs="Arial"/>
          <w:b/>
          <w:bCs/>
          <w:sz w:val="24"/>
          <w:szCs w:val="24"/>
        </w:rPr>
      </w:pPr>
    </w:p>
    <w:p w14:paraId="32914BDC" w14:textId="77777777" w:rsidR="003B68E1" w:rsidRDefault="003B68E1" w:rsidP="0057143B">
      <w:pPr>
        <w:spacing w:after="0"/>
        <w:rPr>
          <w:rFonts w:ascii="Arial" w:hAnsi="Arial" w:cs="Arial"/>
          <w:b/>
          <w:bCs/>
          <w:sz w:val="24"/>
          <w:szCs w:val="24"/>
        </w:rPr>
      </w:pPr>
    </w:p>
    <w:p w14:paraId="48875EEF" w14:textId="77777777" w:rsidR="003B68E1" w:rsidRDefault="003B68E1" w:rsidP="0057143B">
      <w:pPr>
        <w:spacing w:after="0"/>
        <w:rPr>
          <w:rFonts w:ascii="Arial" w:hAnsi="Arial" w:cs="Arial"/>
          <w:b/>
          <w:bCs/>
          <w:sz w:val="24"/>
          <w:szCs w:val="24"/>
        </w:rPr>
      </w:pPr>
    </w:p>
    <w:p w14:paraId="39BEDB6E" w14:textId="77777777" w:rsidR="003B68E1" w:rsidRDefault="003B68E1" w:rsidP="0057143B">
      <w:pPr>
        <w:spacing w:after="0"/>
        <w:rPr>
          <w:rFonts w:ascii="Arial" w:hAnsi="Arial" w:cs="Arial"/>
          <w:b/>
          <w:bCs/>
          <w:sz w:val="24"/>
          <w:szCs w:val="24"/>
        </w:rPr>
      </w:pPr>
    </w:p>
    <w:p w14:paraId="72E91EEB" w14:textId="77777777" w:rsidR="003B68E1" w:rsidRDefault="003B68E1" w:rsidP="0057143B">
      <w:pPr>
        <w:spacing w:after="0"/>
        <w:rPr>
          <w:rFonts w:ascii="Arial" w:hAnsi="Arial" w:cs="Arial"/>
          <w:b/>
          <w:bCs/>
          <w:sz w:val="24"/>
          <w:szCs w:val="24"/>
        </w:rPr>
      </w:pPr>
    </w:p>
    <w:p w14:paraId="57E2FA76" w14:textId="77777777" w:rsidR="003B68E1" w:rsidRDefault="003B68E1" w:rsidP="0057143B">
      <w:pPr>
        <w:spacing w:after="0"/>
        <w:rPr>
          <w:rFonts w:ascii="Arial" w:hAnsi="Arial" w:cs="Arial"/>
          <w:b/>
          <w:bCs/>
          <w:sz w:val="24"/>
          <w:szCs w:val="24"/>
        </w:rPr>
      </w:pPr>
    </w:p>
    <w:p w14:paraId="645A334F" w14:textId="593DCA93" w:rsidR="0057143B" w:rsidRPr="00836B97" w:rsidRDefault="00836B97" w:rsidP="0057143B">
      <w:pPr>
        <w:spacing w:after="0"/>
        <w:rPr>
          <w:rFonts w:ascii="Arial" w:hAnsi="Arial" w:cs="Arial"/>
          <w:b/>
          <w:bCs/>
          <w:sz w:val="24"/>
          <w:szCs w:val="24"/>
        </w:rPr>
      </w:pPr>
      <w:r w:rsidRPr="00836B97">
        <w:rPr>
          <w:rFonts w:ascii="Arial" w:hAnsi="Arial" w:cs="Arial"/>
          <w:b/>
          <w:bCs/>
          <w:sz w:val="24"/>
          <w:szCs w:val="24"/>
        </w:rPr>
        <w:lastRenderedPageBreak/>
        <w:t xml:space="preserve">Appendix </w:t>
      </w:r>
      <w:r w:rsidR="003B68E1">
        <w:rPr>
          <w:rFonts w:ascii="Arial" w:hAnsi="Arial" w:cs="Arial"/>
          <w:b/>
          <w:bCs/>
          <w:sz w:val="24"/>
          <w:szCs w:val="24"/>
        </w:rPr>
        <w:t>2</w:t>
      </w:r>
    </w:p>
    <w:p w14:paraId="10AB9B77" w14:textId="4A5EFA87" w:rsidR="00836B97" w:rsidRPr="00836B97" w:rsidRDefault="00836B97" w:rsidP="0057143B">
      <w:pPr>
        <w:spacing w:after="0"/>
        <w:rPr>
          <w:rFonts w:ascii="Arial" w:hAnsi="Arial" w:cs="Arial"/>
          <w:b/>
          <w:bCs/>
          <w:sz w:val="24"/>
          <w:szCs w:val="24"/>
        </w:rPr>
      </w:pPr>
      <w:r w:rsidRPr="00836B97">
        <w:rPr>
          <w:rFonts w:ascii="Arial" w:hAnsi="Arial" w:cs="Arial"/>
          <w:b/>
          <w:bCs/>
          <w:sz w:val="24"/>
          <w:szCs w:val="24"/>
        </w:rPr>
        <w:t>Completed SWOT analysis example template</w:t>
      </w:r>
    </w:p>
    <w:p w14:paraId="332985EC" w14:textId="2786FB64" w:rsidR="00836B97" w:rsidRDefault="00836B97" w:rsidP="0057143B">
      <w:pPr>
        <w:spacing w:after="0"/>
        <w:rPr>
          <w:rFonts w:ascii="Arial" w:hAnsi="Arial" w:cs="Arial"/>
          <w:sz w:val="24"/>
          <w:szCs w:val="24"/>
        </w:rPr>
      </w:pPr>
      <w:r w:rsidRPr="00836B97">
        <w:rPr>
          <w:rFonts w:ascii="Arial" w:hAnsi="Arial" w:cs="Arial"/>
          <w:noProof/>
          <w:sz w:val="24"/>
          <w:szCs w:val="24"/>
        </w:rPr>
        <w:drawing>
          <wp:inline distT="0" distB="0" distL="0" distR="0" wp14:anchorId="0066F8EB" wp14:editId="52E85409">
            <wp:extent cx="5532120" cy="4622562"/>
            <wp:effectExtent l="0" t="0" r="0" b="6985"/>
            <wp:docPr id="544937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937233" name=""/>
                    <pic:cNvPicPr/>
                  </pic:nvPicPr>
                  <pic:blipFill>
                    <a:blip r:embed="rId49"/>
                    <a:stretch>
                      <a:fillRect/>
                    </a:stretch>
                  </pic:blipFill>
                  <pic:spPr>
                    <a:xfrm>
                      <a:off x="0" y="0"/>
                      <a:ext cx="5537782" cy="4627293"/>
                    </a:xfrm>
                    <a:prstGeom prst="rect">
                      <a:avLst/>
                    </a:prstGeom>
                  </pic:spPr>
                </pic:pic>
              </a:graphicData>
            </a:graphic>
          </wp:inline>
        </w:drawing>
      </w:r>
    </w:p>
    <w:p w14:paraId="25A4F999" w14:textId="13F97101" w:rsidR="00836B97" w:rsidRDefault="00836B97" w:rsidP="0057143B">
      <w:pPr>
        <w:spacing w:after="0"/>
        <w:rPr>
          <w:rFonts w:ascii="Arial" w:hAnsi="Arial" w:cs="Arial"/>
          <w:sz w:val="24"/>
          <w:szCs w:val="24"/>
        </w:rPr>
      </w:pPr>
      <w:r w:rsidRPr="00836B97">
        <w:rPr>
          <w:rFonts w:ascii="Arial" w:hAnsi="Arial" w:cs="Arial"/>
          <w:noProof/>
          <w:sz w:val="24"/>
          <w:szCs w:val="24"/>
        </w:rPr>
        <w:drawing>
          <wp:inline distT="0" distB="0" distL="0" distR="0" wp14:anchorId="0D84E3F1" wp14:editId="40C69CBA">
            <wp:extent cx="5478780" cy="3439868"/>
            <wp:effectExtent l="0" t="0" r="7620" b="8255"/>
            <wp:docPr id="1038761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761848" name=""/>
                    <pic:cNvPicPr/>
                  </pic:nvPicPr>
                  <pic:blipFill>
                    <a:blip r:embed="rId50"/>
                    <a:stretch>
                      <a:fillRect/>
                    </a:stretch>
                  </pic:blipFill>
                  <pic:spPr>
                    <a:xfrm>
                      <a:off x="0" y="0"/>
                      <a:ext cx="5484660" cy="3443560"/>
                    </a:xfrm>
                    <a:prstGeom prst="rect">
                      <a:avLst/>
                    </a:prstGeom>
                  </pic:spPr>
                </pic:pic>
              </a:graphicData>
            </a:graphic>
          </wp:inline>
        </w:drawing>
      </w:r>
    </w:p>
    <w:p w14:paraId="6370EACF" w14:textId="77777777" w:rsidR="00836B97" w:rsidRDefault="00836B97">
      <w:pPr>
        <w:rPr>
          <w:rFonts w:ascii="Arial" w:hAnsi="Arial" w:cs="Arial"/>
          <w:sz w:val="24"/>
          <w:szCs w:val="24"/>
        </w:rPr>
      </w:pPr>
      <w:r>
        <w:rPr>
          <w:rFonts w:ascii="Arial" w:hAnsi="Arial" w:cs="Arial"/>
          <w:sz w:val="24"/>
          <w:szCs w:val="24"/>
        </w:rPr>
        <w:br w:type="page"/>
      </w:r>
    </w:p>
    <w:p w14:paraId="561FBB57" w14:textId="19540B1D" w:rsidR="00AB16E0" w:rsidRPr="00836B97" w:rsidRDefault="00AB16E0" w:rsidP="00AB16E0">
      <w:pPr>
        <w:spacing w:after="0"/>
        <w:rPr>
          <w:rFonts w:ascii="Arial" w:hAnsi="Arial" w:cs="Arial"/>
          <w:b/>
          <w:bCs/>
          <w:sz w:val="24"/>
          <w:szCs w:val="24"/>
        </w:rPr>
      </w:pPr>
      <w:r w:rsidRPr="00836B97">
        <w:rPr>
          <w:rFonts w:ascii="Arial" w:hAnsi="Arial" w:cs="Arial"/>
          <w:b/>
          <w:bCs/>
          <w:sz w:val="24"/>
          <w:szCs w:val="24"/>
        </w:rPr>
        <w:lastRenderedPageBreak/>
        <w:t xml:space="preserve">Appendix </w:t>
      </w:r>
      <w:r w:rsidR="003B68E1">
        <w:rPr>
          <w:rFonts w:ascii="Arial" w:hAnsi="Arial" w:cs="Arial"/>
          <w:b/>
          <w:bCs/>
          <w:sz w:val="24"/>
          <w:szCs w:val="24"/>
        </w:rPr>
        <w:t>3</w:t>
      </w:r>
    </w:p>
    <w:p w14:paraId="1A62D418" w14:textId="3A2FBDDC" w:rsidR="00AB16E0" w:rsidRPr="00836B97" w:rsidRDefault="00AB16E0" w:rsidP="00AB16E0">
      <w:pPr>
        <w:spacing w:after="0"/>
        <w:rPr>
          <w:rFonts w:ascii="Arial" w:hAnsi="Arial" w:cs="Arial"/>
          <w:b/>
          <w:bCs/>
          <w:sz w:val="24"/>
          <w:szCs w:val="24"/>
        </w:rPr>
      </w:pPr>
      <w:r>
        <w:rPr>
          <w:rFonts w:ascii="Arial" w:hAnsi="Arial" w:cs="Arial"/>
          <w:b/>
          <w:bCs/>
          <w:sz w:val="24"/>
          <w:szCs w:val="24"/>
        </w:rPr>
        <w:t>Porters Five Forces Framework</w:t>
      </w:r>
    </w:p>
    <w:p w14:paraId="4548ECB4" w14:textId="775F0DAB" w:rsidR="00AB16E0" w:rsidRDefault="00AB16E0" w:rsidP="00AB16E0">
      <w:pPr>
        <w:spacing w:after="0"/>
        <w:jc w:val="center"/>
        <w:rPr>
          <w:rFonts w:ascii="Arial" w:hAnsi="Arial" w:cs="Arial"/>
          <w:b/>
          <w:bCs/>
          <w:sz w:val="24"/>
          <w:szCs w:val="24"/>
        </w:rPr>
      </w:pPr>
      <w:r w:rsidRPr="00AB16E0">
        <w:rPr>
          <w:rFonts w:ascii="Arial" w:hAnsi="Arial" w:cs="Arial"/>
          <w:b/>
          <w:bCs/>
          <w:noProof/>
          <w:sz w:val="24"/>
          <w:szCs w:val="24"/>
        </w:rPr>
        <w:drawing>
          <wp:inline distT="0" distB="0" distL="0" distR="0" wp14:anchorId="149C58E0" wp14:editId="5BBC1ED9">
            <wp:extent cx="4503420" cy="3770479"/>
            <wp:effectExtent l="0" t="0" r="0" b="1905"/>
            <wp:docPr id="57943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43519" name=""/>
                    <pic:cNvPicPr/>
                  </pic:nvPicPr>
                  <pic:blipFill>
                    <a:blip r:embed="rId51"/>
                    <a:stretch>
                      <a:fillRect/>
                    </a:stretch>
                  </pic:blipFill>
                  <pic:spPr>
                    <a:xfrm>
                      <a:off x="0" y="0"/>
                      <a:ext cx="4509077" cy="3775216"/>
                    </a:xfrm>
                    <a:prstGeom prst="rect">
                      <a:avLst/>
                    </a:prstGeom>
                  </pic:spPr>
                </pic:pic>
              </a:graphicData>
            </a:graphic>
          </wp:inline>
        </w:drawing>
      </w:r>
    </w:p>
    <w:p w14:paraId="32D276CE" w14:textId="77777777" w:rsidR="00AB16E0" w:rsidRDefault="00AB16E0" w:rsidP="0057143B">
      <w:pPr>
        <w:spacing w:after="0"/>
        <w:rPr>
          <w:rFonts w:ascii="Arial" w:hAnsi="Arial" w:cs="Arial"/>
          <w:b/>
          <w:bCs/>
          <w:sz w:val="24"/>
          <w:szCs w:val="24"/>
        </w:rPr>
      </w:pPr>
    </w:p>
    <w:p w14:paraId="4750F811" w14:textId="3398FA6C" w:rsidR="00AB16E0" w:rsidRDefault="00AB16E0" w:rsidP="00AB16E0">
      <w:pPr>
        <w:spacing w:after="0"/>
        <w:jc w:val="center"/>
        <w:rPr>
          <w:rFonts w:ascii="Arial" w:hAnsi="Arial" w:cs="Arial"/>
          <w:b/>
          <w:bCs/>
          <w:sz w:val="24"/>
          <w:szCs w:val="24"/>
        </w:rPr>
      </w:pPr>
      <w:r w:rsidRPr="00AB16E0">
        <w:rPr>
          <w:rFonts w:ascii="Arial" w:hAnsi="Arial" w:cs="Arial"/>
          <w:b/>
          <w:bCs/>
          <w:noProof/>
          <w:sz w:val="24"/>
          <w:szCs w:val="24"/>
        </w:rPr>
        <w:drawing>
          <wp:inline distT="0" distB="0" distL="0" distR="0" wp14:anchorId="0ECBC366" wp14:editId="68169CD4">
            <wp:extent cx="4539630" cy="3139440"/>
            <wp:effectExtent l="0" t="0" r="0" b="3810"/>
            <wp:docPr id="1123756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756995" name=""/>
                    <pic:cNvPicPr/>
                  </pic:nvPicPr>
                  <pic:blipFill>
                    <a:blip r:embed="rId52"/>
                    <a:stretch>
                      <a:fillRect/>
                    </a:stretch>
                  </pic:blipFill>
                  <pic:spPr>
                    <a:xfrm>
                      <a:off x="0" y="0"/>
                      <a:ext cx="4548112" cy="3145306"/>
                    </a:xfrm>
                    <a:prstGeom prst="rect">
                      <a:avLst/>
                    </a:prstGeom>
                  </pic:spPr>
                </pic:pic>
              </a:graphicData>
            </a:graphic>
          </wp:inline>
        </w:drawing>
      </w:r>
    </w:p>
    <w:p w14:paraId="36021D3B" w14:textId="77777777" w:rsidR="00AB16E0" w:rsidRDefault="00AB16E0" w:rsidP="0057143B">
      <w:pPr>
        <w:spacing w:after="0"/>
        <w:rPr>
          <w:rFonts w:ascii="Arial" w:hAnsi="Arial" w:cs="Arial"/>
          <w:b/>
          <w:bCs/>
          <w:sz w:val="24"/>
          <w:szCs w:val="24"/>
        </w:rPr>
      </w:pPr>
    </w:p>
    <w:p w14:paraId="4544B61C" w14:textId="77777777" w:rsidR="00AB16E0" w:rsidRDefault="00AB16E0" w:rsidP="0057143B">
      <w:pPr>
        <w:spacing w:after="0"/>
        <w:rPr>
          <w:rFonts w:ascii="Arial" w:hAnsi="Arial" w:cs="Arial"/>
          <w:b/>
          <w:bCs/>
          <w:sz w:val="24"/>
          <w:szCs w:val="24"/>
        </w:rPr>
      </w:pPr>
    </w:p>
    <w:p w14:paraId="5E85B033" w14:textId="410D4C66" w:rsidR="00AB16E0" w:rsidRDefault="00AB16E0">
      <w:pPr>
        <w:rPr>
          <w:rFonts w:ascii="Arial" w:hAnsi="Arial" w:cs="Arial"/>
          <w:b/>
          <w:bCs/>
          <w:sz w:val="24"/>
          <w:szCs w:val="24"/>
        </w:rPr>
      </w:pPr>
    </w:p>
    <w:sectPr w:rsidR="00AB16E0">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BE9FB" w14:textId="77777777" w:rsidR="005F6BBD" w:rsidRDefault="005F6BBD" w:rsidP="005F6BBD">
      <w:pPr>
        <w:spacing w:after="0" w:line="240" w:lineRule="auto"/>
      </w:pPr>
      <w:r>
        <w:separator/>
      </w:r>
    </w:p>
  </w:endnote>
  <w:endnote w:type="continuationSeparator" w:id="0">
    <w:p w14:paraId="68120712" w14:textId="77777777" w:rsidR="005F6BBD" w:rsidRDefault="005F6BBD" w:rsidP="005F6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7043588"/>
      <w:docPartObj>
        <w:docPartGallery w:val="Page Numbers (Bottom of Page)"/>
        <w:docPartUnique/>
      </w:docPartObj>
    </w:sdtPr>
    <w:sdtEndPr>
      <w:rPr>
        <w:noProof/>
      </w:rPr>
    </w:sdtEndPr>
    <w:sdtContent>
      <w:p w14:paraId="03DB95B9" w14:textId="7A0F6A3A" w:rsidR="005F6BBD" w:rsidRDefault="005F6BBD">
        <w:pPr>
          <w:pStyle w:val="Footer"/>
          <w:jc w:val="center"/>
        </w:pPr>
        <w:r w:rsidRPr="00553FE2">
          <w:rPr>
            <w:rFonts w:ascii="Arial" w:hAnsi="Arial" w:cs="Arial"/>
            <w:sz w:val="24"/>
            <w:szCs w:val="24"/>
          </w:rPr>
          <w:fldChar w:fldCharType="begin"/>
        </w:r>
        <w:r w:rsidRPr="00553FE2">
          <w:rPr>
            <w:rFonts w:ascii="Arial" w:hAnsi="Arial" w:cs="Arial"/>
            <w:sz w:val="24"/>
            <w:szCs w:val="24"/>
          </w:rPr>
          <w:instrText xml:space="preserve"> PAGE   \* MERGEFORMAT </w:instrText>
        </w:r>
        <w:r w:rsidRPr="00553FE2">
          <w:rPr>
            <w:rFonts w:ascii="Arial" w:hAnsi="Arial" w:cs="Arial"/>
            <w:sz w:val="24"/>
            <w:szCs w:val="24"/>
          </w:rPr>
          <w:fldChar w:fldCharType="separate"/>
        </w:r>
        <w:r w:rsidRPr="00553FE2">
          <w:rPr>
            <w:rFonts w:ascii="Arial" w:hAnsi="Arial" w:cs="Arial"/>
            <w:noProof/>
            <w:sz w:val="24"/>
            <w:szCs w:val="24"/>
          </w:rPr>
          <w:t>2</w:t>
        </w:r>
        <w:r w:rsidRPr="00553FE2">
          <w:rPr>
            <w:rFonts w:ascii="Arial" w:hAnsi="Arial" w:cs="Arial"/>
            <w:noProof/>
            <w:sz w:val="24"/>
            <w:szCs w:val="24"/>
          </w:rPr>
          <w:fldChar w:fldCharType="end"/>
        </w:r>
      </w:p>
    </w:sdtContent>
  </w:sdt>
  <w:p w14:paraId="117EDE6B" w14:textId="77777777" w:rsidR="005F6BBD" w:rsidRDefault="005F6B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0403E" w14:textId="77777777" w:rsidR="005F6BBD" w:rsidRDefault="005F6BBD" w:rsidP="005F6BBD">
      <w:pPr>
        <w:spacing w:after="0" w:line="240" w:lineRule="auto"/>
      </w:pPr>
      <w:r>
        <w:separator/>
      </w:r>
    </w:p>
  </w:footnote>
  <w:footnote w:type="continuationSeparator" w:id="0">
    <w:p w14:paraId="1DCE66D2" w14:textId="77777777" w:rsidR="005F6BBD" w:rsidRDefault="005F6BBD" w:rsidP="005F6B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D0155"/>
    <w:multiLevelType w:val="hybridMultilevel"/>
    <w:tmpl w:val="44446CE4"/>
    <w:lvl w:ilvl="0" w:tplc="9E7A4D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F46920"/>
    <w:multiLevelType w:val="hybridMultilevel"/>
    <w:tmpl w:val="E3586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5109A"/>
    <w:multiLevelType w:val="multilevel"/>
    <w:tmpl w:val="3586C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6366C8"/>
    <w:multiLevelType w:val="hybridMultilevel"/>
    <w:tmpl w:val="8E2CC84C"/>
    <w:lvl w:ilvl="0" w:tplc="DE308FA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077F07"/>
    <w:multiLevelType w:val="multilevel"/>
    <w:tmpl w:val="10F2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C872BA"/>
    <w:multiLevelType w:val="hybridMultilevel"/>
    <w:tmpl w:val="179410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170607">
    <w:abstractNumId w:val="0"/>
  </w:num>
  <w:num w:numId="2" w16cid:durableId="1655254947">
    <w:abstractNumId w:val="5"/>
  </w:num>
  <w:num w:numId="3" w16cid:durableId="18895844">
    <w:abstractNumId w:val="3"/>
  </w:num>
  <w:num w:numId="4" w16cid:durableId="1961062304">
    <w:abstractNumId w:val="4"/>
  </w:num>
  <w:num w:numId="5" w16cid:durableId="1856725039">
    <w:abstractNumId w:val="2"/>
  </w:num>
  <w:num w:numId="6" w16cid:durableId="1554735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43B"/>
    <w:rsid w:val="0007226C"/>
    <w:rsid w:val="00112A94"/>
    <w:rsid w:val="00163700"/>
    <w:rsid w:val="001908B7"/>
    <w:rsid w:val="00190A46"/>
    <w:rsid w:val="001F3959"/>
    <w:rsid w:val="00205C10"/>
    <w:rsid w:val="002138E9"/>
    <w:rsid w:val="00266F31"/>
    <w:rsid w:val="00332EF3"/>
    <w:rsid w:val="003347E7"/>
    <w:rsid w:val="003B68E1"/>
    <w:rsid w:val="0043399C"/>
    <w:rsid w:val="0048057D"/>
    <w:rsid w:val="0049345A"/>
    <w:rsid w:val="004D3D5A"/>
    <w:rsid w:val="004D4A29"/>
    <w:rsid w:val="004F4EAA"/>
    <w:rsid w:val="00504BA3"/>
    <w:rsid w:val="00535484"/>
    <w:rsid w:val="00535640"/>
    <w:rsid w:val="00553FE2"/>
    <w:rsid w:val="00554511"/>
    <w:rsid w:val="0057143B"/>
    <w:rsid w:val="00575B68"/>
    <w:rsid w:val="005B3443"/>
    <w:rsid w:val="005D1FDA"/>
    <w:rsid w:val="005E4DAD"/>
    <w:rsid w:val="005F6BBD"/>
    <w:rsid w:val="006328FF"/>
    <w:rsid w:val="006C163B"/>
    <w:rsid w:val="006D65AB"/>
    <w:rsid w:val="00733D28"/>
    <w:rsid w:val="00741A49"/>
    <w:rsid w:val="00760EA7"/>
    <w:rsid w:val="007A3AE1"/>
    <w:rsid w:val="007B38FC"/>
    <w:rsid w:val="007C4F5B"/>
    <w:rsid w:val="007E4497"/>
    <w:rsid w:val="00810DA4"/>
    <w:rsid w:val="00823972"/>
    <w:rsid w:val="00836B97"/>
    <w:rsid w:val="00880E8C"/>
    <w:rsid w:val="008E4B0A"/>
    <w:rsid w:val="008F029F"/>
    <w:rsid w:val="0090279F"/>
    <w:rsid w:val="00975184"/>
    <w:rsid w:val="00A0721F"/>
    <w:rsid w:val="00A138CE"/>
    <w:rsid w:val="00A546A0"/>
    <w:rsid w:val="00A85C58"/>
    <w:rsid w:val="00AB0F9F"/>
    <w:rsid w:val="00AB16E0"/>
    <w:rsid w:val="00B02DF6"/>
    <w:rsid w:val="00B407D6"/>
    <w:rsid w:val="00B648DB"/>
    <w:rsid w:val="00B6506E"/>
    <w:rsid w:val="00B87082"/>
    <w:rsid w:val="00BE4C87"/>
    <w:rsid w:val="00C01AF7"/>
    <w:rsid w:val="00C64782"/>
    <w:rsid w:val="00C75600"/>
    <w:rsid w:val="00D375B5"/>
    <w:rsid w:val="00D91068"/>
    <w:rsid w:val="00DB549C"/>
    <w:rsid w:val="00DC6C4A"/>
    <w:rsid w:val="00DE69EF"/>
    <w:rsid w:val="00DF5E23"/>
    <w:rsid w:val="00E01B35"/>
    <w:rsid w:val="00EA4844"/>
    <w:rsid w:val="00F1592C"/>
    <w:rsid w:val="00F856F8"/>
    <w:rsid w:val="00FF4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1F5BA"/>
  <w15:chartTrackingRefBased/>
  <w15:docId w15:val="{2ABB767B-7C04-48CA-AE0B-631E47F07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4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714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714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714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714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714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14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4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4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43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714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7143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7143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7143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714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14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4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43B"/>
    <w:rPr>
      <w:rFonts w:eastAsiaTheme="majorEastAsia" w:cstheme="majorBidi"/>
      <w:color w:val="272727" w:themeColor="text1" w:themeTint="D8"/>
    </w:rPr>
  </w:style>
  <w:style w:type="paragraph" w:styleId="Title">
    <w:name w:val="Title"/>
    <w:basedOn w:val="Normal"/>
    <w:next w:val="Normal"/>
    <w:link w:val="TitleChar"/>
    <w:uiPriority w:val="10"/>
    <w:qFormat/>
    <w:rsid w:val="005714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4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4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4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43B"/>
    <w:pPr>
      <w:spacing w:before="160"/>
      <w:jc w:val="center"/>
    </w:pPr>
    <w:rPr>
      <w:i/>
      <w:iCs/>
      <w:color w:val="404040" w:themeColor="text1" w:themeTint="BF"/>
    </w:rPr>
  </w:style>
  <w:style w:type="character" w:customStyle="1" w:styleId="QuoteChar">
    <w:name w:val="Quote Char"/>
    <w:basedOn w:val="DefaultParagraphFont"/>
    <w:link w:val="Quote"/>
    <w:uiPriority w:val="29"/>
    <w:rsid w:val="0057143B"/>
    <w:rPr>
      <w:i/>
      <w:iCs/>
      <w:color w:val="404040" w:themeColor="text1" w:themeTint="BF"/>
    </w:rPr>
  </w:style>
  <w:style w:type="paragraph" w:styleId="ListParagraph">
    <w:name w:val="List Paragraph"/>
    <w:basedOn w:val="Normal"/>
    <w:uiPriority w:val="34"/>
    <w:qFormat/>
    <w:rsid w:val="0057143B"/>
    <w:pPr>
      <w:ind w:left="720"/>
      <w:contextualSpacing/>
    </w:pPr>
  </w:style>
  <w:style w:type="character" w:styleId="IntenseEmphasis">
    <w:name w:val="Intense Emphasis"/>
    <w:basedOn w:val="DefaultParagraphFont"/>
    <w:uiPriority w:val="21"/>
    <w:qFormat/>
    <w:rsid w:val="0057143B"/>
    <w:rPr>
      <w:i/>
      <w:iCs/>
      <w:color w:val="2F5496" w:themeColor="accent1" w:themeShade="BF"/>
    </w:rPr>
  </w:style>
  <w:style w:type="paragraph" w:styleId="IntenseQuote">
    <w:name w:val="Intense Quote"/>
    <w:basedOn w:val="Normal"/>
    <w:next w:val="Normal"/>
    <w:link w:val="IntenseQuoteChar"/>
    <w:uiPriority w:val="30"/>
    <w:qFormat/>
    <w:rsid w:val="005714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143B"/>
    <w:rPr>
      <w:i/>
      <w:iCs/>
      <w:color w:val="2F5496" w:themeColor="accent1" w:themeShade="BF"/>
    </w:rPr>
  </w:style>
  <w:style w:type="character" w:styleId="IntenseReference">
    <w:name w:val="Intense Reference"/>
    <w:basedOn w:val="DefaultParagraphFont"/>
    <w:uiPriority w:val="32"/>
    <w:qFormat/>
    <w:rsid w:val="0057143B"/>
    <w:rPr>
      <w:b/>
      <w:bCs/>
      <w:smallCaps/>
      <w:color w:val="2F5496" w:themeColor="accent1" w:themeShade="BF"/>
      <w:spacing w:val="5"/>
    </w:rPr>
  </w:style>
  <w:style w:type="table" w:styleId="TableGrid">
    <w:name w:val="Table Grid"/>
    <w:basedOn w:val="TableNormal"/>
    <w:uiPriority w:val="39"/>
    <w:rsid w:val="005F6BBD"/>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6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BBD"/>
  </w:style>
  <w:style w:type="paragraph" w:styleId="Footer">
    <w:name w:val="footer"/>
    <w:basedOn w:val="Normal"/>
    <w:link w:val="FooterChar"/>
    <w:uiPriority w:val="99"/>
    <w:unhideWhenUsed/>
    <w:rsid w:val="005F6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BBD"/>
  </w:style>
  <w:style w:type="character" w:styleId="Hyperlink">
    <w:name w:val="Hyperlink"/>
    <w:basedOn w:val="DefaultParagraphFont"/>
    <w:uiPriority w:val="99"/>
    <w:unhideWhenUsed/>
    <w:rsid w:val="00B87082"/>
    <w:rPr>
      <w:color w:val="0563C1" w:themeColor="hyperlink"/>
      <w:u w:val="single"/>
    </w:rPr>
  </w:style>
  <w:style w:type="character" w:styleId="FollowedHyperlink">
    <w:name w:val="FollowedHyperlink"/>
    <w:basedOn w:val="DefaultParagraphFont"/>
    <w:uiPriority w:val="99"/>
    <w:semiHidden/>
    <w:unhideWhenUsed/>
    <w:rsid w:val="00DE69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396564">
      <w:bodyDiv w:val="1"/>
      <w:marLeft w:val="0"/>
      <w:marRight w:val="0"/>
      <w:marTop w:val="0"/>
      <w:marBottom w:val="0"/>
      <w:divBdr>
        <w:top w:val="none" w:sz="0" w:space="0" w:color="auto"/>
        <w:left w:val="none" w:sz="0" w:space="0" w:color="auto"/>
        <w:bottom w:val="none" w:sz="0" w:space="0" w:color="auto"/>
        <w:right w:val="none" w:sz="0" w:space="0" w:color="auto"/>
      </w:divBdr>
    </w:div>
    <w:div w:id="479806349">
      <w:bodyDiv w:val="1"/>
      <w:marLeft w:val="0"/>
      <w:marRight w:val="0"/>
      <w:marTop w:val="0"/>
      <w:marBottom w:val="0"/>
      <w:divBdr>
        <w:top w:val="none" w:sz="0" w:space="0" w:color="auto"/>
        <w:left w:val="none" w:sz="0" w:space="0" w:color="auto"/>
        <w:bottom w:val="none" w:sz="0" w:space="0" w:color="auto"/>
        <w:right w:val="none" w:sz="0" w:space="0" w:color="auto"/>
      </w:divBdr>
    </w:div>
    <w:div w:id="821653662">
      <w:bodyDiv w:val="1"/>
      <w:marLeft w:val="0"/>
      <w:marRight w:val="0"/>
      <w:marTop w:val="0"/>
      <w:marBottom w:val="0"/>
      <w:divBdr>
        <w:top w:val="none" w:sz="0" w:space="0" w:color="auto"/>
        <w:left w:val="none" w:sz="0" w:space="0" w:color="auto"/>
        <w:bottom w:val="none" w:sz="0" w:space="0" w:color="auto"/>
        <w:right w:val="none" w:sz="0" w:space="0" w:color="auto"/>
      </w:divBdr>
    </w:div>
    <w:div w:id="942760940">
      <w:bodyDiv w:val="1"/>
      <w:marLeft w:val="0"/>
      <w:marRight w:val="0"/>
      <w:marTop w:val="0"/>
      <w:marBottom w:val="0"/>
      <w:divBdr>
        <w:top w:val="none" w:sz="0" w:space="0" w:color="auto"/>
        <w:left w:val="none" w:sz="0" w:space="0" w:color="auto"/>
        <w:bottom w:val="none" w:sz="0" w:space="0" w:color="auto"/>
        <w:right w:val="none" w:sz="0" w:space="0" w:color="auto"/>
      </w:divBdr>
    </w:div>
    <w:div w:id="1026832759">
      <w:bodyDiv w:val="1"/>
      <w:marLeft w:val="0"/>
      <w:marRight w:val="0"/>
      <w:marTop w:val="0"/>
      <w:marBottom w:val="0"/>
      <w:divBdr>
        <w:top w:val="none" w:sz="0" w:space="0" w:color="auto"/>
        <w:left w:val="none" w:sz="0" w:space="0" w:color="auto"/>
        <w:bottom w:val="none" w:sz="0" w:space="0" w:color="auto"/>
        <w:right w:val="none" w:sz="0" w:space="0" w:color="auto"/>
      </w:divBdr>
    </w:div>
    <w:div w:id="1100835409">
      <w:bodyDiv w:val="1"/>
      <w:marLeft w:val="0"/>
      <w:marRight w:val="0"/>
      <w:marTop w:val="0"/>
      <w:marBottom w:val="0"/>
      <w:divBdr>
        <w:top w:val="none" w:sz="0" w:space="0" w:color="auto"/>
        <w:left w:val="none" w:sz="0" w:space="0" w:color="auto"/>
        <w:bottom w:val="none" w:sz="0" w:space="0" w:color="auto"/>
        <w:right w:val="none" w:sz="0" w:space="0" w:color="auto"/>
      </w:divBdr>
    </w:div>
    <w:div w:id="1123187266">
      <w:bodyDiv w:val="1"/>
      <w:marLeft w:val="0"/>
      <w:marRight w:val="0"/>
      <w:marTop w:val="0"/>
      <w:marBottom w:val="0"/>
      <w:divBdr>
        <w:top w:val="none" w:sz="0" w:space="0" w:color="auto"/>
        <w:left w:val="none" w:sz="0" w:space="0" w:color="auto"/>
        <w:bottom w:val="none" w:sz="0" w:space="0" w:color="auto"/>
        <w:right w:val="none" w:sz="0" w:space="0" w:color="auto"/>
      </w:divBdr>
    </w:div>
    <w:div w:id="1202398533">
      <w:bodyDiv w:val="1"/>
      <w:marLeft w:val="0"/>
      <w:marRight w:val="0"/>
      <w:marTop w:val="0"/>
      <w:marBottom w:val="0"/>
      <w:divBdr>
        <w:top w:val="none" w:sz="0" w:space="0" w:color="auto"/>
        <w:left w:val="none" w:sz="0" w:space="0" w:color="auto"/>
        <w:bottom w:val="none" w:sz="0" w:space="0" w:color="auto"/>
        <w:right w:val="none" w:sz="0" w:space="0" w:color="auto"/>
      </w:divBdr>
    </w:div>
    <w:div w:id="1551727675">
      <w:bodyDiv w:val="1"/>
      <w:marLeft w:val="0"/>
      <w:marRight w:val="0"/>
      <w:marTop w:val="0"/>
      <w:marBottom w:val="0"/>
      <w:divBdr>
        <w:top w:val="none" w:sz="0" w:space="0" w:color="auto"/>
        <w:left w:val="none" w:sz="0" w:space="0" w:color="auto"/>
        <w:bottom w:val="none" w:sz="0" w:space="0" w:color="auto"/>
        <w:right w:val="none" w:sz="0" w:space="0" w:color="auto"/>
      </w:divBdr>
    </w:div>
    <w:div w:id="1859853829">
      <w:bodyDiv w:val="1"/>
      <w:marLeft w:val="0"/>
      <w:marRight w:val="0"/>
      <w:marTop w:val="0"/>
      <w:marBottom w:val="0"/>
      <w:divBdr>
        <w:top w:val="none" w:sz="0" w:space="0" w:color="auto"/>
        <w:left w:val="none" w:sz="0" w:space="0" w:color="auto"/>
        <w:bottom w:val="none" w:sz="0" w:space="0" w:color="auto"/>
        <w:right w:val="none" w:sz="0" w:space="0" w:color="auto"/>
      </w:divBdr>
    </w:div>
    <w:div w:id="1885747228">
      <w:bodyDiv w:val="1"/>
      <w:marLeft w:val="0"/>
      <w:marRight w:val="0"/>
      <w:marTop w:val="0"/>
      <w:marBottom w:val="0"/>
      <w:divBdr>
        <w:top w:val="none" w:sz="0" w:space="0" w:color="auto"/>
        <w:left w:val="none" w:sz="0" w:space="0" w:color="auto"/>
        <w:bottom w:val="none" w:sz="0" w:space="0" w:color="auto"/>
        <w:right w:val="none" w:sz="0" w:space="0" w:color="auto"/>
      </w:divBdr>
    </w:div>
    <w:div w:id="1977568465">
      <w:bodyDiv w:val="1"/>
      <w:marLeft w:val="0"/>
      <w:marRight w:val="0"/>
      <w:marTop w:val="0"/>
      <w:marBottom w:val="0"/>
      <w:divBdr>
        <w:top w:val="none" w:sz="0" w:space="0" w:color="auto"/>
        <w:left w:val="none" w:sz="0" w:space="0" w:color="auto"/>
        <w:bottom w:val="none" w:sz="0" w:space="0" w:color="auto"/>
        <w:right w:val="none" w:sz="0" w:space="0" w:color="auto"/>
      </w:divBdr>
    </w:div>
    <w:div w:id="1980842497">
      <w:bodyDiv w:val="1"/>
      <w:marLeft w:val="0"/>
      <w:marRight w:val="0"/>
      <w:marTop w:val="0"/>
      <w:marBottom w:val="0"/>
      <w:divBdr>
        <w:top w:val="none" w:sz="0" w:space="0" w:color="auto"/>
        <w:left w:val="none" w:sz="0" w:space="0" w:color="auto"/>
        <w:bottom w:val="none" w:sz="0" w:space="0" w:color="auto"/>
        <w:right w:val="none" w:sz="0" w:space="0" w:color="auto"/>
      </w:divBdr>
    </w:div>
    <w:div w:id="2070760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views-and-insights/thought-leadership/insight/employment-law-changes-october-2025/" TargetMode="External"/><Relationship Id="rId18" Type="http://schemas.openxmlformats.org/officeDocument/2006/relationships/hyperlink" Target="https://www.cipd.org/uk/views-and-insights/thought-leadership/insight/action-employee-financial-wellbeing/" TargetMode="External"/><Relationship Id="rId26" Type="http://schemas.openxmlformats.org/officeDocument/2006/relationships/hyperlink" Target="https://www.local.gov.uk/our-support/workforce-and-hr-support/employment-relations/make-work-pay" TargetMode="External"/><Relationship Id="rId39" Type="http://schemas.openxmlformats.org/officeDocument/2006/relationships/hyperlink" Target="https://www.gov.uk/government/publications/employment-rights-bill-factsheets" TargetMode="External"/><Relationship Id="rId21" Type="http://schemas.openxmlformats.org/officeDocument/2006/relationships/hyperlink" Target="https://www.personneltoday.com/hr/unfair-dismissal-brightmine/" TargetMode="External"/><Relationship Id="rId34" Type="http://schemas.openxmlformats.org/officeDocument/2006/relationships/hyperlink" Target="https://nation.cymru/news/final-budget-for-neath-port-talbot-approved/" TargetMode="External"/><Relationship Id="rId42" Type="http://schemas.openxmlformats.org/officeDocument/2006/relationships/hyperlink" Target="https://unions21.org/ideas/all-ideas/social-partnership-a-blueprint-for-the-uk" TargetMode="External"/><Relationship Id="rId47" Type="http://schemas.openxmlformats.org/officeDocument/2006/relationships/image" Target="media/image1.png"/><Relationship Id="rId50" Type="http://schemas.openxmlformats.org/officeDocument/2006/relationships/image" Target="media/image4.png"/><Relationship Id="rId55" Type="http://schemas.openxmlformats.org/officeDocument/2006/relationships/theme" Target="theme/theme1.xml"/><Relationship Id="rId7" Type="http://schemas.openxmlformats.org/officeDocument/2006/relationships/hyperlink" Target="https://www.acas.org.uk/webinars" TargetMode="External"/><Relationship Id="rId2" Type="http://schemas.openxmlformats.org/officeDocument/2006/relationships/styles" Target="styles.xml"/><Relationship Id="rId16" Type="http://schemas.openxmlformats.org/officeDocument/2006/relationships/hyperlink" Target="https://www.cipd.org/uk/knowledge/employment-law/proposed-changes-under-labour-government/" TargetMode="External"/><Relationship Id="rId29" Type="http://schemas.openxmlformats.org/officeDocument/2006/relationships/hyperlink" Target="https://www.personneltoday.com/hr/employment-rights-bill-ministers-wont-water-down-day-one-rights/" TargetMode="External"/><Relationship Id="rId11" Type="http://schemas.openxmlformats.org/officeDocument/2006/relationships/hyperlink" Target="https://www.cipd.org/globalassets/media/knowledge/knowledge-hub/factsheets/pdfs/blank-pestle-template-2025.pdf" TargetMode="External"/><Relationship Id="rId24" Type="http://schemas.openxmlformats.org/officeDocument/2006/relationships/hyperlink" Target="https://labour.org.uk/about-us/affiliated-unions/" TargetMode="External"/><Relationship Id="rId32" Type="http://schemas.openxmlformats.org/officeDocument/2006/relationships/hyperlink" Target="https://www.cipd.org/en/knowledge/guides/change-management/" TargetMode="External"/><Relationship Id="rId37" Type="http://schemas.openxmlformats.org/officeDocument/2006/relationships/hyperlink" Target="https://www.unison.org.uk/content/uploads/2025/01/NJC-Pay-Claim-2025-26.pdf" TargetMode="External"/><Relationship Id="rId40" Type="http://schemas.openxmlformats.org/officeDocument/2006/relationships/hyperlink" Target="https://assets.publishing.service.gov.uk/media/686507a33b77477f9da0726e/implementing-the-employment-rights-bill-roadmap.pdf" TargetMode="External"/><Relationship Id="rId45" Type="http://schemas.openxmlformats.org/officeDocument/2006/relationships/hyperlink" Target="https://cached.offlinehbpl.hbpl.co.uk/NewsAttachments/OMP/PMAutumn25.pdf"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cipd.org/en/knowledge/evidence-reviews/evidence-financial-wellbeing/" TargetMode="External"/><Relationship Id="rId19" Type="http://schemas.openxmlformats.org/officeDocument/2006/relationships/hyperlink" Target="https://ifs.org.uk/publications/impact-national-living-wage-wages-employment-and-household-incomes" TargetMode="External"/><Relationship Id="rId31" Type="http://schemas.openxmlformats.org/officeDocument/2006/relationships/hyperlink" Target="https://www.npt.gov.uk/council/strategies-plans-and-policies/priorities-and-performance/pay-policy-statement/pay-policy-statement-20242025/" TargetMode="External"/><Relationship Id="rId44" Type="http://schemas.openxmlformats.org/officeDocument/2006/relationships/hyperlink" Target="https://www.gov.wales/sites/default/files/publications/2024-02/neath-port-talbot-council-social-partnership-case-study.pdf" TargetMode="External"/><Relationship Id="rId52"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doi.org/10.13140/RG.2.2.27060.78727" TargetMode="External"/><Relationship Id="rId14" Type="http://schemas.openxmlformats.org/officeDocument/2006/relationships/hyperlink" Target="https://www.cipd.org/uk/knowledge/factsheets/dismissal-factsheet/" TargetMode="External"/><Relationship Id="rId22" Type="http://schemas.openxmlformats.org/officeDocument/2006/relationships/hyperlink" Target="https://www.isc.hbs.edu/strategy/business-strategy/Pages/the-five-forces.aspx" TargetMode="External"/><Relationship Id="rId27" Type="http://schemas.openxmlformats.org/officeDocument/2006/relationships/hyperlink" Target="https://www.local.gov.uk/about/campaigns/save-local-services/save-local-services-council-pressures-explained" TargetMode="External"/><Relationship Id="rId30" Type="http://schemas.openxmlformats.org/officeDocument/2006/relationships/hyperlink" Target="https://www.personneltoday.com/hr/employment-rights-bill-six-key-changes-to-trade-union-laws/" TargetMode="External"/><Relationship Id="rId35" Type="http://schemas.openxmlformats.org/officeDocument/2006/relationships/hyperlink" Target="https://assets.publishing.service.gov.uk/media/690b1479c22e4ed8b05184a6/national-minimum-wage-enforcement-and-compliance-report-2024-2025.pdf" TargetMode="External"/><Relationship Id="rId43" Type="http://schemas.openxmlformats.org/officeDocument/2006/relationships/hyperlink" Target="https://www.gov.wales/well-being-future-generations-act-essentials-html" TargetMode="External"/><Relationship Id="rId48" Type="http://schemas.openxmlformats.org/officeDocument/2006/relationships/image" Target="media/image2.png"/><Relationship Id="rId8" Type="http://schemas.openxmlformats.org/officeDocument/2006/relationships/hyperlink" Target="https://reba.global/resource/what-employers-need-to-consider-about-their-pay-structures-with-rise-in-minimum-wage.html" TargetMode="External"/><Relationship Id="rId51" Type="http://schemas.openxmlformats.org/officeDocument/2006/relationships/image" Target="media/image5.png"/><Relationship Id="rId3" Type="http://schemas.openxmlformats.org/officeDocument/2006/relationships/settings" Target="settings.xml"/><Relationship Id="rId12" Type="http://schemas.openxmlformats.org/officeDocument/2006/relationships/hyperlink" Target="https://www.cipd.org/globalassets/media/knowledge/knowledge-hub/factsheets/pdfs/swot-analysis-template-2024.pdf" TargetMode="External"/><Relationship Id="rId17" Type="http://schemas.openxmlformats.org/officeDocument/2006/relationships/hyperlink" Target="https://www.closethegap.org.uk/content/policymakers-eia/" TargetMode="External"/><Relationship Id="rId25" Type="http://schemas.openxmlformats.org/officeDocument/2006/relationships/hyperlink" Target="https://www.local.gov.uk/our-support/workforce-and-hr-support/local-government-services/local-government-services-pay-1" TargetMode="External"/><Relationship Id="rId33" Type="http://schemas.openxmlformats.org/officeDocument/2006/relationships/hyperlink" Target="https://www.thompsonstradeunion.law/news/employment-law-review/weekly-issue-892/house-of-lords-passes-new-amendments-to-the-employment-rights-bill" TargetMode="External"/><Relationship Id="rId38" Type="http://schemas.openxmlformats.org/officeDocument/2006/relationships/hyperlink" Target="https://www.gov.uk/government/collections/make-work-pay" TargetMode="External"/><Relationship Id="rId46" Type="http://schemas.openxmlformats.org/officeDocument/2006/relationships/hyperlink" Target="https://www.wlga.gov.uk/local-government-in-wales" TargetMode="External"/><Relationship Id="rId20" Type="http://schemas.openxmlformats.org/officeDocument/2006/relationships/hyperlink" Target="https://www.eversheds-sutherland.com/en/global/insights/the-uk-employment-rights-bill-trade-unions-and-industrial-relations" TargetMode="External"/><Relationship Id="rId41" Type="http://schemas.openxmlformats.org/officeDocument/2006/relationships/hyperlink" Target="https://www.gov.uk/government/news/national-living-wage-estimate-update"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org/uk/knowledge/guides/working-trade-unions/" TargetMode="External"/><Relationship Id="rId23" Type="http://schemas.openxmlformats.org/officeDocument/2006/relationships/hyperlink" Target="https://www.cipd.org/en/knowledge/factsheets/pestle-analysis-factsheet/" TargetMode="External"/><Relationship Id="rId28" Type="http://schemas.openxmlformats.org/officeDocument/2006/relationships/hyperlink" Target="https://www.davidsonmorris.com/how-to-dismiss-an-employee-for-poor-performance-uk/" TargetMode="External"/><Relationship Id="rId36" Type="http://schemas.openxmlformats.org/officeDocument/2006/relationships/hyperlink" Target="https://assets.publishing.service.gov.uk/media/67e4020f9c9de963bc39b4c7/trade-unions.pdf" TargetMode="External"/><Relationship Id="rId4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500</TotalTime>
  <Pages>22</Pages>
  <Words>5922</Words>
  <Characters>33756</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Evans</dc:creator>
  <cp:keywords/>
  <dc:description/>
  <cp:lastModifiedBy>Stephanie Evans</cp:lastModifiedBy>
  <cp:revision>21</cp:revision>
  <dcterms:created xsi:type="dcterms:W3CDTF">2025-10-10T15:45:00Z</dcterms:created>
  <dcterms:modified xsi:type="dcterms:W3CDTF">2025-11-30T21:03:00Z</dcterms:modified>
</cp:coreProperties>
</file>