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C59FC4" w14:textId="77777777" w:rsidR="00814E73" w:rsidRPr="002C6456" w:rsidRDefault="00814E73" w:rsidP="00814E73">
      <w:pPr>
        <w:jc w:val="center"/>
        <w:rPr>
          <w:rFonts w:ascii="Times New Roman" w:hAnsi="Times New Roman" w:cs="Times New Roman"/>
          <w:sz w:val="40"/>
          <w:szCs w:val="40"/>
        </w:rPr>
      </w:pPr>
      <w:r w:rsidRPr="002C6456">
        <w:rPr>
          <w:rFonts w:ascii="Times New Roman" w:hAnsi="Times New Roman" w:cs="Times New Roman"/>
          <w:sz w:val="40"/>
          <w:szCs w:val="40"/>
        </w:rPr>
        <w:t>Jeremy Bainbridge</w:t>
      </w:r>
    </w:p>
    <w:p w14:paraId="158EE09F" w14:textId="77777777" w:rsidR="00814E73" w:rsidRPr="002C6456" w:rsidRDefault="00814E73" w:rsidP="00814E73">
      <w:pPr>
        <w:jc w:val="center"/>
        <w:rPr>
          <w:rFonts w:ascii="Times New Roman" w:hAnsi="Times New Roman" w:cs="Times New Roman"/>
          <w:sz w:val="40"/>
          <w:szCs w:val="40"/>
        </w:rPr>
      </w:pPr>
      <w:r w:rsidRPr="002C6456">
        <w:rPr>
          <w:rFonts w:ascii="Times New Roman" w:hAnsi="Times New Roman" w:cs="Times New Roman"/>
          <w:sz w:val="40"/>
          <w:szCs w:val="40"/>
        </w:rPr>
        <w:t>Student Number: 1903383</w:t>
      </w:r>
    </w:p>
    <w:p w14:paraId="254BF301" w14:textId="77777777" w:rsidR="00814E73" w:rsidRPr="002C6456" w:rsidRDefault="00814E73" w:rsidP="00814E73">
      <w:pPr>
        <w:jc w:val="center"/>
        <w:rPr>
          <w:rFonts w:ascii="Times New Roman" w:hAnsi="Times New Roman" w:cs="Times New Roman"/>
          <w:sz w:val="40"/>
          <w:szCs w:val="40"/>
        </w:rPr>
      </w:pPr>
      <w:r w:rsidRPr="002C6456">
        <w:rPr>
          <w:rFonts w:ascii="Times New Roman" w:hAnsi="Times New Roman" w:cs="Times New Roman"/>
          <w:sz w:val="40"/>
          <w:szCs w:val="40"/>
        </w:rPr>
        <w:t>Module Code: M7X01679</w:t>
      </w:r>
    </w:p>
    <w:p w14:paraId="6DB64387" w14:textId="01117D18" w:rsidR="00814E73" w:rsidRPr="002C6456" w:rsidRDefault="00814E73" w:rsidP="00814E73">
      <w:pPr>
        <w:jc w:val="center"/>
        <w:rPr>
          <w:rFonts w:ascii="Times New Roman" w:hAnsi="Times New Roman" w:cs="Times New Roman"/>
          <w:sz w:val="40"/>
          <w:szCs w:val="40"/>
        </w:rPr>
      </w:pPr>
      <w:r w:rsidRPr="002C6456">
        <w:rPr>
          <w:rFonts w:ascii="Times New Roman" w:hAnsi="Times New Roman" w:cs="Times New Roman"/>
          <w:sz w:val="40"/>
          <w:szCs w:val="40"/>
        </w:rPr>
        <w:t xml:space="preserve">Submission Date: </w:t>
      </w:r>
      <w:r>
        <w:rPr>
          <w:rFonts w:ascii="Times New Roman" w:hAnsi="Times New Roman" w:cs="Times New Roman"/>
          <w:sz w:val="40"/>
          <w:szCs w:val="40"/>
        </w:rPr>
        <w:t>29</w:t>
      </w:r>
      <w:r w:rsidRPr="00814E73">
        <w:rPr>
          <w:rFonts w:ascii="Times New Roman" w:hAnsi="Times New Roman" w:cs="Times New Roman"/>
          <w:sz w:val="40"/>
          <w:szCs w:val="40"/>
          <w:vertAlign w:val="superscript"/>
        </w:rPr>
        <w:t>th</w:t>
      </w:r>
      <w:r>
        <w:rPr>
          <w:rFonts w:ascii="Times New Roman" w:hAnsi="Times New Roman" w:cs="Times New Roman"/>
          <w:sz w:val="40"/>
          <w:szCs w:val="40"/>
        </w:rPr>
        <w:t xml:space="preserve"> April</w:t>
      </w:r>
      <w:r w:rsidRPr="002C6456">
        <w:rPr>
          <w:rFonts w:ascii="Times New Roman" w:hAnsi="Times New Roman" w:cs="Times New Roman"/>
          <w:sz w:val="40"/>
          <w:szCs w:val="40"/>
        </w:rPr>
        <w:t xml:space="preserve"> 2020</w:t>
      </w:r>
    </w:p>
    <w:p w14:paraId="690061A0" w14:textId="12DA6A63" w:rsidR="00814E73" w:rsidRDefault="00814E73"/>
    <w:p w14:paraId="603020B8" w14:textId="31641AFF" w:rsidR="000C2B19" w:rsidRDefault="000C2B19"/>
    <w:p w14:paraId="686C6E8B" w14:textId="22D9B665" w:rsidR="000C2B19" w:rsidRDefault="000C2B19"/>
    <w:p w14:paraId="391946AF" w14:textId="19B96937" w:rsidR="00D20EBB" w:rsidRDefault="004D2295" w:rsidP="004D2295">
      <w:pPr>
        <w:jc w:val="center"/>
        <w:rPr>
          <w:rFonts w:ascii="Times New Roman" w:hAnsi="Times New Roman" w:cs="Times New Roman"/>
          <w:szCs w:val="28"/>
        </w:rPr>
      </w:pPr>
      <w:r w:rsidRPr="004D2295">
        <w:rPr>
          <w:rFonts w:ascii="Times New Roman" w:hAnsi="Times New Roman" w:cs="Times New Roman"/>
          <w:szCs w:val="28"/>
        </w:rPr>
        <w:t>CRITICALLY COMPARE AND CONTRAST THE THEORY OF CHANGE</w:t>
      </w:r>
    </w:p>
    <w:p w14:paraId="09B6658B" w14:textId="48A33AF3" w:rsidR="004D2295" w:rsidRDefault="004D2295" w:rsidP="004D2295">
      <w:pPr>
        <w:jc w:val="center"/>
        <w:rPr>
          <w:rFonts w:ascii="Times New Roman" w:hAnsi="Times New Roman" w:cs="Times New Roman"/>
          <w:szCs w:val="28"/>
        </w:rPr>
      </w:pPr>
      <w:r w:rsidRPr="004D2295">
        <w:rPr>
          <w:rFonts w:ascii="Times New Roman" w:hAnsi="Times New Roman" w:cs="Times New Roman"/>
          <w:szCs w:val="28"/>
        </w:rPr>
        <w:t xml:space="preserve"> WITHIN </w:t>
      </w:r>
    </w:p>
    <w:p w14:paraId="1663E0C9" w14:textId="3CFC6154" w:rsidR="004D2295" w:rsidRDefault="004D2295" w:rsidP="004D2295">
      <w:pPr>
        <w:jc w:val="center"/>
        <w:rPr>
          <w:rFonts w:ascii="Times New Roman" w:hAnsi="Times New Roman" w:cs="Times New Roman"/>
          <w:szCs w:val="28"/>
        </w:rPr>
      </w:pPr>
      <w:r w:rsidRPr="004D2295">
        <w:rPr>
          <w:rFonts w:ascii="Times New Roman" w:hAnsi="Times New Roman" w:cs="Times New Roman"/>
          <w:szCs w:val="28"/>
        </w:rPr>
        <w:t>THE PERSON-CENTRED AND GESTALT THERAPEUTIC APPROACHES.</w:t>
      </w:r>
    </w:p>
    <w:p w14:paraId="392E9FDE" w14:textId="77777777" w:rsidR="00D20EBB" w:rsidRDefault="00D20EBB" w:rsidP="004D2295">
      <w:pPr>
        <w:jc w:val="center"/>
        <w:rPr>
          <w:rFonts w:ascii="Times New Roman" w:hAnsi="Times New Roman" w:cs="Times New Roman"/>
          <w:szCs w:val="28"/>
        </w:rPr>
      </w:pPr>
    </w:p>
    <w:p w14:paraId="4EF80492" w14:textId="77777777" w:rsidR="00D20EBB" w:rsidRDefault="004D2295" w:rsidP="004D2295">
      <w:pPr>
        <w:jc w:val="center"/>
        <w:rPr>
          <w:rFonts w:ascii="Times New Roman" w:hAnsi="Times New Roman" w:cs="Times New Roman"/>
          <w:szCs w:val="28"/>
        </w:rPr>
      </w:pPr>
      <w:r w:rsidRPr="004D2295">
        <w:rPr>
          <w:rFonts w:ascii="Times New Roman" w:hAnsi="Times New Roman" w:cs="Times New Roman"/>
          <w:szCs w:val="28"/>
        </w:rPr>
        <w:t>YOUR WORK SHOULD DEMONSTRATE</w:t>
      </w:r>
    </w:p>
    <w:p w14:paraId="4BAAC930" w14:textId="1BD43B18" w:rsidR="004D2295" w:rsidRDefault="004D2295" w:rsidP="004D2295">
      <w:pPr>
        <w:jc w:val="center"/>
        <w:rPr>
          <w:rFonts w:ascii="Times New Roman" w:hAnsi="Times New Roman" w:cs="Times New Roman"/>
          <w:szCs w:val="28"/>
        </w:rPr>
      </w:pPr>
      <w:r w:rsidRPr="004D2295">
        <w:rPr>
          <w:rFonts w:ascii="Times New Roman" w:hAnsi="Times New Roman" w:cs="Times New Roman"/>
          <w:szCs w:val="28"/>
        </w:rPr>
        <w:t xml:space="preserve"> UNDERSTANDING OF THE CORE CONCEPTS OF BOTH THEORIES, </w:t>
      </w:r>
    </w:p>
    <w:p w14:paraId="601415C2" w14:textId="3D070F28" w:rsidR="004D2295" w:rsidRDefault="004D2295" w:rsidP="004D2295">
      <w:pPr>
        <w:jc w:val="center"/>
        <w:rPr>
          <w:rFonts w:ascii="Times New Roman" w:hAnsi="Times New Roman" w:cs="Times New Roman"/>
          <w:szCs w:val="28"/>
        </w:rPr>
      </w:pPr>
      <w:r w:rsidRPr="004D2295">
        <w:rPr>
          <w:rFonts w:ascii="Times New Roman" w:hAnsi="Times New Roman" w:cs="Times New Roman"/>
          <w:szCs w:val="28"/>
        </w:rPr>
        <w:t>HIGHLIGHTING THE</w:t>
      </w:r>
      <w:r w:rsidR="00D20EBB">
        <w:rPr>
          <w:rFonts w:ascii="Times New Roman" w:hAnsi="Times New Roman" w:cs="Times New Roman"/>
          <w:szCs w:val="28"/>
        </w:rPr>
        <w:t>I</w:t>
      </w:r>
      <w:r w:rsidRPr="004D2295">
        <w:rPr>
          <w:rFonts w:ascii="Times New Roman" w:hAnsi="Times New Roman" w:cs="Times New Roman"/>
          <w:szCs w:val="28"/>
        </w:rPr>
        <w:t xml:space="preserve">R SIMILARITIES AND DIFFERENCES. </w:t>
      </w:r>
    </w:p>
    <w:p w14:paraId="45D96401" w14:textId="77777777" w:rsidR="00D20EBB" w:rsidRDefault="00D20EBB" w:rsidP="004D2295">
      <w:pPr>
        <w:jc w:val="center"/>
        <w:rPr>
          <w:rFonts w:ascii="Times New Roman" w:hAnsi="Times New Roman" w:cs="Times New Roman"/>
          <w:szCs w:val="28"/>
        </w:rPr>
      </w:pPr>
    </w:p>
    <w:p w14:paraId="54292951" w14:textId="77777777" w:rsidR="004D2295" w:rsidRDefault="004D2295" w:rsidP="004D2295">
      <w:pPr>
        <w:jc w:val="center"/>
        <w:rPr>
          <w:rFonts w:ascii="Times New Roman" w:hAnsi="Times New Roman" w:cs="Times New Roman"/>
          <w:szCs w:val="28"/>
        </w:rPr>
      </w:pPr>
      <w:r w:rsidRPr="004D2295">
        <w:rPr>
          <w:rFonts w:ascii="Times New Roman" w:hAnsi="Times New Roman" w:cs="Times New Roman"/>
          <w:szCs w:val="28"/>
        </w:rPr>
        <w:t xml:space="preserve"> BE SURE TO UDERPIN YOUR</w:t>
      </w:r>
      <w:r>
        <w:rPr>
          <w:rFonts w:ascii="Times New Roman" w:hAnsi="Times New Roman" w:cs="Times New Roman"/>
          <w:szCs w:val="28"/>
        </w:rPr>
        <w:t xml:space="preserve"> </w:t>
      </w:r>
      <w:r w:rsidRPr="004D2295">
        <w:rPr>
          <w:rFonts w:ascii="Times New Roman" w:hAnsi="Times New Roman" w:cs="Times New Roman"/>
          <w:szCs w:val="28"/>
        </w:rPr>
        <w:t>DISCUSSION WITH REFERENCE</w:t>
      </w:r>
    </w:p>
    <w:p w14:paraId="153709C0" w14:textId="23A38B71" w:rsidR="000C2B19" w:rsidRPr="004D2295" w:rsidRDefault="004D2295" w:rsidP="004D2295">
      <w:pPr>
        <w:jc w:val="center"/>
        <w:rPr>
          <w:rFonts w:ascii="Times New Roman" w:hAnsi="Times New Roman" w:cs="Times New Roman"/>
          <w:szCs w:val="28"/>
        </w:rPr>
      </w:pPr>
      <w:r w:rsidRPr="004D2295">
        <w:rPr>
          <w:rFonts w:ascii="Times New Roman" w:hAnsi="Times New Roman" w:cs="Times New Roman"/>
          <w:szCs w:val="28"/>
        </w:rPr>
        <w:t xml:space="preserve"> TO APPROPRIATE AND CONTEMPORARY ACADEMIC SOURCES.</w:t>
      </w:r>
    </w:p>
    <w:p w14:paraId="03D1DB72" w14:textId="77777777" w:rsidR="004C2300" w:rsidRDefault="000C2B19" w:rsidP="004C2300">
      <w:r>
        <w:br w:type="page"/>
      </w:r>
      <w:r w:rsidR="008D7AC1" w:rsidRPr="00423A13">
        <w:lastRenderedPageBreak/>
        <w:t>To</w:t>
      </w:r>
      <w:r w:rsidR="00D20EBB" w:rsidRPr="00423A13">
        <w:t xml:space="preserve"> proceed </w:t>
      </w:r>
      <w:r w:rsidR="008D7AC1" w:rsidRPr="00423A13">
        <w:t xml:space="preserve">effectively </w:t>
      </w:r>
      <w:r w:rsidR="00D20EBB" w:rsidRPr="00423A13">
        <w:t>within the parameters of the essay title, details of the individuals responsible for each approach must be explored in order to appreciate the evolution of their respective philosophies.</w:t>
      </w:r>
    </w:p>
    <w:p w14:paraId="62BE1C7C" w14:textId="38890FA8" w:rsidR="00A64E62" w:rsidRDefault="008D7AC1" w:rsidP="004C2300">
      <w:r w:rsidRPr="00423A13">
        <w:t xml:space="preserve">Person Centred Therapy (PCT) was </w:t>
      </w:r>
      <w:r w:rsidR="00A64E62">
        <w:t>developed</w:t>
      </w:r>
      <w:r w:rsidRPr="00423A13">
        <w:t xml:space="preserve"> by Carl Rogers</w:t>
      </w:r>
      <w:r w:rsidR="00A61428" w:rsidRPr="00423A13">
        <w:t xml:space="preserve"> </w:t>
      </w:r>
      <w:r w:rsidR="00ED17D6" w:rsidRPr="00423A13">
        <w:t>(1902-1987).</w:t>
      </w:r>
      <w:r w:rsidR="000059CD">
        <w:t xml:space="preserve"> </w:t>
      </w:r>
      <w:r w:rsidR="00ED17D6" w:rsidRPr="00423A13">
        <w:t>Howard Kirschenbaum</w:t>
      </w:r>
      <w:r w:rsidR="00150608" w:rsidRPr="00423A13">
        <w:t xml:space="preserve"> (2007)</w:t>
      </w:r>
      <w:r w:rsidR="000059CD">
        <w:t xml:space="preserve"> and Valerie Henderson (Kirschenbaum and Henderson 1989)</w:t>
      </w:r>
      <w:r w:rsidR="00ED17D6" w:rsidRPr="00423A13">
        <w:t xml:space="preserve"> ha</w:t>
      </w:r>
      <w:r w:rsidR="000059CD">
        <w:t>ve</w:t>
      </w:r>
      <w:r w:rsidR="00ED17D6" w:rsidRPr="00423A13">
        <w:t xml:space="preserve"> explored the </w:t>
      </w:r>
      <w:r w:rsidR="00150608" w:rsidRPr="00423A13">
        <w:t xml:space="preserve">personal </w:t>
      </w:r>
      <w:r w:rsidR="00ED17D6" w:rsidRPr="00423A13">
        <w:t>and professional life</w:t>
      </w:r>
      <w:r w:rsidR="00150608" w:rsidRPr="00423A13">
        <w:t xml:space="preserve"> of Rogers</w:t>
      </w:r>
      <w:r w:rsidR="000059CD">
        <w:t>.</w:t>
      </w:r>
      <w:r w:rsidR="00150608" w:rsidRPr="00423A13">
        <w:t xml:space="preserve"> </w:t>
      </w:r>
      <w:r w:rsidR="000059CD">
        <w:t>Kirschenbaum</w:t>
      </w:r>
      <w:r w:rsidR="00423A13">
        <w:t xml:space="preserve"> is considered an expert on Rogers life</w:t>
      </w:r>
      <w:r w:rsidR="00B72D5D">
        <w:t xml:space="preserve"> </w:t>
      </w:r>
      <w:r w:rsidR="00BC0204">
        <w:t xml:space="preserve">(Jones-Smith 2016), </w:t>
      </w:r>
      <w:r w:rsidR="00150608" w:rsidRPr="00423A13">
        <w:t>writing in his book titled ‘The life and works of Carl Rogers’, Kirschenbaum details how Rogers</w:t>
      </w:r>
      <w:r w:rsidR="00ED17D6" w:rsidRPr="00423A13">
        <w:t xml:space="preserve"> was the fourth of six children</w:t>
      </w:r>
      <w:r w:rsidR="00150608" w:rsidRPr="00423A13">
        <w:t xml:space="preserve"> to a successful engineer </w:t>
      </w:r>
      <w:r w:rsidR="00C87972">
        <w:t>f</w:t>
      </w:r>
      <w:r w:rsidR="00150608" w:rsidRPr="00423A13">
        <w:t xml:space="preserve">ather and devout Christian </w:t>
      </w:r>
      <w:r w:rsidR="00C87972">
        <w:t>m</w:t>
      </w:r>
      <w:r w:rsidR="00150608" w:rsidRPr="00423A13">
        <w:t>other.</w:t>
      </w:r>
      <w:r w:rsidR="00423A13">
        <w:t xml:space="preserve">  Rogers childhood is said to have been influenced by</w:t>
      </w:r>
      <w:r w:rsidR="00C87972">
        <w:t xml:space="preserve"> ‘</w:t>
      </w:r>
      <w:r w:rsidR="00423A13">
        <w:t>close family ties, a strict religious upbringing, and a value for hard work</w:t>
      </w:r>
      <w:r w:rsidR="00C87972">
        <w:t>’</w:t>
      </w:r>
      <w:r w:rsidR="00BC0204">
        <w:t xml:space="preserve"> (Kirschenbaum 2007)</w:t>
      </w:r>
      <w:r w:rsidR="00423A13">
        <w:t xml:space="preserve">. </w:t>
      </w:r>
      <w:r w:rsidR="00FC6D95">
        <w:t>He was nurtured by his family and could read before kindergarten.</w:t>
      </w:r>
      <w:r w:rsidR="00423A13">
        <w:t xml:space="preserve"> </w:t>
      </w:r>
      <w:r w:rsidR="00BB05D1">
        <w:t xml:space="preserve">Rogers was an altar boy in the village church and later upon reflection stated he felt </w:t>
      </w:r>
      <w:r w:rsidR="005E0C44">
        <w:t>he had</w:t>
      </w:r>
      <w:r w:rsidR="00BB05D1">
        <w:t xml:space="preserve"> led a quiet, </w:t>
      </w:r>
      <w:r w:rsidR="005E0C44">
        <w:t>disciplined,</w:t>
      </w:r>
      <w:r w:rsidR="00BB05D1">
        <w:t xml:space="preserve"> and isolated life. </w:t>
      </w:r>
      <w:r w:rsidR="00423A13">
        <w:t>His father purchased a farm when Rogers was aged 12 to “maintain a life away from suburbia” Kirschenbaum</w:t>
      </w:r>
      <w:r w:rsidR="00BC0204">
        <w:t xml:space="preserve"> continues, where Rogers spent his days </w:t>
      </w:r>
      <w:r w:rsidR="00BB05D1">
        <w:t xml:space="preserve">tending to the seasonal needs of the family farm, </w:t>
      </w:r>
      <w:r w:rsidR="00BC0204">
        <w:t>rearing lambs</w:t>
      </w:r>
      <w:r w:rsidR="00BB05D1">
        <w:t xml:space="preserve"> and such</w:t>
      </w:r>
      <w:r w:rsidR="00BC0204">
        <w:t xml:space="preserve"> until he attended The University of Wisconsin majoring in Agriculture.  Rogers followed this with studies into religion until he was selected to visit </w:t>
      </w:r>
      <w:r w:rsidR="00FC6D95">
        <w:t>Beijing</w:t>
      </w:r>
      <w:r w:rsidR="00BC0204">
        <w:t xml:space="preserve"> with </w:t>
      </w:r>
      <w:r w:rsidR="00FC6D95">
        <w:t>nine</w:t>
      </w:r>
      <w:r w:rsidR="00BC0204">
        <w:t xml:space="preserve"> other religion students where he </w:t>
      </w:r>
      <w:r w:rsidR="000059CD">
        <w:t xml:space="preserve">directly </w:t>
      </w:r>
      <w:r w:rsidR="00BC0204">
        <w:t>experienced</w:t>
      </w:r>
      <w:r w:rsidR="000059CD">
        <w:t xml:space="preserve"> </w:t>
      </w:r>
      <w:r w:rsidR="00BC0204">
        <w:t>differences in religious philosophies and began questioning his own religious beliefs.</w:t>
      </w:r>
      <w:r w:rsidR="000059CD">
        <w:t xml:space="preserve">  In 1924 he married his childhood sweetheart Helen Elliot and </w:t>
      </w:r>
      <w:r w:rsidR="00C87972">
        <w:t xml:space="preserve">soon after </w:t>
      </w:r>
      <w:r w:rsidR="000059CD">
        <w:t>enrolled in the Clinical Psychology program</w:t>
      </w:r>
      <w:r w:rsidR="00C87972">
        <w:t xml:space="preserve"> at Columbia University where he graduated with an MA in 1927.  Rogers began employment with the Society for the Prevention of Cruelty to Children in Rochester U.S.  By 1930 he became head of department and received his </w:t>
      </w:r>
      <w:r w:rsidR="00B55A33">
        <w:t>Ph.D.</w:t>
      </w:r>
      <w:r w:rsidR="00C87972">
        <w:t xml:space="preserve"> from Columbia in 1931. </w:t>
      </w:r>
      <w:r w:rsidR="009557BD">
        <w:t>In 1939</w:t>
      </w:r>
      <w:r w:rsidR="00C87972">
        <w:t xml:space="preserve"> Rogers</w:t>
      </w:r>
      <w:r w:rsidR="009557BD">
        <w:t xml:space="preserve"> wrote his first book, </w:t>
      </w:r>
      <w:r w:rsidR="005E0C44" w:rsidRPr="009557BD">
        <w:rPr>
          <w:i/>
          <w:iCs/>
        </w:rPr>
        <w:t>the</w:t>
      </w:r>
      <w:r w:rsidR="009557BD" w:rsidRPr="009557BD">
        <w:rPr>
          <w:i/>
          <w:iCs/>
        </w:rPr>
        <w:t xml:space="preserve"> clinical treatment of the problem child</w:t>
      </w:r>
      <w:r w:rsidR="00BB05D1">
        <w:t xml:space="preserve"> where he </w:t>
      </w:r>
      <w:r w:rsidR="003344F3">
        <w:t xml:space="preserve">discusses the most successful procedures from more than a decade of practical experience.  Rogers </w:t>
      </w:r>
      <w:r w:rsidR="00C87972">
        <w:t>be</w:t>
      </w:r>
      <w:r w:rsidR="00961A5F">
        <w:t xml:space="preserve">gan to question the current dominant belief that psychotherapy should be directed, with the therapist in control and positioned within the relationship as the expert.  </w:t>
      </w:r>
      <w:r w:rsidR="0067126B">
        <w:t xml:space="preserve">At this time </w:t>
      </w:r>
      <w:r w:rsidR="00961A5F">
        <w:t>Rogers was influenced by Otto Rank</w:t>
      </w:r>
      <w:r w:rsidR="0067126B">
        <w:t xml:space="preserve"> (1884-1939) who </w:t>
      </w:r>
      <w:r w:rsidR="009557BD">
        <w:t>believed</w:t>
      </w:r>
      <w:r w:rsidR="0067126B">
        <w:t xml:space="preserve"> that each individual innately possesses the motivation to fulfil each potential (Rank 1936).</w:t>
      </w:r>
      <w:r w:rsidR="00961A5F">
        <w:t xml:space="preserve"> In 1942 Rogers published his second book</w:t>
      </w:r>
      <w:r w:rsidR="009557BD">
        <w:t xml:space="preserve">, </w:t>
      </w:r>
      <w:r w:rsidR="009557BD" w:rsidRPr="009557BD">
        <w:rPr>
          <w:i/>
          <w:iCs/>
        </w:rPr>
        <w:t>Counselling and Psychotherapy: Newer concepts in practice</w:t>
      </w:r>
      <w:r w:rsidR="009557BD">
        <w:t>,</w:t>
      </w:r>
      <w:r w:rsidR="00961A5F">
        <w:t xml:space="preserve"> where h</w:t>
      </w:r>
      <w:r w:rsidR="009557BD">
        <w:t>e</w:t>
      </w:r>
      <w:r w:rsidR="00961A5F">
        <w:t xml:space="preserve"> described his non-directive theoretical approach</w:t>
      </w:r>
      <w:r w:rsidR="00F91833">
        <w:t xml:space="preserve">, a move away from the </w:t>
      </w:r>
      <w:r w:rsidR="00F6461C">
        <w:t xml:space="preserve">Freudian </w:t>
      </w:r>
      <w:r w:rsidR="00F91833">
        <w:t xml:space="preserve">Psychoanalytical </w:t>
      </w:r>
      <w:r w:rsidR="00F6461C">
        <w:t>approach</w:t>
      </w:r>
      <w:r w:rsidR="00961A5F">
        <w:t xml:space="preserve">.  In 1951 </w:t>
      </w:r>
      <w:r w:rsidR="00F6461C">
        <w:t>Rogers</w:t>
      </w:r>
      <w:r w:rsidR="00961A5F">
        <w:t xml:space="preserve"> wrote about </w:t>
      </w:r>
      <w:r w:rsidR="00961A5F" w:rsidRPr="009557BD">
        <w:rPr>
          <w:i/>
          <w:iCs/>
        </w:rPr>
        <w:t xml:space="preserve">Client-Centred </w:t>
      </w:r>
      <w:r w:rsidR="005E0C44" w:rsidRPr="009557BD">
        <w:rPr>
          <w:i/>
          <w:iCs/>
        </w:rPr>
        <w:t>Therapy</w:t>
      </w:r>
      <w:r w:rsidR="005E0C44">
        <w:rPr>
          <w:i/>
          <w:iCs/>
        </w:rPr>
        <w:t>:</w:t>
      </w:r>
      <w:r w:rsidR="00B55A33">
        <w:rPr>
          <w:i/>
          <w:iCs/>
        </w:rPr>
        <w:t xml:space="preserve"> </w:t>
      </w:r>
      <w:r w:rsidR="009557BD">
        <w:rPr>
          <w:i/>
          <w:iCs/>
        </w:rPr>
        <w:t>its current practice, implications, and theory.</w:t>
      </w:r>
      <w:r w:rsidR="00F91833">
        <w:t xml:space="preserve"> His non-</w:t>
      </w:r>
      <w:r w:rsidR="00F91833">
        <w:lastRenderedPageBreak/>
        <w:t>directive approach had evolved into Client-Centred Therapy</w:t>
      </w:r>
      <w:r w:rsidR="004C2300">
        <w:t xml:space="preserve">, as Rogers believed that </w:t>
      </w:r>
      <w:r w:rsidR="00F6461C">
        <w:t xml:space="preserve">the client </w:t>
      </w:r>
      <w:r w:rsidR="004C2300">
        <w:t>knows best how they are feeling</w:t>
      </w:r>
      <w:r w:rsidR="00F6461C">
        <w:t xml:space="preserve"> as</w:t>
      </w:r>
      <w:r w:rsidR="004C2300">
        <w:t xml:space="preserve"> they perceive the world through their own phenomenal field</w:t>
      </w:r>
      <w:r w:rsidR="00F6461C">
        <w:t xml:space="preserve"> which constitutes their reality, hence the Client is the expert, and it is their reality that is important.  This</w:t>
      </w:r>
      <w:r w:rsidR="00B67FB7">
        <w:t>,</w:t>
      </w:r>
      <w:r w:rsidR="00F6461C">
        <w:t xml:space="preserve"> plus </w:t>
      </w:r>
      <w:r w:rsidR="00ED3C19">
        <w:t xml:space="preserve">Rogers adaptation of </w:t>
      </w:r>
      <w:r w:rsidR="00B67FB7">
        <w:t>Maslow’s</w:t>
      </w:r>
      <w:r w:rsidR="00ED3C19">
        <w:t xml:space="preserve"> Hierarchy of needs</w:t>
      </w:r>
      <w:r w:rsidR="00B67FB7">
        <w:t xml:space="preserve"> and the individuals tendency to self-actualise</w:t>
      </w:r>
      <w:r w:rsidR="00A64E62">
        <w:t>,</w:t>
      </w:r>
      <w:r w:rsidR="00B67FB7">
        <w:t xml:space="preserve"> became key concepts within Client-centred therapy.  Rogers philosophy became popular and was applied to a range of con</w:t>
      </w:r>
      <w:r w:rsidR="00E62018">
        <w:t>t</w:t>
      </w:r>
      <w:r w:rsidR="00B67FB7">
        <w:t>e</w:t>
      </w:r>
      <w:r w:rsidR="00E62018">
        <w:t>x</w:t>
      </w:r>
      <w:r w:rsidR="00B67FB7">
        <w:t xml:space="preserve">ts, from conflict resolution to education and </w:t>
      </w:r>
      <w:r w:rsidR="00195296">
        <w:t xml:space="preserve">he </w:t>
      </w:r>
      <w:r w:rsidR="00B67FB7">
        <w:t xml:space="preserve">further evolved his theory </w:t>
      </w:r>
      <w:r w:rsidR="00E62018">
        <w:t>renaming it</w:t>
      </w:r>
      <w:r w:rsidR="00B67FB7">
        <w:t xml:space="preserve"> Person</w:t>
      </w:r>
      <w:r w:rsidR="00E62018">
        <w:t>-</w:t>
      </w:r>
      <w:r w:rsidR="00B67FB7">
        <w:t xml:space="preserve">Centred Therapy which Rogers felt </w:t>
      </w:r>
      <w:r w:rsidR="00E62018">
        <w:t>relevant as the approach was not only applicable to clients in a therapy room.</w:t>
      </w:r>
    </w:p>
    <w:p w14:paraId="68A6A810" w14:textId="77777777" w:rsidR="00A64E62" w:rsidRDefault="00A64E62" w:rsidP="004C2300"/>
    <w:p w14:paraId="41EB4C52" w14:textId="6B225DED" w:rsidR="00A64E62" w:rsidRPr="00F06219" w:rsidRDefault="00A64E62" w:rsidP="004C2300">
      <w:r>
        <w:t>Gestalt Therapy was created by Frederick (Fritz) Perls (1893-1970)</w:t>
      </w:r>
      <w:r w:rsidR="00AF68A1">
        <w:t xml:space="preserve"> and his wife, Laura (1905-1990)</w:t>
      </w:r>
      <w:r w:rsidR="009D7E93">
        <w:t xml:space="preserve"> who he married in 1930</w:t>
      </w:r>
      <w:r>
        <w:t>.</w:t>
      </w:r>
      <w:r w:rsidR="0015149C">
        <w:t xml:space="preserve">  Born in Berlin Germany, Fritz was the middle-child and only boy in his lower-middle-class Jewish Family (Smith-Jones 2016).  Smith-Jones goes on to comment how Perls described his mother as loving and ambitious, and his father loved the arts and </w:t>
      </w:r>
      <w:r w:rsidR="00AF68A1">
        <w:t>little</w:t>
      </w:r>
      <w:r w:rsidR="0015149C">
        <w:t xml:space="preserve"> else – including his wife.</w:t>
      </w:r>
      <w:r w:rsidR="00AF68A1">
        <w:t xml:space="preserve">  Perls school life is said to have been average</w:t>
      </w:r>
      <w:r w:rsidR="00D444C7">
        <w:t>, although he needed to re-sit the seventh grade twice,</w:t>
      </w:r>
      <w:r w:rsidR="00AF68A1">
        <w:t xml:space="preserve"> and he describes his school experience as a ‘nightmare’ </w:t>
      </w:r>
      <w:r w:rsidR="00D444C7">
        <w:t>(</w:t>
      </w:r>
      <w:r w:rsidR="00AF68A1">
        <w:t>Perls 1969)</w:t>
      </w:r>
      <w:r w:rsidR="00D444C7">
        <w:t>. His first employment saw him dismissed for ‘pulling pranks’ (Smith-Jones 2016).  In 1916 Perls served in WW1 as a medic and followed this with an M.D degree specialising in psychiatry</w:t>
      </w:r>
      <w:r w:rsidR="009D7E93">
        <w:t xml:space="preserve">. Freudian psychoanalytical philosophies were dominant at the time, although he is said to have thought many psychoanalysts of the time were missing Freuds good intentions (Smith-Jones 2016).  In 1926 Perls took employment at an institute for soldiers with brain injuries where he worked with Kurt Goldstein </w:t>
      </w:r>
      <w:r w:rsidR="00454EFE">
        <w:t xml:space="preserve">(1878-1965) who </w:t>
      </w:r>
      <w:r w:rsidR="00462C6E">
        <w:t xml:space="preserve">followed Gestalt Psychology and </w:t>
      </w:r>
      <w:r w:rsidR="00A1198A">
        <w:t>influenced Perls to view individuals holistically</w:t>
      </w:r>
      <w:r w:rsidR="003335D2">
        <w:t xml:space="preserve"> </w:t>
      </w:r>
      <w:r w:rsidR="00A1198A">
        <w:t>as a whole</w:t>
      </w:r>
      <w:r w:rsidR="00462C6E">
        <w:t xml:space="preserve"> </w:t>
      </w:r>
      <w:r w:rsidR="003335D2">
        <w:t xml:space="preserve">following </w:t>
      </w:r>
      <w:r w:rsidR="00462C6E">
        <w:t>Goldstein’s</w:t>
      </w:r>
      <w:r w:rsidR="003335D2">
        <w:t xml:space="preserve"> own therapeutic experiences</w:t>
      </w:r>
      <w:r w:rsidR="00462C6E">
        <w:t xml:space="preserve"> (Cherry 2019)</w:t>
      </w:r>
      <w:r w:rsidR="00A1198A">
        <w:t xml:space="preserve">.  Incidentally, Goldstein also </w:t>
      </w:r>
      <w:r w:rsidR="00454EFE">
        <w:t>developed the self-actualising principal that would inspire Maslow and Rogers in their work</w:t>
      </w:r>
      <w:r w:rsidR="00A1198A">
        <w:t xml:space="preserve">.  Perls fled Germany with his family to avoid Hitlers punishment of Jewish citizens and made their way to the Dutch boarder with nothing but the clothes they wore (Smith-Jones 2016).  </w:t>
      </w:r>
      <w:r w:rsidR="00495DAB">
        <w:t xml:space="preserve">In 1936, Perls </w:t>
      </w:r>
      <w:r w:rsidR="003335D2">
        <w:t xml:space="preserve">ventured to the International Psychoanalysis Convention hoping to gain acceptance with his theories, but it is said that it did not go down well, and a very brief meeting with Freud left Perls feeling disappointed (Smith-Jones 2016). Following this he renounced Freudian philosophies and began refining his theories which he initially called concentration therapy. In 1942 Perls published </w:t>
      </w:r>
      <w:r w:rsidR="003335D2">
        <w:rPr>
          <w:i/>
          <w:iCs/>
        </w:rPr>
        <w:t>Ego, Hunger, and Aggression</w:t>
      </w:r>
      <w:r w:rsidR="003335D2">
        <w:t xml:space="preserve"> </w:t>
      </w:r>
      <w:r w:rsidR="003335D2">
        <w:lastRenderedPageBreak/>
        <w:t>where he promoted the importance of Gestalt Psychol</w:t>
      </w:r>
      <w:r w:rsidR="00780A18">
        <w:t>o</w:t>
      </w:r>
      <w:r w:rsidR="003335D2">
        <w:t>gy within the therapeutic</w:t>
      </w:r>
      <w:r w:rsidR="00780A18">
        <w:t xml:space="preserve"> setting; he also placed criticism o</w:t>
      </w:r>
      <w:r w:rsidR="00F06219">
        <w:t>n</w:t>
      </w:r>
      <w:r w:rsidR="00780A18">
        <w:t xml:space="preserve"> Psychoanalysis.</w:t>
      </w:r>
      <w:r w:rsidR="003335D2">
        <w:t xml:space="preserve"> In 1946 Perls immigrated to America</w:t>
      </w:r>
      <w:r w:rsidR="00780A18">
        <w:t xml:space="preserve"> and from 1948 to 1951 Perls, his wife Laura and Paul Goodman (1911-1972) held workshops using Gestalt Therapy</w:t>
      </w:r>
      <w:r w:rsidR="00F06219">
        <w:t xml:space="preserve"> which led to Perls, Goodman and Ralph Hefferline (1910-1974) publishing </w:t>
      </w:r>
      <w:r w:rsidR="00F06219" w:rsidRPr="00F06219">
        <w:rPr>
          <w:i/>
          <w:iCs/>
        </w:rPr>
        <w:t>Gestalt The</w:t>
      </w:r>
      <w:r w:rsidR="00F06219">
        <w:rPr>
          <w:i/>
          <w:iCs/>
        </w:rPr>
        <w:t>rapy in 1951.</w:t>
      </w:r>
      <w:r w:rsidR="00F06219">
        <w:t xml:space="preserve">  Gestalt therapy </w:t>
      </w:r>
      <w:r w:rsidR="00462C6E">
        <w:t>was</w:t>
      </w:r>
      <w:r w:rsidR="00F06219">
        <w:t xml:space="preserve"> influenced by Gestalt Psychology</w:t>
      </w:r>
      <w:r w:rsidR="00462C6E">
        <w:t>, developed by</w:t>
      </w:r>
      <w:r w:rsidR="00462C6E" w:rsidRPr="00462C6E">
        <w:t xml:space="preserve"> Max Wertheimer, Wolfgang Köhler and Kurt Koffka</w:t>
      </w:r>
      <w:r w:rsidR="00924AC8">
        <w:t>,</w:t>
      </w:r>
      <w:r w:rsidR="00462C6E">
        <w:t xml:space="preserve"> </w:t>
      </w:r>
      <w:r w:rsidR="00CA693B">
        <w:t xml:space="preserve">which interprets </w:t>
      </w:r>
      <w:r w:rsidR="00462C6E">
        <w:t xml:space="preserve">perceptual </w:t>
      </w:r>
      <w:r w:rsidR="008E497D">
        <w:t xml:space="preserve">organisation.  </w:t>
      </w:r>
      <w:r w:rsidR="00F06219">
        <w:t>Perls adopted concepts such as figure and ground</w:t>
      </w:r>
      <w:r w:rsidR="00921B5E">
        <w:t xml:space="preserve">, </w:t>
      </w:r>
      <w:r w:rsidR="00CA693B">
        <w:t>from Gestalt Psychology</w:t>
      </w:r>
      <w:r w:rsidR="00924AC8">
        <w:t xml:space="preserve"> </w:t>
      </w:r>
      <w:r w:rsidR="00921B5E">
        <w:t>where an object within the field of perception has focus, differentiating the figure from the background</w:t>
      </w:r>
      <w:r w:rsidR="00AD2973">
        <w:t xml:space="preserve"> which enables a child to identify and move towards objects of interest, this Gestalt is completed when this interest is satisfied and new focus, a new Gestalt is made</w:t>
      </w:r>
      <w:r w:rsidR="00921B5E">
        <w:t>.  Gestalt Therapy includes this figure-ground concept to explain</w:t>
      </w:r>
      <w:r w:rsidR="00AD2973">
        <w:t xml:space="preserve"> how the mind focuses attention, via the principal of shifting attention</w:t>
      </w:r>
      <w:r w:rsidR="005E0C44">
        <w:t>, what Gestalt psychologists termed perception Perls named awareness</w:t>
      </w:r>
      <w:r w:rsidR="00AD2973">
        <w:t xml:space="preserve"> (Bowman 2005)</w:t>
      </w:r>
      <w:r w:rsidR="001C2CCE">
        <w:t>.</w:t>
      </w:r>
      <w:r w:rsidR="003F697E">
        <w:t xml:space="preserve">  Where Gestalt Psychology was concerned with patterns and the minds ability to make sense from the phenomenological field, Perls adapted this to understand the processing of thoughts and feelings (Woldt &amp; Toman 2005).</w:t>
      </w:r>
    </w:p>
    <w:p w14:paraId="5C8D0B2B" w14:textId="29F25E2B" w:rsidR="00A64E62" w:rsidRDefault="00A64E62" w:rsidP="004C2300"/>
    <w:p w14:paraId="52136087" w14:textId="67823E80" w:rsidR="00A64E62" w:rsidRDefault="001C2CCE" w:rsidP="004C2300">
      <w:r>
        <w:t>The two main proponents</w:t>
      </w:r>
      <w:r w:rsidR="006A1079">
        <w:t xml:space="preserve"> of these approaches had very different early lives.</w:t>
      </w:r>
    </w:p>
    <w:p w14:paraId="0AA494B6" w14:textId="66E9C648" w:rsidR="006A1079" w:rsidRDefault="006A1079" w:rsidP="004C2300"/>
    <w:p w14:paraId="3168B2E4" w14:textId="66A67C2D" w:rsidR="006A1079" w:rsidRDefault="006A1079" w:rsidP="004C2300">
      <w:r>
        <w:t xml:space="preserve">Both approaches </w:t>
      </w:r>
      <w:r w:rsidR="00060C02">
        <w:t xml:space="preserve">similarly </w:t>
      </w:r>
      <w:r>
        <w:t xml:space="preserve">fall into the Humanistic movement, developed in the 1950’s as a reaction to believed limitations of </w:t>
      </w:r>
      <w:r w:rsidR="00060C02">
        <w:t>Freuds P</w:t>
      </w:r>
      <w:r>
        <w:t xml:space="preserve">sychoanalysis and </w:t>
      </w:r>
      <w:r w:rsidR="00060C02">
        <w:t>Skinners B</w:t>
      </w:r>
      <w:r>
        <w:t>ehaviourism</w:t>
      </w:r>
      <w:r w:rsidR="00060C02">
        <w:t xml:space="preserve"> philosophies</w:t>
      </w:r>
      <w:r w:rsidR="009A24B1">
        <w:t xml:space="preserve"> which were at the time dominant</w:t>
      </w:r>
      <w:r w:rsidR="00060C02">
        <w:t>.</w:t>
      </w:r>
      <w:r w:rsidR="009A24B1">
        <w:t xml:space="preserve">  Rather than focussing upon dysfunction Humanistic approaches concentrate on the individual reaching their full potential and enhanced well-being</w:t>
      </w:r>
      <w:r w:rsidR="003F551E">
        <w:t xml:space="preserve"> (Cherry 2020).</w:t>
      </w:r>
      <w:r w:rsidR="00060C02">
        <w:t xml:space="preserve">  Humanistic approaches believe that a person possess self-actualising tendencies and </w:t>
      </w:r>
      <w:r w:rsidR="009A24B1">
        <w:t>free will to</w:t>
      </w:r>
      <w:r w:rsidR="00060C02">
        <w:t xml:space="preserve"> move towards </w:t>
      </w:r>
      <w:r w:rsidR="003F551E">
        <w:t>achieving full potential</w:t>
      </w:r>
      <w:r w:rsidR="00060C02">
        <w:t xml:space="preserve"> within a supporting environment</w:t>
      </w:r>
      <w:r w:rsidR="003F551E">
        <w:t xml:space="preserve"> (Cherry 2020)</w:t>
      </w:r>
      <w:r w:rsidR="00060C02">
        <w:t>.</w:t>
      </w:r>
    </w:p>
    <w:p w14:paraId="13FD6C4B" w14:textId="7C303F60" w:rsidR="003F551E" w:rsidRDefault="003F551E" w:rsidP="004C2300"/>
    <w:p w14:paraId="61FC46AD" w14:textId="4159C14E" w:rsidR="003F551E" w:rsidRDefault="003F551E" w:rsidP="004C2300">
      <w:r>
        <w:t xml:space="preserve">Key Concepts of PCT highlight Rogers belief that a human being is inherently good, self-aware, </w:t>
      </w:r>
      <w:r w:rsidR="005E0C44">
        <w:t>inner-directed,</w:t>
      </w:r>
      <w:r>
        <w:t xml:space="preserve"> and moving towards self-actualisation</w:t>
      </w:r>
      <w:r w:rsidR="005B04BB">
        <w:t xml:space="preserve"> which he felt was the dominant motivating factor.  Rogers viewed individuals from a phenomenological standpoint, in that their perceived reality is important. (Smith-Jones 2016).  Perls however viewed individuals as neither good or </w:t>
      </w:r>
      <w:r w:rsidR="005E0C44">
        <w:t xml:space="preserve">bad </w:t>
      </w:r>
      <w:r w:rsidR="005E0C44">
        <w:lastRenderedPageBreak/>
        <w:t>but</w:t>
      </w:r>
      <w:r w:rsidR="005B04BB">
        <w:t xml:space="preserve"> did believe they were self-regulating and move towards growth.</w:t>
      </w:r>
      <w:r w:rsidR="002117ED">
        <w:t xml:space="preserve">  Perls also believed in seeing the world through the </w:t>
      </w:r>
      <w:r w:rsidR="005E0C44">
        <w:t>individuals phenomenological field of perception but was more concerned with the immediate hear and now elements</w:t>
      </w:r>
      <w:r w:rsidR="003F697E">
        <w:t xml:space="preserve"> (Smith-Jones 2016)</w:t>
      </w:r>
      <w:r w:rsidR="00743C12">
        <w:t xml:space="preserve"> as opposed to Rogerian PCT that focusses upon the self-actualising tendencies, where the goal is held in the future</w:t>
      </w:r>
      <w:r w:rsidR="005E0C44">
        <w:t>.</w:t>
      </w:r>
    </w:p>
    <w:p w14:paraId="2B59A41B" w14:textId="28F96053" w:rsidR="00CB6725" w:rsidRDefault="00CB6725" w:rsidP="004C2300"/>
    <w:p w14:paraId="01F112B1" w14:textId="35FEA2FC" w:rsidR="00CB6725" w:rsidRDefault="00CB6725" w:rsidP="004C2300">
      <w:r>
        <w:t xml:space="preserve">Rogers sees the theory of personality in terms of the organism, the organisms phenomenological field and the self (Smith-Jones 2016).  The organisms personality and behaviour </w:t>
      </w:r>
      <w:r w:rsidR="008B4275">
        <w:t>are</w:t>
      </w:r>
      <w:r>
        <w:t xml:space="preserve"> influenced by the goal of actualisation.  The organism or person develops a valuing process from interactions with others and experiences via their phenomenological field which is essential to </w:t>
      </w:r>
      <w:r w:rsidR="00E37279">
        <w:t>self-development</w:t>
      </w:r>
      <w:r>
        <w:t xml:space="preserve"> </w:t>
      </w:r>
      <w:r w:rsidRPr="00CB6725">
        <w:t>(Rogers 1959)</w:t>
      </w:r>
      <w:r>
        <w:t xml:space="preserve">.  Infants differentiate elements of their experiential field and so differentiate self, forming a self-concept.  Rogers believed that </w:t>
      </w:r>
      <w:r w:rsidR="00DD0564">
        <w:t xml:space="preserve">in all societies </w:t>
      </w:r>
      <w:r>
        <w:t xml:space="preserve">an infant craves connection with significant others, with a need for </w:t>
      </w:r>
      <w:r w:rsidR="00DD0564">
        <w:t>positive</w:t>
      </w:r>
      <w:r>
        <w:t xml:space="preserve"> regard, a feeling of value</w:t>
      </w:r>
      <w:r w:rsidR="00DD0564">
        <w:t xml:space="preserve">, a feeling of Love (Smith-Jones 2016).  This leads to a concept of </w:t>
      </w:r>
      <w:r w:rsidR="00E37279">
        <w:t>self-structure</w:t>
      </w:r>
      <w:r w:rsidR="00DD0564">
        <w:t xml:space="preserve">, (I am, am not valued/loved) however, Rogers felt that not all experience is integrated into the </w:t>
      </w:r>
      <w:r w:rsidR="00E37279">
        <w:t>self-structure</w:t>
      </w:r>
      <w:r w:rsidR="00DD0564">
        <w:t xml:space="preserve">, which itself affects </w:t>
      </w:r>
      <w:r w:rsidR="00E37279">
        <w:t>self-esteem</w:t>
      </w:r>
      <w:r w:rsidR="00DD0564">
        <w:t xml:space="preserve">, as certain experiences may be ignored, denied or distorted if they do not match the persons perceived </w:t>
      </w:r>
      <w:r w:rsidR="00E37279">
        <w:t>self-structure</w:t>
      </w:r>
      <w:r w:rsidR="00DD0564">
        <w:t>.</w:t>
      </w:r>
      <w:r w:rsidR="00E37279">
        <w:t xml:space="preserve">  An infant will establish conditions of worth depending on the status of regard from significant others, if conditional positive regard is experienced, then positive self-regard will not be formed. Rogers believed that incongruence </w:t>
      </w:r>
      <w:r w:rsidR="00E3775F">
        <w:t xml:space="preserve">and maladaptive behaviour forms </w:t>
      </w:r>
      <w:r w:rsidR="00E37279">
        <w:t xml:space="preserve">when their self-structure </w:t>
      </w:r>
      <w:r w:rsidR="00BF215E">
        <w:t>conflicts with</w:t>
      </w:r>
      <w:r w:rsidR="00E37279">
        <w:t xml:space="preserve"> their self-actualising tendency.</w:t>
      </w:r>
      <w:r w:rsidR="00E3775F">
        <w:t xml:space="preserve">  Emotions that challenge the self-structure may be subconsciously refused integration, a person may shy away from new experiences trapped in a self-made prison of fear, where few conditions of worth or </w:t>
      </w:r>
      <w:r w:rsidR="008B4275">
        <w:t>self-regard</w:t>
      </w:r>
      <w:r w:rsidR="00E3775F">
        <w:t xml:space="preserve"> exist, the person then attempts to balance experiences selectively, forming subception, a subconscious defensive reaction prohibiting incongruent material from their phenomenological field entering consciousness</w:t>
      </w:r>
      <w:r w:rsidR="008B4275">
        <w:t xml:space="preserve">, leading to disorganised behaviour and personality disorganisation </w:t>
      </w:r>
      <w:r w:rsidR="00E3775F">
        <w:t>(Smith-Jones 2016)</w:t>
      </w:r>
      <w:r w:rsidR="008B4275">
        <w:t>.</w:t>
      </w:r>
      <w:r w:rsidR="00E3775F">
        <w:t xml:space="preserve"> </w:t>
      </w:r>
      <w:r w:rsidR="00E37279">
        <w:t xml:space="preserve"> </w:t>
      </w:r>
      <w:r w:rsidR="00E3775F">
        <w:t xml:space="preserve"> </w:t>
      </w:r>
      <w:r w:rsidR="00E37279">
        <w:t>In contrast, Perls did not specify personality development</w:t>
      </w:r>
      <w:r w:rsidR="00C76899">
        <w:t xml:space="preserve"> within his theory</w:t>
      </w:r>
      <w:r w:rsidR="00E37279">
        <w:t>, but did explain that contact</w:t>
      </w:r>
      <w:r w:rsidR="0008264A">
        <w:t xml:space="preserve"> was essential for survival and growth (Smith-Jones 2016).  Polster &amp; Polster (1973) state that contact is ‘essential for survival and growth’.  Perls saw that contact, using all senses in the phenomenological field as forming a figure of interest which enables the person to form figure and ground relationships between ourselves and others which creates the concept of self </w:t>
      </w:r>
      <w:bookmarkStart w:id="0" w:name="_Hlk39059773"/>
      <w:r w:rsidR="0008264A">
        <w:t>(Smith-Jones 2016</w:t>
      </w:r>
      <w:bookmarkEnd w:id="0"/>
      <w:r w:rsidR="0008264A">
        <w:t xml:space="preserve">).  </w:t>
      </w:r>
      <w:r w:rsidR="0008264A">
        <w:lastRenderedPageBreak/>
        <w:t>Making meaning is imperative within Gestalt Psychotherapy, the meaning of experience is more important that the experience itself.  Gestalt Therapy insists that individuals function holistically; meaning that no part, or figure can be understood without the frame of reference or the background</w:t>
      </w:r>
      <w:r w:rsidR="00C76899">
        <w:t xml:space="preserve">, therefore </w:t>
      </w:r>
      <w:r w:rsidR="00C76899" w:rsidRPr="00C76899">
        <w:t>Holism suggests that everything is interrelated</w:t>
      </w:r>
      <w:r w:rsidR="0008264A">
        <w:t xml:space="preserve"> </w:t>
      </w:r>
      <w:r w:rsidR="0008264A" w:rsidRPr="0008264A">
        <w:t>(Smith-Jones 2016</w:t>
      </w:r>
      <w:r w:rsidR="0008264A">
        <w:t xml:space="preserve">).  Perls </w:t>
      </w:r>
      <w:r w:rsidR="00C76899">
        <w:t>saw Organismic self-regulation, which determined a persons ability to solve their own problems, with a healthy person goal seeking, with an awareness of shifting needs, an ability to create and destroy gestalts and participate in what they experience.  Perls did however discuss the theory of maladaptive behaviour and speaks of personality holes and the person mirroring behaviours that they believe are attractive to others rather than actualising the self, choosing to actualise a self-image instead</w:t>
      </w:r>
      <w:r w:rsidR="00AA2DE9">
        <w:t xml:space="preserve"> and thus </w:t>
      </w:r>
      <w:r w:rsidR="008B4275">
        <w:t>losing</w:t>
      </w:r>
      <w:r w:rsidR="00AA2DE9">
        <w:t xml:space="preserve"> their organismic self-regulation</w:t>
      </w:r>
      <w:r w:rsidR="00C76899">
        <w:t>.</w:t>
      </w:r>
      <w:r w:rsidR="00AA2DE9">
        <w:t xml:space="preserve">  Perls mentions introjection, where the person uncritically accepts others, mirrors what they perceive as favourable traits and becomes phony or incongruent, ungenuine.</w:t>
      </w:r>
    </w:p>
    <w:p w14:paraId="52A5BE45" w14:textId="3B813A0E" w:rsidR="00AA2DE9" w:rsidRDefault="00AA2DE9" w:rsidP="004C2300"/>
    <w:p w14:paraId="679CEE85" w14:textId="3B94A23F" w:rsidR="00AA2DE9" w:rsidRDefault="00AA2DE9" w:rsidP="004C2300">
      <w:r>
        <w:t xml:space="preserve">Rogers comments upon the theory of healthy psychological development, in terms of a ‘fully functioning person’ (Rogers 1961) with no conditions of worth and a congruency between self and experience.  Rogers does state that the ideal does not </w:t>
      </w:r>
      <w:r w:rsidR="005E5DEA">
        <w:t>exist</w:t>
      </w:r>
      <w:r>
        <w:t xml:space="preserve"> but aspects of a fully functioning person contain an openness to experience with no barriers or defensiveness, organismic trusting</w:t>
      </w:r>
      <w:r w:rsidR="005E5DEA">
        <w:t xml:space="preserve">; which is </w:t>
      </w:r>
      <w:r>
        <w:t xml:space="preserve">in touch with the self-actualising tendency and makes value </w:t>
      </w:r>
      <w:r w:rsidR="008B4275">
        <w:t>judgements</w:t>
      </w:r>
      <w:r>
        <w:t xml:space="preserve"> upon our lives</w:t>
      </w:r>
      <w:r w:rsidR="005E5DEA">
        <w:t xml:space="preserve">, trusting ourselves to make our own choices and do what feels right naturally. Rogers also believes that a fully functioning person behaves constructively and with </w:t>
      </w:r>
      <w:r w:rsidR="008B4275">
        <w:t>trustworthiness and</w:t>
      </w:r>
      <w:r w:rsidR="005E5DEA">
        <w:t xml:space="preserve"> possess experiential inner freedom and a creativity that draws the person to the actualisation of others and themselves</w:t>
      </w:r>
      <w:r w:rsidR="008B4275">
        <w:t xml:space="preserve"> (Smith-Jones 2016).</w:t>
      </w:r>
    </w:p>
    <w:p w14:paraId="502131C3" w14:textId="247EEEBE" w:rsidR="008B4275" w:rsidRDefault="008B4275" w:rsidP="004C2300"/>
    <w:p w14:paraId="3499ADE4" w14:textId="0EEF5E81" w:rsidR="008B4275" w:rsidRDefault="008B4275" w:rsidP="004C2300">
      <w:r>
        <w:t xml:space="preserve">The Goals of Gestalt Therapy are concerned with enhancing the persons awareness, and how the person blocks or distorts awareness. Contact between the client and therapist is essential, with note to the contact cycle of </w:t>
      </w:r>
      <w:r w:rsidRPr="008B4275">
        <w:t>Polster &amp; Polster (1973)</w:t>
      </w:r>
      <w:r>
        <w:t>.  To reintegrate the lost parts of self that have been denied and to fill the personality holes</w:t>
      </w:r>
      <w:r w:rsidR="009F326C">
        <w:t xml:space="preserve"> in order to reintegrate the whole and enable the person to mature with responsibility for clients lives (Perls 1969).  The therapeutic goals of PCT are to assist the person in their self-actualising growth process thus assisting presenting problems and empowering the person to deal </w:t>
      </w:r>
      <w:r w:rsidR="009F326C">
        <w:lastRenderedPageBreak/>
        <w:t xml:space="preserve">with similar concerns that may manifest in the future and help the individual become a fully functioning person. </w:t>
      </w:r>
      <w:r w:rsidR="00442731">
        <w:t xml:space="preserve">Goals of a movement away from what the client is not towards their true self is imperative, enabling the person to remove their mask and be congruent with who they are, changing a beings self-concept toward their self-actualising tendencies </w:t>
      </w:r>
      <w:r w:rsidR="009F326C">
        <w:t xml:space="preserve"> PCT is client-led</w:t>
      </w:r>
      <w:r w:rsidR="00442731">
        <w:t>, which Rogers felt encourages a more self-directive, self-confident individual.</w:t>
      </w:r>
    </w:p>
    <w:p w14:paraId="10094199" w14:textId="4E26500A" w:rsidR="00A9142A" w:rsidRDefault="00A9142A" w:rsidP="004C2300"/>
    <w:p w14:paraId="2ED97816" w14:textId="1A87B53D" w:rsidR="00A9142A" w:rsidRDefault="00A9142A" w:rsidP="004C2300">
      <w:r>
        <w:t xml:space="preserve">The therapeutic relationship plays an imperative role in PCT.  </w:t>
      </w:r>
      <w:r w:rsidR="00AC480C">
        <w:t xml:space="preserve">PCT therapy is client led, placing the client as the expert.  </w:t>
      </w:r>
      <w:r>
        <w:t>Rogers felt it was the therapist responsibility to create an environment that was perceived as trusting and safe by the client (Mcleod &amp; McLeod 1993).  The role of the Person-Centred therapist is to provide the six conditions</w:t>
      </w:r>
      <w:r w:rsidR="00757C81">
        <w:t xml:space="preserve">, including unconditional positive regard, </w:t>
      </w:r>
      <w:r w:rsidR="00BF215E">
        <w:t>congruence,</w:t>
      </w:r>
      <w:r w:rsidR="00757C81">
        <w:t xml:space="preserve"> and empathy. </w:t>
      </w:r>
      <w:r>
        <w:t>that Rogers saw as necessary and sufficient</w:t>
      </w:r>
      <w:r w:rsidR="00757C81">
        <w:t>.  It is the therapists belief in the clients resourcefulness that encourages a climate for growth (Bozarth et al 2002).</w:t>
      </w:r>
      <w:r w:rsidR="00AC480C">
        <w:t xml:space="preserve">  Laura Perls (1976) mentions the therapist as a directive leader within Gestalt </w:t>
      </w:r>
      <w:r w:rsidR="00BF215E">
        <w:t>Therapy and</w:t>
      </w:r>
      <w:r w:rsidR="00AC480C">
        <w:t xml:space="preserve"> has the role of frustrating the clients demands for support until they reach an impass, whereby the therapist then activates the supporting role.  Change takes place when the client owns their feelings moment to moment and the client is able to reintegrate missing parts (Polter 1987)</w:t>
      </w:r>
    </w:p>
    <w:p w14:paraId="20402C90" w14:textId="06442B7F" w:rsidR="00AC480C" w:rsidRDefault="005E6434" w:rsidP="004C2300">
      <w:r>
        <w:t xml:space="preserve">PCT does not have any techniques, </w:t>
      </w:r>
      <w:r w:rsidR="00BF215E">
        <w:t>experiments,</w:t>
      </w:r>
      <w:r>
        <w:t xml:space="preserve"> or exercises as opposed to Gestalt Therapy.  Rogers concentrated upon his six conditions as the techniques required for positive change.  Gestalt Therapy has a variety of techniques, such as the hot seat, where a volunteer from a group therapy setting will be directly and ‘aggressively’ (Smith-Jones 2016) engaged by the therapist until the problem emerges.  Now &amp; How focuses upon the clients immediate awareness of experiences whereby the Now is concerned with bringing the past and present together and the How concerns what feelings emerge relating to the Now.</w:t>
      </w:r>
    </w:p>
    <w:p w14:paraId="05DEF4B5" w14:textId="17C0ECF2" w:rsidR="00060C02" w:rsidRDefault="00060C02" w:rsidP="004C2300"/>
    <w:p w14:paraId="3FCB5521" w14:textId="46508755" w:rsidR="00150608" w:rsidRDefault="005E6434" w:rsidP="004C2300">
      <w:r>
        <w:t xml:space="preserve">Criticisms of PCT seem to focus on </w:t>
      </w:r>
      <w:r w:rsidR="00B37503">
        <w:t xml:space="preserve">the sufficient and necessary conditions, however Watson (2002) conducted research into the relevance of therapist empathy and found it to be a powerful indicator of progress in therapy concluding that no studies have discovered a negative affect from the therapists display of empathy.  Many other Humanistic approaches incorporate </w:t>
      </w:r>
      <w:r w:rsidR="00B37503">
        <w:lastRenderedPageBreak/>
        <w:t xml:space="preserve">the importance of the therapeutic relationship and especially that of empathy.  Critics have also condemned Rogers belief that people are inherently good.  Perls disagrees, believing that people are neither good </w:t>
      </w:r>
      <w:r w:rsidR="00BF215E">
        <w:t>nor</w:t>
      </w:r>
      <w:r w:rsidR="00B37503">
        <w:t xml:space="preserve"> bad</w:t>
      </w:r>
      <w:r w:rsidR="001F4F5D">
        <w:t xml:space="preserve"> </w:t>
      </w:r>
      <w:r w:rsidR="001F4F5D" w:rsidRPr="001F4F5D">
        <w:t xml:space="preserve">(Smith-Jones 2016). </w:t>
      </w:r>
      <w:r w:rsidR="00B37503">
        <w:t xml:space="preserve"> Other critics claim that PCT is only suitable for the milder neurotic conditions, that it places too much responsibility on the client, that is unrealistic for therapists to have unconditional positive regard for clients</w:t>
      </w:r>
      <w:r w:rsidR="00C013AF">
        <w:t xml:space="preserve">, that the theory is not useful for clients in a state of crisis and that PCT only serves clients who are vocal enough to engage </w:t>
      </w:r>
      <w:bookmarkStart w:id="1" w:name="_Hlk39068885"/>
      <w:r w:rsidR="00C013AF">
        <w:t xml:space="preserve">(Smith-Jones 2016).  </w:t>
      </w:r>
      <w:bookmarkEnd w:id="1"/>
      <w:r w:rsidR="00C013AF">
        <w:t>Critics of Gestalt Theory comment upon its lack empirically backed research or theoretical clarity, claiming it as gimmicky (</w:t>
      </w:r>
      <w:r w:rsidR="00C013AF" w:rsidRPr="00C013AF">
        <w:t xml:space="preserve">Smith-Jones 2016).  </w:t>
      </w:r>
      <w:r w:rsidR="00C013AF">
        <w:t>That the theory places emphasis on the now and how which does not manage with the past. There exists criticism upon the challenging nature of Gestalt therapy, aggressively seeking out phony behaviour.</w:t>
      </w:r>
      <w:r w:rsidR="001F4F5D">
        <w:t xml:space="preserve">  </w:t>
      </w:r>
    </w:p>
    <w:p w14:paraId="1CFBDBA9" w14:textId="0526A35C" w:rsidR="001F4F5D" w:rsidRDefault="001F4F5D" w:rsidP="004C2300"/>
    <w:p w14:paraId="6B6FC5D8" w14:textId="05F20A1E" w:rsidR="00037871" w:rsidRDefault="001F4F5D" w:rsidP="004C2300">
      <w:r>
        <w:t xml:space="preserve">Multicultural differences exist within both approaches; PCT and Gestalt therapies were developed in westernised culture, and so aspects such as eye contact in PCT and the challenging nature of Gestalt do not seem compatible with </w:t>
      </w:r>
      <w:r w:rsidR="00037871">
        <w:t xml:space="preserve">behaviour seen as positive within </w:t>
      </w:r>
      <w:r>
        <w:t>eastern cultur</w:t>
      </w:r>
      <w:r w:rsidR="00037871">
        <w:t xml:space="preserve">es, however links to PCT philosophies have been seen within </w:t>
      </w:r>
      <w:r w:rsidR="00BF215E">
        <w:t>Buddhism</w:t>
      </w:r>
      <w:r w:rsidR="00037871">
        <w:t xml:space="preserve"> and Taoism </w:t>
      </w:r>
      <w:r w:rsidR="00037871" w:rsidRPr="00037871">
        <w:t xml:space="preserve">(Smith-Jones 2016).  </w:t>
      </w:r>
    </w:p>
    <w:p w14:paraId="40E61A07" w14:textId="56815CA7" w:rsidR="00037871" w:rsidRDefault="00037871" w:rsidP="004C2300"/>
    <w:p w14:paraId="3BCC51E7" w14:textId="31EB9AC4" w:rsidR="00037871" w:rsidRDefault="00037871" w:rsidP="004C2300">
      <w:r>
        <w:t>It is believed that there has been not enough empirical research towards PCT that there has been with other therapeutic theories Cooper et al (2013).  Organisations that regulate therapeutic approaches and decide what is/</w:t>
      </w:r>
      <w:r w:rsidR="00BF215E">
        <w:t>is not</w:t>
      </w:r>
      <w:r>
        <w:t xml:space="preserve"> to be used prefer a more rigorous empirical testing despite Watson (2002).  The future seems secure for the longevity of Rogers </w:t>
      </w:r>
      <w:r w:rsidR="00BF215E">
        <w:t>philosophy</w:t>
      </w:r>
      <w:r>
        <w:t xml:space="preserve">, as therapist training in Europe and America value highly the principals of PCT’s therapeutic relationship and core conditions. </w:t>
      </w:r>
      <w:r w:rsidR="00BF215E">
        <w:t xml:space="preserve">Gestalt therapy is said to be on the decline </w:t>
      </w:r>
      <w:r w:rsidR="00BF215E" w:rsidRPr="00BF215E">
        <w:t>(Smith-Jones 2016)</w:t>
      </w:r>
      <w:r w:rsidR="00BF215E">
        <w:t xml:space="preserve">, although elements of Gestalts exercises and experimentation have seen empirical support much of Perls theories seem to be in decline </w:t>
      </w:r>
      <w:r w:rsidR="00BF215E" w:rsidRPr="00BF215E">
        <w:t xml:space="preserve">(Smith-Jones 2016).  </w:t>
      </w:r>
    </w:p>
    <w:p w14:paraId="7925C596" w14:textId="00454ACF" w:rsidR="00BF215E" w:rsidRDefault="00BF215E" w:rsidP="004C2300"/>
    <w:p w14:paraId="7D5385FE" w14:textId="7178DE5D" w:rsidR="00BF215E" w:rsidRDefault="00BF215E" w:rsidP="004C2300">
      <w:r>
        <w:t xml:space="preserve">To conclude, despite criticisms, both therapeutic approaches have undoubtedly supported and enabled clients towards their self-actualising tendencies.  Aspects of both philosophies are still alive and practiced today within the westernised world.  Both Rogers and Perls moved away from the </w:t>
      </w:r>
      <w:r>
        <w:lastRenderedPageBreak/>
        <w:t xml:space="preserve">dominant philosophies of behaviourism and psychoanalysis and paved the way for </w:t>
      </w:r>
      <w:r w:rsidR="00232E0E">
        <w:t>popularising</w:t>
      </w:r>
      <w:r>
        <w:t xml:space="preserve"> therapy, bringing the concept of positive change into societies consciousness.  </w:t>
      </w:r>
      <w:r w:rsidR="00232E0E">
        <w:t>It could be said that any</w:t>
      </w:r>
      <w:r>
        <w:t xml:space="preserve"> and all philosophies are developed within the phenomenological field of </w:t>
      </w:r>
      <w:r w:rsidR="00232E0E">
        <w:t>their creators, and so it</w:t>
      </w:r>
      <w:r>
        <w:t xml:space="preserve"> is interesting to see how their early years differed</w:t>
      </w:r>
      <w:r w:rsidR="00232E0E">
        <w:t xml:space="preserve"> and how their professional careers developed in relation to the approaches they went on to developed, although this isn’t the place for opinions.</w:t>
      </w:r>
    </w:p>
    <w:p w14:paraId="3695E4F8" w14:textId="77777777" w:rsidR="00BF215E" w:rsidRDefault="00BF215E" w:rsidP="004C2300"/>
    <w:p w14:paraId="00E08F12" w14:textId="41DD4C34" w:rsidR="00037871" w:rsidRDefault="00037871" w:rsidP="004C2300"/>
    <w:p w14:paraId="61C1363D" w14:textId="097D2FFB" w:rsidR="00232E0E" w:rsidRDefault="00232E0E">
      <w:r>
        <w:br w:type="page"/>
      </w:r>
    </w:p>
    <w:p w14:paraId="22A66D2D" w14:textId="77777777" w:rsidR="00037871" w:rsidRPr="004C2300" w:rsidRDefault="00037871" w:rsidP="004C2300"/>
    <w:p w14:paraId="3E9231EB" w14:textId="77777777" w:rsidR="00232E0E" w:rsidRDefault="00232E0E" w:rsidP="00232E0E">
      <w:r>
        <w:t>REFERENCES:</w:t>
      </w:r>
    </w:p>
    <w:p w14:paraId="0991D380" w14:textId="77777777" w:rsidR="00232E0E" w:rsidRDefault="00232E0E" w:rsidP="00232E0E"/>
    <w:p w14:paraId="3A6B81C9" w14:textId="77777777" w:rsidR="00232E0E" w:rsidRDefault="00232E0E" w:rsidP="00232E0E">
      <w:r>
        <w:t xml:space="preserve">Bowman, C. E (2005). The history and development of Gestalt therapy. In </w:t>
      </w:r>
      <w:proofErr w:type="gramStart"/>
      <w:r>
        <w:t>A,L</w:t>
      </w:r>
      <w:proofErr w:type="gramEnd"/>
      <w:r>
        <w:t>, Woldt &amp; S. M, Toman (Eds,), Gestalt therapy: History, theory, and practice (pp3-20). Thousand Oaks, CA: Sage</w:t>
      </w:r>
    </w:p>
    <w:p w14:paraId="495EBCE8" w14:textId="77777777" w:rsidR="00232E0E" w:rsidRDefault="00232E0E" w:rsidP="00232E0E"/>
    <w:p w14:paraId="5281F5A9" w14:textId="77777777" w:rsidR="00232E0E" w:rsidRDefault="00232E0E" w:rsidP="00232E0E">
      <w:r>
        <w:t>Bozarth, J. D et al (2002) Client-centred therapy: The evolution of a revolution.  In D. J. Cain &amp; J. Seeman (Eds.), Humanistic psychotherapies: Handbook of research and practice. (pp147-188). Washington, DC: American Psychological Association.</w:t>
      </w:r>
    </w:p>
    <w:p w14:paraId="5EBA2504" w14:textId="77777777" w:rsidR="00232E0E" w:rsidRDefault="00232E0E" w:rsidP="00232E0E"/>
    <w:p w14:paraId="262AF561" w14:textId="77777777" w:rsidR="00232E0E" w:rsidRDefault="00232E0E" w:rsidP="00232E0E">
      <w:r>
        <w:t>Cherry, K. (2020). Overview of Humanistic psychology.</w:t>
      </w:r>
    </w:p>
    <w:p w14:paraId="5914456E" w14:textId="77777777" w:rsidR="00232E0E" w:rsidRDefault="00232E0E" w:rsidP="00232E0E">
      <w:r>
        <w:t>Available at: https://www.verywellmind.com/what-is-humanistic-psychology-2795242</w:t>
      </w:r>
    </w:p>
    <w:p w14:paraId="79B879D4" w14:textId="77777777" w:rsidR="00232E0E" w:rsidRDefault="00232E0E" w:rsidP="00232E0E">
      <w:r>
        <w:t>(Accessed 24th April 2020)</w:t>
      </w:r>
    </w:p>
    <w:p w14:paraId="3526B74C" w14:textId="77777777" w:rsidR="00232E0E" w:rsidRDefault="00232E0E" w:rsidP="00232E0E"/>
    <w:p w14:paraId="2952AD10" w14:textId="77777777" w:rsidR="00232E0E" w:rsidRDefault="00232E0E" w:rsidP="00232E0E">
      <w:r>
        <w:t>Cherry, K. (2019). Gestalt psychology overview.</w:t>
      </w:r>
    </w:p>
    <w:p w14:paraId="63C5F91B" w14:textId="77777777" w:rsidR="00232E0E" w:rsidRDefault="00232E0E" w:rsidP="00232E0E">
      <w:r>
        <w:t>Available at: https://www.verywellmind.com/what-is-gestalt-psychology-2795808</w:t>
      </w:r>
    </w:p>
    <w:p w14:paraId="3CF266C9" w14:textId="77777777" w:rsidR="00232E0E" w:rsidRDefault="00232E0E" w:rsidP="00232E0E">
      <w:r>
        <w:t>(Accessed 24th April 2020)</w:t>
      </w:r>
    </w:p>
    <w:p w14:paraId="3A5E0F07" w14:textId="77777777" w:rsidR="00232E0E" w:rsidRDefault="00232E0E" w:rsidP="00232E0E"/>
    <w:p w14:paraId="4573497F" w14:textId="77777777" w:rsidR="00232E0E" w:rsidRDefault="00232E0E" w:rsidP="00232E0E">
      <w:r>
        <w:t xml:space="preserve">Cooper, M., Watson, J. C., &amp; Hoeldampf, D. (2010). Person-centred and experiential therapies work: A review of the research on counselling, </w:t>
      </w:r>
      <w:proofErr w:type="gramStart"/>
      <w:r>
        <w:t>psychotherapy</w:t>
      </w:r>
      <w:proofErr w:type="gramEnd"/>
      <w:r>
        <w:t xml:space="preserve"> and related practices. Ross-on-Wye, UK: PCCS Books</w:t>
      </w:r>
    </w:p>
    <w:p w14:paraId="72D771B0" w14:textId="77777777" w:rsidR="00232E0E" w:rsidRDefault="00232E0E" w:rsidP="00232E0E"/>
    <w:p w14:paraId="4E3163FF" w14:textId="77777777" w:rsidR="00232E0E" w:rsidRDefault="00232E0E" w:rsidP="00232E0E">
      <w:r>
        <w:t>Joseph, J. (2015). Carl Rogers' Person-Centred Approach</w:t>
      </w:r>
    </w:p>
    <w:p w14:paraId="57D61F9A" w14:textId="77777777" w:rsidR="00232E0E" w:rsidRDefault="00232E0E" w:rsidP="00232E0E">
      <w:r>
        <w:t xml:space="preserve">Non-directive, client-centred, person-centred... </w:t>
      </w:r>
      <w:proofErr w:type="gramStart"/>
      <w:r>
        <w:t>what's</w:t>
      </w:r>
      <w:proofErr w:type="gramEnd"/>
      <w:r>
        <w:t xml:space="preserve"> the difference? </w:t>
      </w:r>
    </w:p>
    <w:p w14:paraId="4C873B59" w14:textId="77777777" w:rsidR="00232E0E" w:rsidRDefault="00232E0E" w:rsidP="00232E0E">
      <w:r>
        <w:lastRenderedPageBreak/>
        <w:t>Available at: https://www.psychologytoday.com/us/blog/what-doesnt-kill-us/201503/carl-rogers-person-centered-approach</w:t>
      </w:r>
    </w:p>
    <w:p w14:paraId="7AFCAE74" w14:textId="77777777" w:rsidR="00232E0E" w:rsidRDefault="00232E0E" w:rsidP="00232E0E">
      <w:r>
        <w:t>(Accessed 24th April 2020)</w:t>
      </w:r>
    </w:p>
    <w:p w14:paraId="4ABD9246" w14:textId="77777777" w:rsidR="00232E0E" w:rsidRDefault="00232E0E" w:rsidP="00232E0E"/>
    <w:p w14:paraId="65A16444" w14:textId="77777777" w:rsidR="00232E0E" w:rsidRDefault="00232E0E" w:rsidP="00232E0E">
      <w:r>
        <w:t>Jones-Smith, E. (2016) Theories of counselling and psychotherapy. An Integrative approach. 2nd Ed. London, Sage Publications.</w:t>
      </w:r>
    </w:p>
    <w:p w14:paraId="7B906090" w14:textId="77777777" w:rsidR="00232E0E" w:rsidRDefault="00232E0E" w:rsidP="00232E0E"/>
    <w:p w14:paraId="6CD568AC" w14:textId="77777777" w:rsidR="00232E0E" w:rsidRDefault="00232E0E" w:rsidP="00232E0E">
      <w:r>
        <w:t>Kirschenbaum, H. (2007) The life and work of Carl Rogers, 2nd Ed. Ross-on-Wye, England. PCCS Books.</w:t>
      </w:r>
    </w:p>
    <w:p w14:paraId="521D9222" w14:textId="77777777" w:rsidR="00232E0E" w:rsidRDefault="00232E0E" w:rsidP="00232E0E"/>
    <w:p w14:paraId="537C01BC" w14:textId="77777777" w:rsidR="00232E0E" w:rsidRDefault="00232E0E" w:rsidP="00232E0E">
      <w:r>
        <w:t>Kirschenbaum, H. &amp; Henderson V, V. (Eds). (1989).  The Carl Rogers Reader. Boston: Houghton Mifflin.</w:t>
      </w:r>
    </w:p>
    <w:p w14:paraId="575B6BE7" w14:textId="77777777" w:rsidR="00232E0E" w:rsidRDefault="00232E0E" w:rsidP="00232E0E"/>
    <w:p w14:paraId="69475841" w14:textId="77777777" w:rsidR="00232E0E" w:rsidRDefault="00232E0E" w:rsidP="00232E0E">
      <w:r>
        <w:t>McLeod, J. &amp; McLeod, J. (1993) The relationship between personal philosophy and effectiveness of counsellors.  Counselling Psychology Quarterly, 6, 121-129</w:t>
      </w:r>
    </w:p>
    <w:p w14:paraId="71119F8F" w14:textId="77777777" w:rsidR="00232E0E" w:rsidRDefault="00232E0E" w:rsidP="00232E0E"/>
    <w:p w14:paraId="4C232B02" w14:textId="77777777" w:rsidR="00232E0E" w:rsidRDefault="00232E0E" w:rsidP="00232E0E">
      <w:r>
        <w:t>Norcross, John C. et al (2007). Systems of Psychotherapy: A Transtheoretical Analysis. Belmont, CA: Thomson/Brooks/Col</w:t>
      </w:r>
    </w:p>
    <w:p w14:paraId="7C35C184" w14:textId="77777777" w:rsidR="00232E0E" w:rsidRDefault="00232E0E" w:rsidP="00232E0E"/>
    <w:p w14:paraId="354DE455" w14:textId="77777777" w:rsidR="00232E0E" w:rsidRDefault="00232E0E" w:rsidP="00232E0E">
      <w:r>
        <w:t xml:space="preserve">Polster, E. (1987) Escape from the present: Transition and storyline.  In J. K. </w:t>
      </w:r>
      <w:proofErr w:type="spellStart"/>
      <w:r>
        <w:t>Seig</w:t>
      </w:r>
      <w:proofErr w:type="spellEnd"/>
      <w:r>
        <w:t xml:space="preserve"> (Ed.), The evolution of psychotherapy (pp. 326-340). New York: Brunner/Mazel.</w:t>
      </w:r>
    </w:p>
    <w:p w14:paraId="083D62A1" w14:textId="77777777" w:rsidR="00232E0E" w:rsidRDefault="00232E0E" w:rsidP="00232E0E">
      <w:r>
        <w:t>Perls, F. s. (1969) Gestalt therapy verbatim. Lafayette, CA: Real People Press.</w:t>
      </w:r>
    </w:p>
    <w:p w14:paraId="35FD747C" w14:textId="77777777" w:rsidR="00232E0E" w:rsidRDefault="00232E0E" w:rsidP="00232E0E"/>
    <w:p w14:paraId="576A8326" w14:textId="77777777" w:rsidR="00232E0E" w:rsidRDefault="00232E0E" w:rsidP="00232E0E">
      <w:r>
        <w:t>Rank, O. (1978). Will Therapy: An analysis of the therapeutic process in terms of relationships (J. Taft Trans).  New York. Norton. (Original work published 1936).</w:t>
      </w:r>
    </w:p>
    <w:p w14:paraId="2C363B4C" w14:textId="77777777" w:rsidR="00232E0E" w:rsidRDefault="00232E0E" w:rsidP="00232E0E"/>
    <w:p w14:paraId="378D9B11" w14:textId="77777777" w:rsidR="00232E0E" w:rsidRDefault="00232E0E" w:rsidP="00232E0E">
      <w:r>
        <w:t>Rogers, C. R. (1961). On becoming a person.  Boston: Houghton Mifflin</w:t>
      </w:r>
    </w:p>
    <w:p w14:paraId="4E82A774" w14:textId="77777777" w:rsidR="00232E0E" w:rsidRDefault="00232E0E" w:rsidP="00232E0E"/>
    <w:p w14:paraId="055EE389" w14:textId="77777777" w:rsidR="00232E0E" w:rsidRDefault="00232E0E" w:rsidP="00232E0E"/>
    <w:p w14:paraId="3666A8FB" w14:textId="244BC2CE" w:rsidR="00150608" w:rsidRDefault="00232E0E" w:rsidP="00232E0E">
      <w:r>
        <w:t xml:space="preserve">Woldt, A, L, &amp; Toman, S. M. (2005) Gestalt Therapy: History </w:t>
      </w:r>
      <w:proofErr w:type="spellStart"/>
      <w:r>
        <w:t>Therory</w:t>
      </w:r>
      <w:proofErr w:type="spellEnd"/>
      <w:r>
        <w:t xml:space="preserve"> and practice.  Thousand Oaks, CA: Sage</w:t>
      </w:r>
    </w:p>
    <w:sectPr w:rsidR="001506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E73"/>
    <w:rsid w:val="000059CD"/>
    <w:rsid w:val="0000652E"/>
    <w:rsid w:val="00037871"/>
    <w:rsid w:val="00060C02"/>
    <w:rsid w:val="0008264A"/>
    <w:rsid w:val="000C2B19"/>
    <w:rsid w:val="00150608"/>
    <w:rsid w:val="0015149C"/>
    <w:rsid w:val="00195296"/>
    <w:rsid w:val="001C2CCE"/>
    <w:rsid w:val="001F4F5D"/>
    <w:rsid w:val="002117ED"/>
    <w:rsid w:val="00232E0E"/>
    <w:rsid w:val="00311F68"/>
    <w:rsid w:val="003335D2"/>
    <w:rsid w:val="003344F3"/>
    <w:rsid w:val="003F551E"/>
    <w:rsid w:val="003F697E"/>
    <w:rsid w:val="00423A13"/>
    <w:rsid w:val="00442731"/>
    <w:rsid w:val="00454EFE"/>
    <w:rsid w:val="00462C6E"/>
    <w:rsid w:val="00495DAB"/>
    <w:rsid w:val="004C2300"/>
    <w:rsid w:val="004D2295"/>
    <w:rsid w:val="00554742"/>
    <w:rsid w:val="005B04BB"/>
    <w:rsid w:val="005E0C44"/>
    <w:rsid w:val="005E5DEA"/>
    <w:rsid w:val="005E6434"/>
    <w:rsid w:val="0067126B"/>
    <w:rsid w:val="006A1079"/>
    <w:rsid w:val="006F47AE"/>
    <w:rsid w:val="00743C12"/>
    <w:rsid w:val="00757C81"/>
    <w:rsid w:val="00780A18"/>
    <w:rsid w:val="007F298B"/>
    <w:rsid w:val="00814E73"/>
    <w:rsid w:val="008B4275"/>
    <w:rsid w:val="008D7AC1"/>
    <w:rsid w:val="008E497D"/>
    <w:rsid w:val="00921B5E"/>
    <w:rsid w:val="00924AC8"/>
    <w:rsid w:val="009557BD"/>
    <w:rsid w:val="00961A5F"/>
    <w:rsid w:val="00996881"/>
    <w:rsid w:val="009A24B1"/>
    <w:rsid w:val="009D7E93"/>
    <w:rsid w:val="009F326C"/>
    <w:rsid w:val="00A1198A"/>
    <w:rsid w:val="00A61428"/>
    <w:rsid w:val="00A64E62"/>
    <w:rsid w:val="00A9142A"/>
    <w:rsid w:val="00AA2DE9"/>
    <w:rsid w:val="00AC0C26"/>
    <w:rsid w:val="00AC480C"/>
    <w:rsid w:val="00AD2973"/>
    <w:rsid w:val="00AF68A1"/>
    <w:rsid w:val="00B37503"/>
    <w:rsid w:val="00B41CFC"/>
    <w:rsid w:val="00B55A33"/>
    <w:rsid w:val="00B67FB7"/>
    <w:rsid w:val="00B72D5D"/>
    <w:rsid w:val="00BB05D1"/>
    <w:rsid w:val="00BC0204"/>
    <w:rsid w:val="00BF215E"/>
    <w:rsid w:val="00C013AF"/>
    <w:rsid w:val="00C61063"/>
    <w:rsid w:val="00C76899"/>
    <w:rsid w:val="00C87972"/>
    <w:rsid w:val="00CA693B"/>
    <w:rsid w:val="00CB6725"/>
    <w:rsid w:val="00D20EBB"/>
    <w:rsid w:val="00D444C7"/>
    <w:rsid w:val="00DD0564"/>
    <w:rsid w:val="00E37279"/>
    <w:rsid w:val="00E3775F"/>
    <w:rsid w:val="00E62018"/>
    <w:rsid w:val="00ED17D6"/>
    <w:rsid w:val="00ED3C19"/>
    <w:rsid w:val="00F06219"/>
    <w:rsid w:val="00F6461C"/>
    <w:rsid w:val="00F91833"/>
    <w:rsid w:val="00FC6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F8037"/>
  <w15:chartTrackingRefBased/>
  <w15:docId w15:val="{208DE007-EE06-409A-BFE7-40CE1F73C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EBB"/>
    <w:rPr>
      <w:sz w:val="28"/>
    </w:rPr>
  </w:style>
  <w:style w:type="paragraph" w:styleId="Heading1">
    <w:name w:val="heading 1"/>
    <w:basedOn w:val="Normal"/>
    <w:next w:val="Normal"/>
    <w:link w:val="Heading1Char"/>
    <w:uiPriority w:val="9"/>
    <w:qFormat/>
    <w:rsid w:val="00150608"/>
    <w:pPr>
      <w:keepNext/>
      <w:keepLines/>
      <w:spacing w:before="240" w:after="0"/>
      <w:outlineLvl w:val="0"/>
    </w:pPr>
    <w:rPr>
      <w:rFonts w:asciiTheme="majorHAnsi" w:eastAsiaTheme="majorEastAsia" w:hAnsiTheme="majorHAnsi" w:cstheme="majorBidi"/>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2B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50608"/>
    <w:pPr>
      <w:spacing w:after="0" w:line="240" w:lineRule="auto"/>
    </w:pPr>
    <w:rPr>
      <w:sz w:val="28"/>
    </w:rPr>
  </w:style>
  <w:style w:type="character" w:customStyle="1" w:styleId="Heading1Char">
    <w:name w:val="Heading 1 Char"/>
    <w:basedOn w:val="DefaultParagraphFont"/>
    <w:link w:val="Heading1"/>
    <w:uiPriority w:val="9"/>
    <w:rsid w:val="00150608"/>
    <w:rPr>
      <w:rFonts w:asciiTheme="majorHAnsi" w:eastAsiaTheme="majorEastAsia" w:hAnsiTheme="majorHAnsi" w:cstheme="majorBidi"/>
      <w:color w:val="000000" w:themeColor="text1"/>
      <w:sz w:val="28"/>
      <w:szCs w:val="32"/>
    </w:rPr>
  </w:style>
  <w:style w:type="character" w:styleId="Hyperlink">
    <w:name w:val="Hyperlink"/>
    <w:basedOn w:val="DefaultParagraphFont"/>
    <w:uiPriority w:val="99"/>
    <w:unhideWhenUsed/>
    <w:rsid w:val="00B55A33"/>
    <w:rPr>
      <w:color w:val="0000FF"/>
      <w:u w:val="single"/>
    </w:rPr>
  </w:style>
  <w:style w:type="character" w:styleId="FollowedHyperlink">
    <w:name w:val="FollowedHyperlink"/>
    <w:basedOn w:val="DefaultParagraphFont"/>
    <w:uiPriority w:val="99"/>
    <w:semiHidden/>
    <w:unhideWhenUsed/>
    <w:rsid w:val="00B55A33"/>
    <w:rPr>
      <w:color w:val="954F72" w:themeColor="followedHyperlink"/>
      <w:u w:val="single"/>
    </w:rPr>
  </w:style>
  <w:style w:type="character" w:styleId="UnresolvedMention">
    <w:name w:val="Unresolved Mention"/>
    <w:basedOn w:val="DefaultParagraphFont"/>
    <w:uiPriority w:val="99"/>
    <w:semiHidden/>
    <w:unhideWhenUsed/>
    <w:rsid w:val="00F918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3169</Words>
  <Characters>18069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bainbridge</dc:creator>
  <cp:keywords/>
  <dc:description/>
  <cp:lastModifiedBy>jeremy bainbridge</cp:lastModifiedBy>
  <cp:revision>2</cp:revision>
  <dcterms:created xsi:type="dcterms:W3CDTF">2020-04-29T15:26:00Z</dcterms:created>
  <dcterms:modified xsi:type="dcterms:W3CDTF">2020-04-29T15:26:00Z</dcterms:modified>
</cp:coreProperties>
</file>