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ECBA7" w14:textId="34987F13" w:rsidR="00532AE4" w:rsidRPr="00FE4F7B" w:rsidRDefault="00FE4F7B" w:rsidP="00FE4F7B">
      <w:pPr>
        <w:jc w:val="center"/>
        <w:rPr>
          <w:rFonts w:ascii="Times New Roman" w:hAnsi="Times New Roman" w:cs="Times New Roman"/>
          <w:b/>
          <w:bCs/>
          <w:sz w:val="28"/>
          <w:szCs w:val="28"/>
          <w:u w:val="single"/>
        </w:rPr>
      </w:pPr>
      <w:r w:rsidRPr="00FE4F7B">
        <w:rPr>
          <w:rFonts w:ascii="Times New Roman" w:hAnsi="Times New Roman" w:cs="Times New Roman"/>
          <w:b/>
          <w:bCs/>
          <w:sz w:val="28"/>
          <w:szCs w:val="28"/>
          <w:u w:val="single"/>
        </w:rPr>
        <w:t>Architecture and Material Culture of the Tomb of Senneferi (TT99) and What It Reveals About His Status in New Kingdom Egyptian Society</w:t>
      </w:r>
    </w:p>
    <w:p w14:paraId="65073FDE" w14:textId="1A0D35DA" w:rsidR="00FE4F7B" w:rsidRDefault="00FE4F7B" w:rsidP="00FE4F7B">
      <w:pPr>
        <w:jc w:val="both"/>
        <w:rPr>
          <w:rFonts w:ascii="Times New Roman" w:hAnsi="Times New Roman" w:cs="Times New Roman"/>
        </w:rPr>
      </w:pPr>
      <w:r>
        <w:rPr>
          <w:rFonts w:ascii="Times New Roman" w:hAnsi="Times New Roman" w:cs="Times New Roman"/>
        </w:rPr>
        <w:t xml:space="preserve">The necropolis of Thebes on the west bank of the Nile contains some of the most important elite tombs from the New Kingdom </w:t>
      </w:r>
      <w:r w:rsidR="00630EE7">
        <w:rPr>
          <w:rFonts w:ascii="Times New Roman" w:hAnsi="Times New Roman" w:cs="Times New Roman"/>
        </w:rPr>
        <w:t>(</w:t>
      </w:r>
      <w:r w:rsidR="00630EE7" w:rsidRPr="00220DFB">
        <w:rPr>
          <w:rFonts w:ascii="Times New Roman" w:hAnsi="Times New Roman" w:cs="Times New Roman"/>
          <w:i/>
          <w:iCs/>
        </w:rPr>
        <w:t>c.1570–1069BCE</w:t>
      </w:r>
      <w:r w:rsidR="00630EE7">
        <w:rPr>
          <w:rFonts w:ascii="Times New Roman" w:hAnsi="Times New Roman" w:cs="Times New Roman"/>
        </w:rPr>
        <w:t>)</w:t>
      </w:r>
      <w:r w:rsidR="00C05654">
        <w:rPr>
          <w:rStyle w:val="FootnoteReference"/>
          <w:rFonts w:ascii="Times New Roman" w:hAnsi="Times New Roman" w:cs="Times New Roman"/>
        </w:rPr>
        <w:footnoteReference w:id="2"/>
      </w:r>
      <w:r w:rsidR="00630EE7">
        <w:rPr>
          <w:rFonts w:ascii="Times New Roman" w:hAnsi="Times New Roman" w:cs="Times New Roman"/>
        </w:rPr>
        <w:t xml:space="preserve"> </w:t>
      </w:r>
      <w:r>
        <w:rPr>
          <w:rFonts w:ascii="Times New Roman" w:hAnsi="Times New Roman" w:cs="Times New Roman"/>
        </w:rPr>
        <w:t xml:space="preserve">of ancient Egypt. </w:t>
      </w:r>
      <w:r w:rsidR="00114456">
        <w:rPr>
          <w:rFonts w:ascii="Times New Roman" w:hAnsi="Times New Roman" w:cs="Times New Roman"/>
        </w:rPr>
        <w:t xml:space="preserve">Among these monuments is Theban Tomb TT99, which belonged to </w:t>
      </w:r>
      <w:r w:rsidR="00BD410F">
        <w:rPr>
          <w:rFonts w:ascii="Times New Roman" w:hAnsi="Times New Roman" w:cs="Times New Roman"/>
        </w:rPr>
        <w:t>Senneferi,</w:t>
      </w:r>
      <w:r w:rsidR="005E6B1B">
        <w:rPr>
          <w:rFonts w:ascii="Times New Roman" w:hAnsi="Times New Roman" w:cs="Times New Roman"/>
        </w:rPr>
        <w:t xml:space="preserve"> a member of the high elite</w:t>
      </w:r>
      <w:r w:rsidR="00990C6D">
        <w:rPr>
          <w:rFonts w:ascii="Times New Roman" w:hAnsi="Times New Roman" w:cs="Times New Roman"/>
        </w:rPr>
        <w:t xml:space="preserve"> and </w:t>
      </w:r>
      <w:r w:rsidR="00E26DEF">
        <w:rPr>
          <w:rFonts w:ascii="Times New Roman" w:hAnsi="Times New Roman" w:cs="Times New Roman"/>
        </w:rPr>
        <w:t>chancellor</w:t>
      </w:r>
      <w:r w:rsidR="00CE6EBC">
        <w:rPr>
          <w:rFonts w:ascii="Times New Roman" w:hAnsi="Times New Roman" w:cs="Times New Roman"/>
        </w:rPr>
        <w:t>.</w:t>
      </w:r>
      <w:r w:rsidR="005E6B1B">
        <w:rPr>
          <w:rStyle w:val="FootnoteReference"/>
          <w:rFonts w:ascii="Times New Roman" w:hAnsi="Times New Roman" w:cs="Times New Roman"/>
        </w:rPr>
        <w:footnoteReference w:id="3"/>
      </w:r>
      <w:r w:rsidR="00CE6EBC">
        <w:rPr>
          <w:rFonts w:ascii="Times New Roman" w:hAnsi="Times New Roman" w:cs="Times New Roman"/>
        </w:rPr>
        <w:t xml:space="preserve"> Senneferi served during the reign of Thutmose III in the fifteenth </w:t>
      </w:r>
      <w:r w:rsidR="00176FB9">
        <w:rPr>
          <w:rFonts w:ascii="Times New Roman" w:hAnsi="Times New Roman" w:cs="Times New Roman"/>
        </w:rPr>
        <w:t>century BCE, he held the title of “</w:t>
      </w:r>
      <w:r w:rsidR="00176FB9" w:rsidRPr="00A452D1">
        <w:rPr>
          <w:rFonts w:ascii="Times New Roman" w:hAnsi="Times New Roman" w:cs="Times New Roman"/>
          <w:i/>
          <w:iCs/>
        </w:rPr>
        <w:t>Overseer of Seals</w:t>
      </w:r>
      <w:r w:rsidR="00176FB9">
        <w:rPr>
          <w:rFonts w:ascii="Times New Roman" w:hAnsi="Times New Roman" w:cs="Times New Roman"/>
        </w:rPr>
        <w:t>”</w:t>
      </w:r>
      <w:r w:rsidR="002A38D4">
        <w:rPr>
          <w:rStyle w:val="FootnoteReference"/>
          <w:rFonts w:ascii="Times New Roman" w:hAnsi="Times New Roman" w:cs="Times New Roman"/>
        </w:rPr>
        <w:footnoteReference w:id="4"/>
      </w:r>
      <w:r w:rsidR="00F60A5E">
        <w:rPr>
          <w:rFonts w:ascii="Times New Roman" w:hAnsi="Times New Roman" w:cs="Times New Roman"/>
        </w:rPr>
        <w:t xml:space="preserve"> or “</w:t>
      </w:r>
      <w:r w:rsidR="00573811" w:rsidRPr="00573811">
        <w:rPr>
          <w:rFonts w:ascii="Times New Roman" w:hAnsi="Times New Roman" w:cs="Times New Roman"/>
          <w:i/>
          <w:iCs/>
        </w:rPr>
        <w:t>Seal-Bearers</w:t>
      </w:r>
      <w:r w:rsidR="00573811">
        <w:rPr>
          <w:rFonts w:ascii="Times New Roman" w:hAnsi="Times New Roman" w:cs="Times New Roman"/>
        </w:rPr>
        <w:t>”</w:t>
      </w:r>
      <w:r w:rsidR="00573811">
        <w:rPr>
          <w:rStyle w:val="FootnoteReference"/>
          <w:rFonts w:ascii="Times New Roman" w:hAnsi="Times New Roman" w:cs="Times New Roman"/>
        </w:rPr>
        <w:footnoteReference w:id="5"/>
      </w:r>
      <w:r w:rsidR="00176FB9">
        <w:rPr>
          <w:rFonts w:ascii="Times New Roman" w:hAnsi="Times New Roman" w:cs="Times New Roman"/>
        </w:rPr>
        <w:t xml:space="preserve">, often </w:t>
      </w:r>
      <w:r w:rsidR="0026573E">
        <w:rPr>
          <w:rFonts w:ascii="Times New Roman" w:hAnsi="Times New Roman" w:cs="Times New Roman"/>
        </w:rPr>
        <w:t>interpreted as a form of royal chancellor,</w:t>
      </w:r>
      <w:r w:rsidR="00E50524">
        <w:rPr>
          <w:rStyle w:val="FootnoteReference"/>
          <w:rFonts w:ascii="Times New Roman" w:hAnsi="Times New Roman" w:cs="Times New Roman"/>
        </w:rPr>
        <w:footnoteReference w:id="6"/>
      </w:r>
      <w:r w:rsidR="0026573E">
        <w:rPr>
          <w:rFonts w:ascii="Times New Roman" w:hAnsi="Times New Roman" w:cs="Times New Roman"/>
        </w:rPr>
        <w:t xml:space="preserve"> thus placing him among the most influential </w:t>
      </w:r>
      <w:r w:rsidR="000B56F4">
        <w:rPr>
          <w:rFonts w:ascii="Times New Roman" w:hAnsi="Times New Roman" w:cs="Times New Roman"/>
        </w:rPr>
        <w:t xml:space="preserve">administrators in the Egyptian state. His tomb, cut into the cliffs of Sheikh Abd </w:t>
      </w:r>
      <w:proofErr w:type="spellStart"/>
      <w:r w:rsidR="005C1FB9">
        <w:rPr>
          <w:rFonts w:ascii="Times New Roman" w:hAnsi="Times New Roman" w:cs="Times New Roman"/>
        </w:rPr>
        <w:t>el</w:t>
      </w:r>
      <w:proofErr w:type="spellEnd"/>
      <w:r w:rsidR="005C1FB9">
        <w:rPr>
          <w:rFonts w:ascii="Times New Roman" w:hAnsi="Times New Roman" w:cs="Times New Roman"/>
        </w:rPr>
        <w:t>-</w:t>
      </w:r>
      <w:r w:rsidR="000B56F4">
        <w:rPr>
          <w:rFonts w:ascii="Times New Roman" w:hAnsi="Times New Roman" w:cs="Times New Roman"/>
        </w:rPr>
        <w:t>Qurna</w:t>
      </w:r>
      <w:r w:rsidR="00A94B93">
        <w:rPr>
          <w:rFonts w:ascii="Times New Roman" w:hAnsi="Times New Roman" w:cs="Times New Roman"/>
        </w:rPr>
        <w:t>,</w:t>
      </w:r>
      <w:r w:rsidR="000F4283">
        <w:rPr>
          <w:rStyle w:val="FootnoteReference"/>
          <w:rFonts w:ascii="Times New Roman" w:hAnsi="Times New Roman" w:cs="Times New Roman"/>
        </w:rPr>
        <w:footnoteReference w:id="7"/>
      </w:r>
      <w:r w:rsidR="004F2B03">
        <w:rPr>
          <w:rStyle w:val="FootnoteReference"/>
          <w:rFonts w:ascii="Times New Roman" w:hAnsi="Times New Roman" w:cs="Times New Roman"/>
        </w:rPr>
        <w:footnoteReference w:id="8"/>
      </w:r>
      <w:r w:rsidR="00A94B93">
        <w:rPr>
          <w:rFonts w:ascii="Times New Roman" w:hAnsi="Times New Roman" w:cs="Times New Roman"/>
        </w:rPr>
        <w:t xml:space="preserve"> represents an important example of elite funerary </w:t>
      </w:r>
      <w:r w:rsidR="000F4283">
        <w:rPr>
          <w:rFonts w:ascii="Times New Roman" w:hAnsi="Times New Roman" w:cs="Times New Roman"/>
        </w:rPr>
        <w:t>architecture from the eighteenth dynasty</w:t>
      </w:r>
      <w:r w:rsidR="007B7869">
        <w:rPr>
          <w:rFonts w:ascii="Times New Roman" w:hAnsi="Times New Roman" w:cs="Times New Roman"/>
        </w:rPr>
        <w:t>. The monument has been studied through archaeological excavations led by Nigel Strudwic</w:t>
      </w:r>
      <w:r w:rsidR="00254176">
        <w:rPr>
          <w:rFonts w:ascii="Times New Roman" w:hAnsi="Times New Roman" w:cs="Times New Roman"/>
        </w:rPr>
        <w:t>k</w:t>
      </w:r>
      <w:r w:rsidR="007B7869">
        <w:rPr>
          <w:rFonts w:ascii="Times New Roman" w:hAnsi="Times New Roman" w:cs="Times New Roman"/>
        </w:rPr>
        <w:t xml:space="preserve">, whose work provides valuable insight into the architecture, decoration and artefacts associated with burial. </w:t>
      </w:r>
    </w:p>
    <w:p w14:paraId="1F634A93" w14:textId="0321C568" w:rsidR="00B04B69" w:rsidRDefault="00B04B69" w:rsidP="00FE4F7B">
      <w:pPr>
        <w:jc w:val="both"/>
        <w:rPr>
          <w:rFonts w:ascii="Times New Roman" w:hAnsi="Times New Roman" w:cs="Times New Roman"/>
        </w:rPr>
      </w:pPr>
      <w:r>
        <w:rPr>
          <w:rFonts w:ascii="Times New Roman" w:hAnsi="Times New Roman" w:cs="Times New Roman"/>
        </w:rPr>
        <w:t xml:space="preserve">The architectural and material culture of TT99 reveal significant information about Senneferi’s </w:t>
      </w:r>
      <w:r w:rsidR="00675CD2">
        <w:rPr>
          <w:rFonts w:ascii="Times New Roman" w:hAnsi="Times New Roman" w:cs="Times New Roman"/>
        </w:rPr>
        <w:t xml:space="preserve">status and role within New Kingdom society. The </w:t>
      </w:r>
      <w:r w:rsidR="006109C3">
        <w:rPr>
          <w:rFonts w:ascii="Times New Roman" w:hAnsi="Times New Roman" w:cs="Times New Roman"/>
        </w:rPr>
        <w:t>tomb’s design</w:t>
      </w:r>
      <w:r w:rsidR="00675CD2">
        <w:rPr>
          <w:rFonts w:ascii="Times New Roman" w:hAnsi="Times New Roman" w:cs="Times New Roman"/>
        </w:rPr>
        <w:t xml:space="preserve"> – including </w:t>
      </w:r>
      <w:r w:rsidR="006109C3">
        <w:rPr>
          <w:rFonts w:ascii="Times New Roman" w:hAnsi="Times New Roman" w:cs="Times New Roman"/>
        </w:rPr>
        <w:t>a</w:t>
      </w:r>
      <w:r w:rsidR="00675CD2">
        <w:rPr>
          <w:rFonts w:ascii="Times New Roman" w:hAnsi="Times New Roman" w:cs="Times New Roman"/>
        </w:rPr>
        <w:t xml:space="preserve"> courtyard, chapel and </w:t>
      </w:r>
      <w:r w:rsidR="0031184E">
        <w:rPr>
          <w:rFonts w:ascii="Times New Roman" w:hAnsi="Times New Roman" w:cs="Times New Roman"/>
        </w:rPr>
        <w:t xml:space="preserve">burial chambers – reflects elite funerary traditions </w:t>
      </w:r>
      <w:r w:rsidR="006109C3">
        <w:rPr>
          <w:rFonts w:ascii="Times New Roman" w:hAnsi="Times New Roman" w:cs="Times New Roman"/>
        </w:rPr>
        <w:t xml:space="preserve">and </w:t>
      </w:r>
      <w:r w:rsidR="00E9136C">
        <w:rPr>
          <w:rFonts w:ascii="Times New Roman" w:hAnsi="Times New Roman" w:cs="Times New Roman"/>
        </w:rPr>
        <w:t>the resources available to high-ranking officials</w:t>
      </w:r>
      <w:r w:rsidR="0031184E">
        <w:rPr>
          <w:rFonts w:ascii="Times New Roman" w:hAnsi="Times New Roman" w:cs="Times New Roman"/>
        </w:rPr>
        <w:t xml:space="preserve">. Similarly, the </w:t>
      </w:r>
      <w:r w:rsidR="00B7297B">
        <w:rPr>
          <w:rFonts w:ascii="Times New Roman" w:hAnsi="Times New Roman" w:cs="Times New Roman"/>
        </w:rPr>
        <w:t xml:space="preserve">assemblage discovered </w:t>
      </w:r>
      <w:r w:rsidR="0031184E">
        <w:rPr>
          <w:rFonts w:ascii="Times New Roman" w:hAnsi="Times New Roman" w:cs="Times New Roman"/>
        </w:rPr>
        <w:t xml:space="preserve">– such as coffin fragments, ritual tools and </w:t>
      </w:r>
      <w:r w:rsidR="005C1FB9">
        <w:rPr>
          <w:rFonts w:ascii="Times New Roman" w:hAnsi="Times New Roman" w:cs="Times New Roman"/>
        </w:rPr>
        <w:t>remains</w:t>
      </w:r>
      <w:r w:rsidR="0031184E">
        <w:rPr>
          <w:rFonts w:ascii="Times New Roman" w:hAnsi="Times New Roman" w:cs="Times New Roman"/>
        </w:rPr>
        <w:t xml:space="preserve"> – illustrate the wealth and elaborate funerary practices ass</w:t>
      </w:r>
      <w:r w:rsidR="00D43E54">
        <w:rPr>
          <w:rFonts w:ascii="Times New Roman" w:hAnsi="Times New Roman" w:cs="Times New Roman"/>
        </w:rPr>
        <w:t>ociated with elite burial.</w:t>
      </w:r>
    </w:p>
    <w:p w14:paraId="49B62A8D" w14:textId="0429076C" w:rsidR="00D43E54" w:rsidRPr="00D43E54" w:rsidRDefault="00FE4F7B" w:rsidP="00FE4F7B">
      <w:pPr>
        <w:jc w:val="both"/>
        <w:rPr>
          <w:rFonts w:ascii="Times New Roman" w:hAnsi="Times New Roman" w:cs="Times New Roman"/>
          <w:b/>
          <w:bCs/>
          <w:u w:val="single"/>
        </w:rPr>
      </w:pPr>
      <w:r w:rsidRPr="00D43E54">
        <w:rPr>
          <w:rFonts w:ascii="Times New Roman" w:hAnsi="Times New Roman" w:cs="Times New Roman"/>
          <w:b/>
          <w:bCs/>
          <w:u w:val="single"/>
        </w:rPr>
        <w:t>Historical and Social Context</w:t>
      </w:r>
    </w:p>
    <w:p w14:paraId="0C9A611D" w14:textId="2493AAD4" w:rsidR="00A452D1" w:rsidRDefault="00D43E54" w:rsidP="00FE4F7B">
      <w:pPr>
        <w:jc w:val="both"/>
        <w:rPr>
          <w:rFonts w:ascii="Times New Roman" w:hAnsi="Times New Roman" w:cs="Times New Roman"/>
        </w:rPr>
      </w:pPr>
      <w:r>
        <w:rPr>
          <w:rFonts w:ascii="Times New Roman" w:hAnsi="Times New Roman" w:cs="Times New Roman"/>
        </w:rPr>
        <w:t xml:space="preserve">The tomb of Senneferi must be understood within the broader context of the New Kingdom of Egypt, a period characterised by </w:t>
      </w:r>
      <w:r w:rsidR="00E528BA">
        <w:rPr>
          <w:rFonts w:ascii="Times New Roman" w:hAnsi="Times New Roman" w:cs="Times New Roman"/>
        </w:rPr>
        <w:t xml:space="preserve">territorial expansion, military power and administrative development. During the eighteenth dynasty, particularly </w:t>
      </w:r>
      <w:r w:rsidR="004C66F0">
        <w:rPr>
          <w:rFonts w:ascii="Times New Roman" w:hAnsi="Times New Roman" w:cs="Times New Roman"/>
        </w:rPr>
        <w:t>under the reign of Thutmose III (</w:t>
      </w:r>
      <w:r w:rsidR="000654C8" w:rsidRPr="00220DFB">
        <w:rPr>
          <w:rFonts w:ascii="Times New Roman" w:hAnsi="Times New Roman" w:cs="Times New Roman"/>
          <w:i/>
          <w:iCs/>
        </w:rPr>
        <w:t>c.</w:t>
      </w:r>
      <w:r w:rsidR="00220DFB" w:rsidRPr="00220DFB">
        <w:rPr>
          <w:rFonts w:ascii="Times New Roman" w:hAnsi="Times New Roman" w:cs="Times New Roman"/>
          <w:i/>
          <w:iCs/>
        </w:rPr>
        <w:t>1479–1425BCE</w:t>
      </w:r>
      <w:r w:rsidR="004C66F0">
        <w:rPr>
          <w:rFonts w:ascii="Times New Roman" w:hAnsi="Times New Roman" w:cs="Times New Roman"/>
        </w:rPr>
        <w:t>)</w:t>
      </w:r>
      <w:r w:rsidR="00B654A3">
        <w:rPr>
          <w:rFonts w:ascii="Times New Roman" w:hAnsi="Times New Roman" w:cs="Times New Roman"/>
        </w:rPr>
        <w:t>,</w:t>
      </w:r>
      <w:r w:rsidR="00220DFB">
        <w:rPr>
          <w:rStyle w:val="FootnoteReference"/>
          <w:rFonts w:ascii="Times New Roman" w:hAnsi="Times New Roman" w:cs="Times New Roman"/>
        </w:rPr>
        <w:footnoteReference w:id="9"/>
      </w:r>
      <w:r w:rsidR="00B654A3">
        <w:rPr>
          <w:rFonts w:ascii="Times New Roman" w:hAnsi="Times New Roman" w:cs="Times New Roman"/>
        </w:rPr>
        <w:t xml:space="preserve"> Egypt became a major imperial power with </w:t>
      </w:r>
      <w:r w:rsidR="00C10ABA">
        <w:rPr>
          <w:rFonts w:ascii="Times New Roman" w:hAnsi="Times New Roman" w:cs="Times New Roman"/>
        </w:rPr>
        <w:t xml:space="preserve">the </w:t>
      </w:r>
      <w:r w:rsidR="00A31C18">
        <w:rPr>
          <w:rFonts w:ascii="Times New Roman" w:hAnsi="Times New Roman" w:cs="Times New Roman"/>
        </w:rPr>
        <w:t>extension of territories.</w:t>
      </w:r>
      <w:r w:rsidR="00A31C18">
        <w:rPr>
          <w:rStyle w:val="FootnoteReference"/>
          <w:rFonts w:ascii="Times New Roman" w:hAnsi="Times New Roman" w:cs="Times New Roman"/>
        </w:rPr>
        <w:footnoteReference w:id="10"/>
      </w:r>
      <w:r w:rsidR="00B654A3">
        <w:rPr>
          <w:rFonts w:ascii="Times New Roman" w:hAnsi="Times New Roman" w:cs="Times New Roman"/>
        </w:rPr>
        <w:t xml:space="preserve"> This expansion required a complex burea</w:t>
      </w:r>
      <w:r w:rsidR="00A452D1">
        <w:rPr>
          <w:rFonts w:ascii="Times New Roman" w:hAnsi="Times New Roman" w:cs="Times New Roman"/>
        </w:rPr>
        <w:t xml:space="preserve">ucratic system in order to manage resources, diplomacy and taxation across a large empire. </w:t>
      </w:r>
      <w:r w:rsidR="00130BAF">
        <w:rPr>
          <w:rFonts w:ascii="Times New Roman" w:hAnsi="Times New Roman" w:cs="Times New Roman"/>
        </w:rPr>
        <w:t xml:space="preserve">Thus, </w:t>
      </w:r>
      <w:r w:rsidR="00A452D1">
        <w:rPr>
          <w:rFonts w:ascii="Times New Roman" w:hAnsi="Times New Roman" w:cs="Times New Roman"/>
        </w:rPr>
        <w:t>high officials within the royal administration played an increasingly important roles in governing the state.</w:t>
      </w:r>
    </w:p>
    <w:p w14:paraId="59CE4E34" w14:textId="187A8B41" w:rsidR="00D43E54" w:rsidRDefault="005539DC" w:rsidP="00FE4F7B">
      <w:pPr>
        <w:jc w:val="both"/>
        <w:rPr>
          <w:rFonts w:ascii="Times New Roman" w:hAnsi="Times New Roman" w:cs="Times New Roman"/>
        </w:rPr>
      </w:pPr>
      <w:r>
        <w:rPr>
          <w:rFonts w:ascii="Times New Roman" w:hAnsi="Times New Roman" w:cs="Times New Roman"/>
        </w:rPr>
        <w:t>The title</w:t>
      </w:r>
      <w:r w:rsidR="00A452D1">
        <w:rPr>
          <w:rFonts w:ascii="Times New Roman" w:hAnsi="Times New Roman" w:cs="Times New Roman"/>
        </w:rPr>
        <w:t xml:space="preserve"> “</w:t>
      </w:r>
      <w:r w:rsidR="00A452D1" w:rsidRPr="00A452D1">
        <w:rPr>
          <w:rFonts w:ascii="Times New Roman" w:hAnsi="Times New Roman" w:cs="Times New Roman"/>
          <w:i/>
          <w:iCs/>
        </w:rPr>
        <w:t>Overseer of the Seal</w:t>
      </w:r>
      <w:r w:rsidR="00A452D1">
        <w:rPr>
          <w:rFonts w:ascii="Times New Roman" w:hAnsi="Times New Roman" w:cs="Times New Roman"/>
        </w:rPr>
        <w:t>”</w:t>
      </w:r>
      <w:r w:rsidR="00B52BDF">
        <w:rPr>
          <w:rFonts w:ascii="Times New Roman" w:hAnsi="Times New Roman" w:cs="Times New Roman"/>
        </w:rPr>
        <w:t xml:space="preserve"> </w:t>
      </w:r>
      <w:r>
        <w:rPr>
          <w:rFonts w:ascii="Times New Roman" w:hAnsi="Times New Roman" w:cs="Times New Roman"/>
        </w:rPr>
        <w:t xml:space="preserve">placed Senneferi close to the centre of royal administration. </w:t>
      </w:r>
      <w:r w:rsidR="00D41D94">
        <w:rPr>
          <w:rFonts w:ascii="Times New Roman" w:hAnsi="Times New Roman" w:cs="Times New Roman"/>
        </w:rPr>
        <w:t>Seal bearers</w:t>
      </w:r>
      <w:r w:rsidR="005A0292">
        <w:rPr>
          <w:rFonts w:ascii="Times New Roman" w:hAnsi="Times New Roman" w:cs="Times New Roman"/>
        </w:rPr>
        <w:t xml:space="preserve"> </w:t>
      </w:r>
      <w:r w:rsidR="00130BAF">
        <w:rPr>
          <w:rFonts w:ascii="Times New Roman" w:hAnsi="Times New Roman" w:cs="Times New Roman"/>
        </w:rPr>
        <w:t>controlled</w:t>
      </w:r>
      <w:r w:rsidR="005A0292">
        <w:rPr>
          <w:rFonts w:ascii="Times New Roman" w:hAnsi="Times New Roman" w:cs="Times New Roman"/>
        </w:rPr>
        <w:t xml:space="preserve"> official document</w:t>
      </w:r>
      <w:r w:rsidR="00255FDE">
        <w:rPr>
          <w:rFonts w:ascii="Times New Roman" w:hAnsi="Times New Roman" w:cs="Times New Roman"/>
        </w:rPr>
        <w:t xml:space="preserve">ation and </w:t>
      </w:r>
      <w:r w:rsidR="00DF6F30">
        <w:rPr>
          <w:rFonts w:ascii="Times New Roman" w:hAnsi="Times New Roman" w:cs="Times New Roman"/>
        </w:rPr>
        <w:t>verified</w:t>
      </w:r>
      <w:r w:rsidR="00255FDE">
        <w:rPr>
          <w:rFonts w:ascii="Times New Roman" w:hAnsi="Times New Roman" w:cs="Times New Roman"/>
        </w:rPr>
        <w:t xml:space="preserve"> royal decrees, </w:t>
      </w:r>
      <w:r w:rsidR="00DF6F30">
        <w:rPr>
          <w:rFonts w:ascii="Times New Roman" w:hAnsi="Times New Roman" w:cs="Times New Roman"/>
        </w:rPr>
        <w:t>meaning</w:t>
      </w:r>
      <w:r w:rsidR="00255FDE">
        <w:rPr>
          <w:rFonts w:ascii="Times New Roman" w:hAnsi="Times New Roman" w:cs="Times New Roman"/>
        </w:rPr>
        <w:t xml:space="preserve"> the overseer</w:t>
      </w:r>
      <w:r w:rsidR="00C751A9">
        <w:rPr>
          <w:rFonts w:ascii="Times New Roman" w:hAnsi="Times New Roman" w:cs="Times New Roman"/>
        </w:rPr>
        <w:t xml:space="preserve"> held a position of considerable authority</w:t>
      </w:r>
      <w:r w:rsidR="00DF6F30">
        <w:rPr>
          <w:rFonts w:ascii="Times New Roman" w:hAnsi="Times New Roman" w:cs="Times New Roman"/>
        </w:rPr>
        <w:t xml:space="preserve"> within the bureaucratic system.</w:t>
      </w:r>
      <w:r w:rsidR="00C751A9">
        <w:rPr>
          <w:rFonts w:ascii="Times New Roman" w:hAnsi="Times New Roman" w:cs="Times New Roman"/>
        </w:rPr>
        <w:t xml:space="preserve"> </w:t>
      </w:r>
      <w:r w:rsidR="00446A2A">
        <w:rPr>
          <w:rFonts w:ascii="Times New Roman" w:hAnsi="Times New Roman" w:cs="Times New Roman"/>
        </w:rPr>
        <w:t>The</w:t>
      </w:r>
      <w:r w:rsidR="00DF6F30">
        <w:rPr>
          <w:rFonts w:ascii="Times New Roman" w:hAnsi="Times New Roman" w:cs="Times New Roman"/>
        </w:rPr>
        <w:t xml:space="preserve"> prominence</w:t>
      </w:r>
      <w:r w:rsidR="00446A2A">
        <w:rPr>
          <w:rFonts w:ascii="Times New Roman" w:hAnsi="Times New Roman" w:cs="Times New Roman"/>
        </w:rPr>
        <w:t xml:space="preserve"> of </w:t>
      </w:r>
      <w:r w:rsidR="00446A2A">
        <w:rPr>
          <w:rFonts w:ascii="Times New Roman" w:hAnsi="Times New Roman" w:cs="Times New Roman"/>
        </w:rPr>
        <w:lastRenderedPageBreak/>
        <w:t>this title in the tomb decoration</w:t>
      </w:r>
      <w:r w:rsidR="002D3980">
        <w:rPr>
          <w:rStyle w:val="FootnoteReference"/>
          <w:rFonts w:ascii="Times New Roman" w:hAnsi="Times New Roman" w:cs="Times New Roman"/>
        </w:rPr>
        <w:footnoteReference w:id="11"/>
      </w:r>
      <w:r w:rsidR="00446A2A">
        <w:rPr>
          <w:rFonts w:ascii="Times New Roman" w:hAnsi="Times New Roman" w:cs="Times New Roman"/>
        </w:rPr>
        <w:t xml:space="preserve"> suggests Senneferi’s administrative career formed a central part of his identity. </w:t>
      </w:r>
    </w:p>
    <w:p w14:paraId="6D0E643E" w14:textId="1A9B4C47" w:rsidR="00802F34" w:rsidRDefault="00134225" w:rsidP="00FE4F7B">
      <w:pPr>
        <w:jc w:val="both"/>
        <w:rPr>
          <w:rFonts w:ascii="Times New Roman" w:hAnsi="Times New Roman" w:cs="Times New Roman"/>
        </w:rPr>
      </w:pPr>
      <w:r>
        <w:rPr>
          <w:rFonts w:ascii="Times New Roman" w:hAnsi="Times New Roman" w:cs="Times New Roman"/>
        </w:rPr>
        <w:t xml:space="preserve">The precise dating of Senneferi’s career has been the subject of </w:t>
      </w:r>
      <w:r w:rsidR="00854937">
        <w:rPr>
          <w:rFonts w:ascii="Times New Roman" w:hAnsi="Times New Roman" w:cs="Times New Roman"/>
        </w:rPr>
        <w:t xml:space="preserve">scholarly discussion. Strudwick places Senneferi broadly within </w:t>
      </w:r>
      <w:r w:rsidR="003E73E5">
        <w:rPr>
          <w:rFonts w:ascii="Times New Roman" w:hAnsi="Times New Roman" w:cs="Times New Roman"/>
        </w:rPr>
        <w:t xml:space="preserve">the reign of Thutmose III </w:t>
      </w:r>
      <w:r w:rsidR="003634D3">
        <w:rPr>
          <w:rFonts w:ascii="Times New Roman" w:hAnsi="Times New Roman" w:cs="Times New Roman"/>
        </w:rPr>
        <w:t>based on the t</w:t>
      </w:r>
      <w:r w:rsidR="005D6544">
        <w:rPr>
          <w:rFonts w:ascii="Times New Roman" w:hAnsi="Times New Roman" w:cs="Times New Roman"/>
        </w:rPr>
        <w:t>itles persevered in the tomb and stylis</w:t>
      </w:r>
      <w:r w:rsidR="00E1324D">
        <w:rPr>
          <w:rFonts w:ascii="Times New Roman" w:hAnsi="Times New Roman" w:cs="Times New Roman"/>
        </w:rPr>
        <w:t xml:space="preserve">tic </w:t>
      </w:r>
      <w:r w:rsidR="000839A8">
        <w:rPr>
          <w:rFonts w:ascii="Times New Roman" w:hAnsi="Times New Roman" w:cs="Times New Roman"/>
        </w:rPr>
        <w:t xml:space="preserve">elements of the decoration. However, other scholars </w:t>
      </w:r>
      <w:r w:rsidR="006F7DC5">
        <w:rPr>
          <w:rFonts w:ascii="Times New Roman" w:hAnsi="Times New Roman" w:cs="Times New Roman"/>
        </w:rPr>
        <w:t xml:space="preserve">have suggested </w:t>
      </w:r>
      <w:r w:rsidR="009F30D2">
        <w:rPr>
          <w:rFonts w:ascii="Times New Roman" w:hAnsi="Times New Roman" w:cs="Times New Roman"/>
        </w:rPr>
        <w:t>a more precise chronology. Shirl</w:t>
      </w:r>
      <w:r w:rsidR="00447264">
        <w:rPr>
          <w:rFonts w:ascii="Times New Roman" w:hAnsi="Times New Roman" w:cs="Times New Roman"/>
        </w:rPr>
        <w:t>e</w:t>
      </w:r>
      <w:r w:rsidR="009F30D2">
        <w:rPr>
          <w:rFonts w:ascii="Times New Roman" w:hAnsi="Times New Roman" w:cs="Times New Roman"/>
        </w:rPr>
        <w:t xml:space="preserve">y argues that Senneferi </w:t>
      </w:r>
      <w:r w:rsidR="00390A28">
        <w:rPr>
          <w:rFonts w:ascii="Times New Roman" w:hAnsi="Times New Roman" w:cs="Times New Roman"/>
        </w:rPr>
        <w:t xml:space="preserve">may have risen to prominence </w:t>
      </w:r>
      <w:r w:rsidR="00977B8D">
        <w:rPr>
          <w:rFonts w:ascii="Times New Roman" w:hAnsi="Times New Roman" w:cs="Times New Roman"/>
        </w:rPr>
        <w:t xml:space="preserve">earlier, during the </w:t>
      </w:r>
      <w:r w:rsidR="005A06AE">
        <w:rPr>
          <w:rFonts w:ascii="Times New Roman" w:hAnsi="Times New Roman" w:cs="Times New Roman"/>
        </w:rPr>
        <w:t>coregency of Thutmose and Hatshepsut</w:t>
      </w:r>
      <w:r w:rsidR="00A14EC9">
        <w:rPr>
          <w:rFonts w:ascii="Times New Roman" w:hAnsi="Times New Roman" w:cs="Times New Roman"/>
        </w:rPr>
        <w:t>,</w:t>
      </w:r>
      <w:r w:rsidR="00A14EC9">
        <w:rPr>
          <w:rStyle w:val="FootnoteReference"/>
          <w:rFonts w:ascii="Times New Roman" w:hAnsi="Times New Roman" w:cs="Times New Roman"/>
        </w:rPr>
        <w:footnoteReference w:id="12"/>
      </w:r>
      <w:r w:rsidR="00A14EC9">
        <w:rPr>
          <w:rFonts w:ascii="Times New Roman" w:hAnsi="Times New Roman" w:cs="Times New Roman"/>
        </w:rPr>
        <w:t xml:space="preserve"> when a number of administrative officials gained influence.</w:t>
      </w:r>
      <w:r w:rsidR="00802F34">
        <w:rPr>
          <w:rFonts w:ascii="Times New Roman" w:hAnsi="Times New Roman" w:cs="Times New Roman"/>
        </w:rPr>
        <w:t xml:space="preserve"> This interpretation </w:t>
      </w:r>
      <w:r w:rsidR="000D7537">
        <w:rPr>
          <w:rFonts w:ascii="Times New Roman" w:hAnsi="Times New Roman" w:cs="Times New Roman"/>
        </w:rPr>
        <w:t xml:space="preserve">reflects the political situation of the early </w:t>
      </w:r>
      <w:r w:rsidR="009D4DD8">
        <w:rPr>
          <w:rFonts w:ascii="Times New Roman" w:hAnsi="Times New Roman" w:cs="Times New Roman"/>
        </w:rPr>
        <w:t>eighteenth dynasty</w:t>
      </w:r>
      <w:r w:rsidR="00F070C1">
        <w:rPr>
          <w:rFonts w:ascii="Times New Roman" w:hAnsi="Times New Roman" w:cs="Times New Roman"/>
        </w:rPr>
        <w:t xml:space="preserve">, when Hatshepsut’s regency and later kingship required support from powerful bureaucratic elites. </w:t>
      </w:r>
      <w:r w:rsidR="000B10F0">
        <w:rPr>
          <w:rFonts w:ascii="Times New Roman" w:hAnsi="Times New Roman" w:cs="Times New Roman"/>
        </w:rPr>
        <w:t xml:space="preserve">The possibility </w:t>
      </w:r>
      <w:r w:rsidR="0042582C">
        <w:rPr>
          <w:rFonts w:ascii="Times New Roman" w:hAnsi="Times New Roman" w:cs="Times New Roman"/>
        </w:rPr>
        <w:t xml:space="preserve">that Senneferi’s career began during this coregency is significant because it situates him within a group of officials who navigated </w:t>
      </w:r>
      <w:r w:rsidR="00850140">
        <w:rPr>
          <w:rFonts w:ascii="Times New Roman" w:hAnsi="Times New Roman" w:cs="Times New Roman"/>
        </w:rPr>
        <w:t xml:space="preserve">a complex political environment. Several </w:t>
      </w:r>
      <w:r w:rsidR="00443962">
        <w:rPr>
          <w:rFonts w:ascii="Times New Roman" w:hAnsi="Times New Roman" w:cs="Times New Roman"/>
        </w:rPr>
        <w:t>elites</w:t>
      </w:r>
      <w:r w:rsidR="00850140">
        <w:rPr>
          <w:rFonts w:ascii="Times New Roman" w:hAnsi="Times New Roman" w:cs="Times New Roman"/>
        </w:rPr>
        <w:t xml:space="preserve"> </w:t>
      </w:r>
      <w:r w:rsidR="00443962">
        <w:rPr>
          <w:rFonts w:ascii="Times New Roman" w:hAnsi="Times New Roman" w:cs="Times New Roman"/>
        </w:rPr>
        <w:t>continue</w:t>
      </w:r>
      <w:r w:rsidR="00850140">
        <w:rPr>
          <w:rFonts w:ascii="Times New Roman" w:hAnsi="Times New Roman" w:cs="Times New Roman"/>
        </w:rPr>
        <w:t xml:space="preserve"> to hold office </w:t>
      </w:r>
      <w:r w:rsidR="00F03884">
        <w:rPr>
          <w:rFonts w:ascii="Times New Roman" w:hAnsi="Times New Roman" w:cs="Times New Roman"/>
        </w:rPr>
        <w:t xml:space="preserve">across the transition of Hatshepsut’s </w:t>
      </w:r>
      <w:r w:rsidR="00447264">
        <w:rPr>
          <w:rFonts w:ascii="Times New Roman" w:hAnsi="Times New Roman" w:cs="Times New Roman"/>
        </w:rPr>
        <w:t>rule</w:t>
      </w:r>
      <w:r w:rsidR="00F03884">
        <w:rPr>
          <w:rFonts w:ascii="Times New Roman" w:hAnsi="Times New Roman" w:cs="Times New Roman"/>
        </w:rPr>
        <w:t xml:space="preserve"> to the independ</w:t>
      </w:r>
      <w:r w:rsidR="0032371C">
        <w:rPr>
          <w:rFonts w:ascii="Times New Roman" w:hAnsi="Times New Roman" w:cs="Times New Roman"/>
        </w:rPr>
        <w:t>ent reign of Thutmose III, suggesting a degree of continuity within the administrative system.</w:t>
      </w:r>
      <w:r w:rsidR="00443962">
        <w:rPr>
          <w:rFonts w:ascii="Times New Roman" w:hAnsi="Times New Roman" w:cs="Times New Roman"/>
        </w:rPr>
        <w:t xml:space="preserve"> If </w:t>
      </w:r>
      <w:r w:rsidR="008962FF">
        <w:rPr>
          <w:rFonts w:ascii="Times New Roman" w:hAnsi="Times New Roman" w:cs="Times New Roman"/>
        </w:rPr>
        <w:t xml:space="preserve">Senneferi was indeed </w:t>
      </w:r>
      <w:r w:rsidR="0015229B">
        <w:rPr>
          <w:rFonts w:ascii="Times New Roman" w:hAnsi="Times New Roman" w:cs="Times New Roman"/>
        </w:rPr>
        <w:t xml:space="preserve">active during this period, his tomb at Thebes may reflect the consolidation of power and prestige </w:t>
      </w:r>
      <w:r w:rsidR="0098089A">
        <w:rPr>
          <w:rFonts w:ascii="Times New Roman" w:hAnsi="Times New Roman" w:cs="Times New Roman"/>
        </w:rPr>
        <w:t xml:space="preserve">achieved </w:t>
      </w:r>
      <w:r w:rsidR="00182B60">
        <w:rPr>
          <w:rFonts w:ascii="Times New Roman" w:hAnsi="Times New Roman" w:cs="Times New Roman"/>
        </w:rPr>
        <w:t>by officials within the expanding empire.</w:t>
      </w:r>
    </w:p>
    <w:p w14:paraId="6B5BBB34" w14:textId="0A520D12" w:rsidR="00FE4F7B" w:rsidRDefault="00CD1FF7" w:rsidP="00FE4F7B">
      <w:pPr>
        <w:jc w:val="both"/>
        <w:rPr>
          <w:rFonts w:ascii="Times New Roman" w:hAnsi="Times New Roman" w:cs="Times New Roman"/>
        </w:rPr>
      </w:pPr>
      <w:r>
        <w:rPr>
          <w:rFonts w:ascii="Times New Roman" w:hAnsi="Times New Roman" w:cs="Times New Roman"/>
        </w:rPr>
        <w:t xml:space="preserve">In ancient Egyptian society, elite tombs served not only as burial chambers but also as monuments commemorating the life and status of the deceased. The decoration of tomb chapels often included scenes depicting the tomb owner’s career, religious devotion and family life. These visual narratives functioned both as commemorative statements and as magical devices intended to </w:t>
      </w:r>
      <w:r w:rsidR="00FB10E3">
        <w:rPr>
          <w:rFonts w:ascii="Times New Roman" w:hAnsi="Times New Roman" w:cs="Times New Roman"/>
        </w:rPr>
        <w:t xml:space="preserve">ensure the continuation of the deceased’s existence in the afterlife. </w:t>
      </w:r>
      <w:r w:rsidR="00912EEC">
        <w:rPr>
          <w:rFonts w:ascii="Times New Roman" w:hAnsi="Times New Roman" w:cs="Times New Roman"/>
        </w:rPr>
        <w:t>T</w:t>
      </w:r>
      <w:r w:rsidR="00FB10E3">
        <w:rPr>
          <w:rFonts w:ascii="Times New Roman" w:hAnsi="Times New Roman" w:cs="Times New Roman"/>
        </w:rPr>
        <w:t xml:space="preserve">he architecture and decoration of a tomb such as TT99 provides valuable evidence for understanding how elite officials presented themselves within the social hierarchy of New Kingdom Egypt. </w:t>
      </w:r>
    </w:p>
    <w:p w14:paraId="0D2BE6A1" w14:textId="23995C17" w:rsidR="00FE4F7B" w:rsidRPr="00FB10E3" w:rsidRDefault="00FE4F7B" w:rsidP="00FE4F7B">
      <w:pPr>
        <w:jc w:val="both"/>
        <w:rPr>
          <w:rFonts w:ascii="Times New Roman" w:hAnsi="Times New Roman" w:cs="Times New Roman"/>
          <w:b/>
          <w:bCs/>
          <w:u w:val="single"/>
        </w:rPr>
      </w:pPr>
      <w:r w:rsidRPr="00FB10E3">
        <w:rPr>
          <w:rFonts w:ascii="Times New Roman" w:hAnsi="Times New Roman" w:cs="Times New Roman"/>
          <w:b/>
          <w:bCs/>
          <w:u w:val="single"/>
        </w:rPr>
        <w:t>Architecture of TT99</w:t>
      </w:r>
    </w:p>
    <w:p w14:paraId="29ABDE36" w14:textId="041B20EA" w:rsidR="00FE4F7B" w:rsidRDefault="00FB10E3" w:rsidP="00FE4F7B">
      <w:pPr>
        <w:jc w:val="both"/>
        <w:rPr>
          <w:rFonts w:ascii="Times New Roman" w:hAnsi="Times New Roman" w:cs="Times New Roman"/>
        </w:rPr>
      </w:pPr>
      <w:r>
        <w:rPr>
          <w:rFonts w:ascii="Times New Roman" w:hAnsi="Times New Roman" w:cs="Times New Roman"/>
        </w:rPr>
        <w:t>The tomb of Senneferi follows a layout that it char</w:t>
      </w:r>
      <w:r w:rsidR="00FD7B5C">
        <w:rPr>
          <w:rFonts w:ascii="Times New Roman" w:hAnsi="Times New Roman" w:cs="Times New Roman"/>
        </w:rPr>
        <w:t xml:space="preserve">acteristic of many elite New Kingdom tombs in the Theban necropolis. The monument consists of </w:t>
      </w:r>
      <w:r w:rsidR="00FC5C81">
        <w:rPr>
          <w:rFonts w:ascii="Times New Roman" w:hAnsi="Times New Roman" w:cs="Times New Roman"/>
        </w:rPr>
        <w:t>four</w:t>
      </w:r>
      <w:r w:rsidR="00FD7B5C">
        <w:rPr>
          <w:rFonts w:ascii="Times New Roman" w:hAnsi="Times New Roman" w:cs="Times New Roman"/>
        </w:rPr>
        <w:t xml:space="preserve"> principal components: </w:t>
      </w:r>
      <w:r w:rsidR="00126DA9">
        <w:rPr>
          <w:rFonts w:ascii="Times New Roman" w:hAnsi="Times New Roman" w:cs="Times New Roman"/>
        </w:rPr>
        <w:t xml:space="preserve">a superstructure, </w:t>
      </w:r>
      <w:r w:rsidR="00FD7B5C">
        <w:rPr>
          <w:rFonts w:ascii="Times New Roman" w:hAnsi="Times New Roman" w:cs="Times New Roman"/>
        </w:rPr>
        <w:t>an open courtyard, a rock-cut chapel and subterranean burial chambers.</w:t>
      </w:r>
      <w:r w:rsidR="00754410">
        <w:rPr>
          <w:rStyle w:val="FootnoteReference"/>
          <w:rFonts w:ascii="Times New Roman" w:hAnsi="Times New Roman" w:cs="Times New Roman"/>
        </w:rPr>
        <w:footnoteReference w:id="13"/>
      </w:r>
      <w:r w:rsidR="00FD7B5C">
        <w:rPr>
          <w:rFonts w:ascii="Times New Roman" w:hAnsi="Times New Roman" w:cs="Times New Roman"/>
        </w:rPr>
        <w:t xml:space="preserve"> Together, these elements form a carefully designed structure intended to accommodate funerary rituals, commemorative cult activities and the burial itself. </w:t>
      </w:r>
    </w:p>
    <w:p w14:paraId="48B84183" w14:textId="41C1D124" w:rsidR="00FB10E3" w:rsidRDefault="00614B18" w:rsidP="00FE4F7B">
      <w:pPr>
        <w:jc w:val="both"/>
        <w:rPr>
          <w:rFonts w:ascii="Times New Roman" w:hAnsi="Times New Roman" w:cs="Times New Roman"/>
        </w:rPr>
      </w:pPr>
      <w:r>
        <w:rPr>
          <w:rFonts w:ascii="Times New Roman" w:hAnsi="Times New Roman" w:cs="Times New Roman"/>
        </w:rPr>
        <w:t xml:space="preserve">The tomb </w:t>
      </w:r>
      <w:r w:rsidR="00FC5C81">
        <w:rPr>
          <w:rFonts w:ascii="Times New Roman" w:hAnsi="Times New Roman" w:cs="Times New Roman"/>
        </w:rPr>
        <w:t xml:space="preserve">begins with a large open </w:t>
      </w:r>
      <w:r w:rsidR="00AD5C98">
        <w:rPr>
          <w:rFonts w:ascii="Times New Roman" w:hAnsi="Times New Roman" w:cs="Times New Roman"/>
        </w:rPr>
        <w:t>courtyard in an irregular rectangle shape</w:t>
      </w:r>
      <w:r w:rsidR="00EE5963">
        <w:rPr>
          <w:rStyle w:val="FootnoteReference"/>
          <w:rFonts w:ascii="Times New Roman" w:hAnsi="Times New Roman" w:cs="Times New Roman"/>
        </w:rPr>
        <w:footnoteReference w:id="14"/>
      </w:r>
      <w:r w:rsidR="00EE5963">
        <w:rPr>
          <w:rFonts w:ascii="Times New Roman" w:hAnsi="Times New Roman" w:cs="Times New Roman"/>
        </w:rPr>
        <w:t xml:space="preserve"> – excavations of the tomb </w:t>
      </w:r>
      <w:r w:rsidR="006E5853">
        <w:rPr>
          <w:rFonts w:ascii="Times New Roman" w:hAnsi="Times New Roman" w:cs="Times New Roman"/>
        </w:rPr>
        <w:t>have put measurements at approximately 11.30m at the west, 14.25m at the south, 1</w:t>
      </w:r>
      <w:r w:rsidR="0002635A">
        <w:rPr>
          <w:rFonts w:ascii="Times New Roman" w:hAnsi="Times New Roman" w:cs="Times New Roman"/>
        </w:rPr>
        <w:t>5.14</w:t>
      </w:r>
      <w:r w:rsidR="006E5853">
        <w:rPr>
          <w:rFonts w:ascii="Times New Roman" w:hAnsi="Times New Roman" w:cs="Times New Roman"/>
        </w:rPr>
        <w:t xml:space="preserve">m at the </w:t>
      </w:r>
      <w:r w:rsidR="003B4885">
        <w:rPr>
          <w:rFonts w:ascii="Times New Roman" w:hAnsi="Times New Roman" w:cs="Times New Roman"/>
        </w:rPr>
        <w:t>north and 1</w:t>
      </w:r>
      <w:r w:rsidR="0002635A">
        <w:rPr>
          <w:rFonts w:ascii="Times New Roman" w:hAnsi="Times New Roman" w:cs="Times New Roman"/>
        </w:rPr>
        <w:t>2.22m at the east;</w:t>
      </w:r>
      <w:r w:rsidR="00961844">
        <w:rPr>
          <w:rStyle w:val="FootnoteReference"/>
          <w:rFonts w:ascii="Times New Roman" w:hAnsi="Times New Roman" w:cs="Times New Roman"/>
        </w:rPr>
        <w:footnoteReference w:id="15"/>
      </w:r>
      <w:r w:rsidR="0002635A">
        <w:rPr>
          <w:rFonts w:ascii="Times New Roman" w:hAnsi="Times New Roman" w:cs="Times New Roman"/>
        </w:rPr>
        <w:t xml:space="preserve"> however, it is impossible to determine the </w:t>
      </w:r>
      <w:r w:rsidR="00961844">
        <w:rPr>
          <w:rFonts w:ascii="Times New Roman" w:hAnsi="Times New Roman" w:cs="Times New Roman"/>
        </w:rPr>
        <w:t>full size of the courtyard because of the slope to TT100.</w:t>
      </w:r>
      <w:r w:rsidR="00961844">
        <w:rPr>
          <w:rStyle w:val="FootnoteReference"/>
          <w:rFonts w:ascii="Times New Roman" w:hAnsi="Times New Roman" w:cs="Times New Roman"/>
        </w:rPr>
        <w:footnoteReference w:id="16"/>
      </w:r>
      <w:r w:rsidR="00975D23">
        <w:rPr>
          <w:rFonts w:ascii="Times New Roman" w:hAnsi="Times New Roman" w:cs="Times New Roman"/>
        </w:rPr>
        <w:t xml:space="preserve"> This courtyard </w:t>
      </w:r>
      <w:r w:rsidR="005F7BC1">
        <w:rPr>
          <w:rFonts w:ascii="Times New Roman" w:hAnsi="Times New Roman" w:cs="Times New Roman"/>
        </w:rPr>
        <w:t xml:space="preserve">formed the first space </w:t>
      </w:r>
      <w:r w:rsidR="005F7BC1">
        <w:rPr>
          <w:rFonts w:ascii="Times New Roman" w:hAnsi="Times New Roman" w:cs="Times New Roman"/>
        </w:rPr>
        <w:lastRenderedPageBreak/>
        <w:t xml:space="preserve">encountered by visitors and likely served as a location for funerary ceremonies. Mourners and priests would have gathered here to perform offerings and </w:t>
      </w:r>
      <w:r w:rsidR="00772FF1">
        <w:rPr>
          <w:rFonts w:ascii="Times New Roman" w:hAnsi="Times New Roman" w:cs="Times New Roman"/>
        </w:rPr>
        <w:t xml:space="preserve">religious rites for the deceased. It therefore </w:t>
      </w:r>
      <w:r w:rsidR="005420FE">
        <w:rPr>
          <w:rFonts w:ascii="Times New Roman" w:hAnsi="Times New Roman" w:cs="Times New Roman"/>
        </w:rPr>
        <w:t xml:space="preserve">functioned as a transitional space between the </w:t>
      </w:r>
      <w:r w:rsidR="00C66CEC">
        <w:rPr>
          <w:rFonts w:ascii="Times New Roman" w:hAnsi="Times New Roman" w:cs="Times New Roman"/>
        </w:rPr>
        <w:t xml:space="preserve">outside world and the scared </w:t>
      </w:r>
      <w:r w:rsidR="006051F1">
        <w:rPr>
          <w:rFonts w:ascii="Times New Roman" w:hAnsi="Times New Roman" w:cs="Times New Roman"/>
        </w:rPr>
        <w:t xml:space="preserve">interior of the tomb. </w:t>
      </w:r>
    </w:p>
    <w:p w14:paraId="5CA8FF8F" w14:textId="5CE14058" w:rsidR="003F0FBD" w:rsidRDefault="003F0FBD" w:rsidP="00FE4F7B">
      <w:pPr>
        <w:jc w:val="both"/>
        <w:rPr>
          <w:rFonts w:ascii="Times New Roman" w:hAnsi="Times New Roman" w:cs="Times New Roman"/>
        </w:rPr>
      </w:pPr>
      <w:r>
        <w:rPr>
          <w:rFonts w:ascii="Times New Roman" w:hAnsi="Times New Roman" w:cs="Times New Roman"/>
        </w:rPr>
        <w:t>The façade at the back of the courtyard contains the entrance to the rock-cut chape</w:t>
      </w:r>
      <w:r w:rsidR="002032B7">
        <w:rPr>
          <w:rFonts w:ascii="Times New Roman" w:hAnsi="Times New Roman" w:cs="Times New Roman"/>
        </w:rPr>
        <w:t>l; evidence</w:t>
      </w:r>
      <w:r>
        <w:rPr>
          <w:rFonts w:ascii="Times New Roman" w:hAnsi="Times New Roman" w:cs="Times New Roman"/>
        </w:rPr>
        <w:t xml:space="preserve"> </w:t>
      </w:r>
      <w:r w:rsidR="001D628C">
        <w:rPr>
          <w:rFonts w:ascii="Times New Roman" w:hAnsi="Times New Roman" w:cs="Times New Roman"/>
        </w:rPr>
        <w:t>suggests that parts of the façade may originally have been plastered and decorated,</w:t>
      </w:r>
      <w:r w:rsidR="00FC50B2">
        <w:rPr>
          <w:rStyle w:val="FootnoteReference"/>
          <w:rFonts w:ascii="Times New Roman" w:hAnsi="Times New Roman" w:cs="Times New Roman"/>
        </w:rPr>
        <w:footnoteReference w:id="17"/>
      </w:r>
      <w:r w:rsidR="00D34D7F">
        <w:rPr>
          <w:rFonts w:ascii="Times New Roman" w:hAnsi="Times New Roman" w:cs="Times New Roman"/>
        </w:rPr>
        <w:t xml:space="preserve"> thus creating a visually impressive entrance to the tomb.</w:t>
      </w:r>
      <w:r w:rsidR="00E45C28">
        <w:rPr>
          <w:rFonts w:ascii="Times New Roman" w:hAnsi="Times New Roman" w:cs="Times New Roman"/>
        </w:rPr>
        <w:t xml:space="preserve"> The size of the courtyard itself suggests that the monument was designed to accommodate significant ceremonial activity</w:t>
      </w:r>
      <w:r w:rsidR="00001F90">
        <w:rPr>
          <w:rFonts w:ascii="Times New Roman" w:hAnsi="Times New Roman" w:cs="Times New Roman"/>
        </w:rPr>
        <w:t>. Such large forecourts are typical of tombs belonging to high-ranking officials, ind</w:t>
      </w:r>
      <w:r w:rsidR="00B26295">
        <w:rPr>
          <w:rFonts w:ascii="Times New Roman" w:hAnsi="Times New Roman" w:cs="Times New Roman"/>
        </w:rPr>
        <w:t xml:space="preserve">icating the resources required to construct and maintain such a space. </w:t>
      </w:r>
    </w:p>
    <w:p w14:paraId="0FE37252" w14:textId="55405B64" w:rsidR="000B4026" w:rsidRDefault="00B26295" w:rsidP="00FE4F7B">
      <w:pPr>
        <w:jc w:val="both"/>
        <w:rPr>
          <w:rFonts w:ascii="Times New Roman" w:hAnsi="Times New Roman" w:cs="Times New Roman"/>
        </w:rPr>
      </w:pPr>
      <w:r>
        <w:rPr>
          <w:rFonts w:ascii="Times New Roman" w:hAnsi="Times New Roman" w:cs="Times New Roman"/>
        </w:rPr>
        <w:t>Beyond the entrance lies the tomb chapel, which follows the inverted T-shaped plan typical of New Kingdom elite tombs.</w:t>
      </w:r>
      <w:r w:rsidR="00F13913">
        <w:rPr>
          <w:rStyle w:val="FootnoteReference"/>
          <w:rFonts w:ascii="Times New Roman" w:hAnsi="Times New Roman" w:cs="Times New Roman"/>
        </w:rPr>
        <w:footnoteReference w:id="18"/>
      </w:r>
      <w:r>
        <w:rPr>
          <w:rFonts w:ascii="Times New Roman" w:hAnsi="Times New Roman" w:cs="Times New Roman"/>
        </w:rPr>
        <w:t xml:space="preserve"> This architectural arrangement consists of a broad transverse hall connected to the longitudinal passage leading to an inner shrine. The transverse hall is the main public space of the chapel and would have been accessible to visitors bringing offerings for the deceased.</w:t>
      </w:r>
    </w:p>
    <w:p w14:paraId="0DE47DD5" w14:textId="5380CA27" w:rsidR="00F500E3" w:rsidRDefault="00213ABE" w:rsidP="00F73E81">
      <w:pPr>
        <w:jc w:val="both"/>
        <w:rPr>
          <w:rFonts w:ascii="Times New Roman" w:hAnsi="Times New Roman" w:cs="Times New Roman"/>
        </w:rPr>
      </w:pPr>
      <w:r>
        <w:rPr>
          <w:rFonts w:ascii="Times New Roman" w:hAnsi="Times New Roman" w:cs="Times New Roman"/>
        </w:rPr>
        <w:t xml:space="preserve">The walls of this hall were </w:t>
      </w:r>
      <w:r w:rsidR="00272D51">
        <w:rPr>
          <w:rFonts w:ascii="Times New Roman" w:hAnsi="Times New Roman" w:cs="Times New Roman"/>
        </w:rPr>
        <w:t xml:space="preserve">originally decorated </w:t>
      </w:r>
      <w:r w:rsidR="00DF5A42">
        <w:rPr>
          <w:rFonts w:ascii="Times New Roman" w:hAnsi="Times New Roman" w:cs="Times New Roman"/>
        </w:rPr>
        <w:t>with scenes depicting Senneferi’s life and activities.</w:t>
      </w:r>
      <w:r w:rsidR="006B65F7">
        <w:rPr>
          <w:rFonts w:ascii="Times New Roman" w:hAnsi="Times New Roman" w:cs="Times New Roman"/>
        </w:rPr>
        <w:t xml:space="preserve"> </w:t>
      </w:r>
      <w:r w:rsidR="00FF7CBE">
        <w:rPr>
          <w:rFonts w:ascii="Times New Roman" w:hAnsi="Times New Roman" w:cs="Times New Roman"/>
        </w:rPr>
        <w:t xml:space="preserve">Scenes like this </w:t>
      </w:r>
      <w:r w:rsidR="00CD6781">
        <w:rPr>
          <w:rFonts w:ascii="Times New Roman" w:hAnsi="Times New Roman" w:cs="Times New Roman"/>
        </w:rPr>
        <w:t xml:space="preserve">commonly depict the tomb owner receiving offerings, supervising workers and participating in religious rituals. </w:t>
      </w:r>
      <w:r w:rsidR="00FC10F8">
        <w:rPr>
          <w:rFonts w:ascii="Times New Roman" w:hAnsi="Times New Roman" w:cs="Times New Roman"/>
        </w:rPr>
        <w:t xml:space="preserve">In the case of TT99, </w:t>
      </w:r>
      <w:r w:rsidR="005F6C36">
        <w:rPr>
          <w:rFonts w:ascii="Times New Roman" w:hAnsi="Times New Roman" w:cs="Times New Roman"/>
        </w:rPr>
        <w:t>some of the surviving decoration illustrat</w:t>
      </w:r>
      <w:r w:rsidR="00CE6453">
        <w:rPr>
          <w:rFonts w:ascii="Times New Roman" w:hAnsi="Times New Roman" w:cs="Times New Roman"/>
        </w:rPr>
        <w:t>e a religious element with</w:t>
      </w:r>
      <w:r w:rsidR="00254664">
        <w:rPr>
          <w:rFonts w:ascii="Times New Roman" w:hAnsi="Times New Roman" w:cs="Times New Roman"/>
        </w:rPr>
        <w:t xml:space="preserve"> Scene 1.1 depicting </w:t>
      </w:r>
      <w:r w:rsidR="00832D5C">
        <w:rPr>
          <w:rFonts w:ascii="Times New Roman" w:hAnsi="Times New Roman" w:cs="Times New Roman"/>
        </w:rPr>
        <w:t>Senneferi making an offering</w:t>
      </w:r>
      <w:r w:rsidR="007D7173">
        <w:rPr>
          <w:rFonts w:ascii="Times New Roman" w:hAnsi="Times New Roman" w:cs="Times New Roman"/>
        </w:rPr>
        <w:t>.</w:t>
      </w:r>
      <w:r w:rsidR="00832D5C">
        <w:rPr>
          <w:rStyle w:val="FootnoteReference"/>
          <w:rFonts w:ascii="Times New Roman" w:hAnsi="Times New Roman" w:cs="Times New Roman"/>
        </w:rPr>
        <w:footnoteReference w:id="19"/>
      </w:r>
      <w:r w:rsidR="007D7173">
        <w:rPr>
          <w:rFonts w:ascii="Times New Roman" w:hAnsi="Times New Roman" w:cs="Times New Roman"/>
        </w:rPr>
        <w:t xml:space="preserve"> </w:t>
      </w:r>
      <w:r w:rsidR="002C4D07">
        <w:rPr>
          <w:rFonts w:ascii="Times New Roman" w:hAnsi="Times New Roman" w:cs="Times New Roman"/>
        </w:rPr>
        <w:t xml:space="preserve">Other scenes in the chapel also show religious practice. </w:t>
      </w:r>
      <w:r w:rsidR="0026469C">
        <w:rPr>
          <w:rFonts w:ascii="Times New Roman" w:hAnsi="Times New Roman" w:cs="Times New Roman"/>
        </w:rPr>
        <w:t xml:space="preserve">Beyond religious </w:t>
      </w:r>
      <w:r w:rsidR="00A56B0A">
        <w:rPr>
          <w:rFonts w:ascii="Times New Roman" w:hAnsi="Times New Roman" w:cs="Times New Roman"/>
        </w:rPr>
        <w:t xml:space="preserve">imagery, Strudwick suggests that Scene 3.1 of Wall 3 </w:t>
      </w:r>
      <w:r w:rsidR="005652FA">
        <w:rPr>
          <w:rFonts w:ascii="Times New Roman" w:hAnsi="Times New Roman" w:cs="Times New Roman"/>
        </w:rPr>
        <w:t>shows Senneferi possibly going to Lebanon on behalf of the king</w:t>
      </w:r>
      <w:r w:rsidR="00461641">
        <w:rPr>
          <w:rFonts w:ascii="Times New Roman" w:hAnsi="Times New Roman" w:cs="Times New Roman"/>
        </w:rPr>
        <w:t>.</w:t>
      </w:r>
      <w:r w:rsidR="00461641">
        <w:rPr>
          <w:rStyle w:val="FootnoteReference"/>
          <w:rFonts w:ascii="Times New Roman" w:hAnsi="Times New Roman" w:cs="Times New Roman"/>
        </w:rPr>
        <w:footnoteReference w:id="20"/>
      </w:r>
      <w:r w:rsidR="00461641">
        <w:rPr>
          <w:rFonts w:ascii="Times New Roman" w:hAnsi="Times New Roman" w:cs="Times New Roman"/>
        </w:rPr>
        <w:t xml:space="preserve"> T</w:t>
      </w:r>
      <w:r w:rsidR="00F500E3">
        <w:rPr>
          <w:rFonts w:ascii="Times New Roman" w:hAnsi="Times New Roman" w:cs="Times New Roman"/>
        </w:rPr>
        <w:t>he appearance of the king is</w:t>
      </w:r>
      <w:r w:rsidR="00461641">
        <w:rPr>
          <w:rFonts w:ascii="Times New Roman" w:hAnsi="Times New Roman" w:cs="Times New Roman"/>
        </w:rPr>
        <w:t xml:space="preserve"> not singular; in Scene </w:t>
      </w:r>
      <w:r w:rsidR="00B45A3B">
        <w:rPr>
          <w:rFonts w:ascii="Times New Roman" w:hAnsi="Times New Roman" w:cs="Times New Roman"/>
        </w:rPr>
        <w:t xml:space="preserve">4.1 of Wall 4, </w:t>
      </w:r>
      <w:r w:rsidR="001F7CE8">
        <w:rPr>
          <w:rFonts w:ascii="Times New Roman" w:hAnsi="Times New Roman" w:cs="Times New Roman"/>
        </w:rPr>
        <w:t xml:space="preserve">Senneferi is shown before the king in a kiosk, however, </w:t>
      </w:r>
      <w:r w:rsidR="00EC5B28">
        <w:rPr>
          <w:rFonts w:ascii="Times New Roman" w:hAnsi="Times New Roman" w:cs="Times New Roman"/>
        </w:rPr>
        <w:t>only the top of cobras with sun discs on their heads</w:t>
      </w:r>
      <w:r w:rsidR="00CE7F4F">
        <w:rPr>
          <w:rFonts w:ascii="Times New Roman" w:hAnsi="Times New Roman" w:cs="Times New Roman"/>
        </w:rPr>
        <w:t xml:space="preserve"> </w:t>
      </w:r>
      <w:r w:rsidR="006E3497">
        <w:rPr>
          <w:rFonts w:ascii="Times New Roman" w:hAnsi="Times New Roman" w:cs="Times New Roman"/>
        </w:rPr>
        <w:t>survives</w:t>
      </w:r>
      <w:r w:rsidR="006E3497">
        <w:rPr>
          <w:rStyle w:val="FootnoteReference"/>
          <w:rFonts w:ascii="Times New Roman" w:hAnsi="Times New Roman" w:cs="Times New Roman"/>
        </w:rPr>
        <w:footnoteReference w:id="21"/>
      </w:r>
      <w:r w:rsidR="00CE7F4F">
        <w:rPr>
          <w:rFonts w:ascii="Times New Roman" w:hAnsi="Times New Roman" w:cs="Times New Roman"/>
        </w:rPr>
        <w:t xml:space="preserve"> </w:t>
      </w:r>
      <w:r w:rsidR="00A221FC">
        <w:rPr>
          <w:rFonts w:ascii="Times New Roman" w:hAnsi="Times New Roman" w:cs="Times New Roman"/>
        </w:rPr>
        <w:t xml:space="preserve">– a </w:t>
      </w:r>
      <w:r w:rsidR="00CE7F4F" w:rsidRPr="00F73E81">
        <w:rPr>
          <w:rFonts w:ascii="Times New Roman" w:hAnsi="Times New Roman" w:cs="Times New Roman"/>
        </w:rPr>
        <w:t>sy</w:t>
      </w:r>
      <w:r w:rsidR="00F73E81" w:rsidRPr="00F73E81">
        <w:rPr>
          <w:rFonts w:ascii="Times New Roman" w:hAnsi="Times New Roman" w:cs="Times New Roman"/>
        </w:rPr>
        <w:t xml:space="preserve">mbol </w:t>
      </w:r>
      <w:r w:rsidR="00CF7115">
        <w:rPr>
          <w:rFonts w:ascii="Times New Roman" w:hAnsi="Times New Roman" w:cs="Times New Roman"/>
        </w:rPr>
        <w:t>associated with th</w:t>
      </w:r>
      <w:r w:rsidR="00985E24">
        <w:rPr>
          <w:rFonts w:ascii="Times New Roman" w:hAnsi="Times New Roman" w:cs="Times New Roman"/>
        </w:rPr>
        <w:t xml:space="preserve">e blue </w:t>
      </w:r>
      <w:r w:rsidR="000B4AAA">
        <w:rPr>
          <w:rFonts w:ascii="Times New Roman" w:hAnsi="Times New Roman" w:cs="Times New Roman"/>
        </w:rPr>
        <w:t xml:space="preserve">crown </w:t>
      </w:r>
      <w:r w:rsidR="00F61D61">
        <w:rPr>
          <w:rFonts w:ascii="Times New Roman" w:hAnsi="Times New Roman" w:cs="Times New Roman"/>
        </w:rPr>
        <w:t>during the New Kingdom.</w:t>
      </w:r>
      <w:r w:rsidR="00F61D61">
        <w:rPr>
          <w:rStyle w:val="FootnoteReference"/>
          <w:rFonts w:ascii="Times New Roman" w:hAnsi="Times New Roman" w:cs="Times New Roman"/>
        </w:rPr>
        <w:footnoteReference w:id="22"/>
      </w:r>
      <w:r w:rsidR="00FD58EF">
        <w:rPr>
          <w:rFonts w:ascii="Times New Roman" w:hAnsi="Times New Roman" w:cs="Times New Roman"/>
        </w:rPr>
        <w:t xml:space="preserve"> These </w:t>
      </w:r>
      <w:r w:rsidR="00F56D46">
        <w:rPr>
          <w:rFonts w:ascii="Times New Roman" w:hAnsi="Times New Roman" w:cs="Times New Roman"/>
        </w:rPr>
        <w:t>scenes reinformed Senneferi’s identity as a loyal servant to both king and gods.</w:t>
      </w:r>
    </w:p>
    <w:p w14:paraId="2F78E733" w14:textId="15FCAB62" w:rsidR="00590C89" w:rsidRDefault="00A60065" w:rsidP="00FE4F7B">
      <w:pPr>
        <w:jc w:val="both"/>
        <w:rPr>
          <w:rFonts w:ascii="Times New Roman" w:hAnsi="Times New Roman" w:cs="Times New Roman"/>
        </w:rPr>
      </w:pPr>
      <w:r w:rsidRPr="00A60065">
        <w:rPr>
          <w:rFonts w:ascii="Times New Roman" w:hAnsi="Times New Roman" w:cs="Times New Roman"/>
        </w:rPr>
        <w:t xml:space="preserve">The </w:t>
      </w:r>
      <w:r>
        <w:rPr>
          <w:rFonts w:ascii="Times New Roman" w:hAnsi="Times New Roman" w:cs="Times New Roman"/>
        </w:rPr>
        <w:t>burial chambers of TT</w:t>
      </w:r>
      <w:r w:rsidR="00FD1A8D">
        <w:rPr>
          <w:rFonts w:ascii="Times New Roman" w:hAnsi="Times New Roman" w:cs="Times New Roman"/>
        </w:rPr>
        <w:t>99</w:t>
      </w:r>
      <w:r>
        <w:rPr>
          <w:rFonts w:ascii="Times New Roman" w:hAnsi="Times New Roman" w:cs="Times New Roman"/>
        </w:rPr>
        <w:t xml:space="preserve"> are located beneath the chapel and are accessed through vertical shaft</w:t>
      </w:r>
      <w:r w:rsidR="009A5C69">
        <w:rPr>
          <w:rFonts w:ascii="Times New Roman" w:hAnsi="Times New Roman" w:cs="Times New Roman"/>
        </w:rPr>
        <w:t>s</w:t>
      </w:r>
      <w:r w:rsidR="00F041C4">
        <w:rPr>
          <w:rFonts w:ascii="Times New Roman" w:hAnsi="Times New Roman" w:cs="Times New Roman"/>
        </w:rPr>
        <w:t xml:space="preserve">, which were identified by Strudwick </w:t>
      </w:r>
      <w:r w:rsidR="002F4109">
        <w:rPr>
          <w:rFonts w:ascii="Times New Roman" w:hAnsi="Times New Roman" w:cs="Times New Roman"/>
        </w:rPr>
        <w:t>within the chapel and courtyard, indicating a complex burial system.</w:t>
      </w:r>
      <w:r w:rsidR="002F4109">
        <w:rPr>
          <w:rStyle w:val="FootnoteReference"/>
          <w:rFonts w:ascii="Times New Roman" w:hAnsi="Times New Roman" w:cs="Times New Roman"/>
        </w:rPr>
        <w:footnoteReference w:id="23"/>
      </w:r>
      <w:r>
        <w:rPr>
          <w:rFonts w:ascii="Times New Roman" w:hAnsi="Times New Roman" w:cs="Times New Roman"/>
        </w:rPr>
        <w:t xml:space="preserve"> These underground spaces were intended to house the coffin, body and </w:t>
      </w:r>
      <w:r w:rsidR="00CE12E6">
        <w:rPr>
          <w:rFonts w:ascii="Times New Roman" w:hAnsi="Times New Roman" w:cs="Times New Roman"/>
        </w:rPr>
        <w:t xml:space="preserve">funerary equipment connected with Senneferi’s burial. </w:t>
      </w:r>
      <w:r w:rsidR="00590C89">
        <w:rPr>
          <w:rFonts w:ascii="Times New Roman" w:hAnsi="Times New Roman" w:cs="Times New Roman"/>
        </w:rPr>
        <w:t>These chambers were deliberately hidden and sealed to protect the body and grave goods from disturbance</w:t>
      </w:r>
      <w:r w:rsidR="00AE705E">
        <w:rPr>
          <w:rFonts w:ascii="Times New Roman" w:hAnsi="Times New Roman" w:cs="Times New Roman"/>
        </w:rPr>
        <w:t>, reflected the Egyptian belief that the body and burial good needed t</w:t>
      </w:r>
      <w:r w:rsidR="008B1C08">
        <w:rPr>
          <w:rFonts w:ascii="Times New Roman" w:hAnsi="Times New Roman" w:cs="Times New Roman"/>
        </w:rPr>
        <w:t xml:space="preserve">o be protected to ensure a successful transition </w:t>
      </w:r>
      <w:r w:rsidR="008B1C08">
        <w:rPr>
          <w:rFonts w:ascii="Times New Roman" w:hAnsi="Times New Roman" w:cs="Times New Roman"/>
        </w:rPr>
        <w:lastRenderedPageBreak/>
        <w:t xml:space="preserve">into the afterlife. </w:t>
      </w:r>
      <w:r w:rsidR="00EC4F16">
        <w:rPr>
          <w:rFonts w:ascii="Times New Roman" w:hAnsi="Times New Roman" w:cs="Times New Roman"/>
        </w:rPr>
        <w:t xml:space="preserve">However, as with many </w:t>
      </w:r>
      <w:proofErr w:type="gramStart"/>
      <w:r w:rsidR="00EC4F16">
        <w:rPr>
          <w:rFonts w:ascii="Times New Roman" w:hAnsi="Times New Roman" w:cs="Times New Roman"/>
        </w:rPr>
        <w:t>Theban</w:t>
      </w:r>
      <w:proofErr w:type="gramEnd"/>
      <w:r w:rsidR="00EC4F16">
        <w:rPr>
          <w:rFonts w:ascii="Times New Roman" w:hAnsi="Times New Roman" w:cs="Times New Roman"/>
        </w:rPr>
        <w:t xml:space="preserve"> Tombs,</w:t>
      </w:r>
      <w:r w:rsidR="00C81279">
        <w:rPr>
          <w:rStyle w:val="FootnoteReference"/>
          <w:rFonts w:ascii="Times New Roman" w:hAnsi="Times New Roman" w:cs="Times New Roman"/>
        </w:rPr>
        <w:footnoteReference w:id="24"/>
      </w:r>
      <w:r w:rsidR="00EC4F16">
        <w:rPr>
          <w:rFonts w:ascii="Times New Roman" w:hAnsi="Times New Roman" w:cs="Times New Roman"/>
        </w:rPr>
        <w:t xml:space="preserve"> TT99 was eventually reused and disturbed </w:t>
      </w:r>
      <w:r w:rsidR="00C81279">
        <w:rPr>
          <w:rFonts w:ascii="Times New Roman" w:hAnsi="Times New Roman" w:cs="Times New Roman"/>
        </w:rPr>
        <w:t xml:space="preserve">during later periods. </w:t>
      </w:r>
    </w:p>
    <w:p w14:paraId="41136668" w14:textId="50365925" w:rsidR="00A60065" w:rsidRPr="00A60065" w:rsidRDefault="00590C89" w:rsidP="00FE4F7B">
      <w:pPr>
        <w:jc w:val="both"/>
        <w:rPr>
          <w:rFonts w:ascii="Times New Roman" w:hAnsi="Times New Roman" w:cs="Times New Roman"/>
        </w:rPr>
      </w:pPr>
      <w:r>
        <w:rPr>
          <w:rFonts w:ascii="Times New Roman" w:hAnsi="Times New Roman" w:cs="Times New Roman"/>
        </w:rPr>
        <w:t>Excavation</w:t>
      </w:r>
      <w:r w:rsidR="00F561BB">
        <w:rPr>
          <w:rFonts w:ascii="Times New Roman" w:hAnsi="Times New Roman" w:cs="Times New Roman"/>
        </w:rPr>
        <w:t xml:space="preserve"> has revealed that the burial chambers contain evidence of both the original burial and later reuse of the tomb. As with many tombs in the Theban necropolis, TT99 was eventually reopened and reused in later periods, leading to a mixture of artefacts from different phases of occupation. Despite these disturbances, the surviving evidence still provides important </w:t>
      </w:r>
      <w:r w:rsidR="00D322E2">
        <w:rPr>
          <w:rFonts w:ascii="Times New Roman" w:hAnsi="Times New Roman" w:cs="Times New Roman"/>
        </w:rPr>
        <w:t xml:space="preserve">information about the nature of Senneferi’s original </w:t>
      </w:r>
      <w:r w:rsidR="00F56B91">
        <w:rPr>
          <w:rFonts w:ascii="Times New Roman" w:hAnsi="Times New Roman" w:cs="Times New Roman"/>
        </w:rPr>
        <w:t>burial,</w:t>
      </w:r>
      <w:r w:rsidR="00D322E2">
        <w:rPr>
          <w:rFonts w:ascii="Times New Roman" w:hAnsi="Times New Roman" w:cs="Times New Roman"/>
        </w:rPr>
        <w:t xml:space="preserve"> and the material culture linked with elite funerary practices.</w:t>
      </w:r>
      <w:r w:rsidR="00A60065">
        <w:rPr>
          <w:rFonts w:ascii="Times New Roman" w:hAnsi="Times New Roman" w:cs="Times New Roman"/>
        </w:rPr>
        <w:t xml:space="preserve"> </w:t>
      </w:r>
    </w:p>
    <w:p w14:paraId="7502653A" w14:textId="5053A4BA" w:rsidR="00A60065" w:rsidRPr="00A60065" w:rsidRDefault="00A60065" w:rsidP="00FE4F7B">
      <w:pPr>
        <w:jc w:val="both"/>
        <w:rPr>
          <w:rFonts w:ascii="Times New Roman" w:hAnsi="Times New Roman" w:cs="Times New Roman"/>
          <w:b/>
          <w:bCs/>
          <w:u w:val="single"/>
        </w:rPr>
      </w:pPr>
      <w:r w:rsidRPr="00A60065">
        <w:rPr>
          <w:rFonts w:ascii="Times New Roman" w:hAnsi="Times New Roman" w:cs="Times New Roman"/>
          <w:b/>
          <w:bCs/>
          <w:u w:val="single"/>
        </w:rPr>
        <w:t>Finds</w:t>
      </w:r>
      <w:r w:rsidR="00093528">
        <w:rPr>
          <w:rFonts w:ascii="Times New Roman" w:hAnsi="Times New Roman" w:cs="Times New Roman"/>
          <w:b/>
          <w:bCs/>
          <w:u w:val="single"/>
        </w:rPr>
        <w:t xml:space="preserve">, </w:t>
      </w:r>
      <w:r w:rsidRPr="00A60065">
        <w:rPr>
          <w:rFonts w:ascii="Times New Roman" w:hAnsi="Times New Roman" w:cs="Times New Roman"/>
          <w:b/>
          <w:bCs/>
          <w:u w:val="single"/>
        </w:rPr>
        <w:t>Material Culture</w:t>
      </w:r>
      <w:r w:rsidR="00093528">
        <w:rPr>
          <w:rFonts w:ascii="Times New Roman" w:hAnsi="Times New Roman" w:cs="Times New Roman"/>
          <w:b/>
          <w:bCs/>
          <w:u w:val="single"/>
        </w:rPr>
        <w:t xml:space="preserve"> and Social Status</w:t>
      </w:r>
      <w:r w:rsidRPr="00A60065">
        <w:rPr>
          <w:rFonts w:ascii="Times New Roman" w:hAnsi="Times New Roman" w:cs="Times New Roman"/>
          <w:b/>
          <w:bCs/>
          <w:u w:val="single"/>
        </w:rPr>
        <w:t xml:space="preserve"> </w:t>
      </w:r>
    </w:p>
    <w:p w14:paraId="08A46466" w14:textId="7EAE04FD" w:rsidR="00FE4F7B" w:rsidRDefault="00BB0EAF" w:rsidP="00FE4F7B">
      <w:pPr>
        <w:jc w:val="both"/>
        <w:rPr>
          <w:rFonts w:ascii="Times New Roman" w:hAnsi="Times New Roman" w:cs="Times New Roman"/>
        </w:rPr>
      </w:pPr>
      <w:r>
        <w:rPr>
          <w:rFonts w:ascii="Times New Roman" w:hAnsi="Times New Roman" w:cs="Times New Roman"/>
        </w:rPr>
        <w:t xml:space="preserve">Excavations conducted in TT99 have uncovered a range of artefacts associated with both the original burial and subsequent reuse of the tomb. </w:t>
      </w:r>
      <w:r w:rsidR="000C68A5">
        <w:rPr>
          <w:rFonts w:ascii="Times New Roman" w:hAnsi="Times New Roman" w:cs="Times New Roman"/>
        </w:rPr>
        <w:t>These discoveries include fragments of coffins, ritual objects, pottery vessels and inscriptions – all of which contribute to the modern understanding of elite burial practices during the New Kingdom.</w:t>
      </w:r>
    </w:p>
    <w:p w14:paraId="6946E85D" w14:textId="77777777" w:rsidR="00625491" w:rsidRDefault="000C68A5" w:rsidP="00625491">
      <w:pPr>
        <w:jc w:val="both"/>
        <w:rPr>
          <w:rFonts w:ascii="Times New Roman" w:hAnsi="Times New Roman" w:cs="Times New Roman"/>
        </w:rPr>
      </w:pPr>
      <w:r w:rsidRPr="00DF6B4F">
        <w:rPr>
          <w:rFonts w:ascii="Times New Roman" w:hAnsi="Times New Roman" w:cs="Times New Roman"/>
        </w:rPr>
        <w:t xml:space="preserve">Amongst the most significant </w:t>
      </w:r>
      <w:r w:rsidR="007B01E9" w:rsidRPr="00DF6B4F">
        <w:rPr>
          <w:rFonts w:ascii="Times New Roman" w:hAnsi="Times New Roman" w:cs="Times New Roman"/>
        </w:rPr>
        <w:t>finds are fragments of decorated wooden coffins</w:t>
      </w:r>
      <w:r w:rsidR="0018396C" w:rsidRPr="00DF6B4F">
        <w:rPr>
          <w:rFonts w:ascii="Times New Roman" w:hAnsi="Times New Roman" w:cs="Times New Roman"/>
        </w:rPr>
        <w:t>, which were mostly found in Shaft I and were incredibly small</w:t>
      </w:r>
      <w:r w:rsidR="0035022C" w:rsidRPr="00DF6B4F">
        <w:rPr>
          <w:rFonts w:ascii="Times New Roman" w:hAnsi="Times New Roman" w:cs="Times New Roman"/>
        </w:rPr>
        <w:t>.</w:t>
      </w:r>
      <w:r w:rsidR="0035022C" w:rsidRPr="00DF6B4F">
        <w:rPr>
          <w:rStyle w:val="FootnoteReference"/>
          <w:rFonts w:ascii="Times New Roman" w:hAnsi="Times New Roman" w:cs="Times New Roman"/>
        </w:rPr>
        <w:footnoteReference w:id="25"/>
      </w:r>
      <w:r w:rsidR="00DF6B4F">
        <w:rPr>
          <w:rFonts w:ascii="Times New Roman" w:hAnsi="Times New Roman" w:cs="Times New Roman"/>
        </w:rPr>
        <w:t xml:space="preserve"> </w:t>
      </w:r>
      <w:r w:rsidR="00932220">
        <w:rPr>
          <w:rFonts w:ascii="Times New Roman" w:hAnsi="Times New Roman" w:cs="Times New Roman"/>
        </w:rPr>
        <w:t xml:space="preserve">Part of these fragments were two wooden beards which would have been attached to </w:t>
      </w:r>
      <w:r w:rsidR="0044490C">
        <w:rPr>
          <w:rFonts w:ascii="Times New Roman" w:hAnsi="Times New Roman" w:cs="Times New Roman"/>
        </w:rPr>
        <w:t>coffins</w:t>
      </w:r>
      <w:r w:rsidR="00300B9F">
        <w:rPr>
          <w:rFonts w:ascii="Times New Roman" w:hAnsi="Times New Roman" w:cs="Times New Roman"/>
        </w:rPr>
        <w:t xml:space="preserve">; </w:t>
      </w:r>
      <w:r w:rsidR="0044490C">
        <w:rPr>
          <w:rFonts w:ascii="Times New Roman" w:hAnsi="Times New Roman" w:cs="Times New Roman"/>
        </w:rPr>
        <w:t xml:space="preserve">as the two differ both in size and </w:t>
      </w:r>
      <w:r w:rsidR="00300B9F">
        <w:rPr>
          <w:rFonts w:ascii="Times New Roman" w:hAnsi="Times New Roman" w:cs="Times New Roman"/>
        </w:rPr>
        <w:t xml:space="preserve">style – one is plaited hair carved in wood, the other is </w:t>
      </w:r>
      <w:r w:rsidR="000C3CCE">
        <w:rPr>
          <w:rFonts w:ascii="Times New Roman" w:hAnsi="Times New Roman" w:cs="Times New Roman"/>
        </w:rPr>
        <w:t xml:space="preserve">decorated with plaster and materials – </w:t>
      </w:r>
      <w:r w:rsidR="00F44E2E">
        <w:rPr>
          <w:rFonts w:ascii="Times New Roman" w:hAnsi="Times New Roman" w:cs="Times New Roman"/>
        </w:rPr>
        <w:t>Taylor</w:t>
      </w:r>
      <w:r w:rsidR="000C3CCE">
        <w:rPr>
          <w:rFonts w:ascii="Times New Roman" w:hAnsi="Times New Roman" w:cs="Times New Roman"/>
        </w:rPr>
        <w:t xml:space="preserve"> is unsure if this means they are from separate individuals or </w:t>
      </w:r>
      <w:r w:rsidR="00F44E2E">
        <w:rPr>
          <w:rFonts w:ascii="Times New Roman" w:hAnsi="Times New Roman" w:cs="Times New Roman"/>
        </w:rPr>
        <w:t>from a set of coffins.</w:t>
      </w:r>
      <w:r w:rsidR="00F44E2E">
        <w:rPr>
          <w:rStyle w:val="FootnoteReference"/>
          <w:rFonts w:ascii="Times New Roman" w:hAnsi="Times New Roman" w:cs="Times New Roman"/>
        </w:rPr>
        <w:footnoteReference w:id="26"/>
      </w:r>
      <w:r w:rsidR="00A30D12">
        <w:rPr>
          <w:rFonts w:ascii="Times New Roman" w:hAnsi="Times New Roman" w:cs="Times New Roman"/>
        </w:rPr>
        <w:t xml:space="preserve"> </w:t>
      </w:r>
      <w:r w:rsidR="008D6921">
        <w:rPr>
          <w:rFonts w:ascii="Times New Roman" w:hAnsi="Times New Roman" w:cs="Times New Roman"/>
        </w:rPr>
        <w:t>It is more likely</w:t>
      </w:r>
      <w:r w:rsidR="00CB3970">
        <w:rPr>
          <w:rFonts w:ascii="Times New Roman" w:hAnsi="Times New Roman" w:cs="Times New Roman"/>
        </w:rPr>
        <w:t xml:space="preserve">, due to the size difference, that the fragments come from Senneferi, </w:t>
      </w:r>
      <w:r w:rsidR="00A55B2A">
        <w:rPr>
          <w:rFonts w:ascii="Times New Roman" w:hAnsi="Times New Roman" w:cs="Times New Roman"/>
        </w:rPr>
        <w:t xml:space="preserve">as high-elite </w:t>
      </w:r>
      <w:r w:rsidR="00975CB8">
        <w:rPr>
          <w:rFonts w:ascii="Times New Roman" w:hAnsi="Times New Roman" w:cs="Times New Roman"/>
        </w:rPr>
        <w:t>commonl</w:t>
      </w:r>
      <w:r w:rsidR="003B44CE">
        <w:rPr>
          <w:rFonts w:ascii="Times New Roman" w:hAnsi="Times New Roman" w:cs="Times New Roman"/>
        </w:rPr>
        <w:t>y used nests of coffins.</w:t>
      </w:r>
      <w:r w:rsidR="003B44CE">
        <w:rPr>
          <w:rStyle w:val="FootnoteReference"/>
          <w:rFonts w:ascii="Times New Roman" w:hAnsi="Times New Roman" w:cs="Times New Roman"/>
        </w:rPr>
        <w:footnoteReference w:id="27"/>
      </w:r>
      <w:r w:rsidR="00625491" w:rsidRPr="00625491">
        <w:rPr>
          <w:rFonts w:ascii="Times New Roman" w:hAnsi="Times New Roman" w:cs="Times New Roman"/>
        </w:rPr>
        <w:t xml:space="preserve"> </w:t>
      </w:r>
    </w:p>
    <w:p w14:paraId="6EB838B3" w14:textId="7E614E40" w:rsidR="000C68A5" w:rsidRDefault="006D196C" w:rsidP="00FE4F7B">
      <w:pPr>
        <w:jc w:val="both"/>
        <w:rPr>
          <w:rFonts w:ascii="Times New Roman" w:hAnsi="Times New Roman" w:cs="Times New Roman"/>
        </w:rPr>
      </w:pPr>
      <w:r>
        <w:rPr>
          <w:rFonts w:ascii="Times New Roman" w:hAnsi="Times New Roman" w:cs="Times New Roman"/>
        </w:rPr>
        <w:t>E</w:t>
      </w:r>
      <w:r w:rsidR="00625491">
        <w:rPr>
          <w:rFonts w:ascii="Times New Roman" w:hAnsi="Times New Roman" w:cs="Times New Roman"/>
        </w:rPr>
        <w:t xml:space="preserve">xcavations at TT99 have revealed human skeletal remains within several of the burial shafts. These remains were discovered in a disturbed context, indicating tomb reuse, and making it difficult to determine who the remains belong to. </w:t>
      </w:r>
      <w:r w:rsidR="00F56D46">
        <w:rPr>
          <w:rFonts w:ascii="Times New Roman" w:hAnsi="Times New Roman" w:cs="Times New Roman"/>
        </w:rPr>
        <w:t>The</w:t>
      </w:r>
      <w:r w:rsidR="00625491">
        <w:rPr>
          <w:rFonts w:ascii="Times New Roman" w:hAnsi="Times New Roman" w:cs="Times New Roman"/>
        </w:rPr>
        <w:t xml:space="preserve"> presence of multiple individuals reflects the pattern of Theban Tomb reuse. The </w:t>
      </w:r>
      <w:r w:rsidR="00ED2914">
        <w:rPr>
          <w:rFonts w:ascii="Times New Roman" w:hAnsi="Times New Roman" w:cs="Times New Roman"/>
        </w:rPr>
        <w:t>fragmented</w:t>
      </w:r>
      <w:r w:rsidR="00625491">
        <w:rPr>
          <w:rFonts w:ascii="Times New Roman" w:hAnsi="Times New Roman" w:cs="Times New Roman"/>
        </w:rPr>
        <w:t xml:space="preserve"> </w:t>
      </w:r>
      <w:r w:rsidR="00ED2914">
        <w:rPr>
          <w:rFonts w:ascii="Times New Roman" w:hAnsi="Times New Roman" w:cs="Times New Roman"/>
        </w:rPr>
        <w:t>remains suggest</w:t>
      </w:r>
      <w:r w:rsidR="00776C2F">
        <w:rPr>
          <w:rFonts w:ascii="Times New Roman" w:hAnsi="Times New Roman" w:cs="Times New Roman"/>
        </w:rPr>
        <w:t xml:space="preserve"> that the original burial assemblage had been disturbed in antiquity, likely from tomb robbing. </w:t>
      </w:r>
      <w:r w:rsidR="00625491">
        <w:rPr>
          <w:rFonts w:ascii="Times New Roman" w:hAnsi="Times New Roman" w:cs="Times New Roman"/>
        </w:rPr>
        <w:t>As noted by Waldron, evidence indicates at least five adults and one juvenile.</w:t>
      </w:r>
      <w:r w:rsidR="00625491">
        <w:rPr>
          <w:rStyle w:val="FootnoteReference"/>
          <w:rFonts w:ascii="Times New Roman" w:hAnsi="Times New Roman" w:cs="Times New Roman"/>
        </w:rPr>
        <w:footnoteReference w:id="28"/>
      </w:r>
      <w:r w:rsidR="00625491">
        <w:rPr>
          <w:rFonts w:ascii="Times New Roman" w:hAnsi="Times New Roman" w:cs="Times New Roman"/>
        </w:rPr>
        <w:t xml:space="preserve"> Despite </w:t>
      </w:r>
      <w:r w:rsidR="00776C2F">
        <w:rPr>
          <w:rFonts w:ascii="Times New Roman" w:hAnsi="Times New Roman" w:cs="Times New Roman"/>
        </w:rPr>
        <w:t>this</w:t>
      </w:r>
      <w:r w:rsidR="00625491">
        <w:rPr>
          <w:rFonts w:ascii="Times New Roman" w:hAnsi="Times New Roman" w:cs="Times New Roman"/>
        </w:rPr>
        <w:t xml:space="preserve"> disturbance, </w:t>
      </w:r>
      <w:r w:rsidR="005960D6">
        <w:rPr>
          <w:rFonts w:ascii="Times New Roman" w:hAnsi="Times New Roman" w:cs="Times New Roman"/>
        </w:rPr>
        <w:t xml:space="preserve">the remains still illustrate the complex reuse of elite tombs over time, which </w:t>
      </w:r>
      <w:proofErr w:type="spellStart"/>
      <w:r w:rsidR="00625491">
        <w:rPr>
          <w:rFonts w:ascii="Times New Roman" w:hAnsi="Times New Roman" w:cs="Times New Roman"/>
        </w:rPr>
        <w:t>as</w:t>
      </w:r>
      <w:proofErr w:type="spellEnd"/>
      <w:r w:rsidR="00625491">
        <w:rPr>
          <w:rFonts w:ascii="Times New Roman" w:hAnsi="Times New Roman" w:cs="Times New Roman"/>
        </w:rPr>
        <w:t xml:space="preserve"> been interpreted as pragmatic and a from of ritual reoccupations of sacred space.</w:t>
      </w:r>
    </w:p>
    <w:p w14:paraId="74991DF9" w14:textId="50FAF6FF" w:rsidR="00003A5D" w:rsidRDefault="00DD3A1C" w:rsidP="005F2E24">
      <w:pPr>
        <w:jc w:val="both"/>
        <w:rPr>
          <w:rFonts w:ascii="Times New Roman" w:hAnsi="Times New Roman" w:cs="Times New Roman"/>
        </w:rPr>
      </w:pPr>
      <w:r>
        <w:rPr>
          <w:rFonts w:ascii="Times New Roman" w:hAnsi="Times New Roman" w:cs="Times New Roman"/>
        </w:rPr>
        <w:lastRenderedPageBreak/>
        <w:t xml:space="preserve">Several objects discovered in the tomb are associated with funerary rituals. Among these are </w:t>
      </w:r>
      <w:r w:rsidR="00562CA5">
        <w:rPr>
          <w:rFonts w:ascii="Times New Roman" w:hAnsi="Times New Roman" w:cs="Times New Roman"/>
        </w:rPr>
        <w:t>adzes</w:t>
      </w:r>
      <w:r w:rsidR="00B3565B">
        <w:rPr>
          <w:rFonts w:ascii="Times New Roman" w:hAnsi="Times New Roman" w:cs="Times New Roman"/>
        </w:rPr>
        <w:t xml:space="preserve"> made of ivory</w:t>
      </w:r>
      <w:r w:rsidR="0073513C">
        <w:rPr>
          <w:rFonts w:ascii="Times New Roman" w:hAnsi="Times New Roman" w:cs="Times New Roman"/>
        </w:rPr>
        <w:t xml:space="preserve"> – an important tool used during the Opening of the Mouth </w:t>
      </w:r>
      <w:r w:rsidR="00B01632">
        <w:rPr>
          <w:rFonts w:ascii="Times New Roman" w:hAnsi="Times New Roman" w:cs="Times New Roman"/>
        </w:rPr>
        <w:t>ritual</w:t>
      </w:r>
      <w:r w:rsidR="0014332C">
        <w:rPr>
          <w:rFonts w:ascii="Times New Roman" w:hAnsi="Times New Roman" w:cs="Times New Roman"/>
        </w:rPr>
        <w:t>.</w:t>
      </w:r>
      <w:r w:rsidR="00B01632">
        <w:rPr>
          <w:rStyle w:val="FootnoteReference"/>
          <w:rFonts w:ascii="Times New Roman" w:hAnsi="Times New Roman" w:cs="Times New Roman"/>
        </w:rPr>
        <w:footnoteReference w:id="29"/>
      </w:r>
      <w:r w:rsidR="00B01632">
        <w:rPr>
          <w:rFonts w:ascii="Times New Roman" w:hAnsi="Times New Roman" w:cs="Times New Roman"/>
        </w:rPr>
        <w:t xml:space="preserve"> </w:t>
      </w:r>
      <w:r w:rsidR="0014332C">
        <w:rPr>
          <w:rFonts w:ascii="Times New Roman" w:hAnsi="Times New Roman" w:cs="Times New Roman"/>
        </w:rPr>
        <w:t xml:space="preserve">This ritual was a crucial component of Egyptian funerary practice </w:t>
      </w:r>
      <w:r w:rsidR="0003476A">
        <w:rPr>
          <w:rFonts w:ascii="Times New Roman" w:hAnsi="Times New Roman" w:cs="Times New Roman"/>
        </w:rPr>
        <w:t xml:space="preserve">and was intended to restore the senses of the deceased so that </w:t>
      </w:r>
      <w:r w:rsidR="00C85F38">
        <w:rPr>
          <w:rFonts w:ascii="Times New Roman" w:hAnsi="Times New Roman" w:cs="Times New Roman"/>
        </w:rPr>
        <w:t>they were verbally able to defend themselves at the judgment of the dead,</w:t>
      </w:r>
      <w:r w:rsidR="00A9224F">
        <w:rPr>
          <w:rStyle w:val="FootnoteReference"/>
          <w:rFonts w:ascii="Times New Roman" w:hAnsi="Times New Roman" w:cs="Times New Roman"/>
        </w:rPr>
        <w:footnoteReference w:id="30"/>
      </w:r>
      <w:r w:rsidR="00C85F38">
        <w:rPr>
          <w:rFonts w:ascii="Times New Roman" w:hAnsi="Times New Roman" w:cs="Times New Roman"/>
        </w:rPr>
        <w:t xml:space="preserve"> as well as </w:t>
      </w:r>
      <w:r w:rsidR="00A9224F">
        <w:rPr>
          <w:rFonts w:ascii="Times New Roman" w:hAnsi="Times New Roman" w:cs="Times New Roman"/>
        </w:rPr>
        <w:t xml:space="preserve">being able to eat and take nourishment for the </w:t>
      </w:r>
      <w:r w:rsidR="00A9224F" w:rsidRPr="00A9224F">
        <w:rPr>
          <w:rFonts w:ascii="Times New Roman" w:hAnsi="Times New Roman" w:cs="Times New Roman"/>
          <w:i/>
          <w:iCs/>
        </w:rPr>
        <w:t>Ka</w:t>
      </w:r>
      <w:r w:rsidR="00A9224F">
        <w:rPr>
          <w:rFonts w:ascii="Times New Roman" w:hAnsi="Times New Roman" w:cs="Times New Roman"/>
        </w:rPr>
        <w:t xml:space="preserve"> and </w:t>
      </w:r>
      <w:r w:rsidR="00A9224F" w:rsidRPr="00A9224F">
        <w:rPr>
          <w:rFonts w:ascii="Times New Roman" w:hAnsi="Times New Roman" w:cs="Times New Roman"/>
          <w:i/>
          <w:iCs/>
        </w:rPr>
        <w:t>Ba</w:t>
      </w:r>
      <w:r w:rsidR="00A9224F">
        <w:rPr>
          <w:rFonts w:ascii="Times New Roman" w:hAnsi="Times New Roman" w:cs="Times New Roman"/>
        </w:rPr>
        <w:t>.</w:t>
      </w:r>
      <w:r w:rsidR="00457ABB">
        <w:rPr>
          <w:rFonts w:ascii="Times New Roman" w:hAnsi="Times New Roman" w:cs="Times New Roman"/>
        </w:rPr>
        <w:t xml:space="preserve"> </w:t>
      </w:r>
    </w:p>
    <w:p w14:paraId="3A9BEB91" w14:textId="1B6BF3A4" w:rsidR="00524247" w:rsidRDefault="00524247" w:rsidP="005F2E24">
      <w:pPr>
        <w:jc w:val="both"/>
        <w:rPr>
          <w:rFonts w:ascii="Times New Roman" w:hAnsi="Times New Roman" w:cs="Times New Roman"/>
        </w:rPr>
      </w:pPr>
      <w:r>
        <w:rPr>
          <w:rFonts w:ascii="Times New Roman" w:hAnsi="Times New Roman" w:cs="Times New Roman"/>
        </w:rPr>
        <w:t xml:space="preserve">Ceramic vessels were an important to material assemblage </w:t>
      </w:r>
      <w:r w:rsidR="00D218E4">
        <w:rPr>
          <w:rFonts w:ascii="Times New Roman" w:hAnsi="Times New Roman" w:cs="Times New Roman"/>
        </w:rPr>
        <w:t xml:space="preserve">from TT99. Pottery fragments discovered within burial shafts come from the original funerary </w:t>
      </w:r>
      <w:r w:rsidR="00726528">
        <w:rPr>
          <w:rFonts w:ascii="Times New Roman" w:hAnsi="Times New Roman" w:cs="Times New Roman"/>
        </w:rPr>
        <w:t>equipment and later phases of reuse. In elite New Kingdom burials, ceramic vessels were commonly used to contain food, drink</w:t>
      </w:r>
      <w:r w:rsidR="00987E16">
        <w:rPr>
          <w:rFonts w:ascii="Times New Roman" w:hAnsi="Times New Roman" w:cs="Times New Roman"/>
        </w:rPr>
        <w:t xml:space="preserve">, oils and other offerings intended to sustain the deceased in the afterlife. </w:t>
      </w:r>
      <w:r w:rsidR="0015595D">
        <w:rPr>
          <w:rFonts w:ascii="Times New Roman" w:hAnsi="Times New Roman" w:cs="Times New Roman"/>
        </w:rPr>
        <w:t>These vessels formed part of the broader funerary assemblage and reflect the provision of food and drink offerings intended to sustain the deceased in the afterlife.</w:t>
      </w:r>
      <w:r w:rsidR="009767E4">
        <w:rPr>
          <w:rFonts w:ascii="Times New Roman" w:hAnsi="Times New Roman" w:cs="Times New Roman"/>
        </w:rPr>
        <w:t xml:space="preserve"> Although many of the ceramic fragments </w:t>
      </w:r>
      <w:r w:rsidR="00441728">
        <w:rPr>
          <w:rFonts w:ascii="Times New Roman" w:hAnsi="Times New Roman" w:cs="Times New Roman"/>
        </w:rPr>
        <w:t>from TT99 were</w:t>
      </w:r>
      <w:r w:rsidR="00D9149F">
        <w:rPr>
          <w:rFonts w:ascii="Times New Roman" w:hAnsi="Times New Roman" w:cs="Times New Roman"/>
        </w:rPr>
        <w:t xml:space="preserve"> possibly</w:t>
      </w:r>
      <w:r w:rsidR="00441728">
        <w:rPr>
          <w:rFonts w:ascii="Times New Roman" w:hAnsi="Times New Roman" w:cs="Times New Roman"/>
        </w:rPr>
        <w:t xml:space="preserve"> recovered in secondary context,</w:t>
      </w:r>
      <w:r w:rsidR="00D9149F">
        <w:rPr>
          <w:rStyle w:val="FootnoteReference"/>
          <w:rFonts w:ascii="Times New Roman" w:hAnsi="Times New Roman" w:cs="Times New Roman"/>
        </w:rPr>
        <w:footnoteReference w:id="31"/>
      </w:r>
      <w:r w:rsidR="00441728">
        <w:rPr>
          <w:rFonts w:ascii="Times New Roman" w:hAnsi="Times New Roman" w:cs="Times New Roman"/>
        </w:rPr>
        <w:t xml:space="preserve"> they nevertheless </w:t>
      </w:r>
      <w:r w:rsidR="00BC1F04">
        <w:rPr>
          <w:rFonts w:ascii="Times New Roman" w:hAnsi="Times New Roman" w:cs="Times New Roman"/>
        </w:rPr>
        <w:t>provide valuable insight into the everyday material culture associated with elite funerary rites.</w:t>
      </w:r>
    </w:p>
    <w:p w14:paraId="034537C1" w14:textId="668BE122" w:rsidR="00FE4F7B" w:rsidRDefault="00A529CC" w:rsidP="00FE4F7B">
      <w:pPr>
        <w:jc w:val="both"/>
        <w:rPr>
          <w:rFonts w:ascii="Times New Roman" w:hAnsi="Times New Roman" w:cs="Times New Roman"/>
        </w:rPr>
      </w:pPr>
      <w:r>
        <w:rPr>
          <w:rFonts w:ascii="Times New Roman" w:hAnsi="Times New Roman" w:cs="Times New Roman"/>
        </w:rPr>
        <w:t xml:space="preserve">The architecture and artefact </w:t>
      </w:r>
      <w:r w:rsidR="002D4894">
        <w:rPr>
          <w:rFonts w:ascii="Times New Roman" w:hAnsi="Times New Roman" w:cs="Times New Roman"/>
        </w:rPr>
        <w:t>connected</w:t>
      </w:r>
      <w:r>
        <w:rPr>
          <w:rFonts w:ascii="Times New Roman" w:hAnsi="Times New Roman" w:cs="Times New Roman"/>
        </w:rPr>
        <w:t xml:space="preserve"> with </w:t>
      </w:r>
      <w:r w:rsidR="002D4894">
        <w:rPr>
          <w:rFonts w:ascii="Times New Roman" w:hAnsi="Times New Roman" w:cs="Times New Roman"/>
        </w:rPr>
        <w:t xml:space="preserve">TT99 clearly reflect Senneferi’s high status within the administrative hierarchy of New Kingdom Egypt. The scale and complexity of the tomb required </w:t>
      </w:r>
      <w:r w:rsidR="00491402">
        <w:rPr>
          <w:rFonts w:ascii="Times New Roman" w:hAnsi="Times New Roman" w:cs="Times New Roman"/>
        </w:rPr>
        <w:t xml:space="preserve">significant financial resources and the labour of highly skilled craftsmen. Only individuals </w:t>
      </w:r>
      <w:r w:rsidR="00345C54">
        <w:rPr>
          <w:rFonts w:ascii="Times New Roman" w:hAnsi="Times New Roman" w:cs="Times New Roman"/>
        </w:rPr>
        <w:t>with considerable wealth and influence could commission such elaborate monuments.</w:t>
      </w:r>
    </w:p>
    <w:p w14:paraId="4386D030" w14:textId="3134AC2B" w:rsidR="00345C54" w:rsidRDefault="00345C54" w:rsidP="00FE4F7B">
      <w:pPr>
        <w:jc w:val="both"/>
        <w:rPr>
          <w:rFonts w:ascii="Times New Roman" w:hAnsi="Times New Roman" w:cs="Times New Roman"/>
        </w:rPr>
      </w:pPr>
      <w:r>
        <w:rPr>
          <w:rFonts w:ascii="Times New Roman" w:hAnsi="Times New Roman" w:cs="Times New Roman"/>
        </w:rPr>
        <w:t xml:space="preserve">The decorative </w:t>
      </w:r>
      <w:r w:rsidR="00373F62">
        <w:rPr>
          <w:rFonts w:ascii="Times New Roman" w:hAnsi="Times New Roman" w:cs="Times New Roman"/>
        </w:rPr>
        <w:t xml:space="preserve">program of the tomb also emphasises Senneferi’s role within the royal administration. Scenes depicting his professional activities reinforce his identity as a loyal servant of the pharaoh and highlights the importance of his position </w:t>
      </w:r>
      <w:r w:rsidR="009511AD">
        <w:rPr>
          <w:rFonts w:ascii="Times New Roman" w:hAnsi="Times New Roman" w:cs="Times New Roman"/>
        </w:rPr>
        <w:t xml:space="preserve">within the state bureaucracy. By displaying these scenes </w:t>
      </w:r>
      <w:r w:rsidR="002348B7">
        <w:rPr>
          <w:rFonts w:ascii="Times New Roman" w:hAnsi="Times New Roman" w:cs="Times New Roman"/>
        </w:rPr>
        <w:t>within the tomb chapel, Senneferi ensured that his achievements would be remembered by future generations.</w:t>
      </w:r>
    </w:p>
    <w:p w14:paraId="25AB61C9" w14:textId="4CF27AD3" w:rsidR="002348B7" w:rsidRDefault="002348B7" w:rsidP="00FE4F7B">
      <w:pPr>
        <w:jc w:val="both"/>
        <w:rPr>
          <w:rFonts w:ascii="Times New Roman" w:hAnsi="Times New Roman" w:cs="Times New Roman"/>
        </w:rPr>
      </w:pPr>
      <w:r>
        <w:rPr>
          <w:rFonts w:ascii="Times New Roman" w:hAnsi="Times New Roman" w:cs="Times New Roman"/>
        </w:rPr>
        <w:t xml:space="preserve">The burial </w:t>
      </w:r>
      <w:r w:rsidR="00F46BBD">
        <w:rPr>
          <w:rFonts w:ascii="Times New Roman" w:hAnsi="Times New Roman" w:cs="Times New Roman"/>
        </w:rPr>
        <w:t xml:space="preserve">equipment discovered in the tomb further demonstrates the elite nature of the burial. The use of multiple coffins, ritual tools and stone vessels indicates that the full range of </w:t>
      </w:r>
      <w:r w:rsidR="00B96E54">
        <w:rPr>
          <w:rFonts w:ascii="Times New Roman" w:hAnsi="Times New Roman" w:cs="Times New Roman"/>
        </w:rPr>
        <w:t xml:space="preserve">funerary rituals were performed. Such elaborate preparations were typically reserved for individuals of high social standing, reflecting the belief that proper ritual practice </w:t>
      </w:r>
      <w:r w:rsidR="00715E42">
        <w:rPr>
          <w:rFonts w:ascii="Times New Roman" w:hAnsi="Times New Roman" w:cs="Times New Roman"/>
        </w:rPr>
        <w:t>was necessary to guarantee a successful afterlife.</w:t>
      </w:r>
    </w:p>
    <w:p w14:paraId="0BB5B0FB" w14:textId="1BE3FC52" w:rsidR="00715E42" w:rsidRDefault="00715E42" w:rsidP="00FE4F7B">
      <w:pPr>
        <w:jc w:val="both"/>
        <w:rPr>
          <w:rFonts w:ascii="Times New Roman" w:hAnsi="Times New Roman" w:cs="Times New Roman"/>
        </w:rPr>
      </w:pPr>
      <w:r>
        <w:rPr>
          <w:rFonts w:ascii="Times New Roman" w:hAnsi="Times New Roman" w:cs="Times New Roman"/>
        </w:rPr>
        <w:t>Together, the architectural features</w:t>
      </w:r>
      <w:r w:rsidR="00522E73">
        <w:rPr>
          <w:rFonts w:ascii="Times New Roman" w:hAnsi="Times New Roman" w:cs="Times New Roman"/>
        </w:rPr>
        <w:t xml:space="preserve"> and artefacts from TT99 illustrates how elite tombs functioned as expression of social identity. Through architecture, decoration and material culture, Senneferi’s tomb communicated his political authority, wealth and religious devotion.</w:t>
      </w:r>
    </w:p>
    <w:p w14:paraId="5D700644" w14:textId="3A0EEFE6" w:rsidR="00FE4F7B" w:rsidRPr="00522E73" w:rsidRDefault="00FE4F7B" w:rsidP="00FE4F7B">
      <w:pPr>
        <w:jc w:val="both"/>
        <w:rPr>
          <w:rFonts w:ascii="Times New Roman" w:hAnsi="Times New Roman" w:cs="Times New Roman"/>
          <w:b/>
          <w:bCs/>
          <w:u w:val="single"/>
        </w:rPr>
      </w:pPr>
      <w:r w:rsidRPr="00522E73">
        <w:rPr>
          <w:rFonts w:ascii="Times New Roman" w:hAnsi="Times New Roman" w:cs="Times New Roman"/>
          <w:b/>
          <w:bCs/>
          <w:u w:val="single"/>
        </w:rPr>
        <w:t>Conclusion</w:t>
      </w:r>
    </w:p>
    <w:p w14:paraId="6EECE3F6" w14:textId="0866D6B5" w:rsidR="0085562A" w:rsidRDefault="002839A7" w:rsidP="00FE4F7B">
      <w:pPr>
        <w:jc w:val="both"/>
        <w:rPr>
          <w:rFonts w:ascii="Times New Roman" w:hAnsi="Times New Roman" w:cs="Times New Roman"/>
        </w:rPr>
      </w:pPr>
      <w:r>
        <w:rPr>
          <w:rFonts w:ascii="Times New Roman" w:hAnsi="Times New Roman" w:cs="Times New Roman"/>
        </w:rPr>
        <w:lastRenderedPageBreak/>
        <w:t xml:space="preserve">The tomb of Senneferi provides an important example of elite New Kingdom funerary architecture. Its layout of courtyard, chape and burial chambers </w:t>
      </w:r>
      <w:r w:rsidR="00922A6B">
        <w:rPr>
          <w:rFonts w:ascii="Times New Roman" w:hAnsi="Times New Roman" w:cs="Times New Roman"/>
        </w:rPr>
        <w:t>show the standard design of high-status Theban tombs, while its scale demonstrates the resources available to senior officials.</w:t>
      </w:r>
    </w:p>
    <w:p w14:paraId="13024E2A" w14:textId="0D2BE4BD" w:rsidR="00F60AB9" w:rsidRDefault="00F60AB9" w:rsidP="00FE4F7B">
      <w:pPr>
        <w:jc w:val="both"/>
        <w:rPr>
          <w:rFonts w:ascii="Times New Roman" w:hAnsi="Times New Roman" w:cs="Times New Roman"/>
        </w:rPr>
      </w:pPr>
      <w:r>
        <w:rPr>
          <w:rFonts w:ascii="Times New Roman" w:hAnsi="Times New Roman" w:cs="Times New Roman"/>
        </w:rPr>
        <w:t xml:space="preserve">The artefacts discovered during excavation – including coffin fragments, ritual tools, stone vessels and inscriptions – offer valuable insight into the funerary practices associated with elite burials. These objects confirm that Senneferi’s </w:t>
      </w:r>
      <w:r w:rsidR="00093528">
        <w:rPr>
          <w:rFonts w:ascii="Times New Roman" w:hAnsi="Times New Roman" w:cs="Times New Roman"/>
        </w:rPr>
        <w:t>burial</w:t>
      </w:r>
      <w:r w:rsidR="00D07829">
        <w:rPr>
          <w:rFonts w:ascii="Times New Roman" w:hAnsi="Times New Roman" w:cs="Times New Roman"/>
        </w:rPr>
        <w:t xml:space="preserve"> involved elaborate rituals intended to ensure his successful transition to the next life.</w:t>
      </w:r>
    </w:p>
    <w:p w14:paraId="773A6021" w14:textId="0BE5EBE5" w:rsidR="00D07829" w:rsidRDefault="009046E6" w:rsidP="00FE4F7B">
      <w:pPr>
        <w:jc w:val="both"/>
        <w:rPr>
          <w:rFonts w:ascii="Times New Roman" w:hAnsi="Times New Roman" w:cs="Times New Roman"/>
        </w:rPr>
      </w:pPr>
      <w:r>
        <w:rPr>
          <w:rFonts w:ascii="Times New Roman" w:hAnsi="Times New Roman" w:cs="Times New Roman"/>
        </w:rPr>
        <w:t xml:space="preserve">Overall, the architecture and material culture of TT99 illustrates the prominent social and political position held by Senneferi during the reign of Thutmose III. The tomb functioned not only as a </w:t>
      </w:r>
      <w:r w:rsidR="00F765F1">
        <w:rPr>
          <w:rFonts w:ascii="Times New Roman" w:hAnsi="Times New Roman" w:cs="Times New Roman"/>
        </w:rPr>
        <w:t>burial place but also as a monument celebrating the life and achievements of a powerful administrator within the imperial state of New Kingdom Egypt. Through its architecture</w:t>
      </w:r>
      <w:r w:rsidR="00B32F2D">
        <w:rPr>
          <w:rFonts w:ascii="Times New Roman" w:hAnsi="Times New Roman" w:cs="Times New Roman"/>
        </w:rPr>
        <w:t>, decoration and artefact, TT99 reveals how elite individuals used funerary monuments to express their identity, status and relationship to both the king and the gods.</w:t>
      </w:r>
    </w:p>
    <w:p w14:paraId="3B0DBD83" w14:textId="77777777" w:rsidR="0085562A" w:rsidRDefault="0085562A" w:rsidP="00FE4F7B">
      <w:pPr>
        <w:jc w:val="both"/>
        <w:rPr>
          <w:rFonts w:ascii="Times New Roman" w:hAnsi="Times New Roman" w:cs="Times New Roman"/>
        </w:rPr>
      </w:pPr>
    </w:p>
    <w:p w14:paraId="30EA35E9" w14:textId="77777777" w:rsidR="00BC4769" w:rsidRDefault="00BC4769" w:rsidP="00FE4F7B">
      <w:pPr>
        <w:jc w:val="both"/>
        <w:rPr>
          <w:rFonts w:ascii="Times New Roman" w:hAnsi="Times New Roman" w:cs="Times New Roman"/>
        </w:rPr>
      </w:pPr>
    </w:p>
    <w:p w14:paraId="6BB09915" w14:textId="77777777" w:rsidR="00BC4769" w:rsidRDefault="00BC4769" w:rsidP="00FE4F7B">
      <w:pPr>
        <w:jc w:val="both"/>
        <w:rPr>
          <w:rFonts w:ascii="Times New Roman" w:hAnsi="Times New Roman" w:cs="Times New Roman"/>
        </w:rPr>
      </w:pPr>
    </w:p>
    <w:p w14:paraId="697062C8" w14:textId="77777777" w:rsidR="00BC4769" w:rsidRDefault="00BC4769" w:rsidP="00FE4F7B">
      <w:pPr>
        <w:jc w:val="both"/>
        <w:rPr>
          <w:rFonts w:ascii="Times New Roman" w:hAnsi="Times New Roman" w:cs="Times New Roman"/>
        </w:rPr>
      </w:pPr>
    </w:p>
    <w:p w14:paraId="3750F4B4" w14:textId="77777777" w:rsidR="00BC4769" w:rsidRDefault="00BC4769" w:rsidP="00FE4F7B">
      <w:pPr>
        <w:jc w:val="both"/>
        <w:rPr>
          <w:rFonts w:ascii="Times New Roman" w:hAnsi="Times New Roman" w:cs="Times New Roman"/>
        </w:rPr>
      </w:pPr>
    </w:p>
    <w:p w14:paraId="1DA1C5FE" w14:textId="77777777" w:rsidR="00BC4769" w:rsidRDefault="00BC4769" w:rsidP="00FE4F7B">
      <w:pPr>
        <w:jc w:val="both"/>
        <w:rPr>
          <w:rFonts w:ascii="Times New Roman" w:hAnsi="Times New Roman" w:cs="Times New Roman"/>
        </w:rPr>
      </w:pPr>
    </w:p>
    <w:p w14:paraId="33C492A1" w14:textId="77777777" w:rsidR="00BC4769" w:rsidRDefault="00BC4769" w:rsidP="00FE4F7B">
      <w:pPr>
        <w:jc w:val="both"/>
        <w:rPr>
          <w:rFonts w:ascii="Times New Roman" w:hAnsi="Times New Roman" w:cs="Times New Roman"/>
        </w:rPr>
      </w:pPr>
    </w:p>
    <w:p w14:paraId="25F33124" w14:textId="77777777" w:rsidR="00BC4769" w:rsidRDefault="00BC4769" w:rsidP="00FE4F7B">
      <w:pPr>
        <w:jc w:val="both"/>
        <w:rPr>
          <w:rFonts w:ascii="Times New Roman" w:hAnsi="Times New Roman" w:cs="Times New Roman"/>
        </w:rPr>
      </w:pPr>
    </w:p>
    <w:p w14:paraId="08A23065" w14:textId="77777777" w:rsidR="00BC4769" w:rsidRDefault="00BC4769" w:rsidP="00FE4F7B">
      <w:pPr>
        <w:jc w:val="both"/>
        <w:rPr>
          <w:rFonts w:ascii="Times New Roman" w:hAnsi="Times New Roman" w:cs="Times New Roman"/>
        </w:rPr>
      </w:pPr>
    </w:p>
    <w:p w14:paraId="6DA70FAA" w14:textId="77777777" w:rsidR="00BC4769" w:rsidRDefault="00BC4769" w:rsidP="00FE4F7B">
      <w:pPr>
        <w:jc w:val="both"/>
        <w:rPr>
          <w:rFonts w:ascii="Times New Roman" w:hAnsi="Times New Roman" w:cs="Times New Roman"/>
        </w:rPr>
      </w:pPr>
    </w:p>
    <w:p w14:paraId="4DB5A73C" w14:textId="77777777" w:rsidR="00BC4769" w:rsidRDefault="00BC4769" w:rsidP="00FE4F7B">
      <w:pPr>
        <w:jc w:val="both"/>
        <w:rPr>
          <w:rFonts w:ascii="Times New Roman" w:hAnsi="Times New Roman" w:cs="Times New Roman"/>
        </w:rPr>
      </w:pPr>
    </w:p>
    <w:p w14:paraId="689BDC60" w14:textId="77777777" w:rsidR="00BC4769" w:rsidRDefault="00BC4769" w:rsidP="00FE4F7B">
      <w:pPr>
        <w:jc w:val="both"/>
        <w:rPr>
          <w:rFonts w:ascii="Times New Roman" w:hAnsi="Times New Roman" w:cs="Times New Roman"/>
        </w:rPr>
      </w:pPr>
    </w:p>
    <w:p w14:paraId="5BDCAB4F" w14:textId="77777777" w:rsidR="00BC4769" w:rsidRDefault="00BC4769" w:rsidP="00FE4F7B">
      <w:pPr>
        <w:jc w:val="both"/>
        <w:rPr>
          <w:rFonts w:ascii="Times New Roman" w:hAnsi="Times New Roman" w:cs="Times New Roman"/>
        </w:rPr>
      </w:pPr>
    </w:p>
    <w:p w14:paraId="3D5E8B6F" w14:textId="77777777" w:rsidR="00BC4769" w:rsidRDefault="00BC4769" w:rsidP="00FE4F7B">
      <w:pPr>
        <w:jc w:val="both"/>
        <w:rPr>
          <w:rFonts w:ascii="Times New Roman" w:hAnsi="Times New Roman" w:cs="Times New Roman"/>
        </w:rPr>
      </w:pPr>
    </w:p>
    <w:p w14:paraId="0544F4DB" w14:textId="77777777" w:rsidR="00BC4769" w:rsidRDefault="00BC4769" w:rsidP="00FE4F7B">
      <w:pPr>
        <w:jc w:val="both"/>
        <w:rPr>
          <w:rFonts w:ascii="Times New Roman" w:hAnsi="Times New Roman" w:cs="Times New Roman"/>
        </w:rPr>
      </w:pPr>
    </w:p>
    <w:p w14:paraId="55ED354D" w14:textId="77777777" w:rsidR="00BC4769" w:rsidRDefault="00BC4769" w:rsidP="00FE4F7B">
      <w:pPr>
        <w:jc w:val="both"/>
        <w:rPr>
          <w:rFonts w:ascii="Times New Roman" w:hAnsi="Times New Roman" w:cs="Times New Roman"/>
        </w:rPr>
      </w:pPr>
    </w:p>
    <w:p w14:paraId="334A9A8C" w14:textId="77777777" w:rsidR="00BC4769" w:rsidRDefault="00BC4769" w:rsidP="00FE4F7B">
      <w:pPr>
        <w:jc w:val="both"/>
        <w:rPr>
          <w:rFonts w:ascii="Times New Roman" w:hAnsi="Times New Roman" w:cs="Times New Roman"/>
        </w:rPr>
      </w:pPr>
    </w:p>
    <w:p w14:paraId="39966510" w14:textId="77777777" w:rsidR="00BC4769" w:rsidRDefault="00BC4769" w:rsidP="00FE4F7B">
      <w:pPr>
        <w:jc w:val="both"/>
        <w:rPr>
          <w:rFonts w:ascii="Times New Roman" w:hAnsi="Times New Roman" w:cs="Times New Roman"/>
        </w:rPr>
      </w:pPr>
    </w:p>
    <w:p w14:paraId="4F14784E" w14:textId="77777777" w:rsidR="00BC4769" w:rsidRDefault="00BC4769" w:rsidP="00FE4F7B">
      <w:pPr>
        <w:jc w:val="both"/>
        <w:rPr>
          <w:rFonts w:ascii="Times New Roman" w:hAnsi="Times New Roman" w:cs="Times New Roman"/>
        </w:rPr>
      </w:pPr>
    </w:p>
    <w:p w14:paraId="53863675" w14:textId="47887257" w:rsidR="0085562A" w:rsidRPr="0085562A" w:rsidRDefault="0085562A" w:rsidP="00FE4F7B">
      <w:pPr>
        <w:jc w:val="both"/>
        <w:rPr>
          <w:rFonts w:ascii="Times New Roman" w:hAnsi="Times New Roman" w:cs="Times New Roman"/>
          <w:b/>
          <w:bCs/>
          <w:i/>
          <w:iCs/>
        </w:rPr>
      </w:pPr>
      <w:r w:rsidRPr="0085562A">
        <w:rPr>
          <w:rFonts w:ascii="Times New Roman" w:hAnsi="Times New Roman" w:cs="Times New Roman"/>
          <w:b/>
          <w:bCs/>
          <w:i/>
          <w:iCs/>
        </w:rPr>
        <w:lastRenderedPageBreak/>
        <w:t>Reference List</w:t>
      </w:r>
    </w:p>
    <w:p w14:paraId="22E2FDF3" w14:textId="471BE0A3" w:rsidR="003928E0" w:rsidRPr="003928E0" w:rsidRDefault="003928E0" w:rsidP="00FE4F7B">
      <w:pPr>
        <w:jc w:val="both"/>
        <w:rPr>
          <w:rFonts w:ascii="Times New Roman" w:hAnsi="Times New Roman" w:cs="Times New Roman"/>
          <w:b/>
          <w:bCs/>
          <w:sz w:val="16"/>
          <w:szCs w:val="16"/>
        </w:rPr>
      </w:pPr>
      <w:r w:rsidRPr="003928E0">
        <w:rPr>
          <w:rFonts w:ascii="Times New Roman" w:hAnsi="Times New Roman" w:cs="Times New Roman"/>
          <w:sz w:val="20"/>
          <w:szCs w:val="20"/>
        </w:rPr>
        <w:t>Bettum</w:t>
      </w:r>
      <w:r w:rsidRPr="003928E0">
        <w:rPr>
          <w:rFonts w:ascii="Times New Roman" w:hAnsi="Times New Roman" w:cs="Times New Roman"/>
          <w:sz w:val="20"/>
          <w:szCs w:val="20"/>
        </w:rPr>
        <w:t>, Anders</w:t>
      </w:r>
      <w:r w:rsidRPr="003928E0">
        <w:rPr>
          <w:rFonts w:ascii="Times New Roman" w:hAnsi="Times New Roman" w:cs="Times New Roman"/>
          <w:sz w:val="20"/>
          <w:szCs w:val="20"/>
        </w:rPr>
        <w:t xml:space="preserve">, ‘Nesting (Part Two): Merging Layers in New Kingdom Coffin Decoration’, in </w:t>
      </w:r>
      <w:r w:rsidRPr="003928E0">
        <w:rPr>
          <w:rFonts w:ascii="Times New Roman" w:hAnsi="Times New Roman" w:cs="Times New Roman"/>
          <w:i/>
          <w:iCs/>
          <w:sz w:val="20"/>
          <w:szCs w:val="20"/>
        </w:rPr>
        <w:t>Ancient Egyptian Coffins: Craft Traditions and Functionality</w:t>
      </w:r>
      <w:r w:rsidRPr="003928E0">
        <w:rPr>
          <w:rFonts w:ascii="Times New Roman" w:hAnsi="Times New Roman" w:cs="Times New Roman"/>
          <w:sz w:val="20"/>
          <w:szCs w:val="20"/>
        </w:rPr>
        <w:t xml:space="preserve"> by J. H. Taylor and M. Vandenbeusch (Leuven: Peeters, 2018), pp. 275-291.</w:t>
      </w:r>
    </w:p>
    <w:p w14:paraId="4B9A2D24" w14:textId="49D59C89" w:rsidR="003E0EEB" w:rsidRPr="003E0EEB" w:rsidRDefault="003E0EEB" w:rsidP="00FE4F7B">
      <w:pPr>
        <w:jc w:val="both"/>
        <w:rPr>
          <w:rFonts w:ascii="Times New Roman" w:hAnsi="Times New Roman" w:cs="Times New Roman"/>
          <w:sz w:val="16"/>
          <w:szCs w:val="16"/>
        </w:rPr>
      </w:pPr>
      <w:r w:rsidRPr="003E0EEB">
        <w:rPr>
          <w:rFonts w:ascii="Times New Roman" w:hAnsi="Times New Roman" w:cs="Times New Roman"/>
          <w:sz w:val="20"/>
          <w:szCs w:val="20"/>
        </w:rPr>
        <w:t xml:space="preserve">Britannica, </w:t>
      </w:r>
      <w:r w:rsidRPr="003E0EEB">
        <w:rPr>
          <w:rFonts w:ascii="Times New Roman" w:hAnsi="Times New Roman" w:cs="Times New Roman"/>
          <w:i/>
          <w:iCs/>
          <w:sz w:val="20"/>
          <w:szCs w:val="20"/>
        </w:rPr>
        <w:t>Thutmose III</w:t>
      </w:r>
      <w:r w:rsidRPr="003E0EEB">
        <w:rPr>
          <w:rFonts w:ascii="Times New Roman" w:hAnsi="Times New Roman" w:cs="Times New Roman"/>
          <w:sz w:val="20"/>
          <w:szCs w:val="20"/>
        </w:rPr>
        <w:t xml:space="preserve"> (2025) </w:t>
      </w:r>
      <w:hyperlink r:id="rId8" w:history="1">
        <w:r w:rsidRPr="003E0EEB">
          <w:rPr>
            <w:rStyle w:val="Hyperlink"/>
            <w:rFonts w:ascii="Times New Roman" w:hAnsi="Times New Roman" w:cs="Times New Roman"/>
            <w:sz w:val="20"/>
            <w:szCs w:val="20"/>
          </w:rPr>
          <w:t>https://www.britannica.com/biography/Thutmose-III</w:t>
        </w:r>
      </w:hyperlink>
      <w:r w:rsidRPr="003E0EEB">
        <w:rPr>
          <w:rFonts w:ascii="Times New Roman" w:hAnsi="Times New Roman" w:cs="Times New Roman"/>
          <w:sz w:val="20"/>
          <w:szCs w:val="20"/>
        </w:rPr>
        <w:t xml:space="preserve"> [accessed: 9</w:t>
      </w:r>
      <w:r w:rsidRPr="003E0EEB">
        <w:rPr>
          <w:rFonts w:ascii="Times New Roman" w:hAnsi="Times New Roman" w:cs="Times New Roman"/>
          <w:sz w:val="20"/>
          <w:szCs w:val="20"/>
          <w:vertAlign w:val="superscript"/>
        </w:rPr>
        <w:t>th</w:t>
      </w:r>
      <w:r w:rsidRPr="003E0EEB">
        <w:rPr>
          <w:rFonts w:ascii="Times New Roman" w:hAnsi="Times New Roman" w:cs="Times New Roman"/>
          <w:sz w:val="20"/>
          <w:szCs w:val="20"/>
        </w:rPr>
        <w:t xml:space="preserve"> March 2026]</w:t>
      </w:r>
    </w:p>
    <w:p w14:paraId="3753676F" w14:textId="18501441" w:rsidR="004C0966" w:rsidRPr="004C0966" w:rsidRDefault="004C0966" w:rsidP="00FE4F7B">
      <w:pPr>
        <w:jc w:val="both"/>
        <w:rPr>
          <w:rFonts w:ascii="Times New Roman" w:hAnsi="Times New Roman" w:cs="Times New Roman"/>
          <w:sz w:val="16"/>
          <w:szCs w:val="16"/>
        </w:rPr>
      </w:pPr>
      <w:r w:rsidRPr="004C0966">
        <w:rPr>
          <w:rFonts w:ascii="Times New Roman" w:hAnsi="Times New Roman" w:cs="Times New Roman"/>
          <w:sz w:val="20"/>
          <w:szCs w:val="20"/>
        </w:rPr>
        <w:t xml:space="preserve">Hardwick, Tom, ‘The Iconography of the Blue Crown in the New Kingdom’, The Journal of Egyptian Archaeology Vol. 89 (2003) 117-141 </w:t>
      </w:r>
      <w:hyperlink r:id="rId9" w:history="1">
        <w:r w:rsidRPr="004C0966">
          <w:rPr>
            <w:rStyle w:val="Hyperlink"/>
            <w:rFonts w:ascii="Times New Roman" w:hAnsi="Times New Roman" w:cs="Times New Roman"/>
            <w:sz w:val="20"/>
            <w:szCs w:val="20"/>
          </w:rPr>
          <w:t>https://www-jstor-org.uwtsd.idm.oclc.org/stable/3822494?sid=primo&amp;seq=1</w:t>
        </w:r>
      </w:hyperlink>
      <w:r w:rsidRPr="004C0966">
        <w:rPr>
          <w:rFonts w:ascii="Times New Roman" w:hAnsi="Times New Roman" w:cs="Times New Roman"/>
          <w:sz w:val="20"/>
          <w:szCs w:val="20"/>
        </w:rPr>
        <w:t xml:space="preserve"> [accessed 10</w:t>
      </w:r>
      <w:r w:rsidRPr="004C0966">
        <w:rPr>
          <w:rFonts w:ascii="Times New Roman" w:hAnsi="Times New Roman" w:cs="Times New Roman"/>
          <w:sz w:val="20"/>
          <w:szCs w:val="20"/>
          <w:vertAlign w:val="superscript"/>
        </w:rPr>
        <w:t>th</w:t>
      </w:r>
      <w:r w:rsidRPr="004C0966">
        <w:rPr>
          <w:rFonts w:ascii="Times New Roman" w:hAnsi="Times New Roman" w:cs="Times New Roman"/>
          <w:sz w:val="20"/>
          <w:szCs w:val="20"/>
        </w:rPr>
        <w:t xml:space="preserve"> March 2026]</w:t>
      </w:r>
    </w:p>
    <w:p w14:paraId="0F89A182" w14:textId="09951500" w:rsidR="003E7C70" w:rsidRPr="003E7C70" w:rsidRDefault="003E7C70" w:rsidP="00FE4F7B">
      <w:pPr>
        <w:jc w:val="both"/>
        <w:rPr>
          <w:rFonts w:ascii="Times New Roman" w:hAnsi="Times New Roman" w:cs="Times New Roman"/>
          <w:sz w:val="16"/>
          <w:szCs w:val="16"/>
        </w:rPr>
      </w:pPr>
      <w:r>
        <w:rPr>
          <w:rFonts w:ascii="Times New Roman" w:hAnsi="Times New Roman" w:cs="Times New Roman"/>
          <w:sz w:val="20"/>
          <w:szCs w:val="20"/>
        </w:rPr>
        <w:t xml:space="preserve">Hays, </w:t>
      </w:r>
      <w:r w:rsidRPr="003E7C70">
        <w:rPr>
          <w:rFonts w:ascii="Times New Roman" w:hAnsi="Times New Roman" w:cs="Times New Roman"/>
          <w:sz w:val="20"/>
          <w:szCs w:val="20"/>
        </w:rPr>
        <w:t xml:space="preserve">Harold, ‘Funerary Rituals (Pharaonic Period)’, </w:t>
      </w:r>
      <w:r w:rsidRPr="003E7C70">
        <w:rPr>
          <w:rFonts w:ascii="Times New Roman" w:hAnsi="Times New Roman" w:cs="Times New Roman"/>
          <w:i/>
          <w:iCs/>
          <w:sz w:val="20"/>
          <w:szCs w:val="20"/>
        </w:rPr>
        <w:t xml:space="preserve">UCLA </w:t>
      </w:r>
      <w:proofErr w:type="spellStart"/>
      <w:r w:rsidRPr="003E7C70">
        <w:rPr>
          <w:rFonts w:ascii="Times New Roman" w:hAnsi="Times New Roman" w:cs="Times New Roman"/>
          <w:i/>
          <w:iCs/>
          <w:sz w:val="20"/>
          <w:szCs w:val="20"/>
        </w:rPr>
        <w:t>Encyclopedia</w:t>
      </w:r>
      <w:proofErr w:type="spellEnd"/>
      <w:r w:rsidRPr="003E7C70">
        <w:rPr>
          <w:rFonts w:ascii="Times New Roman" w:hAnsi="Times New Roman" w:cs="Times New Roman"/>
          <w:i/>
          <w:iCs/>
          <w:sz w:val="20"/>
          <w:szCs w:val="20"/>
        </w:rPr>
        <w:t xml:space="preserve"> of Egyptology</w:t>
      </w:r>
      <w:r w:rsidRPr="003E7C70">
        <w:rPr>
          <w:rFonts w:ascii="Times New Roman" w:hAnsi="Times New Roman" w:cs="Times New Roman"/>
          <w:sz w:val="20"/>
          <w:szCs w:val="20"/>
        </w:rPr>
        <w:t xml:space="preserve"> (2010)</w:t>
      </w:r>
      <w:r>
        <w:rPr>
          <w:rFonts w:ascii="Times New Roman" w:hAnsi="Times New Roman" w:cs="Times New Roman"/>
          <w:sz w:val="20"/>
          <w:szCs w:val="20"/>
        </w:rPr>
        <w:t xml:space="preserve"> </w:t>
      </w:r>
      <w:hyperlink r:id="rId10" w:history="1">
        <w:r w:rsidRPr="00F535B9">
          <w:rPr>
            <w:rStyle w:val="Hyperlink"/>
            <w:rFonts w:ascii="Times New Roman" w:hAnsi="Times New Roman" w:cs="Times New Roman"/>
            <w:sz w:val="20"/>
            <w:szCs w:val="20"/>
          </w:rPr>
          <w:t>https://escholarship.org/uc/item/1r32g9zn</w:t>
        </w:r>
      </w:hyperlink>
      <w:r w:rsidRPr="003E7C70">
        <w:rPr>
          <w:rFonts w:ascii="Times New Roman" w:hAnsi="Times New Roman" w:cs="Times New Roman"/>
          <w:sz w:val="20"/>
          <w:szCs w:val="20"/>
        </w:rPr>
        <w:t xml:space="preserve"> [accessed 9th March 2026]</w:t>
      </w:r>
    </w:p>
    <w:p w14:paraId="080D871C" w14:textId="04C0B34D" w:rsidR="0004142F" w:rsidRPr="0004142F" w:rsidRDefault="0004142F" w:rsidP="00FE4F7B">
      <w:pPr>
        <w:jc w:val="both"/>
        <w:rPr>
          <w:rFonts w:ascii="Times New Roman" w:hAnsi="Times New Roman" w:cs="Times New Roman"/>
          <w:sz w:val="20"/>
          <w:szCs w:val="20"/>
        </w:rPr>
      </w:pPr>
      <w:r w:rsidRPr="0004142F">
        <w:rPr>
          <w:rFonts w:ascii="Times New Roman" w:hAnsi="Times New Roman" w:cs="Times New Roman"/>
          <w:sz w:val="20"/>
          <w:szCs w:val="20"/>
        </w:rPr>
        <w:t xml:space="preserve">Lemos, Rennan, ‘Making Plundered Spaces Sacred Again: Fragmentation, Reorganisation and Respect in Reused Theban Tombs’, </w:t>
      </w:r>
      <w:r w:rsidRPr="0004142F">
        <w:rPr>
          <w:rFonts w:ascii="Times New Roman" w:hAnsi="Times New Roman" w:cs="Times New Roman"/>
          <w:i/>
          <w:iCs/>
          <w:sz w:val="20"/>
          <w:szCs w:val="20"/>
        </w:rPr>
        <w:t>Antiquity</w:t>
      </w:r>
      <w:r w:rsidRPr="0004142F">
        <w:rPr>
          <w:rFonts w:ascii="Times New Roman" w:hAnsi="Times New Roman" w:cs="Times New Roman"/>
          <w:sz w:val="20"/>
          <w:szCs w:val="20"/>
        </w:rPr>
        <w:t xml:space="preserve"> Vol. </w:t>
      </w:r>
      <w:r w:rsidRPr="0004142F">
        <w:rPr>
          <w:rFonts w:ascii="Times New Roman" w:hAnsi="Times New Roman" w:cs="Times New Roman"/>
          <w:sz w:val="20"/>
          <w:szCs w:val="20"/>
        </w:rPr>
        <w:t xml:space="preserve">99 (2025), 135-149 </w:t>
      </w:r>
      <w:hyperlink r:id="rId11" w:history="1">
        <w:r w:rsidRPr="0004142F">
          <w:rPr>
            <w:rStyle w:val="Hyperlink"/>
            <w:rFonts w:ascii="Times New Roman" w:hAnsi="Times New Roman" w:cs="Times New Roman"/>
            <w:sz w:val="20"/>
            <w:szCs w:val="20"/>
          </w:rPr>
          <w:t>http://dx.doi.org/10.15184/aqy.2024.159</w:t>
        </w:r>
      </w:hyperlink>
      <w:r w:rsidRPr="0004142F">
        <w:rPr>
          <w:rFonts w:ascii="Times New Roman" w:hAnsi="Times New Roman" w:cs="Times New Roman"/>
          <w:sz w:val="20"/>
          <w:szCs w:val="20"/>
        </w:rPr>
        <w:t xml:space="preserve"> [accessed 12th March 2026]</w:t>
      </w:r>
    </w:p>
    <w:p w14:paraId="24E8A942" w14:textId="647C1A65" w:rsidR="00710D24" w:rsidRPr="00710D24" w:rsidRDefault="00710D24" w:rsidP="00FE4F7B">
      <w:pPr>
        <w:jc w:val="both"/>
        <w:rPr>
          <w:rFonts w:ascii="Times New Roman" w:hAnsi="Times New Roman" w:cs="Times New Roman"/>
          <w:sz w:val="16"/>
          <w:szCs w:val="16"/>
        </w:rPr>
      </w:pPr>
      <w:r w:rsidRPr="00710D24">
        <w:rPr>
          <w:rFonts w:ascii="Times New Roman" w:hAnsi="Times New Roman" w:cs="Times New Roman"/>
          <w:sz w:val="20"/>
          <w:szCs w:val="20"/>
        </w:rPr>
        <w:t xml:space="preserve">Rice, Michael, </w:t>
      </w:r>
      <w:r w:rsidRPr="00710D24">
        <w:rPr>
          <w:rFonts w:ascii="Times New Roman" w:hAnsi="Times New Roman" w:cs="Times New Roman"/>
          <w:i/>
          <w:iCs/>
          <w:sz w:val="20"/>
          <w:szCs w:val="20"/>
        </w:rPr>
        <w:t>Who’s Who in Ancient Egypt</w:t>
      </w:r>
      <w:r w:rsidRPr="00710D24">
        <w:rPr>
          <w:rFonts w:ascii="Times New Roman" w:hAnsi="Times New Roman" w:cs="Times New Roman"/>
          <w:sz w:val="20"/>
          <w:szCs w:val="20"/>
        </w:rPr>
        <w:t>. (London: Routledge, 1999)</w:t>
      </w:r>
    </w:p>
    <w:p w14:paraId="1791F223" w14:textId="02E98F12" w:rsidR="003E7A84" w:rsidRDefault="003E7A84" w:rsidP="00F45D22">
      <w:pPr>
        <w:pStyle w:val="FootnoteText"/>
        <w:rPr>
          <w:rFonts w:ascii="Times New Roman" w:hAnsi="Times New Roman" w:cs="Times New Roman"/>
        </w:rPr>
      </w:pPr>
      <w:r>
        <w:rPr>
          <w:rFonts w:ascii="Times New Roman" w:hAnsi="Times New Roman" w:cs="Times New Roman"/>
        </w:rPr>
        <w:t xml:space="preserve">Roth, Ann Macy, ‘Fingers, Stars, and the ‘Opening of the Mouth’: The Nature and Function of the NTRWI-Blades’, </w:t>
      </w:r>
      <w:r w:rsidRPr="00D979EC">
        <w:rPr>
          <w:rFonts w:ascii="Times New Roman" w:hAnsi="Times New Roman" w:cs="Times New Roman"/>
          <w:i/>
          <w:iCs/>
        </w:rPr>
        <w:t>The Journal of Egyptian Archaeology</w:t>
      </w:r>
      <w:r>
        <w:rPr>
          <w:rFonts w:ascii="Times New Roman" w:hAnsi="Times New Roman" w:cs="Times New Roman"/>
        </w:rPr>
        <w:t xml:space="preserve"> Vol. 79 (1993) 57-79 (</w:t>
      </w:r>
      <w:hyperlink r:id="rId12" w:history="1">
        <w:r w:rsidRPr="00F535B9">
          <w:rPr>
            <w:rStyle w:val="Hyperlink"/>
            <w:rFonts w:ascii="Times New Roman" w:hAnsi="Times New Roman" w:cs="Times New Roman"/>
          </w:rPr>
          <w:t>https://gizamedia.rc.fas.harvard.edu/images/MFA-images/Giza/GizaImage/full/library/roth_jea_79_1993.pdf</w:t>
        </w:r>
      </w:hyperlink>
      <w:r>
        <w:rPr>
          <w:rFonts w:ascii="Times New Roman" w:hAnsi="Times New Roman" w:cs="Times New Roman"/>
        </w:rPr>
        <w:t xml:space="preserve"> [accessed 9th March 2026]</w:t>
      </w:r>
    </w:p>
    <w:p w14:paraId="57590452" w14:textId="77777777" w:rsidR="003E7A84" w:rsidRDefault="003E7A84" w:rsidP="00F45D22">
      <w:pPr>
        <w:pStyle w:val="FootnoteText"/>
        <w:rPr>
          <w:rFonts w:ascii="Times New Roman" w:hAnsi="Times New Roman" w:cs="Times New Roman"/>
        </w:rPr>
      </w:pPr>
    </w:p>
    <w:p w14:paraId="64E71A79" w14:textId="381891FE" w:rsidR="00FB5BCE" w:rsidRDefault="0031655A" w:rsidP="00F45D22">
      <w:pPr>
        <w:pStyle w:val="FootnoteText"/>
        <w:rPr>
          <w:rFonts w:ascii="Times New Roman" w:hAnsi="Times New Roman" w:cs="Times New Roman"/>
        </w:rPr>
      </w:pPr>
      <w:r>
        <w:rPr>
          <w:rFonts w:ascii="Times New Roman" w:hAnsi="Times New Roman" w:cs="Times New Roman"/>
        </w:rPr>
        <w:t xml:space="preserve">Shirley, JJ, ‘The Power of the Elite: The Officials of Hatshepsut’s Regency and Coregency’, in </w:t>
      </w:r>
      <w:r w:rsidRPr="00026B06">
        <w:rPr>
          <w:rFonts w:ascii="Times New Roman" w:hAnsi="Times New Roman" w:cs="Times New Roman"/>
          <w:i/>
          <w:iCs/>
        </w:rPr>
        <w:t>Creativity and Innovation in the Reign of Hatshepsut</w:t>
      </w:r>
      <w:r>
        <w:rPr>
          <w:rFonts w:ascii="Times New Roman" w:hAnsi="Times New Roman" w:cs="Times New Roman"/>
        </w:rPr>
        <w:t xml:space="preserve">, ed. by Jose Galan, Betsy Bryan and Peter Dorman (Chicago: The University of Chicago, 2014) pp. 173-25 (p. 230-231) </w:t>
      </w:r>
      <w:hyperlink r:id="rId13" w:history="1">
        <w:r w:rsidRPr="003A0985">
          <w:rPr>
            <w:rStyle w:val="Hyperlink"/>
            <w:rFonts w:ascii="Times New Roman" w:hAnsi="Times New Roman" w:cs="Times New Roman"/>
          </w:rPr>
          <w:t>https://www.academia.edu/9072195/The_Power_of_the_Elite_The_Officials_of_Hatshepsut_s_Regency_and_Coregency</w:t>
        </w:r>
      </w:hyperlink>
      <w:r>
        <w:rPr>
          <w:rFonts w:ascii="Times New Roman" w:hAnsi="Times New Roman" w:cs="Times New Roman"/>
        </w:rPr>
        <w:t xml:space="preserve"> [accessed 10th March 2026]</w:t>
      </w:r>
    </w:p>
    <w:p w14:paraId="6DC24657" w14:textId="4CA0228F" w:rsidR="00F45D22" w:rsidRDefault="00F45D22" w:rsidP="00F45D22">
      <w:pPr>
        <w:pStyle w:val="FootnoteText"/>
        <w:rPr>
          <w:rFonts w:ascii="Times New Roman" w:hAnsi="Times New Roman" w:cs="Times New Roman"/>
        </w:rPr>
      </w:pPr>
      <w:r>
        <w:rPr>
          <w:rFonts w:ascii="Times New Roman" w:hAnsi="Times New Roman" w:cs="Times New Roman"/>
        </w:rPr>
        <w:t xml:space="preserve">Strudwick, Nigel, </w:t>
      </w:r>
      <w:r w:rsidRPr="00016CBD">
        <w:rPr>
          <w:rFonts w:ascii="Times New Roman" w:hAnsi="Times New Roman" w:cs="Times New Roman"/>
          <w:i/>
          <w:iCs/>
        </w:rPr>
        <w:t>The Elements of TT99</w:t>
      </w:r>
      <w:r>
        <w:rPr>
          <w:rFonts w:ascii="Times New Roman" w:hAnsi="Times New Roman" w:cs="Times New Roman"/>
        </w:rPr>
        <w:t xml:space="preserve"> (n.d.) </w:t>
      </w:r>
      <w:hyperlink r:id="rId14" w:history="1">
        <w:r w:rsidRPr="00F535B9">
          <w:rPr>
            <w:rStyle w:val="Hyperlink"/>
            <w:rFonts w:ascii="Times New Roman" w:hAnsi="Times New Roman" w:cs="Times New Roman"/>
          </w:rPr>
          <w:t>https://tt99.fitz.ms/architecture/plan.html</w:t>
        </w:r>
      </w:hyperlink>
      <w:r>
        <w:rPr>
          <w:rFonts w:ascii="Times New Roman" w:hAnsi="Times New Roman" w:cs="Times New Roman"/>
        </w:rPr>
        <w:t xml:space="preserve"> [6th March 2026]</w:t>
      </w:r>
    </w:p>
    <w:p w14:paraId="4A7F3845" w14:textId="77777777" w:rsidR="00F45D22" w:rsidRDefault="00F45D22" w:rsidP="00F45D22">
      <w:pPr>
        <w:pStyle w:val="FootnoteText"/>
        <w:rPr>
          <w:rFonts w:ascii="Times New Roman" w:hAnsi="Times New Roman" w:cs="Times New Roman"/>
        </w:rPr>
      </w:pPr>
    </w:p>
    <w:p w14:paraId="48A2287C" w14:textId="73C87F23" w:rsidR="004E7A88" w:rsidRPr="004E7A88" w:rsidRDefault="004E7A88" w:rsidP="00FE4F7B">
      <w:pPr>
        <w:jc w:val="both"/>
        <w:rPr>
          <w:rFonts w:ascii="Times New Roman" w:hAnsi="Times New Roman" w:cs="Times New Roman"/>
          <w:sz w:val="16"/>
          <w:szCs w:val="16"/>
        </w:rPr>
      </w:pPr>
      <w:r w:rsidRPr="004E7A88">
        <w:rPr>
          <w:rFonts w:ascii="Times New Roman" w:hAnsi="Times New Roman" w:cs="Times New Roman"/>
          <w:sz w:val="20"/>
          <w:szCs w:val="20"/>
        </w:rPr>
        <w:t xml:space="preserve">Strudwick, Nigel, </w:t>
      </w:r>
      <w:r w:rsidRPr="004E7A88">
        <w:rPr>
          <w:rFonts w:ascii="Times New Roman" w:hAnsi="Times New Roman" w:cs="Times New Roman"/>
          <w:i/>
          <w:iCs/>
          <w:sz w:val="20"/>
          <w:szCs w:val="20"/>
        </w:rPr>
        <w:t>The Tomb of Pharaoh’s Chancellor Senneferi at Thebes (TT 99</w:t>
      </w:r>
      <w:r w:rsidRPr="004E7A88">
        <w:rPr>
          <w:rFonts w:ascii="Times New Roman" w:hAnsi="Times New Roman" w:cs="Times New Roman"/>
          <w:sz w:val="20"/>
          <w:szCs w:val="20"/>
        </w:rPr>
        <w:t>). (Oxford: Oxbow Books, 2016)</w:t>
      </w:r>
    </w:p>
    <w:p w14:paraId="40ADD2A3" w14:textId="7CD669B4" w:rsidR="0085562A" w:rsidRPr="0085562A" w:rsidRDefault="0085562A" w:rsidP="00FE4F7B">
      <w:pPr>
        <w:jc w:val="both"/>
        <w:rPr>
          <w:rFonts w:ascii="Times New Roman" w:hAnsi="Times New Roman" w:cs="Times New Roman"/>
          <w:sz w:val="20"/>
          <w:szCs w:val="20"/>
        </w:rPr>
      </w:pPr>
      <w:r w:rsidRPr="0085562A">
        <w:rPr>
          <w:rFonts w:ascii="Times New Roman" w:hAnsi="Times New Roman" w:cs="Times New Roman"/>
          <w:sz w:val="20"/>
          <w:szCs w:val="20"/>
        </w:rPr>
        <w:t xml:space="preserve">World History </w:t>
      </w:r>
      <w:proofErr w:type="spellStart"/>
      <w:r w:rsidRPr="0085562A">
        <w:rPr>
          <w:rFonts w:ascii="Times New Roman" w:hAnsi="Times New Roman" w:cs="Times New Roman"/>
          <w:sz w:val="20"/>
          <w:szCs w:val="20"/>
        </w:rPr>
        <w:t>Encyclopedia</w:t>
      </w:r>
      <w:proofErr w:type="spellEnd"/>
      <w:r w:rsidRPr="0085562A">
        <w:rPr>
          <w:rFonts w:ascii="Times New Roman" w:hAnsi="Times New Roman" w:cs="Times New Roman"/>
          <w:i/>
          <w:iCs/>
          <w:sz w:val="20"/>
          <w:szCs w:val="20"/>
        </w:rPr>
        <w:t>, New Kingdom of Egyp</w:t>
      </w:r>
      <w:r w:rsidRPr="0085562A">
        <w:rPr>
          <w:rFonts w:ascii="Times New Roman" w:hAnsi="Times New Roman" w:cs="Times New Roman"/>
          <w:sz w:val="20"/>
          <w:szCs w:val="20"/>
        </w:rPr>
        <w:t xml:space="preserve">t (n.d.) </w:t>
      </w:r>
      <w:hyperlink r:id="rId15" w:anchor=":~:text=The%20New%20Kingdom%20of%20Egypt%20lasted%20from,%2D%201149%20BCE**%20Reign%20of%20Ramesses%20IV" w:history="1">
        <w:r w:rsidRPr="0085562A">
          <w:rPr>
            <w:rStyle w:val="Hyperlink"/>
            <w:rFonts w:ascii="Times New Roman" w:hAnsi="Times New Roman" w:cs="Times New Roman"/>
            <w:sz w:val="20"/>
            <w:szCs w:val="20"/>
          </w:rPr>
          <w:t>https://www.worldhistory.org/timeline/New_Kingdom_of_Egypt/#:~:text=The%20New%20Kingdom%20of%20Egypt%20lasted%20from,%2D%201149%20BCE**%20Reign%20of%20Ramesses%20IV</w:t>
        </w:r>
      </w:hyperlink>
      <w:r w:rsidRPr="0085562A">
        <w:rPr>
          <w:rFonts w:ascii="Times New Roman" w:hAnsi="Times New Roman" w:cs="Times New Roman"/>
          <w:sz w:val="20"/>
          <w:szCs w:val="20"/>
        </w:rPr>
        <w:t xml:space="preserve"> [accessed 6</w:t>
      </w:r>
      <w:r w:rsidRPr="0085562A">
        <w:rPr>
          <w:rFonts w:ascii="Times New Roman" w:hAnsi="Times New Roman" w:cs="Times New Roman"/>
          <w:sz w:val="20"/>
          <w:szCs w:val="20"/>
          <w:vertAlign w:val="superscript"/>
        </w:rPr>
        <w:t>th</w:t>
      </w:r>
      <w:r w:rsidRPr="0085562A">
        <w:rPr>
          <w:rFonts w:ascii="Times New Roman" w:hAnsi="Times New Roman" w:cs="Times New Roman"/>
          <w:sz w:val="20"/>
          <w:szCs w:val="20"/>
        </w:rPr>
        <w:t xml:space="preserve"> March 2026]</w:t>
      </w:r>
    </w:p>
    <w:sectPr w:rsidR="0085562A" w:rsidRPr="008556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48BBE" w14:textId="77777777" w:rsidR="00C05654" w:rsidRDefault="00C05654" w:rsidP="00C05654">
      <w:pPr>
        <w:spacing w:after="0" w:line="240" w:lineRule="auto"/>
      </w:pPr>
      <w:r>
        <w:separator/>
      </w:r>
    </w:p>
  </w:endnote>
  <w:endnote w:type="continuationSeparator" w:id="0">
    <w:p w14:paraId="1B86A6FE" w14:textId="77777777" w:rsidR="00C05654" w:rsidRDefault="00C05654" w:rsidP="00C05654">
      <w:pPr>
        <w:spacing w:after="0" w:line="240" w:lineRule="auto"/>
      </w:pPr>
      <w:r>
        <w:continuationSeparator/>
      </w:r>
    </w:p>
  </w:endnote>
  <w:endnote w:type="continuationNotice" w:id="1">
    <w:p w14:paraId="64402B04" w14:textId="77777777" w:rsidR="003E1459" w:rsidRDefault="003E14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2E9D8" w14:textId="77777777" w:rsidR="00C05654" w:rsidRDefault="00C05654" w:rsidP="00C05654">
      <w:pPr>
        <w:spacing w:after="0" w:line="240" w:lineRule="auto"/>
      </w:pPr>
      <w:r>
        <w:separator/>
      </w:r>
    </w:p>
  </w:footnote>
  <w:footnote w:type="continuationSeparator" w:id="0">
    <w:p w14:paraId="0B982106" w14:textId="77777777" w:rsidR="00C05654" w:rsidRDefault="00C05654" w:rsidP="00C05654">
      <w:pPr>
        <w:spacing w:after="0" w:line="240" w:lineRule="auto"/>
      </w:pPr>
      <w:r>
        <w:continuationSeparator/>
      </w:r>
    </w:p>
  </w:footnote>
  <w:footnote w:type="continuationNotice" w:id="1">
    <w:p w14:paraId="7D8A3D7A" w14:textId="77777777" w:rsidR="003E1459" w:rsidRDefault="003E1459">
      <w:pPr>
        <w:spacing w:after="0" w:line="240" w:lineRule="auto"/>
      </w:pPr>
    </w:p>
  </w:footnote>
  <w:footnote w:id="2">
    <w:p w14:paraId="01EC5AE9" w14:textId="67EA7095" w:rsidR="00C05654" w:rsidRPr="00C05654" w:rsidRDefault="00C05654">
      <w:pPr>
        <w:pStyle w:val="FootnoteText"/>
        <w:rPr>
          <w:rFonts w:ascii="Times New Roman" w:hAnsi="Times New Roman" w:cs="Times New Roman"/>
        </w:rPr>
      </w:pPr>
      <w:r w:rsidRPr="00C05654">
        <w:rPr>
          <w:rStyle w:val="FootnoteReference"/>
          <w:rFonts w:ascii="Times New Roman" w:hAnsi="Times New Roman" w:cs="Times New Roman"/>
        </w:rPr>
        <w:footnoteRef/>
      </w:r>
      <w:r>
        <w:rPr>
          <w:rFonts w:ascii="Times New Roman" w:hAnsi="Times New Roman" w:cs="Times New Roman"/>
        </w:rPr>
        <w:t xml:space="preserve"> </w:t>
      </w:r>
      <w:r w:rsidR="00A53243">
        <w:rPr>
          <w:rFonts w:ascii="Times New Roman" w:hAnsi="Times New Roman" w:cs="Times New Roman"/>
        </w:rPr>
        <w:t xml:space="preserve">World History </w:t>
      </w:r>
      <w:proofErr w:type="spellStart"/>
      <w:r w:rsidR="00A53243">
        <w:rPr>
          <w:rFonts w:ascii="Times New Roman" w:hAnsi="Times New Roman" w:cs="Times New Roman"/>
        </w:rPr>
        <w:t>Encyclopedia</w:t>
      </w:r>
      <w:proofErr w:type="spellEnd"/>
      <w:r w:rsidR="00A53243" w:rsidRPr="00F862B1">
        <w:rPr>
          <w:rFonts w:ascii="Times New Roman" w:hAnsi="Times New Roman" w:cs="Times New Roman"/>
          <w:i/>
          <w:iCs/>
        </w:rPr>
        <w:t>, New Kingdom of Egyp</w:t>
      </w:r>
      <w:r w:rsidR="00F862B1">
        <w:rPr>
          <w:rFonts w:ascii="Times New Roman" w:hAnsi="Times New Roman" w:cs="Times New Roman"/>
        </w:rPr>
        <w:t xml:space="preserve">t (n.d.) </w:t>
      </w:r>
      <w:hyperlink r:id="rId1" w:anchor=":~:text=The%20New%20Kingdom%20of%20Egypt%20lasted%20from,%2D%201149%20BCE**%20Reign%20of%20Ramesses%20IV" w:history="1">
        <w:r w:rsidR="00331FFE" w:rsidRPr="00F535B9">
          <w:rPr>
            <w:rStyle w:val="Hyperlink"/>
            <w:rFonts w:ascii="Times New Roman" w:hAnsi="Times New Roman" w:cs="Times New Roman"/>
          </w:rPr>
          <w:t>https://www.worldhistory.org/timeline/New_Kingdom_of_Egypt/#:~:text=The%20New%20Kingdom%20of%20Egypt%20lasted%20from,%2D%201149%20BCE**%20Reign%20of%20Ramesses%20IV</w:t>
        </w:r>
      </w:hyperlink>
      <w:r w:rsidR="00331FFE">
        <w:rPr>
          <w:rFonts w:ascii="Times New Roman" w:hAnsi="Times New Roman" w:cs="Times New Roman"/>
        </w:rPr>
        <w:t xml:space="preserve"> [accessed 6</w:t>
      </w:r>
      <w:r w:rsidR="00331FFE" w:rsidRPr="00331FFE">
        <w:rPr>
          <w:rFonts w:ascii="Times New Roman" w:hAnsi="Times New Roman" w:cs="Times New Roman"/>
          <w:vertAlign w:val="superscript"/>
        </w:rPr>
        <w:t>th</w:t>
      </w:r>
      <w:r w:rsidR="00331FFE">
        <w:rPr>
          <w:rFonts w:ascii="Times New Roman" w:hAnsi="Times New Roman" w:cs="Times New Roman"/>
        </w:rPr>
        <w:t xml:space="preserve"> March 2026]</w:t>
      </w:r>
    </w:p>
  </w:footnote>
  <w:footnote w:id="3">
    <w:p w14:paraId="6C9E1240" w14:textId="56BCF019" w:rsidR="005E6B1B" w:rsidRPr="005E6B1B" w:rsidRDefault="005E6B1B">
      <w:pPr>
        <w:pStyle w:val="FootnoteText"/>
        <w:rPr>
          <w:rFonts w:ascii="Times New Roman" w:hAnsi="Times New Roman" w:cs="Times New Roman"/>
        </w:rPr>
      </w:pPr>
      <w:r w:rsidRPr="005E6B1B">
        <w:rPr>
          <w:rStyle w:val="FootnoteReference"/>
          <w:rFonts w:ascii="Times New Roman" w:hAnsi="Times New Roman" w:cs="Times New Roman"/>
        </w:rPr>
        <w:footnoteRef/>
      </w:r>
      <w:r>
        <w:rPr>
          <w:rFonts w:ascii="Times New Roman" w:hAnsi="Times New Roman" w:cs="Times New Roman"/>
        </w:rPr>
        <w:t xml:space="preserve"> Michael Rice, </w:t>
      </w:r>
      <w:r w:rsidR="00B7356D" w:rsidRPr="00B7356D">
        <w:rPr>
          <w:rFonts w:ascii="Times New Roman" w:hAnsi="Times New Roman" w:cs="Times New Roman"/>
          <w:i/>
          <w:iCs/>
        </w:rPr>
        <w:t>Who’s Who in Ancient Egypt</w:t>
      </w:r>
      <w:r w:rsidR="00B7356D">
        <w:rPr>
          <w:rFonts w:ascii="Times New Roman" w:hAnsi="Times New Roman" w:cs="Times New Roman"/>
        </w:rPr>
        <w:t>. (</w:t>
      </w:r>
      <w:r w:rsidR="00F30422">
        <w:rPr>
          <w:rFonts w:ascii="Times New Roman" w:hAnsi="Times New Roman" w:cs="Times New Roman"/>
        </w:rPr>
        <w:t>London: Routledge, 1999</w:t>
      </w:r>
      <w:r w:rsidR="00B7356D">
        <w:rPr>
          <w:rFonts w:ascii="Times New Roman" w:hAnsi="Times New Roman" w:cs="Times New Roman"/>
        </w:rPr>
        <w:t>)</w:t>
      </w:r>
      <w:r w:rsidR="00710D24">
        <w:rPr>
          <w:rFonts w:ascii="Times New Roman" w:hAnsi="Times New Roman" w:cs="Times New Roman"/>
        </w:rPr>
        <w:t>, p.183</w:t>
      </w:r>
      <w:r w:rsidR="00FF344B">
        <w:rPr>
          <w:rFonts w:ascii="Times New Roman" w:hAnsi="Times New Roman" w:cs="Times New Roman"/>
        </w:rPr>
        <w:t>.</w:t>
      </w:r>
    </w:p>
  </w:footnote>
  <w:footnote w:id="4">
    <w:p w14:paraId="19F8B6A5" w14:textId="2953D356" w:rsidR="002A38D4" w:rsidRPr="002A38D4" w:rsidRDefault="002A38D4">
      <w:pPr>
        <w:pStyle w:val="FootnoteText"/>
        <w:rPr>
          <w:rFonts w:ascii="Times New Roman" w:hAnsi="Times New Roman" w:cs="Times New Roman"/>
        </w:rPr>
      </w:pPr>
      <w:r w:rsidRPr="002A38D4">
        <w:rPr>
          <w:rStyle w:val="FootnoteReference"/>
          <w:rFonts w:ascii="Times New Roman" w:hAnsi="Times New Roman" w:cs="Times New Roman"/>
        </w:rPr>
        <w:footnoteRef/>
      </w:r>
      <w:r>
        <w:rPr>
          <w:rFonts w:ascii="Times New Roman" w:hAnsi="Times New Roman" w:cs="Times New Roman"/>
        </w:rPr>
        <w:t xml:space="preserve"> Rice, </w:t>
      </w:r>
      <w:r w:rsidRPr="002A38D4">
        <w:rPr>
          <w:rFonts w:ascii="Times New Roman" w:hAnsi="Times New Roman" w:cs="Times New Roman"/>
          <w:i/>
          <w:iCs/>
        </w:rPr>
        <w:t>Who’s Who in Ancient Egypt</w:t>
      </w:r>
      <w:r>
        <w:rPr>
          <w:rFonts w:ascii="Times New Roman" w:hAnsi="Times New Roman" w:cs="Times New Roman"/>
        </w:rPr>
        <w:t>, p.183</w:t>
      </w:r>
      <w:r w:rsidR="00FF344B">
        <w:rPr>
          <w:rFonts w:ascii="Times New Roman" w:hAnsi="Times New Roman" w:cs="Times New Roman"/>
        </w:rPr>
        <w:t>.</w:t>
      </w:r>
    </w:p>
  </w:footnote>
  <w:footnote w:id="5">
    <w:p w14:paraId="1DEBD785" w14:textId="597EEB2A" w:rsidR="00573811" w:rsidRPr="00573811" w:rsidRDefault="00573811">
      <w:pPr>
        <w:pStyle w:val="FootnoteText"/>
        <w:rPr>
          <w:rFonts w:ascii="Times New Roman" w:hAnsi="Times New Roman" w:cs="Times New Roman"/>
        </w:rPr>
      </w:pPr>
      <w:r w:rsidRPr="00573811">
        <w:rPr>
          <w:rStyle w:val="FootnoteReference"/>
          <w:rFonts w:ascii="Times New Roman" w:hAnsi="Times New Roman" w:cs="Times New Roman"/>
        </w:rPr>
        <w:footnoteRef/>
      </w:r>
      <w:r w:rsidR="00D41D94">
        <w:rPr>
          <w:rFonts w:ascii="Times New Roman" w:hAnsi="Times New Roman" w:cs="Times New Roman"/>
        </w:rPr>
        <w:t xml:space="preserve"> Nigel Strudwick, </w:t>
      </w:r>
      <w:r w:rsidR="00AF4B2B">
        <w:rPr>
          <w:rFonts w:ascii="Times New Roman" w:hAnsi="Times New Roman" w:cs="Times New Roman"/>
        </w:rPr>
        <w:t xml:space="preserve">‘Senneferi, His Family and Related Monuments’ </w:t>
      </w:r>
      <w:r w:rsidR="00AF4B2B">
        <w:rPr>
          <w:rFonts w:ascii="Times New Roman" w:hAnsi="Times New Roman" w:cs="Times New Roman"/>
        </w:rPr>
        <w:t xml:space="preserve">in </w:t>
      </w:r>
      <w:r w:rsidR="00AF4B2B" w:rsidRPr="005D7A8B">
        <w:rPr>
          <w:rFonts w:ascii="Times New Roman" w:hAnsi="Times New Roman" w:cs="Times New Roman"/>
          <w:i/>
          <w:iCs/>
        </w:rPr>
        <w:t>The Tomb of Pharaoh’s Chancellor Senneferi at Thebes</w:t>
      </w:r>
      <w:r w:rsidR="00AF4B2B">
        <w:rPr>
          <w:rFonts w:ascii="Times New Roman" w:hAnsi="Times New Roman" w:cs="Times New Roman"/>
        </w:rPr>
        <w:t xml:space="preserve"> </w:t>
      </w:r>
      <w:r w:rsidR="00AF4B2B" w:rsidRPr="00AC169C">
        <w:rPr>
          <w:rFonts w:ascii="Times New Roman" w:hAnsi="Times New Roman" w:cs="Times New Roman"/>
          <w:i/>
          <w:iCs/>
        </w:rPr>
        <w:t xml:space="preserve">(TT99) </w:t>
      </w:r>
      <w:r w:rsidR="00AF4B2B">
        <w:rPr>
          <w:rFonts w:ascii="Times New Roman" w:hAnsi="Times New Roman" w:cs="Times New Roman"/>
        </w:rPr>
        <w:t>by Nigel Strudwick (Oxford: Oxbow Books, 2016)</w:t>
      </w:r>
      <w:r w:rsidR="00AC169C">
        <w:rPr>
          <w:rFonts w:ascii="Times New Roman" w:hAnsi="Times New Roman" w:cs="Times New Roman"/>
        </w:rPr>
        <w:t>, pp.</w:t>
      </w:r>
      <w:r w:rsidR="00FF344B">
        <w:rPr>
          <w:rFonts w:ascii="Times New Roman" w:hAnsi="Times New Roman" w:cs="Times New Roman"/>
        </w:rPr>
        <w:t xml:space="preserve"> </w:t>
      </w:r>
      <w:r w:rsidR="00AC169C">
        <w:rPr>
          <w:rFonts w:ascii="Times New Roman" w:hAnsi="Times New Roman" w:cs="Times New Roman"/>
        </w:rPr>
        <w:t>8-36 (</w:t>
      </w:r>
      <w:r w:rsidR="00D41D94">
        <w:rPr>
          <w:rFonts w:ascii="Times New Roman" w:hAnsi="Times New Roman" w:cs="Times New Roman"/>
        </w:rPr>
        <w:t>p. 34</w:t>
      </w:r>
      <w:r w:rsidR="00AC169C">
        <w:rPr>
          <w:rFonts w:ascii="Times New Roman" w:hAnsi="Times New Roman" w:cs="Times New Roman"/>
        </w:rPr>
        <w:t>)</w:t>
      </w:r>
      <w:r w:rsidR="00FF344B">
        <w:rPr>
          <w:rFonts w:ascii="Times New Roman" w:hAnsi="Times New Roman" w:cs="Times New Roman"/>
        </w:rPr>
        <w:t>.</w:t>
      </w:r>
    </w:p>
  </w:footnote>
  <w:footnote w:id="6">
    <w:p w14:paraId="518DE311" w14:textId="6B43F6CB" w:rsidR="00E50524" w:rsidRPr="00E50524" w:rsidRDefault="00E50524">
      <w:pPr>
        <w:pStyle w:val="FootnoteText"/>
        <w:rPr>
          <w:rFonts w:ascii="Times New Roman" w:hAnsi="Times New Roman" w:cs="Times New Roman"/>
        </w:rPr>
      </w:pPr>
      <w:r w:rsidRPr="00E50524">
        <w:rPr>
          <w:rStyle w:val="FootnoteReference"/>
          <w:rFonts w:ascii="Times New Roman" w:hAnsi="Times New Roman" w:cs="Times New Roman"/>
        </w:rPr>
        <w:footnoteRef/>
      </w:r>
      <w:r w:rsidRPr="00E50524">
        <w:rPr>
          <w:rFonts w:ascii="Times New Roman" w:hAnsi="Times New Roman" w:cs="Times New Roman"/>
        </w:rPr>
        <w:t xml:space="preserve"> </w:t>
      </w:r>
      <w:r w:rsidR="00FF70B6">
        <w:rPr>
          <w:rFonts w:ascii="Times New Roman" w:hAnsi="Times New Roman" w:cs="Times New Roman"/>
        </w:rPr>
        <w:t>Strudwick, p. 13</w:t>
      </w:r>
      <w:r w:rsidR="00FF344B">
        <w:rPr>
          <w:rFonts w:ascii="Times New Roman" w:hAnsi="Times New Roman" w:cs="Times New Roman"/>
        </w:rPr>
        <w:t>.</w:t>
      </w:r>
    </w:p>
  </w:footnote>
  <w:footnote w:id="7">
    <w:p w14:paraId="52C4D3DC" w14:textId="1210A4B6" w:rsidR="000F4283" w:rsidRPr="000F4283" w:rsidRDefault="000F4283">
      <w:pPr>
        <w:pStyle w:val="FootnoteText"/>
        <w:rPr>
          <w:rFonts w:ascii="Times New Roman" w:hAnsi="Times New Roman" w:cs="Times New Roman"/>
        </w:rPr>
      </w:pPr>
      <w:r w:rsidRPr="000F4283">
        <w:rPr>
          <w:rStyle w:val="FootnoteReference"/>
          <w:rFonts w:ascii="Times New Roman" w:hAnsi="Times New Roman" w:cs="Times New Roman"/>
        </w:rPr>
        <w:footnoteRef/>
      </w:r>
      <w:r w:rsidRPr="000F4283">
        <w:rPr>
          <w:rFonts w:ascii="Times New Roman" w:hAnsi="Times New Roman" w:cs="Times New Roman"/>
        </w:rPr>
        <w:t xml:space="preserve"> </w:t>
      </w:r>
      <w:r>
        <w:rPr>
          <w:rFonts w:ascii="Times New Roman" w:hAnsi="Times New Roman" w:cs="Times New Roman"/>
        </w:rPr>
        <w:t xml:space="preserve">Rice, </w:t>
      </w:r>
      <w:r w:rsidRPr="002A38D4">
        <w:rPr>
          <w:rFonts w:ascii="Times New Roman" w:hAnsi="Times New Roman" w:cs="Times New Roman"/>
          <w:i/>
          <w:iCs/>
        </w:rPr>
        <w:t>Who’s Who in Ancient Egypt</w:t>
      </w:r>
      <w:r>
        <w:rPr>
          <w:rFonts w:ascii="Times New Roman" w:hAnsi="Times New Roman" w:cs="Times New Roman"/>
        </w:rPr>
        <w:t>, p.183</w:t>
      </w:r>
    </w:p>
  </w:footnote>
  <w:footnote w:id="8">
    <w:p w14:paraId="2449E16B" w14:textId="73689B7B" w:rsidR="004F2B03" w:rsidRPr="004F2B03" w:rsidRDefault="004F2B03">
      <w:pPr>
        <w:pStyle w:val="FootnoteText"/>
        <w:rPr>
          <w:rFonts w:ascii="Times New Roman" w:hAnsi="Times New Roman" w:cs="Times New Roman"/>
        </w:rPr>
      </w:pPr>
      <w:r w:rsidRPr="004F2B03">
        <w:rPr>
          <w:rStyle w:val="FootnoteReference"/>
          <w:rFonts w:ascii="Times New Roman" w:hAnsi="Times New Roman" w:cs="Times New Roman"/>
        </w:rPr>
        <w:footnoteRef/>
      </w:r>
      <w:r w:rsidRPr="004F2B03">
        <w:rPr>
          <w:rFonts w:ascii="Times New Roman" w:hAnsi="Times New Roman" w:cs="Times New Roman"/>
        </w:rPr>
        <w:t xml:space="preserve"> </w:t>
      </w:r>
      <w:r w:rsidR="004E259D">
        <w:rPr>
          <w:rFonts w:ascii="Times New Roman" w:hAnsi="Times New Roman" w:cs="Times New Roman"/>
        </w:rPr>
        <w:t xml:space="preserve">Strudwick, </w:t>
      </w:r>
      <w:r w:rsidR="008113F6">
        <w:rPr>
          <w:rFonts w:ascii="Times New Roman" w:hAnsi="Times New Roman" w:cs="Times New Roman"/>
        </w:rPr>
        <w:t>p. 1</w:t>
      </w:r>
      <w:r w:rsidR="00FF344B">
        <w:rPr>
          <w:rFonts w:ascii="Times New Roman" w:hAnsi="Times New Roman" w:cs="Times New Roman"/>
        </w:rPr>
        <w:t>.</w:t>
      </w:r>
    </w:p>
  </w:footnote>
  <w:footnote w:id="9">
    <w:p w14:paraId="5C971886" w14:textId="75217FC0" w:rsidR="00220DFB" w:rsidRPr="00220DFB" w:rsidRDefault="00220DFB">
      <w:pPr>
        <w:pStyle w:val="FootnoteText"/>
        <w:rPr>
          <w:rFonts w:ascii="Times New Roman" w:hAnsi="Times New Roman" w:cs="Times New Roman"/>
        </w:rPr>
      </w:pPr>
      <w:r w:rsidRPr="00220DFB">
        <w:rPr>
          <w:rStyle w:val="FootnoteReference"/>
          <w:rFonts w:ascii="Times New Roman" w:hAnsi="Times New Roman" w:cs="Times New Roman"/>
        </w:rPr>
        <w:footnoteRef/>
      </w:r>
      <w:r w:rsidRPr="00220DFB">
        <w:rPr>
          <w:rFonts w:ascii="Times New Roman" w:hAnsi="Times New Roman" w:cs="Times New Roman"/>
        </w:rPr>
        <w:t xml:space="preserve"> </w:t>
      </w:r>
      <w:r>
        <w:rPr>
          <w:rFonts w:ascii="Times New Roman" w:hAnsi="Times New Roman" w:cs="Times New Roman"/>
        </w:rPr>
        <w:t>Brit</w:t>
      </w:r>
      <w:r w:rsidR="00BD0BB6">
        <w:rPr>
          <w:rFonts w:ascii="Times New Roman" w:hAnsi="Times New Roman" w:cs="Times New Roman"/>
        </w:rPr>
        <w:t xml:space="preserve">annica, </w:t>
      </w:r>
      <w:r w:rsidR="00BD0BB6" w:rsidRPr="003E0EEB">
        <w:rPr>
          <w:rFonts w:ascii="Times New Roman" w:hAnsi="Times New Roman" w:cs="Times New Roman"/>
          <w:i/>
          <w:iCs/>
        </w:rPr>
        <w:t>Thutmose III</w:t>
      </w:r>
      <w:r w:rsidR="003E0EEB">
        <w:rPr>
          <w:rFonts w:ascii="Times New Roman" w:hAnsi="Times New Roman" w:cs="Times New Roman"/>
        </w:rPr>
        <w:t xml:space="preserve"> (2025) </w:t>
      </w:r>
      <w:hyperlink r:id="rId2" w:history="1">
        <w:r w:rsidR="003E0EEB" w:rsidRPr="00F535B9">
          <w:rPr>
            <w:rStyle w:val="Hyperlink"/>
            <w:rFonts w:ascii="Times New Roman" w:hAnsi="Times New Roman" w:cs="Times New Roman"/>
          </w:rPr>
          <w:t>https://www.britannica.com/biography/Thutmose-III</w:t>
        </w:r>
      </w:hyperlink>
      <w:r w:rsidR="003E0EEB">
        <w:rPr>
          <w:rFonts w:ascii="Times New Roman" w:hAnsi="Times New Roman" w:cs="Times New Roman"/>
        </w:rPr>
        <w:t xml:space="preserve"> [accessed: 9</w:t>
      </w:r>
      <w:r w:rsidR="003E0EEB" w:rsidRPr="003E0EEB">
        <w:rPr>
          <w:rFonts w:ascii="Times New Roman" w:hAnsi="Times New Roman" w:cs="Times New Roman"/>
          <w:vertAlign w:val="superscript"/>
        </w:rPr>
        <w:t>th</w:t>
      </w:r>
      <w:r w:rsidR="003E0EEB">
        <w:rPr>
          <w:rFonts w:ascii="Times New Roman" w:hAnsi="Times New Roman" w:cs="Times New Roman"/>
        </w:rPr>
        <w:t xml:space="preserve"> March 2026]</w:t>
      </w:r>
    </w:p>
  </w:footnote>
  <w:footnote w:id="10">
    <w:p w14:paraId="70ADD024" w14:textId="2AC74CCB" w:rsidR="00A31C18" w:rsidRPr="00A31C18" w:rsidRDefault="00A31C18">
      <w:pPr>
        <w:pStyle w:val="FootnoteText"/>
        <w:rPr>
          <w:rFonts w:ascii="Times New Roman" w:hAnsi="Times New Roman" w:cs="Times New Roman"/>
        </w:rPr>
      </w:pPr>
      <w:r w:rsidRPr="00A31C18">
        <w:rPr>
          <w:rStyle w:val="FootnoteReference"/>
          <w:rFonts w:ascii="Times New Roman" w:hAnsi="Times New Roman" w:cs="Times New Roman"/>
        </w:rPr>
        <w:footnoteRef/>
      </w:r>
      <w:r w:rsidRPr="00A31C18">
        <w:rPr>
          <w:rFonts w:ascii="Times New Roman" w:hAnsi="Times New Roman" w:cs="Times New Roman"/>
        </w:rPr>
        <w:t xml:space="preserve"> </w:t>
      </w:r>
      <w:r>
        <w:rPr>
          <w:rFonts w:ascii="Times New Roman" w:hAnsi="Times New Roman" w:cs="Times New Roman"/>
        </w:rPr>
        <w:t xml:space="preserve">Richard Gabriel, </w:t>
      </w:r>
      <w:r w:rsidRPr="005D4F22">
        <w:rPr>
          <w:rFonts w:ascii="Times New Roman" w:hAnsi="Times New Roman" w:cs="Times New Roman"/>
          <w:i/>
          <w:iCs/>
        </w:rPr>
        <w:t>Thutmose III</w:t>
      </w:r>
      <w:r w:rsidR="00A276FA" w:rsidRPr="005D4F22">
        <w:rPr>
          <w:rFonts w:ascii="Times New Roman" w:hAnsi="Times New Roman" w:cs="Times New Roman"/>
          <w:i/>
          <w:iCs/>
        </w:rPr>
        <w:t>: A Military Biography of Egypt’s Greatest Warrior King</w:t>
      </w:r>
      <w:r w:rsidR="005D4F22">
        <w:rPr>
          <w:rFonts w:ascii="Times New Roman" w:hAnsi="Times New Roman" w:cs="Times New Roman"/>
        </w:rPr>
        <w:t xml:space="preserve"> (</w:t>
      </w:r>
      <w:r w:rsidR="00F03264">
        <w:rPr>
          <w:rFonts w:ascii="Times New Roman" w:hAnsi="Times New Roman" w:cs="Times New Roman"/>
        </w:rPr>
        <w:t xml:space="preserve">Nebraska: </w:t>
      </w:r>
      <w:r w:rsidR="00F03264" w:rsidRPr="00F03264">
        <w:rPr>
          <w:rFonts w:ascii="Times New Roman" w:hAnsi="Times New Roman" w:cs="Times New Roman"/>
        </w:rPr>
        <w:t>Potomac Books</w:t>
      </w:r>
      <w:r w:rsidR="00F03264">
        <w:rPr>
          <w:rFonts w:ascii="Times New Roman" w:hAnsi="Times New Roman" w:cs="Times New Roman"/>
        </w:rPr>
        <w:t>,</w:t>
      </w:r>
      <w:r w:rsidR="0026141D">
        <w:rPr>
          <w:rFonts w:ascii="Times New Roman" w:hAnsi="Times New Roman" w:cs="Times New Roman"/>
        </w:rPr>
        <w:t xml:space="preserve"> 2009</w:t>
      </w:r>
      <w:r w:rsidR="005D4F22">
        <w:rPr>
          <w:rFonts w:ascii="Times New Roman" w:hAnsi="Times New Roman" w:cs="Times New Roman"/>
        </w:rPr>
        <w:t>)</w:t>
      </w:r>
      <w:r w:rsidR="0026141D">
        <w:rPr>
          <w:rFonts w:ascii="Times New Roman" w:hAnsi="Times New Roman" w:cs="Times New Roman"/>
        </w:rPr>
        <w:t xml:space="preserve"> p. </w:t>
      </w:r>
      <w:r w:rsidR="00205820">
        <w:rPr>
          <w:rFonts w:ascii="Times New Roman" w:hAnsi="Times New Roman" w:cs="Times New Roman"/>
        </w:rPr>
        <w:t>2-3</w:t>
      </w:r>
    </w:p>
  </w:footnote>
  <w:footnote w:id="11">
    <w:p w14:paraId="31A3E40B" w14:textId="0662738C" w:rsidR="002D3980" w:rsidRPr="002D3980" w:rsidRDefault="002D3980">
      <w:pPr>
        <w:pStyle w:val="FootnoteText"/>
        <w:rPr>
          <w:rFonts w:ascii="Times New Roman" w:hAnsi="Times New Roman" w:cs="Times New Roman"/>
        </w:rPr>
      </w:pPr>
      <w:r w:rsidRPr="002D3980">
        <w:rPr>
          <w:rStyle w:val="FootnoteReference"/>
          <w:rFonts w:ascii="Times New Roman" w:hAnsi="Times New Roman" w:cs="Times New Roman"/>
        </w:rPr>
        <w:footnoteRef/>
      </w:r>
      <w:r w:rsidRPr="002D3980">
        <w:rPr>
          <w:rFonts w:ascii="Times New Roman" w:hAnsi="Times New Roman" w:cs="Times New Roman"/>
        </w:rPr>
        <w:t xml:space="preserve"> </w:t>
      </w:r>
      <w:r>
        <w:rPr>
          <w:rFonts w:ascii="Times New Roman" w:hAnsi="Times New Roman" w:cs="Times New Roman"/>
        </w:rPr>
        <w:t>Strudwick, p. 9</w:t>
      </w:r>
    </w:p>
  </w:footnote>
  <w:footnote w:id="12">
    <w:p w14:paraId="55E40BF7" w14:textId="30BC1EE5" w:rsidR="00A14EC9" w:rsidRPr="004A492B" w:rsidRDefault="00A14EC9" w:rsidP="00A14EC9">
      <w:pPr>
        <w:pStyle w:val="FootnoteText"/>
        <w:rPr>
          <w:rFonts w:ascii="Times New Roman" w:hAnsi="Times New Roman" w:cs="Times New Roman"/>
        </w:rPr>
      </w:pPr>
      <w:r w:rsidRPr="004A492B">
        <w:rPr>
          <w:rStyle w:val="FootnoteReference"/>
          <w:rFonts w:ascii="Times New Roman" w:hAnsi="Times New Roman" w:cs="Times New Roman"/>
        </w:rPr>
        <w:footnoteRef/>
      </w:r>
      <w:r w:rsidRPr="004A492B">
        <w:rPr>
          <w:rFonts w:ascii="Times New Roman" w:hAnsi="Times New Roman" w:cs="Times New Roman"/>
        </w:rPr>
        <w:t xml:space="preserve"> </w:t>
      </w:r>
      <w:r>
        <w:rPr>
          <w:rFonts w:ascii="Times New Roman" w:hAnsi="Times New Roman" w:cs="Times New Roman"/>
        </w:rPr>
        <w:t xml:space="preserve">JJ Shirley, ‘The Power of the Elite: The Officials of Hatshepsut’s Regency and Coregency’, in </w:t>
      </w:r>
      <w:r w:rsidRPr="00026B06">
        <w:rPr>
          <w:rFonts w:ascii="Times New Roman" w:hAnsi="Times New Roman" w:cs="Times New Roman"/>
          <w:i/>
          <w:iCs/>
        </w:rPr>
        <w:t>Creativity and Innovation in the Reign of Hatshepsut</w:t>
      </w:r>
      <w:r>
        <w:rPr>
          <w:rFonts w:ascii="Times New Roman" w:hAnsi="Times New Roman" w:cs="Times New Roman"/>
        </w:rPr>
        <w:t xml:space="preserve">, ed. by Jose Galan, Betsy Bryan and Peter Dorman (Chicago: The University of Chicago, 2014) pp. 173-25 (p. 230-231) </w:t>
      </w:r>
      <w:hyperlink r:id="rId3" w:history="1">
        <w:r w:rsidRPr="003A0985">
          <w:rPr>
            <w:rStyle w:val="Hyperlink"/>
            <w:rFonts w:ascii="Times New Roman" w:hAnsi="Times New Roman" w:cs="Times New Roman"/>
          </w:rPr>
          <w:t>https://www.academia.edu/9072195/The_Power_of_the_Elite_The_Officials_of_Hatshepsut_s_Regency_and_Coregency</w:t>
        </w:r>
      </w:hyperlink>
      <w:r>
        <w:rPr>
          <w:rFonts w:ascii="Times New Roman" w:hAnsi="Times New Roman" w:cs="Times New Roman"/>
        </w:rPr>
        <w:t xml:space="preserve"> [accessed 10th March 2026]</w:t>
      </w:r>
    </w:p>
  </w:footnote>
  <w:footnote w:id="13">
    <w:p w14:paraId="2534ABD6" w14:textId="47A59E52" w:rsidR="00754410" w:rsidRPr="00754410" w:rsidRDefault="00754410">
      <w:pPr>
        <w:pStyle w:val="FootnoteText"/>
        <w:rPr>
          <w:rFonts w:ascii="Times New Roman" w:hAnsi="Times New Roman" w:cs="Times New Roman"/>
        </w:rPr>
      </w:pPr>
      <w:r w:rsidRPr="00754410">
        <w:rPr>
          <w:rStyle w:val="FootnoteReference"/>
          <w:rFonts w:ascii="Times New Roman" w:hAnsi="Times New Roman" w:cs="Times New Roman"/>
        </w:rPr>
        <w:footnoteRef/>
      </w:r>
      <w:r>
        <w:rPr>
          <w:rFonts w:ascii="Times New Roman" w:hAnsi="Times New Roman" w:cs="Times New Roman"/>
        </w:rPr>
        <w:t xml:space="preserve"> </w:t>
      </w:r>
      <w:r w:rsidR="009332F8">
        <w:rPr>
          <w:rFonts w:ascii="Times New Roman" w:hAnsi="Times New Roman" w:cs="Times New Roman"/>
        </w:rPr>
        <w:t xml:space="preserve">Nigel Strudwick, </w:t>
      </w:r>
      <w:r w:rsidR="00016CBD" w:rsidRPr="00016CBD">
        <w:rPr>
          <w:rFonts w:ascii="Times New Roman" w:hAnsi="Times New Roman" w:cs="Times New Roman"/>
          <w:i/>
          <w:iCs/>
        </w:rPr>
        <w:t>The Elements of TT99</w:t>
      </w:r>
      <w:r w:rsidR="00016CBD">
        <w:rPr>
          <w:rFonts w:ascii="Times New Roman" w:hAnsi="Times New Roman" w:cs="Times New Roman"/>
        </w:rPr>
        <w:t xml:space="preserve"> (n.d.) </w:t>
      </w:r>
      <w:hyperlink r:id="rId4" w:history="1">
        <w:r w:rsidR="00F45D22" w:rsidRPr="00F535B9">
          <w:rPr>
            <w:rStyle w:val="Hyperlink"/>
            <w:rFonts w:ascii="Times New Roman" w:hAnsi="Times New Roman" w:cs="Times New Roman"/>
          </w:rPr>
          <w:t>https://tt99.fitz.ms/architecture/plan.html</w:t>
        </w:r>
      </w:hyperlink>
      <w:r w:rsidR="00F45D22">
        <w:rPr>
          <w:rFonts w:ascii="Times New Roman" w:hAnsi="Times New Roman" w:cs="Times New Roman"/>
        </w:rPr>
        <w:t xml:space="preserve"> [6th March 2026]</w:t>
      </w:r>
    </w:p>
  </w:footnote>
  <w:footnote w:id="14">
    <w:p w14:paraId="0B4D69E3" w14:textId="0C185FA6" w:rsidR="00EE5963" w:rsidRPr="00EE5963" w:rsidRDefault="00EE5963">
      <w:pPr>
        <w:pStyle w:val="FootnoteText"/>
        <w:rPr>
          <w:rFonts w:ascii="Times New Roman" w:hAnsi="Times New Roman" w:cs="Times New Roman"/>
        </w:rPr>
      </w:pPr>
      <w:r w:rsidRPr="00EE5963">
        <w:rPr>
          <w:rStyle w:val="FootnoteReference"/>
          <w:rFonts w:ascii="Times New Roman" w:hAnsi="Times New Roman" w:cs="Times New Roman"/>
        </w:rPr>
        <w:footnoteRef/>
      </w:r>
      <w:r w:rsidRPr="00EE5963">
        <w:rPr>
          <w:rFonts w:ascii="Times New Roman" w:hAnsi="Times New Roman" w:cs="Times New Roman"/>
        </w:rPr>
        <w:t xml:space="preserve"> </w:t>
      </w:r>
      <w:r w:rsidR="00E124D8">
        <w:rPr>
          <w:rFonts w:ascii="Times New Roman" w:hAnsi="Times New Roman" w:cs="Times New Roman"/>
        </w:rPr>
        <w:t xml:space="preserve">Helen </w:t>
      </w:r>
      <w:r>
        <w:rPr>
          <w:rFonts w:ascii="Times New Roman" w:hAnsi="Times New Roman" w:cs="Times New Roman"/>
        </w:rPr>
        <w:t>Strudwick</w:t>
      </w:r>
      <w:r w:rsidR="00626CEF">
        <w:rPr>
          <w:rFonts w:ascii="Times New Roman" w:hAnsi="Times New Roman" w:cs="Times New Roman"/>
        </w:rPr>
        <w:t xml:space="preserve"> and Nigel Strudwick</w:t>
      </w:r>
      <w:r>
        <w:rPr>
          <w:rFonts w:ascii="Times New Roman" w:hAnsi="Times New Roman" w:cs="Times New Roman"/>
        </w:rPr>
        <w:t xml:space="preserve">, </w:t>
      </w:r>
      <w:r w:rsidR="00575D12">
        <w:rPr>
          <w:rFonts w:ascii="Times New Roman" w:hAnsi="Times New Roman" w:cs="Times New Roman"/>
        </w:rPr>
        <w:t xml:space="preserve">‘The Tomb, Its Architecture and History’, </w:t>
      </w:r>
      <w:r w:rsidR="00AC169C">
        <w:rPr>
          <w:rFonts w:ascii="Times New Roman" w:hAnsi="Times New Roman" w:cs="Times New Roman"/>
        </w:rPr>
        <w:t xml:space="preserve">in </w:t>
      </w:r>
      <w:r w:rsidR="00F75748" w:rsidRPr="005D7A8B">
        <w:rPr>
          <w:rFonts w:ascii="Times New Roman" w:hAnsi="Times New Roman" w:cs="Times New Roman"/>
          <w:i/>
          <w:iCs/>
        </w:rPr>
        <w:t>The Tomb of Pharaoh’s Chancellor Senneferi at Thebes</w:t>
      </w:r>
      <w:r w:rsidR="00F75748">
        <w:rPr>
          <w:rFonts w:ascii="Times New Roman" w:hAnsi="Times New Roman" w:cs="Times New Roman"/>
        </w:rPr>
        <w:t xml:space="preserve"> </w:t>
      </w:r>
      <w:r w:rsidR="00F75748" w:rsidRPr="00AC169C">
        <w:rPr>
          <w:rFonts w:ascii="Times New Roman" w:hAnsi="Times New Roman" w:cs="Times New Roman"/>
          <w:i/>
          <w:iCs/>
        </w:rPr>
        <w:t>(TT99)</w:t>
      </w:r>
      <w:r w:rsidR="00F75748">
        <w:rPr>
          <w:rFonts w:ascii="Times New Roman" w:hAnsi="Times New Roman" w:cs="Times New Roman"/>
        </w:rPr>
        <w:t xml:space="preserve"> by Nigel Strudwick (Oxford: Oxbow Books, 2016)</w:t>
      </w:r>
      <w:r w:rsidR="00575D12">
        <w:rPr>
          <w:rFonts w:ascii="Times New Roman" w:hAnsi="Times New Roman" w:cs="Times New Roman"/>
        </w:rPr>
        <w:t>, pp. 45-83 (</w:t>
      </w:r>
      <w:r>
        <w:rPr>
          <w:rFonts w:ascii="Times New Roman" w:hAnsi="Times New Roman" w:cs="Times New Roman"/>
        </w:rPr>
        <w:t>p. 54</w:t>
      </w:r>
      <w:r w:rsidR="00575D12">
        <w:rPr>
          <w:rFonts w:ascii="Times New Roman" w:hAnsi="Times New Roman" w:cs="Times New Roman"/>
        </w:rPr>
        <w:t>).</w:t>
      </w:r>
    </w:p>
  </w:footnote>
  <w:footnote w:id="15">
    <w:p w14:paraId="67FDE11D" w14:textId="630F4FB9" w:rsidR="00961844" w:rsidRPr="00961844" w:rsidRDefault="00961844">
      <w:pPr>
        <w:pStyle w:val="FootnoteText"/>
        <w:rPr>
          <w:rFonts w:ascii="Times New Roman" w:hAnsi="Times New Roman" w:cs="Times New Roman"/>
        </w:rPr>
      </w:pPr>
      <w:r w:rsidRPr="00961844">
        <w:rPr>
          <w:rStyle w:val="FootnoteReference"/>
          <w:rFonts w:ascii="Times New Roman" w:hAnsi="Times New Roman" w:cs="Times New Roman"/>
        </w:rPr>
        <w:footnoteRef/>
      </w:r>
      <w:r w:rsidRPr="00961844">
        <w:rPr>
          <w:rFonts w:ascii="Times New Roman" w:hAnsi="Times New Roman" w:cs="Times New Roman"/>
        </w:rPr>
        <w:t xml:space="preserve"> </w:t>
      </w:r>
      <w:r w:rsidR="00626CEF">
        <w:rPr>
          <w:rFonts w:ascii="Times New Roman" w:hAnsi="Times New Roman" w:cs="Times New Roman"/>
        </w:rPr>
        <w:t xml:space="preserve">Strudwick and </w:t>
      </w:r>
      <w:r>
        <w:rPr>
          <w:rFonts w:ascii="Times New Roman" w:hAnsi="Times New Roman" w:cs="Times New Roman"/>
        </w:rPr>
        <w:t>Strudwick, p. 54</w:t>
      </w:r>
      <w:r w:rsidR="00AC169C">
        <w:rPr>
          <w:rFonts w:ascii="Times New Roman" w:hAnsi="Times New Roman" w:cs="Times New Roman"/>
        </w:rPr>
        <w:t>.</w:t>
      </w:r>
    </w:p>
  </w:footnote>
  <w:footnote w:id="16">
    <w:p w14:paraId="645D5DE5" w14:textId="04CAC277" w:rsidR="00961844" w:rsidRPr="00961844" w:rsidRDefault="00961844">
      <w:pPr>
        <w:pStyle w:val="FootnoteText"/>
        <w:rPr>
          <w:rFonts w:ascii="Times New Roman" w:hAnsi="Times New Roman" w:cs="Times New Roman"/>
        </w:rPr>
      </w:pPr>
      <w:r w:rsidRPr="00961844">
        <w:rPr>
          <w:rStyle w:val="FootnoteReference"/>
          <w:rFonts w:ascii="Times New Roman" w:hAnsi="Times New Roman" w:cs="Times New Roman"/>
        </w:rPr>
        <w:footnoteRef/>
      </w:r>
      <w:r>
        <w:rPr>
          <w:rFonts w:ascii="Times New Roman" w:hAnsi="Times New Roman" w:cs="Times New Roman"/>
        </w:rPr>
        <w:t xml:space="preserve"> </w:t>
      </w:r>
      <w:r w:rsidR="00626CEF">
        <w:rPr>
          <w:rFonts w:ascii="Times New Roman" w:hAnsi="Times New Roman" w:cs="Times New Roman"/>
        </w:rPr>
        <w:t xml:space="preserve">Strudwick and </w:t>
      </w:r>
      <w:r>
        <w:rPr>
          <w:rFonts w:ascii="Times New Roman" w:hAnsi="Times New Roman" w:cs="Times New Roman"/>
        </w:rPr>
        <w:t>Strudwick, p. 54</w:t>
      </w:r>
      <w:r w:rsidR="00AC169C">
        <w:rPr>
          <w:rFonts w:ascii="Times New Roman" w:hAnsi="Times New Roman" w:cs="Times New Roman"/>
        </w:rPr>
        <w:t>.</w:t>
      </w:r>
    </w:p>
  </w:footnote>
  <w:footnote w:id="17">
    <w:p w14:paraId="24D764C3" w14:textId="301528D7" w:rsidR="00FC50B2" w:rsidRPr="00923EAB" w:rsidRDefault="00FC50B2">
      <w:pPr>
        <w:pStyle w:val="FootnoteText"/>
        <w:rPr>
          <w:rFonts w:ascii="Times New Roman" w:hAnsi="Times New Roman" w:cs="Times New Roman"/>
        </w:rPr>
      </w:pPr>
      <w:r w:rsidRPr="00923EAB">
        <w:rPr>
          <w:rStyle w:val="FootnoteReference"/>
          <w:rFonts w:ascii="Times New Roman" w:hAnsi="Times New Roman" w:cs="Times New Roman"/>
        </w:rPr>
        <w:footnoteRef/>
      </w:r>
      <w:r w:rsidRPr="00923EAB">
        <w:rPr>
          <w:rFonts w:ascii="Times New Roman" w:hAnsi="Times New Roman" w:cs="Times New Roman"/>
        </w:rPr>
        <w:t xml:space="preserve"> </w:t>
      </w:r>
      <w:r w:rsidR="00626CEF">
        <w:rPr>
          <w:rFonts w:ascii="Times New Roman" w:hAnsi="Times New Roman" w:cs="Times New Roman"/>
        </w:rPr>
        <w:t xml:space="preserve">Strudwick and </w:t>
      </w:r>
      <w:r w:rsidR="00923EAB">
        <w:rPr>
          <w:rFonts w:ascii="Times New Roman" w:hAnsi="Times New Roman" w:cs="Times New Roman"/>
        </w:rPr>
        <w:t>Strudwick, p. 5</w:t>
      </w:r>
      <w:r w:rsidR="00F103A2">
        <w:rPr>
          <w:rFonts w:ascii="Times New Roman" w:hAnsi="Times New Roman" w:cs="Times New Roman"/>
        </w:rPr>
        <w:t>5</w:t>
      </w:r>
      <w:r w:rsidR="00AC169C">
        <w:rPr>
          <w:rFonts w:ascii="Times New Roman" w:hAnsi="Times New Roman" w:cs="Times New Roman"/>
        </w:rPr>
        <w:t>.</w:t>
      </w:r>
    </w:p>
  </w:footnote>
  <w:footnote w:id="18">
    <w:p w14:paraId="14C92F10" w14:textId="6154B4EE" w:rsidR="00F13913" w:rsidRPr="00F13913" w:rsidRDefault="00F13913">
      <w:pPr>
        <w:pStyle w:val="FootnoteText"/>
        <w:rPr>
          <w:rFonts w:ascii="Times New Roman" w:hAnsi="Times New Roman" w:cs="Times New Roman"/>
        </w:rPr>
      </w:pPr>
      <w:r w:rsidRPr="00F13913">
        <w:rPr>
          <w:rStyle w:val="FootnoteReference"/>
          <w:rFonts w:ascii="Times New Roman" w:hAnsi="Times New Roman" w:cs="Times New Roman"/>
        </w:rPr>
        <w:footnoteRef/>
      </w:r>
      <w:r w:rsidRPr="00F13913">
        <w:rPr>
          <w:rFonts w:ascii="Times New Roman" w:hAnsi="Times New Roman" w:cs="Times New Roman"/>
        </w:rPr>
        <w:t xml:space="preserve"> </w:t>
      </w:r>
      <w:r w:rsidR="00626CEF">
        <w:rPr>
          <w:rFonts w:ascii="Times New Roman" w:hAnsi="Times New Roman" w:cs="Times New Roman"/>
        </w:rPr>
        <w:t xml:space="preserve">Strudwick and </w:t>
      </w:r>
      <w:r>
        <w:rPr>
          <w:rFonts w:ascii="Times New Roman" w:hAnsi="Times New Roman" w:cs="Times New Roman"/>
        </w:rPr>
        <w:t>Strudwick, p. 55</w:t>
      </w:r>
      <w:r w:rsidR="00AC169C">
        <w:rPr>
          <w:rFonts w:ascii="Times New Roman" w:hAnsi="Times New Roman" w:cs="Times New Roman"/>
        </w:rPr>
        <w:t>.</w:t>
      </w:r>
    </w:p>
  </w:footnote>
  <w:footnote w:id="19">
    <w:p w14:paraId="518895C7" w14:textId="730E3D1A" w:rsidR="00832D5C" w:rsidRPr="00832D5C" w:rsidRDefault="00832D5C">
      <w:pPr>
        <w:pStyle w:val="FootnoteText"/>
        <w:rPr>
          <w:rFonts w:ascii="Times New Roman" w:hAnsi="Times New Roman" w:cs="Times New Roman"/>
        </w:rPr>
      </w:pPr>
      <w:r w:rsidRPr="00832D5C">
        <w:rPr>
          <w:rStyle w:val="FootnoteReference"/>
          <w:rFonts w:ascii="Times New Roman" w:hAnsi="Times New Roman" w:cs="Times New Roman"/>
        </w:rPr>
        <w:footnoteRef/>
      </w:r>
      <w:r w:rsidRPr="00832D5C">
        <w:rPr>
          <w:rFonts w:ascii="Times New Roman" w:hAnsi="Times New Roman" w:cs="Times New Roman"/>
        </w:rPr>
        <w:t xml:space="preserve"> </w:t>
      </w:r>
      <w:r>
        <w:rPr>
          <w:rFonts w:ascii="Times New Roman" w:hAnsi="Times New Roman" w:cs="Times New Roman"/>
        </w:rPr>
        <w:t>Strudwick</w:t>
      </w:r>
      <w:r w:rsidR="006838DB">
        <w:rPr>
          <w:rFonts w:ascii="Times New Roman" w:hAnsi="Times New Roman" w:cs="Times New Roman"/>
        </w:rPr>
        <w:t>, p. 86-87</w:t>
      </w:r>
      <w:r w:rsidR="00AC169C">
        <w:rPr>
          <w:rFonts w:ascii="Times New Roman" w:hAnsi="Times New Roman" w:cs="Times New Roman"/>
        </w:rPr>
        <w:t>.</w:t>
      </w:r>
    </w:p>
  </w:footnote>
  <w:footnote w:id="20">
    <w:p w14:paraId="66E57CF1" w14:textId="4E5B499A" w:rsidR="00461641" w:rsidRDefault="00461641">
      <w:pPr>
        <w:pStyle w:val="FootnoteText"/>
      </w:pPr>
      <w:r>
        <w:rPr>
          <w:rStyle w:val="FootnoteReference"/>
        </w:rPr>
        <w:footnoteRef/>
      </w:r>
      <w:r>
        <w:t xml:space="preserve"> </w:t>
      </w:r>
      <w:r>
        <w:rPr>
          <w:rFonts w:ascii="Times New Roman" w:hAnsi="Times New Roman" w:cs="Times New Roman"/>
        </w:rPr>
        <w:t>Strudwick, p. 98-99</w:t>
      </w:r>
      <w:r w:rsidR="00AC169C">
        <w:rPr>
          <w:rFonts w:ascii="Times New Roman" w:hAnsi="Times New Roman" w:cs="Times New Roman"/>
        </w:rPr>
        <w:t>.</w:t>
      </w:r>
    </w:p>
  </w:footnote>
  <w:footnote w:id="21">
    <w:p w14:paraId="17DA501C" w14:textId="5C37341C" w:rsidR="006E3497" w:rsidRPr="006E3497" w:rsidRDefault="006E3497">
      <w:pPr>
        <w:pStyle w:val="FootnoteText"/>
        <w:rPr>
          <w:rFonts w:ascii="Times New Roman" w:hAnsi="Times New Roman" w:cs="Times New Roman"/>
        </w:rPr>
      </w:pPr>
      <w:r w:rsidRPr="006E3497">
        <w:rPr>
          <w:rStyle w:val="FootnoteReference"/>
          <w:rFonts w:ascii="Times New Roman" w:hAnsi="Times New Roman" w:cs="Times New Roman"/>
        </w:rPr>
        <w:footnoteRef/>
      </w:r>
      <w:r w:rsidRPr="006E3497">
        <w:rPr>
          <w:rFonts w:ascii="Times New Roman" w:hAnsi="Times New Roman" w:cs="Times New Roman"/>
        </w:rPr>
        <w:t xml:space="preserve"> </w:t>
      </w:r>
      <w:r w:rsidR="00AC169C">
        <w:rPr>
          <w:rFonts w:ascii="Times New Roman" w:hAnsi="Times New Roman" w:cs="Times New Roman"/>
        </w:rPr>
        <w:t xml:space="preserve">Nigel </w:t>
      </w:r>
      <w:r>
        <w:rPr>
          <w:rFonts w:ascii="Times New Roman" w:hAnsi="Times New Roman" w:cs="Times New Roman"/>
        </w:rPr>
        <w:t>Strudwick</w:t>
      </w:r>
      <w:r w:rsidR="00AC169C">
        <w:rPr>
          <w:rFonts w:ascii="Times New Roman" w:hAnsi="Times New Roman" w:cs="Times New Roman"/>
        </w:rPr>
        <w:t>,</w:t>
      </w:r>
      <w:r w:rsidR="00AC169C">
        <w:rPr>
          <w:rFonts w:ascii="Times New Roman" w:hAnsi="Times New Roman" w:cs="Times New Roman"/>
        </w:rPr>
        <w:t xml:space="preserve"> ‘The Decoration of The Chapel’,</w:t>
      </w:r>
      <w:r w:rsidR="00AC169C">
        <w:rPr>
          <w:rFonts w:ascii="Times New Roman" w:hAnsi="Times New Roman" w:cs="Times New Roman"/>
        </w:rPr>
        <w:t xml:space="preserve"> in </w:t>
      </w:r>
      <w:r w:rsidR="00AC169C" w:rsidRPr="005D7A8B">
        <w:rPr>
          <w:rFonts w:ascii="Times New Roman" w:hAnsi="Times New Roman" w:cs="Times New Roman"/>
          <w:i/>
          <w:iCs/>
        </w:rPr>
        <w:t>The Tomb of Pharaoh’s Chancellor Senneferi at Thebes</w:t>
      </w:r>
      <w:r w:rsidR="00AC169C">
        <w:rPr>
          <w:rFonts w:ascii="Times New Roman" w:hAnsi="Times New Roman" w:cs="Times New Roman"/>
        </w:rPr>
        <w:t xml:space="preserve"> </w:t>
      </w:r>
      <w:r w:rsidR="00AC169C" w:rsidRPr="00AC169C">
        <w:rPr>
          <w:rFonts w:ascii="Times New Roman" w:hAnsi="Times New Roman" w:cs="Times New Roman"/>
          <w:i/>
          <w:iCs/>
        </w:rPr>
        <w:t>(TT99)</w:t>
      </w:r>
      <w:r w:rsidR="00AC169C">
        <w:rPr>
          <w:rFonts w:ascii="Times New Roman" w:hAnsi="Times New Roman" w:cs="Times New Roman"/>
        </w:rPr>
        <w:t xml:space="preserve"> by Nigel Strudwick (Oxford: Oxbow Books, 2016), pp.</w:t>
      </w:r>
      <w:r w:rsidR="002050C7">
        <w:rPr>
          <w:rFonts w:ascii="Times New Roman" w:hAnsi="Times New Roman" w:cs="Times New Roman"/>
        </w:rPr>
        <w:t>84-160 (</w:t>
      </w:r>
      <w:r>
        <w:rPr>
          <w:rFonts w:ascii="Times New Roman" w:hAnsi="Times New Roman" w:cs="Times New Roman"/>
        </w:rPr>
        <w:t>p. 100</w:t>
      </w:r>
      <w:r w:rsidR="002050C7">
        <w:rPr>
          <w:rFonts w:ascii="Times New Roman" w:hAnsi="Times New Roman" w:cs="Times New Roman"/>
        </w:rPr>
        <w:t>),</w:t>
      </w:r>
    </w:p>
  </w:footnote>
  <w:footnote w:id="22">
    <w:p w14:paraId="36206059" w14:textId="1A760FE4" w:rsidR="00F61D61" w:rsidRPr="00F61D61" w:rsidRDefault="00F61D61">
      <w:pPr>
        <w:pStyle w:val="FootnoteText"/>
        <w:rPr>
          <w:rFonts w:ascii="Times New Roman" w:hAnsi="Times New Roman" w:cs="Times New Roman"/>
        </w:rPr>
      </w:pPr>
      <w:r w:rsidRPr="00F61D61">
        <w:rPr>
          <w:rStyle w:val="FootnoteReference"/>
          <w:rFonts w:ascii="Times New Roman" w:hAnsi="Times New Roman" w:cs="Times New Roman"/>
        </w:rPr>
        <w:footnoteRef/>
      </w:r>
      <w:r w:rsidRPr="00F61D61">
        <w:rPr>
          <w:rFonts w:ascii="Times New Roman" w:hAnsi="Times New Roman" w:cs="Times New Roman"/>
        </w:rPr>
        <w:t xml:space="preserve"> </w:t>
      </w:r>
      <w:r>
        <w:rPr>
          <w:rFonts w:ascii="Times New Roman" w:hAnsi="Times New Roman" w:cs="Times New Roman"/>
        </w:rPr>
        <w:t>Tom Hardwick</w:t>
      </w:r>
      <w:r w:rsidR="00AD0A96">
        <w:rPr>
          <w:rFonts w:ascii="Times New Roman" w:hAnsi="Times New Roman" w:cs="Times New Roman"/>
        </w:rPr>
        <w:t xml:space="preserve">, ‘The Iconography of the Blue Crown in the New Kingdom’, </w:t>
      </w:r>
      <w:r w:rsidR="00AD0A96" w:rsidRPr="003A24FC">
        <w:rPr>
          <w:rFonts w:ascii="Times New Roman" w:hAnsi="Times New Roman" w:cs="Times New Roman"/>
          <w:i/>
          <w:iCs/>
        </w:rPr>
        <w:t xml:space="preserve">The </w:t>
      </w:r>
      <w:r w:rsidR="002B62E3" w:rsidRPr="003A24FC">
        <w:rPr>
          <w:rFonts w:ascii="Times New Roman" w:hAnsi="Times New Roman" w:cs="Times New Roman"/>
          <w:i/>
          <w:iCs/>
        </w:rPr>
        <w:t>Journal of Egyptian Archaeology</w:t>
      </w:r>
      <w:r w:rsidR="002B62E3">
        <w:rPr>
          <w:rFonts w:ascii="Times New Roman" w:hAnsi="Times New Roman" w:cs="Times New Roman"/>
        </w:rPr>
        <w:t xml:space="preserve"> Vol. </w:t>
      </w:r>
      <w:r w:rsidR="004C0966">
        <w:rPr>
          <w:rFonts w:ascii="Times New Roman" w:hAnsi="Times New Roman" w:cs="Times New Roman"/>
        </w:rPr>
        <w:t xml:space="preserve">89 (2003) 117-141 </w:t>
      </w:r>
      <w:hyperlink r:id="rId5" w:history="1">
        <w:r w:rsidR="004C0966" w:rsidRPr="003A0985">
          <w:rPr>
            <w:rStyle w:val="Hyperlink"/>
            <w:rFonts w:ascii="Times New Roman" w:hAnsi="Times New Roman" w:cs="Times New Roman"/>
          </w:rPr>
          <w:t>https://www-jstor-org.uwtsd.idm.oclc.org/stable/3822494?sid=primo&amp;seq=1</w:t>
        </w:r>
      </w:hyperlink>
      <w:r w:rsidR="004C0966">
        <w:rPr>
          <w:rFonts w:ascii="Times New Roman" w:hAnsi="Times New Roman" w:cs="Times New Roman"/>
        </w:rPr>
        <w:t xml:space="preserve"> [accessed 10</w:t>
      </w:r>
      <w:r w:rsidR="004C0966" w:rsidRPr="004C0966">
        <w:rPr>
          <w:rFonts w:ascii="Times New Roman" w:hAnsi="Times New Roman" w:cs="Times New Roman"/>
          <w:vertAlign w:val="superscript"/>
        </w:rPr>
        <w:t>th</w:t>
      </w:r>
      <w:r w:rsidR="004C0966">
        <w:rPr>
          <w:rFonts w:ascii="Times New Roman" w:hAnsi="Times New Roman" w:cs="Times New Roman"/>
        </w:rPr>
        <w:t xml:space="preserve"> March 2026]</w:t>
      </w:r>
    </w:p>
  </w:footnote>
  <w:footnote w:id="23">
    <w:p w14:paraId="7C4BDF19" w14:textId="70154E7B" w:rsidR="002F4109" w:rsidRPr="0005298D" w:rsidRDefault="002F4109">
      <w:pPr>
        <w:pStyle w:val="FootnoteText"/>
        <w:rPr>
          <w:rFonts w:ascii="Times New Roman" w:hAnsi="Times New Roman" w:cs="Times New Roman"/>
        </w:rPr>
      </w:pPr>
      <w:r w:rsidRPr="0005298D">
        <w:rPr>
          <w:rStyle w:val="FootnoteReference"/>
          <w:rFonts w:ascii="Times New Roman" w:hAnsi="Times New Roman" w:cs="Times New Roman"/>
        </w:rPr>
        <w:footnoteRef/>
      </w:r>
      <w:r w:rsidRPr="0005298D">
        <w:rPr>
          <w:rFonts w:ascii="Times New Roman" w:hAnsi="Times New Roman" w:cs="Times New Roman"/>
        </w:rPr>
        <w:t xml:space="preserve"> </w:t>
      </w:r>
      <w:r w:rsidR="0005298D">
        <w:rPr>
          <w:rFonts w:ascii="Times New Roman" w:hAnsi="Times New Roman" w:cs="Times New Roman"/>
        </w:rPr>
        <w:t xml:space="preserve">Strudwick and Strudwick, p. </w:t>
      </w:r>
      <w:r w:rsidR="0005298D">
        <w:rPr>
          <w:rFonts w:ascii="Times New Roman" w:hAnsi="Times New Roman" w:cs="Times New Roman"/>
        </w:rPr>
        <w:t>65-70</w:t>
      </w:r>
      <w:r w:rsidR="002050C7">
        <w:rPr>
          <w:rFonts w:ascii="Times New Roman" w:hAnsi="Times New Roman" w:cs="Times New Roman"/>
        </w:rPr>
        <w:t>.</w:t>
      </w:r>
    </w:p>
  </w:footnote>
  <w:footnote w:id="24">
    <w:p w14:paraId="19478C45" w14:textId="16C8FAAC" w:rsidR="00C81279" w:rsidRPr="00C81279" w:rsidRDefault="00C81279">
      <w:pPr>
        <w:pStyle w:val="FootnoteText"/>
        <w:rPr>
          <w:rFonts w:ascii="Times New Roman" w:hAnsi="Times New Roman" w:cs="Times New Roman"/>
        </w:rPr>
      </w:pPr>
      <w:r w:rsidRPr="00C81279">
        <w:rPr>
          <w:rStyle w:val="FootnoteReference"/>
          <w:rFonts w:ascii="Times New Roman" w:hAnsi="Times New Roman" w:cs="Times New Roman"/>
        </w:rPr>
        <w:footnoteRef/>
      </w:r>
      <w:r w:rsidRPr="00C81279">
        <w:rPr>
          <w:rFonts w:ascii="Times New Roman" w:hAnsi="Times New Roman" w:cs="Times New Roman"/>
        </w:rPr>
        <w:t xml:space="preserve"> </w:t>
      </w:r>
      <w:r w:rsidR="00EF08EB">
        <w:rPr>
          <w:rFonts w:ascii="Times New Roman" w:hAnsi="Times New Roman" w:cs="Times New Roman"/>
        </w:rPr>
        <w:t>Ren</w:t>
      </w:r>
      <w:r w:rsidR="0004142F">
        <w:rPr>
          <w:rFonts w:ascii="Times New Roman" w:hAnsi="Times New Roman" w:cs="Times New Roman"/>
        </w:rPr>
        <w:t xml:space="preserve">nan </w:t>
      </w:r>
      <w:r w:rsidR="000D4412">
        <w:rPr>
          <w:rFonts w:ascii="Times New Roman" w:hAnsi="Times New Roman" w:cs="Times New Roman"/>
        </w:rPr>
        <w:t xml:space="preserve">Lemos, ‘Making Plundered Spaces Sacred Again: Fragmentation, Reorganisation and Respect in Reused Theban Tombs’, </w:t>
      </w:r>
      <w:r w:rsidR="000D4412" w:rsidRPr="003D4E31">
        <w:rPr>
          <w:rFonts w:ascii="Times New Roman" w:hAnsi="Times New Roman" w:cs="Times New Roman"/>
          <w:i/>
          <w:iCs/>
        </w:rPr>
        <w:t>Anti</w:t>
      </w:r>
      <w:r w:rsidR="003D4E31" w:rsidRPr="003D4E31">
        <w:rPr>
          <w:rFonts w:ascii="Times New Roman" w:hAnsi="Times New Roman" w:cs="Times New Roman"/>
          <w:i/>
          <w:iCs/>
        </w:rPr>
        <w:t>quity</w:t>
      </w:r>
      <w:r w:rsidR="003D4E31">
        <w:rPr>
          <w:rFonts w:ascii="Times New Roman" w:hAnsi="Times New Roman" w:cs="Times New Roman"/>
        </w:rPr>
        <w:t xml:space="preserve"> Vol. 99 (2025), 135-149</w:t>
      </w:r>
      <w:r w:rsidR="00EF08EB">
        <w:rPr>
          <w:rFonts w:ascii="Times New Roman" w:hAnsi="Times New Roman" w:cs="Times New Roman"/>
        </w:rPr>
        <w:t xml:space="preserve"> </w:t>
      </w:r>
      <w:hyperlink r:id="rId6" w:history="1">
        <w:r w:rsidR="00EF08EB" w:rsidRPr="00E65B00">
          <w:rPr>
            <w:rStyle w:val="Hyperlink"/>
            <w:rFonts w:ascii="Times New Roman" w:hAnsi="Times New Roman" w:cs="Times New Roman"/>
          </w:rPr>
          <w:t>http://dx.doi.org/10.15184/aqy.2024.159</w:t>
        </w:r>
      </w:hyperlink>
      <w:r w:rsidR="00EF08EB">
        <w:rPr>
          <w:rFonts w:ascii="Times New Roman" w:hAnsi="Times New Roman" w:cs="Times New Roman"/>
        </w:rPr>
        <w:t xml:space="preserve"> [accessed 12th March 2026]</w:t>
      </w:r>
    </w:p>
  </w:footnote>
  <w:footnote w:id="25">
    <w:p w14:paraId="0B4658ED" w14:textId="5038F27E" w:rsidR="0035022C" w:rsidRPr="008E78DD" w:rsidRDefault="0035022C">
      <w:pPr>
        <w:pStyle w:val="FootnoteText"/>
        <w:rPr>
          <w:rFonts w:ascii="Times New Roman" w:hAnsi="Times New Roman" w:cs="Times New Roman"/>
        </w:rPr>
      </w:pPr>
      <w:r w:rsidRPr="008E78DD">
        <w:rPr>
          <w:rStyle w:val="FootnoteReference"/>
          <w:rFonts w:ascii="Times New Roman" w:hAnsi="Times New Roman" w:cs="Times New Roman"/>
        </w:rPr>
        <w:footnoteRef/>
      </w:r>
      <w:r w:rsidRPr="008E78DD">
        <w:rPr>
          <w:rFonts w:ascii="Times New Roman" w:hAnsi="Times New Roman" w:cs="Times New Roman"/>
        </w:rPr>
        <w:t xml:space="preserve"> </w:t>
      </w:r>
      <w:r w:rsidR="008E78DD">
        <w:rPr>
          <w:rFonts w:ascii="Times New Roman" w:hAnsi="Times New Roman" w:cs="Times New Roman"/>
        </w:rPr>
        <w:t>John Taylor, ‘</w:t>
      </w:r>
      <w:r w:rsidR="009E332A" w:rsidRPr="002050C7">
        <w:rPr>
          <w:rFonts w:ascii="Times New Roman" w:hAnsi="Times New Roman" w:cs="Times New Roman"/>
        </w:rPr>
        <w:t xml:space="preserve">The Coffins </w:t>
      </w:r>
      <w:r w:rsidR="002050C7" w:rsidRPr="002050C7">
        <w:rPr>
          <w:rFonts w:ascii="Times New Roman" w:hAnsi="Times New Roman" w:cs="Times New Roman"/>
        </w:rPr>
        <w:t>from</w:t>
      </w:r>
      <w:r w:rsidR="009E332A" w:rsidRPr="002050C7">
        <w:rPr>
          <w:rFonts w:ascii="Times New Roman" w:hAnsi="Times New Roman" w:cs="Times New Roman"/>
        </w:rPr>
        <w:t xml:space="preserve"> Shaf</w:t>
      </w:r>
      <w:r w:rsidR="00BE7960" w:rsidRPr="002050C7">
        <w:rPr>
          <w:rFonts w:ascii="Times New Roman" w:hAnsi="Times New Roman" w:cs="Times New Roman"/>
        </w:rPr>
        <w:t>t I</w:t>
      </w:r>
      <w:r w:rsidR="009E332A" w:rsidRPr="002050C7">
        <w:rPr>
          <w:rFonts w:ascii="Times New Roman" w:hAnsi="Times New Roman" w:cs="Times New Roman"/>
        </w:rPr>
        <w:t>’</w:t>
      </w:r>
      <w:r w:rsidR="009E332A">
        <w:rPr>
          <w:rFonts w:ascii="Times New Roman" w:hAnsi="Times New Roman" w:cs="Times New Roman"/>
        </w:rPr>
        <w:t xml:space="preserve">, in </w:t>
      </w:r>
      <w:r w:rsidR="009E332A" w:rsidRPr="002050C7">
        <w:rPr>
          <w:rFonts w:ascii="Times New Roman" w:hAnsi="Times New Roman" w:cs="Times New Roman"/>
          <w:i/>
          <w:iCs/>
        </w:rPr>
        <w:t xml:space="preserve">The Tomb of Pharoah’s </w:t>
      </w:r>
      <w:r w:rsidR="00EE34BC" w:rsidRPr="002050C7">
        <w:rPr>
          <w:rFonts w:ascii="Times New Roman" w:hAnsi="Times New Roman" w:cs="Times New Roman"/>
          <w:i/>
          <w:iCs/>
        </w:rPr>
        <w:t>Chancellor Senneferi at Thebes (TT99)</w:t>
      </w:r>
      <w:r w:rsidR="002050C7">
        <w:rPr>
          <w:rFonts w:ascii="Times New Roman" w:hAnsi="Times New Roman" w:cs="Times New Roman"/>
        </w:rPr>
        <w:t xml:space="preserve"> by Nigel Strudwick</w:t>
      </w:r>
      <w:r w:rsidR="00EE34BC">
        <w:rPr>
          <w:rFonts w:ascii="Times New Roman" w:hAnsi="Times New Roman" w:cs="Times New Roman"/>
        </w:rPr>
        <w:t xml:space="preserve">. (Oxford: Oxbow Books, 2016), </w:t>
      </w:r>
      <w:r w:rsidR="002050C7">
        <w:rPr>
          <w:rFonts w:ascii="Times New Roman" w:hAnsi="Times New Roman" w:cs="Times New Roman"/>
        </w:rPr>
        <w:t>pp. 181-190 (</w:t>
      </w:r>
      <w:r w:rsidR="00EE34BC">
        <w:rPr>
          <w:rFonts w:ascii="Times New Roman" w:hAnsi="Times New Roman" w:cs="Times New Roman"/>
        </w:rPr>
        <w:t>p</w:t>
      </w:r>
      <w:r w:rsidR="00BE7960">
        <w:rPr>
          <w:rFonts w:ascii="Times New Roman" w:hAnsi="Times New Roman" w:cs="Times New Roman"/>
        </w:rPr>
        <w:t xml:space="preserve"> 183</w:t>
      </w:r>
      <w:r w:rsidR="002050C7">
        <w:rPr>
          <w:rFonts w:ascii="Times New Roman" w:hAnsi="Times New Roman" w:cs="Times New Roman"/>
        </w:rPr>
        <w:t>)</w:t>
      </w:r>
      <w:r w:rsidR="00BE7960">
        <w:rPr>
          <w:rFonts w:ascii="Times New Roman" w:hAnsi="Times New Roman" w:cs="Times New Roman"/>
        </w:rPr>
        <w:t>.</w:t>
      </w:r>
    </w:p>
  </w:footnote>
  <w:footnote w:id="26">
    <w:p w14:paraId="019B60F3" w14:textId="43DE0667" w:rsidR="00F44E2E" w:rsidRPr="00F44E2E" w:rsidRDefault="00F44E2E">
      <w:pPr>
        <w:pStyle w:val="FootnoteText"/>
        <w:rPr>
          <w:rFonts w:ascii="Times New Roman" w:hAnsi="Times New Roman" w:cs="Times New Roman"/>
        </w:rPr>
      </w:pPr>
      <w:r w:rsidRPr="00F44E2E">
        <w:rPr>
          <w:rStyle w:val="FootnoteReference"/>
          <w:rFonts w:ascii="Times New Roman" w:hAnsi="Times New Roman" w:cs="Times New Roman"/>
        </w:rPr>
        <w:footnoteRef/>
      </w:r>
      <w:r w:rsidRPr="00F44E2E">
        <w:rPr>
          <w:rFonts w:ascii="Times New Roman" w:hAnsi="Times New Roman" w:cs="Times New Roman"/>
        </w:rPr>
        <w:t xml:space="preserve"> </w:t>
      </w:r>
      <w:r>
        <w:rPr>
          <w:rFonts w:ascii="Times New Roman" w:hAnsi="Times New Roman" w:cs="Times New Roman"/>
        </w:rPr>
        <w:t>John Taylor, p 183</w:t>
      </w:r>
      <w:r>
        <w:rPr>
          <w:rFonts w:ascii="Times New Roman" w:hAnsi="Times New Roman" w:cs="Times New Roman"/>
        </w:rPr>
        <w:t>-184.</w:t>
      </w:r>
    </w:p>
  </w:footnote>
  <w:footnote w:id="27">
    <w:p w14:paraId="37038343" w14:textId="7CF06B00" w:rsidR="003B44CE" w:rsidRPr="003B44CE" w:rsidRDefault="003B44CE">
      <w:pPr>
        <w:pStyle w:val="FootnoteText"/>
        <w:rPr>
          <w:rFonts w:ascii="Times New Roman" w:hAnsi="Times New Roman" w:cs="Times New Roman"/>
        </w:rPr>
      </w:pPr>
      <w:r w:rsidRPr="003B44CE">
        <w:rPr>
          <w:rStyle w:val="FootnoteReference"/>
          <w:rFonts w:ascii="Times New Roman" w:hAnsi="Times New Roman" w:cs="Times New Roman"/>
        </w:rPr>
        <w:footnoteRef/>
      </w:r>
      <w:r w:rsidRPr="003B44CE">
        <w:rPr>
          <w:rFonts w:ascii="Times New Roman" w:hAnsi="Times New Roman" w:cs="Times New Roman"/>
        </w:rPr>
        <w:t xml:space="preserve"> </w:t>
      </w:r>
      <w:r w:rsidR="008D5250">
        <w:rPr>
          <w:rFonts w:ascii="Times New Roman" w:hAnsi="Times New Roman" w:cs="Times New Roman"/>
        </w:rPr>
        <w:t xml:space="preserve">Anders Bettum, ‘Nesting (Part Two): </w:t>
      </w:r>
      <w:r w:rsidR="00460AF0">
        <w:rPr>
          <w:rFonts w:ascii="Times New Roman" w:hAnsi="Times New Roman" w:cs="Times New Roman"/>
        </w:rPr>
        <w:t xml:space="preserve">Merging Layers in New Kingdom Coffin Decoration’, </w:t>
      </w:r>
      <w:r w:rsidR="0065517B">
        <w:rPr>
          <w:rFonts w:ascii="Times New Roman" w:hAnsi="Times New Roman" w:cs="Times New Roman"/>
        </w:rPr>
        <w:t xml:space="preserve">in </w:t>
      </w:r>
      <w:r w:rsidR="00460AF0" w:rsidRPr="0065517B">
        <w:rPr>
          <w:rFonts w:ascii="Times New Roman" w:hAnsi="Times New Roman" w:cs="Times New Roman"/>
          <w:i/>
          <w:iCs/>
        </w:rPr>
        <w:t xml:space="preserve">Ancient Egyptian </w:t>
      </w:r>
      <w:r w:rsidR="003C212A" w:rsidRPr="0065517B">
        <w:rPr>
          <w:rFonts w:ascii="Times New Roman" w:hAnsi="Times New Roman" w:cs="Times New Roman"/>
          <w:i/>
          <w:iCs/>
        </w:rPr>
        <w:t>Coffins: Craft Traditions and Functionality</w:t>
      </w:r>
      <w:r w:rsidR="0065517B">
        <w:rPr>
          <w:rFonts w:ascii="Times New Roman" w:hAnsi="Times New Roman" w:cs="Times New Roman"/>
        </w:rPr>
        <w:t xml:space="preserve"> by</w:t>
      </w:r>
      <w:r w:rsidR="003C212A">
        <w:rPr>
          <w:rFonts w:ascii="Times New Roman" w:hAnsi="Times New Roman" w:cs="Times New Roman"/>
        </w:rPr>
        <w:t xml:space="preserve"> J. H. Taylor and M. </w:t>
      </w:r>
      <w:r w:rsidR="00DF71CE">
        <w:rPr>
          <w:rFonts w:ascii="Times New Roman" w:hAnsi="Times New Roman" w:cs="Times New Roman"/>
        </w:rPr>
        <w:t>Vandenbeusch</w:t>
      </w:r>
      <w:r w:rsidR="0065517B">
        <w:rPr>
          <w:rFonts w:ascii="Times New Roman" w:hAnsi="Times New Roman" w:cs="Times New Roman"/>
        </w:rPr>
        <w:t xml:space="preserve"> (</w:t>
      </w:r>
      <w:r w:rsidR="003E4418">
        <w:rPr>
          <w:rFonts w:ascii="Times New Roman" w:hAnsi="Times New Roman" w:cs="Times New Roman"/>
        </w:rPr>
        <w:t xml:space="preserve">Leuven: Peeters, </w:t>
      </w:r>
      <w:r w:rsidR="00F30706">
        <w:rPr>
          <w:rFonts w:ascii="Times New Roman" w:hAnsi="Times New Roman" w:cs="Times New Roman"/>
        </w:rPr>
        <w:t>2018</w:t>
      </w:r>
      <w:r w:rsidR="0065517B">
        <w:rPr>
          <w:rFonts w:ascii="Times New Roman" w:hAnsi="Times New Roman" w:cs="Times New Roman"/>
        </w:rPr>
        <w:t>)</w:t>
      </w:r>
      <w:r w:rsidR="00F30706">
        <w:rPr>
          <w:rFonts w:ascii="Times New Roman" w:hAnsi="Times New Roman" w:cs="Times New Roman"/>
        </w:rPr>
        <w:t xml:space="preserve">, pp. </w:t>
      </w:r>
      <w:r w:rsidR="003928E0">
        <w:rPr>
          <w:rFonts w:ascii="Times New Roman" w:hAnsi="Times New Roman" w:cs="Times New Roman"/>
        </w:rPr>
        <w:t>275-291. (p. 279)</w:t>
      </w:r>
    </w:p>
  </w:footnote>
  <w:footnote w:id="28">
    <w:p w14:paraId="65E4342E" w14:textId="11FBAB23" w:rsidR="00625491" w:rsidRPr="004F2863" w:rsidRDefault="00625491" w:rsidP="00625491">
      <w:pPr>
        <w:pStyle w:val="FootnoteText"/>
        <w:rPr>
          <w:rFonts w:ascii="Times New Roman" w:hAnsi="Times New Roman" w:cs="Times New Roman"/>
        </w:rPr>
      </w:pPr>
      <w:r w:rsidRPr="004F2863">
        <w:rPr>
          <w:rStyle w:val="FootnoteReference"/>
          <w:rFonts w:ascii="Times New Roman" w:hAnsi="Times New Roman" w:cs="Times New Roman"/>
        </w:rPr>
        <w:footnoteRef/>
      </w:r>
      <w:r w:rsidRPr="004F2863">
        <w:rPr>
          <w:rFonts w:ascii="Times New Roman" w:hAnsi="Times New Roman" w:cs="Times New Roman"/>
        </w:rPr>
        <w:t xml:space="preserve"> </w:t>
      </w:r>
      <w:r>
        <w:rPr>
          <w:rFonts w:ascii="Times New Roman" w:hAnsi="Times New Roman" w:cs="Times New Roman"/>
        </w:rPr>
        <w:t xml:space="preserve">Tony Waldron, </w:t>
      </w:r>
      <w:r w:rsidR="00A2223D">
        <w:rPr>
          <w:rFonts w:ascii="Times New Roman" w:hAnsi="Times New Roman" w:cs="Times New Roman"/>
        </w:rPr>
        <w:t>‘</w:t>
      </w:r>
      <w:r w:rsidRPr="00A2223D">
        <w:rPr>
          <w:rFonts w:ascii="Times New Roman" w:hAnsi="Times New Roman" w:cs="Times New Roman"/>
        </w:rPr>
        <w:t xml:space="preserve">The Human and Animal Remains </w:t>
      </w:r>
      <w:r w:rsidR="002050C7" w:rsidRPr="00A2223D">
        <w:rPr>
          <w:rFonts w:ascii="Times New Roman" w:hAnsi="Times New Roman" w:cs="Times New Roman"/>
        </w:rPr>
        <w:t>from</w:t>
      </w:r>
      <w:r w:rsidRPr="00A2223D">
        <w:rPr>
          <w:rFonts w:ascii="Times New Roman" w:hAnsi="Times New Roman" w:cs="Times New Roman"/>
        </w:rPr>
        <w:t xml:space="preserve"> Shafts I and H</w:t>
      </w:r>
      <w:r w:rsidR="00A2223D">
        <w:rPr>
          <w:rFonts w:ascii="Times New Roman" w:hAnsi="Times New Roman" w:cs="Times New Roman"/>
        </w:rPr>
        <w:t>’</w:t>
      </w:r>
      <w:r w:rsidR="00A2223D">
        <w:rPr>
          <w:rFonts w:ascii="Times New Roman" w:hAnsi="Times New Roman" w:cs="Times New Roman"/>
        </w:rPr>
        <w:t xml:space="preserve">, in </w:t>
      </w:r>
      <w:r w:rsidR="00A2223D" w:rsidRPr="005D7A8B">
        <w:rPr>
          <w:rFonts w:ascii="Times New Roman" w:hAnsi="Times New Roman" w:cs="Times New Roman"/>
          <w:i/>
          <w:iCs/>
        </w:rPr>
        <w:t>The Tomb of Pharaoh’s Chancellor Senneferi at Thebes</w:t>
      </w:r>
      <w:r w:rsidR="00A2223D">
        <w:rPr>
          <w:rFonts w:ascii="Times New Roman" w:hAnsi="Times New Roman" w:cs="Times New Roman"/>
        </w:rPr>
        <w:t xml:space="preserve"> </w:t>
      </w:r>
      <w:r w:rsidR="00A2223D" w:rsidRPr="00AC169C">
        <w:rPr>
          <w:rFonts w:ascii="Times New Roman" w:hAnsi="Times New Roman" w:cs="Times New Roman"/>
          <w:i/>
          <w:iCs/>
        </w:rPr>
        <w:t>(TT99)</w:t>
      </w:r>
      <w:r w:rsidR="00A2223D">
        <w:rPr>
          <w:rFonts w:ascii="Times New Roman" w:hAnsi="Times New Roman" w:cs="Times New Roman"/>
        </w:rPr>
        <w:t xml:space="preserve"> by Nigel Strudwick (Oxford: Oxbow Books, 2016), pp.</w:t>
      </w:r>
      <w:r w:rsidR="00A2223D">
        <w:rPr>
          <w:rFonts w:ascii="Times New Roman" w:hAnsi="Times New Roman" w:cs="Times New Roman"/>
        </w:rPr>
        <w:t>315-334 (</w:t>
      </w:r>
      <w:r>
        <w:rPr>
          <w:rFonts w:ascii="Times New Roman" w:hAnsi="Times New Roman" w:cs="Times New Roman"/>
        </w:rPr>
        <w:t>p. 315</w:t>
      </w:r>
      <w:r w:rsidR="00A2223D">
        <w:rPr>
          <w:rFonts w:ascii="Times New Roman" w:hAnsi="Times New Roman" w:cs="Times New Roman"/>
        </w:rPr>
        <w:t>).</w:t>
      </w:r>
    </w:p>
  </w:footnote>
  <w:footnote w:id="29">
    <w:p w14:paraId="620454EC" w14:textId="1EAB3712" w:rsidR="00B01632" w:rsidRPr="00B01632" w:rsidRDefault="00B01632">
      <w:pPr>
        <w:pStyle w:val="FootnoteText"/>
        <w:rPr>
          <w:rFonts w:ascii="Times New Roman" w:hAnsi="Times New Roman" w:cs="Times New Roman"/>
        </w:rPr>
      </w:pPr>
      <w:r w:rsidRPr="00B01632">
        <w:rPr>
          <w:rStyle w:val="FootnoteReference"/>
          <w:rFonts w:ascii="Times New Roman" w:hAnsi="Times New Roman" w:cs="Times New Roman"/>
        </w:rPr>
        <w:footnoteRef/>
      </w:r>
      <w:r w:rsidRPr="00B01632">
        <w:rPr>
          <w:rFonts w:ascii="Times New Roman" w:hAnsi="Times New Roman" w:cs="Times New Roman"/>
        </w:rPr>
        <w:t xml:space="preserve"> </w:t>
      </w:r>
      <w:r>
        <w:rPr>
          <w:rFonts w:ascii="Times New Roman" w:hAnsi="Times New Roman" w:cs="Times New Roman"/>
        </w:rPr>
        <w:t>Ann Macy Roth</w:t>
      </w:r>
      <w:r w:rsidR="001A7EEC">
        <w:rPr>
          <w:rFonts w:ascii="Times New Roman" w:hAnsi="Times New Roman" w:cs="Times New Roman"/>
        </w:rPr>
        <w:t xml:space="preserve">, ‘Fingers, Stars, and the ‘Opening of the Mouth’: The Nature and Function of the </w:t>
      </w:r>
      <w:r w:rsidR="003E5BB7">
        <w:rPr>
          <w:rFonts w:ascii="Times New Roman" w:hAnsi="Times New Roman" w:cs="Times New Roman"/>
        </w:rPr>
        <w:t>NTRWI-Blades’</w:t>
      </w:r>
      <w:r w:rsidR="00387A5F">
        <w:rPr>
          <w:rFonts w:ascii="Times New Roman" w:hAnsi="Times New Roman" w:cs="Times New Roman"/>
        </w:rPr>
        <w:t xml:space="preserve">, </w:t>
      </w:r>
      <w:r w:rsidR="00387A5F" w:rsidRPr="00D979EC">
        <w:rPr>
          <w:rFonts w:ascii="Times New Roman" w:hAnsi="Times New Roman" w:cs="Times New Roman"/>
          <w:i/>
          <w:iCs/>
        </w:rPr>
        <w:t>The Journal of Egyptian Archaeology</w:t>
      </w:r>
      <w:r w:rsidR="00387A5F">
        <w:rPr>
          <w:rFonts w:ascii="Times New Roman" w:hAnsi="Times New Roman" w:cs="Times New Roman"/>
        </w:rPr>
        <w:t xml:space="preserve"> </w:t>
      </w:r>
      <w:r w:rsidR="007B0F01">
        <w:rPr>
          <w:rFonts w:ascii="Times New Roman" w:hAnsi="Times New Roman" w:cs="Times New Roman"/>
        </w:rPr>
        <w:t>Vol. 79 (1993)</w:t>
      </w:r>
      <w:r w:rsidR="003C60D4">
        <w:rPr>
          <w:rFonts w:ascii="Times New Roman" w:hAnsi="Times New Roman" w:cs="Times New Roman"/>
        </w:rPr>
        <w:t xml:space="preserve"> 57-79 (</w:t>
      </w:r>
      <w:r w:rsidR="003E7A84">
        <w:rPr>
          <w:rFonts w:ascii="Times New Roman" w:hAnsi="Times New Roman" w:cs="Times New Roman"/>
        </w:rPr>
        <w:t>p.57</w:t>
      </w:r>
      <w:r w:rsidR="003C60D4">
        <w:rPr>
          <w:rFonts w:ascii="Times New Roman" w:hAnsi="Times New Roman" w:cs="Times New Roman"/>
        </w:rPr>
        <w:t>)</w:t>
      </w:r>
      <w:r w:rsidR="003E7A84">
        <w:rPr>
          <w:rFonts w:ascii="Times New Roman" w:hAnsi="Times New Roman" w:cs="Times New Roman"/>
        </w:rPr>
        <w:t xml:space="preserve"> </w:t>
      </w:r>
      <w:hyperlink r:id="rId7" w:history="1">
        <w:r w:rsidR="003E7A84" w:rsidRPr="00F535B9">
          <w:rPr>
            <w:rStyle w:val="Hyperlink"/>
            <w:rFonts w:ascii="Times New Roman" w:hAnsi="Times New Roman" w:cs="Times New Roman"/>
          </w:rPr>
          <w:t>https://gizamedia.rc.fas.harvard.edu/images/MFA-images/Giza/GizaImage/full/library/roth_jea_79_1993.pdf</w:t>
        </w:r>
      </w:hyperlink>
      <w:r w:rsidR="003E7A84">
        <w:rPr>
          <w:rFonts w:ascii="Times New Roman" w:hAnsi="Times New Roman" w:cs="Times New Roman"/>
        </w:rPr>
        <w:t xml:space="preserve"> [accessed 9th March 2026]</w:t>
      </w:r>
    </w:p>
  </w:footnote>
  <w:footnote w:id="30">
    <w:p w14:paraId="4C4167D9" w14:textId="44E56A13" w:rsidR="00A9224F" w:rsidRPr="00A9224F" w:rsidRDefault="00A9224F">
      <w:pPr>
        <w:pStyle w:val="FootnoteText"/>
        <w:rPr>
          <w:rFonts w:ascii="Times New Roman" w:hAnsi="Times New Roman" w:cs="Times New Roman"/>
        </w:rPr>
      </w:pPr>
      <w:r w:rsidRPr="00A9224F">
        <w:rPr>
          <w:rStyle w:val="FootnoteReference"/>
          <w:rFonts w:ascii="Times New Roman" w:hAnsi="Times New Roman" w:cs="Times New Roman"/>
        </w:rPr>
        <w:footnoteRef/>
      </w:r>
      <w:r w:rsidRPr="00A9224F">
        <w:rPr>
          <w:rFonts w:ascii="Times New Roman" w:hAnsi="Times New Roman" w:cs="Times New Roman"/>
        </w:rPr>
        <w:t xml:space="preserve"> </w:t>
      </w:r>
      <w:r w:rsidR="00D71C6E">
        <w:rPr>
          <w:rFonts w:ascii="Times New Roman" w:hAnsi="Times New Roman" w:cs="Times New Roman"/>
        </w:rPr>
        <w:t xml:space="preserve">Harold Hays, ‘Funerary </w:t>
      </w:r>
      <w:r w:rsidR="00D979EC">
        <w:rPr>
          <w:rFonts w:ascii="Times New Roman" w:hAnsi="Times New Roman" w:cs="Times New Roman"/>
        </w:rPr>
        <w:t xml:space="preserve">Rituals (Pharaonic Period)’, </w:t>
      </w:r>
      <w:r w:rsidR="00F930DF" w:rsidRPr="00C02A73">
        <w:rPr>
          <w:rFonts w:ascii="Times New Roman" w:hAnsi="Times New Roman" w:cs="Times New Roman"/>
          <w:i/>
          <w:iCs/>
        </w:rPr>
        <w:t xml:space="preserve">UCLA </w:t>
      </w:r>
      <w:proofErr w:type="spellStart"/>
      <w:r w:rsidR="00F930DF" w:rsidRPr="00C02A73">
        <w:rPr>
          <w:rFonts w:ascii="Times New Roman" w:hAnsi="Times New Roman" w:cs="Times New Roman"/>
          <w:i/>
          <w:iCs/>
        </w:rPr>
        <w:t>Enc</w:t>
      </w:r>
      <w:r w:rsidR="00C02A73" w:rsidRPr="00C02A73">
        <w:rPr>
          <w:rFonts w:ascii="Times New Roman" w:hAnsi="Times New Roman" w:cs="Times New Roman"/>
          <w:i/>
          <w:iCs/>
        </w:rPr>
        <w:t>yclopedia</w:t>
      </w:r>
      <w:proofErr w:type="spellEnd"/>
      <w:r w:rsidR="00C02A73" w:rsidRPr="00C02A73">
        <w:rPr>
          <w:rFonts w:ascii="Times New Roman" w:hAnsi="Times New Roman" w:cs="Times New Roman"/>
          <w:i/>
          <w:iCs/>
        </w:rPr>
        <w:t xml:space="preserve"> of Egyptology</w:t>
      </w:r>
      <w:r w:rsidR="00C02A73">
        <w:rPr>
          <w:rFonts w:ascii="Times New Roman" w:hAnsi="Times New Roman" w:cs="Times New Roman"/>
        </w:rPr>
        <w:t xml:space="preserve"> </w:t>
      </w:r>
      <w:r w:rsidR="001F624C">
        <w:rPr>
          <w:rFonts w:ascii="Times New Roman" w:hAnsi="Times New Roman" w:cs="Times New Roman"/>
        </w:rPr>
        <w:t>(</w:t>
      </w:r>
      <w:r w:rsidR="009A0D88">
        <w:rPr>
          <w:rFonts w:ascii="Times New Roman" w:hAnsi="Times New Roman" w:cs="Times New Roman"/>
        </w:rPr>
        <w:t>2010</w:t>
      </w:r>
      <w:r w:rsidR="001F624C">
        <w:rPr>
          <w:rFonts w:ascii="Times New Roman" w:hAnsi="Times New Roman" w:cs="Times New Roman"/>
        </w:rPr>
        <w:t>)</w:t>
      </w:r>
      <w:r w:rsidR="009A0D88">
        <w:rPr>
          <w:rFonts w:ascii="Times New Roman" w:hAnsi="Times New Roman" w:cs="Times New Roman"/>
        </w:rPr>
        <w:t xml:space="preserve"> p. 8</w:t>
      </w:r>
      <w:r w:rsidR="003E7C70">
        <w:rPr>
          <w:rFonts w:ascii="Times New Roman" w:hAnsi="Times New Roman" w:cs="Times New Roman"/>
        </w:rPr>
        <w:t xml:space="preserve"> </w:t>
      </w:r>
      <w:hyperlink r:id="rId8" w:history="1">
        <w:r w:rsidR="003E7C70" w:rsidRPr="00F535B9">
          <w:rPr>
            <w:rStyle w:val="Hyperlink"/>
            <w:rFonts w:ascii="Times New Roman" w:hAnsi="Times New Roman" w:cs="Times New Roman"/>
          </w:rPr>
          <w:t>https://escholarship.org/uc/item/1r32g9zn</w:t>
        </w:r>
      </w:hyperlink>
      <w:r w:rsidR="003E7C70">
        <w:rPr>
          <w:rFonts w:ascii="Times New Roman" w:hAnsi="Times New Roman" w:cs="Times New Roman"/>
        </w:rPr>
        <w:t xml:space="preserve"> [accessed 9th March 2026]</w:t>
      </w:r>
    </w:p>
  </w:footnote>
  <w:footnote w:id="31">
    <w:p w14:paraId="251A94F6" w14:textId="485C7367" w:rsidR="00D9149F" w:rsidRPr="00D9149F" w:rsidRDefault="00D9149F">
      <w:pPr>
        <w:pStyle w:val="FootnoteText"/>
        <w:rPr>
          <w:rFonts w:ascii="Times New Roman" w:hAnsi="Times New Roman" w:cs="Times New Roman"/>
        </w:rPr>
      </w:pPr>
      <w:r w:rsidRPr="00D9149F">
        <w:rPr>
          <w:rStyle w:val="FootnoteReference"/>
          <w:rFonts w:ascii="Times New Roman" w:hAnsi="Times New Roman" w:cs="Times New Roman"/>
        </w:rPr>
        <w:footnoteRef/>
      </w:r>
      <w:r w:rsidRPr="00D9149F">
        <w:rPr>
          <w:rFonts w:ascii="Times New Roman" w:hAnsi="Times New Roman" w:cs="Times New Roman"/>
        </w:rPr>
        <w:t xml:space="preserve"> </w:t>
      </w:r>
      <w:r>
        <w:rPr>
          <w:rFonts w:ascii="Times New Roman" w:hAnsi="Times New Roman" w:cs="Times New Roman"/>
        </w:rPr>
        <w:t>Pamela Rose, ‘The Ceramics from Shaft I’</w:t>
      </w:r>
      <w:r w:rsidR="00290AD2">
        <w:rPr>
          <w:rFonts w:ascii="Times New Roman" w:hAnsi="Times New Roman" w:cs="Times New Roman"/>
        </w:rPr>
        <w:t xml:space="preserve"> in </w:t>
      </w:r>
      <w:r w:rsidR="00290AD2" w:rsidRPr="005D7A8B">
        <w:rPr>
          <w:rFonts w:ascii="Times New Roman" w:hAnsi="Times New Roman" w:cs="Times New Roman"/>
          <w:i/>
          <w:iCs/>
        </w:rPr>
        <w:t>The Tomb of Pharaoh’s Chancellor Senneferi at Thebes</w:t>
      </w:r>
      <w:r w:rsidR="00290AD2">
        <w:rPr>
          <w:rFonts w:ascii="Times New Roman" w:hAnsi="Times New Roman" w:cs="Times New Roman"/>
        </w:rPr>
        <w:t xml:space="preserve"> </w:t>
      </w:r>
      <w:r w:rsidR="00290AD2" w:rsidRPr="00037804">
        <w:rPr>
          <w:rFonts w:ascii="Times New Roman" w:hAnsi="Times New Roman" w:cs="Times New Roman"/>
          <w:i/>
          <w:iCs/>
        </w:rPr>
        <w:t>(TT99)</w:t>
      </w:r>
      <w:r w:rsidR="00476CA7" w:rsidRPr="00037804">
        <w:rPr>
          <w:rFonts w:ascii="Times New Roman" w:hAnsi="Times New Roman" w:cs="Times New Roman"/>
          <w:i/>
          <w:iCs/>
        </w:rPr>
        <w:t xml:space="preserve"> </w:t>
      </w:r>
      <w:r w:rsidR="00476CA7">
        <w:rPr>
          <w:rFonts w:ascii="Times New Roman" w:hAnsi="Times New Roman" w:cs="Times New Roman"/>
        </w:rPr>
        <w:t>by Nigel Strudwick (</w:t>
      </w:r>
      <w:r w:rsidR="005D7A8B">
        <w:rPr>
          <w:rFonts w:ascii="Times New Roman" w:hAnsi="Times New Roman" w:cs="Times New Roman"/>
        </w:rPr>
        <w:t>Oxford: Oxbow Books, 2016</w:t>
      </w:r>
      <w:r w:rsidR="00476CA7">
        <w:rPr>
          <w:rFonts w:ascii="Times New Roman" w:hAnsi="Times New Roman" w:cs="Times New Roman"/>
        </w:rPr>
        <w:t>)</w:t>
      </w:r>
      <w:r w:rsidR="00037804">
        <w:rPr>
          <w:rFonts w:ascii="Times New Roman" w:hAnsi="Times New Roman" w:cs="Times New Roman"/>
        </w:rPr>
        <w:t xml:space="preserve"> pp. 293-314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815DA2"/>
    <w:multiLevelType w:val="hybridMultilevel"/>
    <w:tmpl w:val="67F218FA"/>
    <w:lvl w:ilvl="0" w:tplc="CB54089A">
      <w:numFmt w:val="bullet"/>
      <w:lvlText w:val=""/>
      <w:lvlJc w:val="left"/>
      <w:pPr>
        <w:ind w:left="720" w:hanging="360"/>
      </w:pPr>
      <w:rPr>
        <w:rFonts w:ascii="Wingdings" w:eastAsiaTheme="minorEastAsia"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8890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F7B"/>
    <w:rsid w:val="00000D64"/>
    <w:rsid w:val="00001F90"/>
    <w:rsid w:val="00003A5D"/>
    <w:rsid w:val="00014C04"/>
    <w:rsid w:val="00016CBD"/>
    <w:rsid w:val="00020731"/>
    <w:rsid w:val="00024D0F"/>
    <w:rsid w:val="0002635A"/>
    <w:rsid w:val="00026B06"/>
    <w:rsid w:val="0003476A"/>
    <w:rsid w:val="00036A51"/>
    <w:rsid w:val="00037804"/>
    <w:rsid w:val="0004142F"/>
    <w:rsid w:val="00044AF1"/>
    <w:rsid w:val="000523D1"/>
    <w:rsid w:val="0005298D"/>
    <w:rsid w:val="000553E5"/>
    <w:rsid w:val="00056F28"/>
    <w:rsid w:val="000654C8"/>
    <w:rsid w:val="000738F9"/>
    <w:rsid w:val="000839A8"/>
    <w:rsid w:val="00093528"/>
    <w:rsid w:val="000944DC"/>
    <w:rsid w:val="000B10F0"/>
    <w:rsid w:val="000B4026"/>
    <w:rsid w:val="000B4AAA"/>
    <w:rsid w:val="000B56F4"/>
    <w:rsid w:val="000C3CCE"/>
    <w:rsid w:val="000C68A5"/>
    <w:rsid w:val="000C776E"/>
    <w:rsid w:val="000D4412"/>
    <w:rsid w:val="000D7077"/>
    <w:rsid w:val="000D7537"/>
    <w:rsid w:val="000F2987"/>
    <w:rsid w:val="000F4283"/>
    <w:rsid w:val="00114456"/>
    <w:rsid w:val="00126DA9"/>
    <w:rsid w:val="00130BAF"/>
    <w:rsid w:val="001312C8"/>
    <w:rsid w:val="00134225"/>
    <w:rsid w:val="0014332C"/>
    <w:rsid w:val="0015229B"/>
    <w:rsid w:val="00154DA4"/>
    <w:rsid w:val="0015595D"/>
    <w:rsid w:val="0016373A"/>
    <w:rsid w:val="001639B5"/>
    <w:rsid w:val="00176FB9"/>
    <w:rsid w:val="00182B60"/>
    <w:rsid w:val="0018396C"/>
    <w:rsid w:val="001A3B69"/>
    <w:rsid w:val="001A7069"/>
    <w:rsid w:val="001A7298"/>
    <w:rsid w:val="001A7EEC"/>
    <w:rsid w:val="001B518A"/>
    <w:rsid w:val="001B7047"/>
    <w:rsid w:val="001D5575"/>
    <w:rsid w:val="001D628C"/>
    <w:rsid w:val="001D63E9"/>
    <w:rsid w:val="001E1393"/>
    <w:rsid w:val="001E28BE"/>
    <w:rsid w:val="001F4D80"/>
    <w:rsid w:val="001F624C"/>
    <w:rsid w:val="001F7CE8"/>
    <w:rsid w:val="002032B7"/>
    <w:rsid w:val="002050C7"/>
    <w:rsid w:val="00205820"/>
    <w:rsid w:val="002123BD"/>
    <w:rsid w:val="00213ABE"/>
    <w:rsid w:val="002148BE"/>
    <w:rsid w:val="00220DFB"/>
    <w:rsid w:val="00232A07"/>
    <w:rsid w:val="002348B7"/>
    <w:rsid w:val="00235CBC"/>
    <w:rsid w:val="00254176"/>
    <w:rsid w:val="00254664"/>
    <w:rsid w:val="00255FDE"/>
    <w:rsid w:val="0026141D"/>
    <w:rsid w:val="0026469C"/>
    <w:rsid w:val="002648C5"/>
    <w:rsid w:val="0026546B"/>
    <w:rsid w:val="0026573E"/>
    <w:rsid w:val="00267057"/>
    <w:rsid w:val="00272D51"/>
    <w:rsid w:val="00274F4E"/>
    <w:rsid w:val="0027509C"/>
    <w:rsid w:val="002839A7"/>
    <w:rsid w:val="00290AD2"/>
    <w:rsid w:val="00293561"/>
    <w:rsid w:val="00294FE1"/>
    <w:rsid w:val="002A38D4"/>
    <w:rsid w:val="002B03B0"/>
    <w:rsid w:val="002B62E3"/>
    <w:rsid w:val="002C2BD1"/>
    <w:rsid w:val="002C4D07"/>
    <w:rsid w:val="002D3980"/>
    <w:rsid w:val="002D4894"/>
    <w:rsid w:val="002F4109"/>
    <w:rsid w:val="002F52B0"/>
    <w:rsid w:val="00300B9F"/>
    <w:rsid w:val="00303FDD"/>
    <w:rsid w:val="00310FC3"/>
    <w:rsid w:val="0031184E"/>
    <w:rsid w:val="0031655A"/>
    <w:rsid w:val="0032371C"/>
    <w:rsid w:val="00331FFE"/>
    <w:rsid w:val="00345C54"/>
    <w:rsid w:val="0035022C"/>
    <w:rsid w:val="003527EA"/>
    <w:rsid w:val="00356A19"/>
    <w:rsid w:val="003634BD"/>
    <w:rsid w:val="003634D3"/>
    <w:rsid w:val="00373F62"/>
    <w:rsid w:val="003803DA"/>
    <w:rsid w:val="00387A5F"/>
    <w:rsid w:val="00390A28"/>
    <w:rsid w:val="003928E0"/>
    <w:rsid w:val="003A0068"/>
    <w:rsid w:val="003A24FC"/>
    <w:rsid w:val="003B44CE"/>
    <w:rsid w:val="003B4885"/>
    <w:rsid w:val="003B64AA"/>
    <w:rsid w:val="003C212A"/>
    <w:rsid w:val="003C60D4"/>
    <w:rsid w:val="003D4E31"/>
    <w:rsid w:val="003D7A78"/>
    <w:rsid w:val="003E0EEB"/>
    <w:rsid w:val="003E1459"/>
    <w:rsid w:val="003E4418"/>
    <w:rsid w:val="003E507C"/>
    <w:rsid w:val="003E5BB7"/>
    <w:rsid w:val="003E6323"/>
    <w:rsid w:val="003E73E5"/>
    <w:rsid w:val="003E7A84"/>
    <w:rsid w:val="003E7C70"/>
    <w:rsid w:val="003F0FBD"/>
    <w:rsid w:val="003F11F0"/>
    <w:rsid w:val="003F28E8"/>
    <w:rsid w:val="003F68C1"/>
    <w:rsid w:val="0042582C"/>
    <w:rsid w:val="00433611"/>
    <w:rsid w:val="00437D77"/>
    <w:rsid w:val="00441728"/>
    <w:rsid w:val="00443962"/>
    <w:rsid w:val="0044490C"/>
    <w:rsid w:val="00446A2A"/>
    <w:rsid w:val="00447264"/>
    <w:rsid w:val="00456FA3"/>
    <w:rsid w:val="00457ABB"/>
    <w:rsid w:val="00460AF0"/>
    <w:rsid w:val="00461641"/>
    <w:rsid w:val="00476CA7"/>
    <w:rsid w:val="00482016"/>
    <w:rsid w:val="00491402"/>
    <w:rsid w:val="004A492B"/>
    <w:rsid w:val="004C0966"/>
    <w:rsid w:val="004C0AD3"/>
    <w:rsid w:val="004C66F0"/>
    <w:rsid w:val="004E259D"/>
    <w:rsid w:val="004E7A88"/>
    <w:rsid w:val="004F2863"/>
    <w:rsid w:val="004F2B03"/>
    <w:rsid w:val="004F5375"/>
    <w:rsid w:val="00513AA4"/>
    <w:rsid w:val="00521F9C"/>
    <w:rsid w:val="00522E73"/>
    <w:rsid w:val="00524247"/>
    <w:rsid w:val="00527037"/>
    <w:rsid w:val="00532AE4"/>
    <w:rsid w:val="005420FE"/>
    <w:rsid w:val="005539DC"/>
    <w:rsid w:val="00562CA5"/>
    <w:rsid w:val="005652FA"/>
    <w:rsid w:val="00567D27"/>
    <w:rsid w:val="005729E7"/>
    <w:rsid w:val="00573811"/>
    <w:rsid w:val="00575D12"/>
    <w:rsid w:val="00577367"/>
    <w:rsid w:val="00590C89"/>
    <w:rsid w:val="005920DF"/>
    <w:rsid w:val="005960D6"/>
    <w:rsid w:val="005A0292"/>
    <w:rsid w:val="005A06AE"/>
    <w:rsid w:val="005A2205"/>
    <w:rsid w:val="005B3F8E"/>
    <w:rsid w:val="005C1FB9"/>
    <w:rsid w:val="005D4F22"/>
    <w:rsid w:val="005D6544"/>
    <w:rsid w:val="005D7A8B"/>
    <w:rsid w:val="005E3143"/>
    <w:rsid w:val="005E6B1B"/>
    <w:rsid w:val="005F2E24"/>
    <w:rsid w:val="005F511D"/>
    <w:rsid w:val="005F5763"/>
    <w:rsid w:val="005F6C36"/>
    <w:rsid w:val="005F7BC1"/>
    <w:rsid w:val="006051F1"/>
    <w:rsid w:val="006109C3"/>
    <w:rsid w:val="00614B18"/>
    <w:rsid w:val="006202D6"/>
    <w:rsid w:val="00625491"/>
    <w:rsid w:val="00626CEF"/>
    <w:rsid w:val="00630EE7"/>
    <w:rsid w:val="006363D7"/>
    <w:rsid w:val="00641A63"/>
    <w:rsid w:val="006436FB"/>
    <w:rsid w:val="006505B3"/>
    <w:rsid w:val="00653E6A"/>
    <w:rsid w:val="0065517B"/>
    <w:rsid w:val="00656E93"/>
    <w:rsid w:val="00675801"/>
    <w:rsid w:val="00675CD2"/>
    <w:rsid w:val="00676947"/>
    <w:rsid w:val="006838DB"/>
    <w:rsid w:val="006B65F7"/>
    <w:rsid w:val="006C0C8F"/>
    <w:rsid w:val="006D0426"/>
    <w:rsid w:val="006D0C5B"/>
    <w:rsid w:val="006D196C"/>
    <w:rsid w:val="006D6FC9"/>
    <w:rsid w:val="006E3497"/>
    <w:rsid w:val="006E5853"/>
    <w:rsid w:val="006F38B3"/>
    <w:rsid w:val="006F7DC5"/>
    <w:rsid w:val="00710D24"/>
    <w:rsid w:val="00715E42"/>
    <w:rsid w:val="007256DB"/>
    <w:rsid w:val="00726528"/>
    <w:rsid w:val="00730D35"/>
    <w:rsid w:val="0073513C"/>
    <w:rsid w:val="007373EF"/>
    <w:rsid w:val="00754410"/>
    <w:rsid w:val="00756C17"/>
    <w:rsid w:val="00766266"/>
    <w:rsid w:val="00772FF1"/>
    <w:rsid w:val="00773A30"/>
    <w:rsid w:val="00776C2F"/>
    <w:rsid w:val="007A2A44"/>
    <w:rsid w:val="007B01E9"/>
    <w:rsid w:val="007B0F01"/>
    <w:rsid w:val="007B7869"/>
    <w:rsid w:val="007D7173"/>
    <w:rsid w:val="007E303E"/>
    <w:rsid w:val="007E6A56"/>
    <w:rsid w:val="007F48EE"/>
    <w:rsid w:val="007F645F"/>
    <w:rsid w:val="00800686"/>
    <w:rsid w:val="00802F34"/>
    <w:rsid w:val="008113F6"/>
    <w:rsid w:val="00820FCA"/>
    <w:rsid w:val="00831451"/>
    <w:rsid w:val="00831777"/>
    <w:rsid w:val="00832D5C"/>
    <w:rsid w:val="00850140"/>
    <w:rsid w:val="00854937"/>
    <w:rsid w:val="0085562A"/>
    <w:rsid w:val="00860A62"/>
    <w:rsid w:val="00872D73"/>
    <w:rsid w:val="00876F5E"/>
    <w:rsid w:val="0088184B"/>
    <w:rsid w:val="00887FE7"/>
    <w:rsid w:val="008962FF"/>
    <w:rsid w:val="008A377F"/>
    <w:rsid w:val="008A4BBA"/>
    <w:rsid w:val="008B1C08"/>
    <w:rsid w:val="008B65CE"/>
    <w:rsid w:val="008D5250"/>
    <w:rsid w:val="008D6921"/>
    <w:rsid w:val="008E78DD"/>
    <w:rsid w:val="008F39D4"/>
    <w:rsid w:val="008F7C14"/>
    <w:rsid w:val="009046E6"/>
    <w:rsid w:val="00906F1B"/>
    <w:rsid w:val="00912EEC"/>
    <w:rsid w:val="00921A08"/>
    <w:rsid w:val="00922A6B"/>
    <w:rsid w:val="00923EAB"/>
    <w:rsid w:val="00932220"/>
    <w:rsid w:val="009332F8"/>
    <w:rsid w:val="0093647B"/>
    <w:rsid w:val="00943871"/>
    <w:rsid w:val="009511AD"/>
    <w:rsid w:val="00951332"/>
    <w:rsid w:val="0095646F"/>
    <w:rsid w:val="00961844"/>
    <w:rsid w:val="00970ECA"/>
    <w:rsid w:val="00975CB8"/>
    <w:rsid w:val="00975D23"/>
    <w:rsid w:val="009767E4"/>
    <w:rsid w:val="00977B8D"/>
    <w:rsid w:val="0098089A"/>
    <w:rsid w:val="00984B38"/>
    <w:rsid w:val="00984D27"/>
    <w:rsid w:val="00985E24"/>
    <w:rsid w:val="00987E16"/>
    <w:rsid w:val="00990C6D"/>
    <w:rsid w:val="00993186"/>
    <w:rsid w:val="009964B7"/>
    <w:rsid w:val="009A0D88"/>
    <w:rsid w:val="009A5C69"/>
    <w:rsid w:val="009C6372"/>
    <w:rsid w:val="009D4DD8"/>
    <w:rsid w:val="009D60ED"/>
    <w:rsid w:val="009E0AE9"/>
    <w:rsid w:val="009E332A"/>
    <w:rsid w:val="009E3418"/>
    <w:rsid w:val="009F30D2"/>
    <w:rsid w:val="00A0097A"/>
    <w:rsid w:val="00A05201"/>
    <w:rsid w:val="00A12BA2"/>
    <w:rsid w:val="00A12FEA"/>
    <w:rsid w:val="00A13C84"/>
    <w:rsid w:val="00A14EC9"/>
    <w:rsid w:val="00A2188D"/>
    <w:rsid w:val="00A221FC"/>
    <w:rsid w:val="00A2223D"/>
    <w:rsid w:val="00A276FA"/>
    <w:rsid w:val="00A30D12"/>
    <w:rsid w:val="00A31C18"/>
    <w:rsid w:val="00A44DE0"/>
    <w:rsid w:val="00A452D1"/>
    <w:rsid w:val="00A529CC"/>
    <w:rsid w:val="00A53243"/>
    <w:rsid w:val="00A55B2A"/>
    <w:rsid w:val="00A56393"/>
    <w:rsid w:val="00A56B0A"/>
    <w:rsid w:val="00A60065"/>
    <w:rsid w:val="00A74065"/>
    <w:rsid w:val="00A80CE0"/>
    <w:rsid w:val="00A830EA"/>
    <w:rsid w:val="00A9224F"/>
    <w:rsid w:val="00A92F12"/>
    <w:rsid w:val="00A94B93"/>
    <w:rsid w:val="00AA4793"/>
    <w:rsid w:val="00AA6AE9"/>
    <w:rsid w:val="00AB0712"/>
    <w:rsid w:val="00AB4843"/>
    <w:rsid w:val="00AB6267"/>
    <w:rsid w:val="00AB7E1D"/>
    <w:rsid w:val="00AC169C"/>
    <w:rsid w:val="00AC5DE4"/>
    <w:rsid w:val="00AD0A96"/>
    <w:rsid w:val="00AD5C98"/>
    <w:rsid w:val="00AE66E9"/>
    <w:rsid w:val="00AE705E"/>
    <w:rsid w:val="00AF4B2B"/>
    <w:rsid w:val="00B01632"/>
    <w:rsid w:val="00B04B69"/>
    <w:rsid w:val="00B16C46"/>
    <w:rsid w:val="00B230AD"/>
    <w:rsid w:val="00B2405C"/>
    <w:rsid w:val="00B26295"/>
    <w:rsid w:val="00B31D9B"/>
    <w:rsid w:val="00B32F2D"/>
    <w:rsid w:val="00B3565B"/>
    <w:rsid w:val="00B40BED"/>
    <w:rsid w:val="00B4442B"/>
    <w:rsid w:val="00B45A3B"/>
    <w:rsid w:val="00B52BDF"/>
    <w:rsid w:val="00B55576"/>
    <w:rsid w:val="00B64DB3"/>
    <w:rsid w:val="00B654A3"/>
    <w:rsid w:val="00B7297B"/>
    <w:rsid w:val="00B7356D"/>
    <w:rsid w:val="00B96E54"/>
    <w:rsid w:val="00BB0EAF"/>
    <w:rsid w:val="00BC1F04"/>
    <w:rsid w:val="00BC4769"/>
    <w:rsid w:val="00BD0BB6"/>
    <w:rsid w:val="00BD410F"/>
    <w:rsid w:val="00BD532F"/>
    <w:rsid w:val="00BE7960"/>
    <w:rsid w:val="00C02A73"/>
    <w:rsid w:val="00C05654"/>
    <w:rsid w:val="00C10ABA"/>
    <w:rsid w:val="00C11ED5"/>
    <w:rsid w:val="00C1702C"/>
    <w:rsid w:val="00C45873"/>
    <w:rsid w:val="00C46D81"/>
    <w:rsid w:val="00C57156"/>
    <w:rsid w:val="00C61F03"/>
    <w:rsid w:val="00C63FAA"/>
    <w:rsid w:val="00C64A29"/>
    <w:rsid w:val="00C66CEC"/>
    <w:rsid w:val="00C71FE8"/>
    <w:rsid w:val="00C7296C"/>
    <w:rsid w:val="00C751A9"/>
    <w:rsid w:val="00C80DD2"/>
    <w:rsid w:val="00C81279"/>
    <w:rsid w:val="00C85F38"/>
    <w:rsid w:val="00CB0168"/>
    <w:rsid w:val="00CB3970"/>
    <w:rsid w:val="00CB55EF"/>
    <w:rsid w:val="00CC3AC1"/>
    <w:rsid w:val="00CD0E30"/>
    <w:rsid w:val="00CD1469"/>
    <w:rsid w:val="00CD1FF7"/>
    <w:rsid w:val="00CD6781"/>
    <w:rsid w:val="00CE0C01"/>
    <w:rsid w:val="00CE12E6"/>
    <w:rsid w:val="00CE6453"/>
    <w:rsid w:val="00CE6EBC"/>
    <w:rsid w:val="00CE7F4F"/>
    <w:rsid w:val="00CF5733"/>
    <w:rsid w:val="00CF7115"/>
    <w:rsid w:val="00D07829"/>
    <w:rsid w:val="00D07867"/>
    <w:rsid w:val="00D218E4"/>
    <w:rsid w:val="00D322E2"/>
    <w:rsid w:val="00D34D7F"/>
    <w:rsid w:val="00D41D94"/>
    <w:rsid w:val="00D43E54"/>
    <w:rsid w:val="00D476F6"/>
    <w:rsid w:val="00D65BC7"/>
    <w:rsid w:val="00D71C6E"/>
    <w:rsid w:val="00D9149F"/>
    <w:rsid w:val="00D979EC"/>
    <w:rsid w:val="00DA06E1"/>
    <w:rsid w:val="00DD1400"/>
    <w:rsid w:val="00DD3A1C"/>
    <w:rsid w:val="00DD711D"/>
    <w:rsid w:val="00DE22CA"/>
    <w:rsid w:val="00DF3ABA"/>
    <w:rsid w:val="00DF5489"/>
    <w:rsid w:val="00DF5A42"/>
    <w:rsid w:val="00DF6B4F"/>
    <w:rsid w:val="00DF6F30"/>
    <w:rsid w:val="00DF71CE"/>
    <w:rsid w:val="00E124D8"/>
    <w:rsid w:val="00E1324D"/>
    <w:rsid w:val="00E26DEF"/>
    <w:rsid w:val="00E40545"/>
    <w:rsid w:val="00E45C28"/>
    <w:rsid w:val="00E50524"/>
    <w:rsid w:val="00E528BA"/>
    <w:rsid w:val="00E73897"/>
    <w:rsid w:val="00E9136C"/>
    <w:rsid w:val="00E97B39"/>
    <w:rsid w:val="00EA236B"/>
    <w:rsid w:val="00EA4203"/>
    <w:rsid w:val="00EB32EA"/>
    <w:rsid w:val="00EC19C3"/>
    <w:rsid w:val="00EC4F16"/>
    <w:rsid w:val="00EC5B28"/>
    <w:rsid w:val="00ED0CE5"/>
    <w:rsid w:val="00ED2914"/>
    <w:rsid w:val="00ED2D86"/>
    <w:rsid w:val="00ED414A"/>
    <w:rsid w:val="00EE34BC"/>
    <w:rsid w:val="00EE3687"/>
    <w:rsid w:val="00EE5963"/>
    <w:rsid w:val="00EF08EB"/>
    <w:rsid w:val="00EF1FAA"/>
    <w:rsid w:val="00F03264"/>
    <w:rsid w:val="00F03884"/>
    <w:rsid w:val="00F041C4"/>
    <w:rsid w:val="00F065B4"/>
    <w:rsid w:val="00F070C1"/>
    <w:rsid w:val="00F103A2"/>
    <w:rsid w:val="00F1199D"/>
    <w:rsid w:val="00F13913"/>
    <w:rsid w:val="00F14327"/>
    <w:rsid w:val="00F26527"/>
    <w:rsid w:val="00F30422"/>
    <w:rsid w:val="00F30706"/>
    <w:rsid w:val="00F44E2E"/>
    <w:rsid w:val="00F45D22"/>
    <w:rsid w:val="00F46BBD"/>
    <w:rsid w:val="00F500E3"/>
    <w:rsid w:val="00F51E5B"/>
    <w:rsid w:val="00F51FC2"/>
    <w:rsid w:val="00F52588"/>
    <w:rsid w:val="00F5341B"/>
    <w:rsid w:val="00F539E4"/>
    <w:rsid w:val="00F561BB"/>
    <w:rsid w:val="00F56B91"/>
    <w:rsid w:val="00F56D46"/>
    <w:rsid w:val="00F60A5E"/>
    <w:rsid w:val="00F60AB9"/>
    <w:rsid w:val="00F61D61"/>
    <w:rsid w:val="00F73E81"/>
    <w:rsid w:val="00F75748"/>
    <w:rsid w:val="00F765F1"/>
    <w:rsid w:val="00F862B1"/>
    <w:rsid w:val="00F930DF"/>
    <w:rsid w:val="00FB10E3"/>
    <w:rsid w:val="00FB5BCE"/>
    <w:rsid w:val="00FC10F8"/>
    <w:rsid w:val="00FC50B2"/>
    <w:rsid w:val="00FC5C81"/>
    <w:rsid w:val="00FD1A8D"/>
    <w:rsid w:val="00FD58EF"/>
    <w:rsid w:val="00FD7B5C"/>
    <w:rsid w:val="00FE0509"/>
    <w:rsid w:val="00FE4F7B"/>
    <w:rsid w:val="00FE64D9"/>
    <w:rsid w:val="00FF344B"/>
    <w:rsid w:val="00FF70B6"/>
    <w:rsid w:val="00FF7C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99647F"/>
  <w15:chartTrackingRefBased/>
  <w15:docId w15:val="{5C3C4E1D-3556-4BAD-BADA-1D2E82B19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F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4F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4F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4F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4F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4F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F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F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F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F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4F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4F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4F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4F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4F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F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F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F7B"/>
    <w:rPr>
      <w:rFonts w:eastAsiaTheme="majorEastAsia" w:cstheme="majorBidi"/>
      <w:color w:val="272727" w:themeColor="text1" w:themeTint="D8"/>
    </w:rPr>
  </w:style>
  <w:style w:type="paragraph" w:styleId="Title">
    <w:name w:val="Title"/>
    <w:basedOn w:val="Normal"/>
    <w:next w:val="Normal"/>
    <w:link w:val="TitleChar"/>
    <w:uiPriority w:val="10"/>
    <w:qFormat/>
    <w:rsid w:val="00FE4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F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F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F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F7B"/>
    <w:pPr>
      <w:spacing w:before="160"/>
      <w:jc w:val="center"/>
    </w:pPr>
    <w:rPr>
      <w:i/>
      <w:iCs/>
      <w:color w:val="404040" w:themeColor="text1" w:themeTint="BF"/>
    </w:rPr>
  </w:style>
  <w:style w:type="character" w:customStyle="1" w:styleId="QuoteChar">
    <w:name w:val="Quote Char"/>
    <w:basedOn w:val="DefaultParagraphFont"/>
    <w:link w:val="Quote"/>
    <w:uiPriority w:val="29"/>
    <w:rsid w:val="00FE4F7B"/>
    <w:rPr>
      <w:i/>
      <w:iCs/>
      <w:color w:val="404040" w:themeColor="text1" w:themeTint="BF"/>
    </w:rPr>
  </w:style>
  <w:style w:type="paragraph" w:styleId="ListParagraph">
    <w:name w:val="List Paragraph"/>
    <w:basedOn w:val="Normal"/>
    <w:uiPriority w:val="34"/>
    <w:qFormat/>
    <w:rsid w:val="00FE4F7B"/>
    <w:pPr>
      <w:ind w:left="720"/>
      <w:contextualSpacing/>
    </w:pPr>
  </w:style>
  <w:style w:type="character" w:styleId="IntenseEmphasis">
    <w:name w:val="Intense Emphasis"/>
    <w:basedOn w:val="DefaultParagraphFont"/>
    <w:uiPriority w:val="21"/>
    <w:qFormat/>
    <w:rsid w:val="00FE4F7B"/>
    <w:rPr>
      <w:i/>
      <w:iCs/>
      <w:color w:val="0F4761" w:themeColor="accent1" w:themeShade="BF"/>
    </w:rPr>
  </w:style>
  <w:style w:type="paragraph" w:styleId="IntenseQuote">
    <w:name w:val="Intense Quote"/>
    <w:basedOn w:val="Normal"/>
    <w:next w:val="Normal"/>
    <w:link w:val="IntenseQuoteChar"/>
    <w:uiPriority w:val="30"/>
    <w:qFormat/>
    <w:rsid w:val="00FE4F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F7B"/>
    <w:rPr>
      <w:i/>
      <w:iCs/>
      <w:color w:val="0F4761" w:themeColor="accent1" w:themeShade="BF"/>
    </w:rPr>
  </w:style>
  <w:style w:type="character" w:styleId="IntenseReference">
    <w:name w:val="Intense Reference"/>
    <w:basedOn w:val="DefaultParagraphFont"/>
    <w:uiPriority w:val="32"/>
    <w:qFormat/>
    <w:rsid w:val="00FE4F7B"/>
    <w:rPr>
      <w:b/>
      <w:bCs/>
      <w:smallCaps/>
      <w:color w:val="0F4761" w:themeColor="accent1" w:themeShade="BF"/>
      <w:spacing w:val="5"/>
    </w:rPr>
  </w:style>
  <w:style w:type="paragraph" w:styleId="FootnoteText">
    <w:name w:val="footnote text"/>
    <w:basedOn w:val="Normal"/>
    <w:link w:val="FootnoteTextChar"/>
    <w:uiPriority w:val="99"/>
    <w:unhideWhenUsed/>
    <w:rsid w:val="00C05654"/>
    <w:pPr>
      <w:spacing w:after="0" w:line="240" w:lineRule="auto"/>
    </w:pPr>
    <w:rPr>
      <w:sz w:val="20"/>
      <w:szCs w:val="20"/>
    </w:rPr>
  </w:style>
  <w:style w:type="character" w:customStyle="1" w:styleId="FootnoteTextChar">
    <w:name w:val="Footnote Text Char"/>
    <w:basedOn w:val="DefaultParagraphFont"/>
    <w:link w:val="FootnoteText"/>
    <w:uiPriority w:val="99"/>
    <w:rsid w:val="00C05654"/>
    <w:rPr>
      <w:sz w:val="20"/>
      <w:szCs w:val="20"/>
    </w:rPr>
  </w:style>
  <w:style w:type="character" w:styleId="FootnoteReference">
    <w:name w:val="footnote reference"/>
    <w:basedOn w:val="DefaultParagraphFont"/>
    <w:uiPriority w:val="99"/>
    <w:semiHidden/>
    <w:unhideWhenUsed/>
    <w:rsid w:val="00C05654"/>
    <w:rPr>
      <w:vertAlign w:val="superscript"/>
    </w:rPr>
  </w:style>
  <w:style w:type="character" w:styleId="Hyperlink">
    <w:name w:val="Hyperlink"/>
    <w:basedOn w:val="DefaultParagraphFont"/>
    <w:uiPriority w:val="99"/>
    <w:unhideWhenUsed/>
    <w:rsid w:val="00331FFE"/>
    <w:rPr>
      <w:color w:val="467886" w:themeColor="hyperlink"/>
      <w:u w:val="single"/>
    </w:rPr>
  </w:style>
  <w:style w:type="character" w:styleId="UnresolvedMention">
    <w:name w:val="Unresolved Mention"/>
    <w:basedOn w:val="DefaultParagraphFont"/>
    <w:uiPriority w:val="99"/>
    <w:semiHidden/>
    <w:unhideWhenUsed/>
    <w:rsid w:val="00331FFE"/>
    <w:rPr>
      <w:color w:val="605E5C"/>
      <w:shd w:val="clear" w:color="auto" w:fill="E1DFDD"/>
    </w:rPr>
  </w:style>
  <w:style w:type="paragraph" w:styleId="Header">
    <w:name w:val="header"/>
    <w:basedOn w:val="Normal"/>
    <w:link w:val="HeaderChar"/>
    <w:uiPriority w:val="99"/>
    <w:semiHidden/>
    <w:unhideWhenUsed/>
    <w:rsid w:val="005F511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F511D"/>
  </w:style>
  <w:style w:type="paragraph" w:styleId="Footer">
    <w:name w:val="footer"/>
    <w:basedOn w:val="Normal"/>
    <w:link w:val="FooterChar"/>
    <w:uiPriority w:val="99"/>
    <w:semiHidden/>
    <w:unhideWhenUsed/>
    <w:rsid w:val="005F511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F51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Thutmose-III" TargetMode="External"/><Relationship Id="rId13" Type="http://schemas.openxmlformats.org/officeDocument/2006/relationships/hyperlink" Target="https://www.academia.edu/9072195/The_Power_of_the_Elite_The_Officials_of_Hatshepsut_s_Regency_and_Coregenc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izamedia.rc.fas.harvard.edu/images/MFA-images/Giza/GizaImage/full/library/roth_jea_79_1993.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5184/aqy.2024.159" TargetMode="External"/><Relationship Id="rId5" Type="http://schemas.openxmlformats.org/officeDocument/2006/relationships/webSettings" Target="webSettings.xml"/><Relationship Id="rId15" Type="http://schemas.openxmlformats.org/officeDocument/2006/relationships/hyperlink" Target="https://www.worldhistory.org/timeline/New_Kingdom_of_Egypt/" TargetMode="External"/><Relationship Id="rId10" Type="http://schemas.openxmlformats.org/officeDocument/2006/relationships/hyperlink" Target="https://escholarship.org/uc/item/1r32g9zn" TargetMode="External"/><Relationship Id="rId4" Type="http://schemas.openxmlformats.org/officeDocument/2006/relationships/settings" Target="settings.xml"/><Relationship Id="rId9" Type="http://schemas.openxmlformats.org/officeDocument/2006/relationships/hyperlink" Target="https://www-jstor-org.uwtsd.idm.oclc.org/stable/3822494?sid=primo&amp;seq=1" TargetMode="External"/><Relationship Id="rId14" Type="http://schemas.openxmlformats.org/officeDocument/2006/relationships/hyperlink" Target="https://tt99.fitz.ms/architecture/plan.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escholarship.org/uc/item/1r32g9zn" TargetMode="External"/><Relationship Id="rId3" Type="http://schemas.openxmlformats.org/officeDocument/2006/relationships/hyperlink" Target="https://www.academia.edu/9072195/The_Power_of_the_Elite_The_Officials_of_Hatshepsut_s_Regency_and_Coregency" TargetMode="External"/><Relationship Id="rId7" Type="http://schemas.openxmlformats.org/officeDocument/2006/relationships/hyperlink" Target="https://gizamedia.rc.fas.harvard.edu/images/MFA-images/Giza/GizaImage/full/library/roth_jea_79_1993.pdf" TargetMode="External"/><Relationship Id="rId2" Type="http://schemas.openxmlformats.org/officeDocument/2006/relationships/hyperlink" Target="https://www.britannica.com/biography/Thutmose-III" TargetMode="External"/><Relationship Id="rId1" Type="http://schemas.openxmlformats.org/officeDocument/2006/relationships/hyperlink" Target="https://www.worldhistory.org/timeline/New_Kingdom_of_Egypt/" TargetMode="External"/><Relationship Id="rId6" Type="http://schemas.openxmlformats.org/officeDocument/2006/relationships/hyperlink" Target="http://dx.doi.org/10.15184/aqy.2024.159" TargetMode="External"/><Relationship Id="rId5" Type="http://schemas.openxmlformats.org/officeDocument/2006/relationships/hyperlink" Target="https://www-jstor-org.uwtsd.idm.oclc.org/stable/3822494?sid=primo&amp;seq=1" TargetMode="External"/><Relationship Id="rId4" Type="http://schemas.openxmlformats.org/officeDocument/2006/relationships/hyperlink" Target="https://tt99.fitz.ms/architecture/pl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99434-01C2-4AC4-892E-ABC6B5F47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2334</Words>
  <Characters>13830</Characters>
  <Application>Microsoft Office Word</Application>
  <DocSecurity>0</DocSecurity>
  <Lines>216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16142</CharactersWithSpaces>
  <SharedDoc>false</SharedDoc>
  <HLinks>
    <vt:vector size="96" baseType="variant">
      <vt:variant>
        <vt:i4>3014742</vt:i4>
      </vt:variant>
      <vt:variant>
        <vt:i4>21</vt:i4>
      </vt:variant>
      <vt:variant>
        <vt:i4>0</vt:i4>
      </vt:variant>
      <vt:variant>
        <vt:i4>5</vt:i4>
      </vt:variant>
      <vt:variant>
        <vt:lpwstr>https://www.worldhistory.org/timeline/New_Kingdom_of_Egypt/</vt:lpwstr>
      </vt:variant>
      <vt:variant>
        <vt:lpwstr>:~:text=The%20New%20Kingdom%20of%20Egypt%20lasted%20from,%2D%201149%20BCE**%20Reign%20of%20Ramesses%20IV</vt:lpwstr>
      </vt:variant>
      <vt:variant>
        <vt:i4>3342372</vt:i4>
      </vt:variant>
      <vt:variant>
        <vt:i4>18</vt:i4>
      </vt:variant>
      <vt:variant>
        <vt:i4>0</vt:i4>
      </vt:variant>
      <vt:variant>
        <vt:i4>5</vt:i4>
      </vt:variant>
      <vt:variant>
        <vt:lpwstr>https://tt99.fitz.ms/architecture/plan.html</vt:lpwstr>
      </vt:variant>
      <vt:variant>
        <vt:lpwstr/>
      </vt:variant>
      <vt:variant>
        <vt:i4>589828</vt:i4>
      </vt:variant>
      <vt:variant>
        <vt:i4>15</vt:i4>
      </vt:variant>
      <vt:variant>
        <vt:i4>0</vt:i4>
      </vt:variant>
      <vt:variant>
        <vt:i4>5</vt:i4>
      </vt:variant>
      <vt:variant>
        <vt:lpwstr>https://www.academia.edu/9072195/The_Power_of_the_Elite_The_Officials_of_Hatshepsut_s_Regency_and_Coregency</vt:lpwstr>
      </vt:variant>
      <vt:variant>
        <vt:lpwstr/>
      </vt:variant>
      <vt:variant>
        <vt:i4>3801108</vt:i4>
      </vt:variant>
      <vt:variant>
        <vt:i4>12</vt:i4>
      </vt:variant>
      <vt:variant>
        <vt:i4>0</vt:i4>
      </vt:variant>
      <vt:variant>
        <vt:i4>5</vt:i4>
      </vt:variant>
      <vt:variant>
        <vt:lpwstr>https://gizamedia.rc.fas.harvard.edu/images/MFA-images/Giza/GizaImage/full/library/roth_jea_79_1993.pdf</vt:lpwstr>
      </vt:variant>
      <vt:variant>
        <vt:lpwstr/>
      </vt:variant>
      <vt:variant>
        <vt:i4>7995427</vt:i4>
      </vt:variant>
      <vt:variant>
        <vt:i4>9</vt:i4>
      </vt:variant>
      <vt:variant>
        <vt:i4>0</vt:i4>
      </vt:variant>
      <vt:variant>
        <vt:i4>5</vt:i4>
      </vt:variant>
      <vt:variant>
        <vt:lpwstr>http://dx.doi.org/10.15184/aqy.2024.159</vt:lpwstr>
      </vt:variant>
      <vt:variant>
        <vt:lpwstr/>
      </vt:variant>
      <vt:variant>
        <vt:i4>5767192</vt:i4>
      </vt:variant>
      <vt:variant>
        <vt:i4>6</vt:i4>
      </vt:variant>
      <vt:variant>
        <vt:i4>0</vt:i4>
      </vt:variant>
      <vt:variant>
        <vt:i4>5</vt:i4>
      </vt:variant>
      <vt:variant>
        <vt:lpwstr>https://escholarship.org/uc/item/1r32g9zn</vt:lpwstr>
      </vt:variant>
      <vt:variant>
        <vt:lpwstr/>
      </vt:variant>
      <vt:variant>
        <vt:i4>2490404</vt:i4>
      </vt:variant>
      <vt:variant>
        <vt:i4>3</vt:i4>
      </vt:variant>
      <vt:variant>
        <vt:i4>0</vt:i4>
      </vt:variant>
      <vt:variant>
        <vt:i4>5</vt:i4>
      </vt:variant>
      <vt:variant>
        <vt:lpwstr>https://www-jstor-org.uwtsd.idm.oclc.org/stable/3822494?sid=primo&amp;seq=1</vt:lpwstr>
      </vt:variant>
      <vt:variant>
        <vt:lpwstr/>
      </vt:variant>
      <vt:variant>
        <vt:i4>720926</vt:i4>
      </vt:variant>
      <vt:variant>
        <vt:i4>0</vt:i4>
      </vt:variant>
      <vt:variant>
        <vt:i4>0</vt:i4>
      </vt:variant>
      <vt:variant>
        <vt:i4>5</vt:i4>
      </vt:variant>
      <vt:variant>
        <vt:lpwstr>https://www.britannica.com/biography/Thutmose-III</vt:lpwstr>
      </vt:variant>
      <vt:variant>
        <vt:lpwstr/>
      </vt:variant>
      <vt:variant>
        <vt:i4>5767192</vt:i4>
      </vt:variant>
      <vt:variant>
        <vt:i4>21</vt:i4>
      </vt:variant>
      <vt:variant>
        <vt:i4>0</vt:i4>
      </vt:variant>
      <vt:variant>
        <vt:i4>5</vt:i4>
      </vt:variant>
      <vt:variant>
        <vt:lpwstr>https://escholarship.org/uc/item/1r32g9zn</vt:lpwstr>
      </vt:variant>
      <vt:variant>
        <vt:lpwstr/>
      </vt:variant>
      <vt:variant>
        <vt:i4>3801108</vt:i4>
      </vt:variant>
      <vt:variant>
        <vt:i4>18</vt:i4>
      </vt:variant>
      <vt:variant>
        <vt:i4>0</vt:i4>
      </vt:variant>
      <vt:variant>
        <vt:i4>5</vt:i4>
      </vt:variant>
      <vt:variant>
        <vt:lpwstr>https://gizamedia.rc.fas.harvard.edu/images/MFA-images/Giza/GizaImage/full/library/roth_jea_79_1993.pdf</vt:lpwstr>
      </vt:variant>
      <vt:variant>
        <vt:lpwstr/>
      </vt:variant>
      <vt:variant>
        <vt:i4>7995427</vt:i4>
      </vt:variant>
      <vt:variant>
        <vt:i4>15</vt:i4>
      </vt:variant>
      <vt:variant>
        <vt:i4>0</vt:i4>
      </vt:variant>
      <vt:variant>
        <vt:i4>5</vt:i4>
      </vt:variant>
      <vt:variant>
        <vt:lpwstr>http://dx.doi.org/10.15184/aqy.2024.159</vt:lpwstr>
      </vt:variant>
      <vt:variant>
        <vt:lpwstr/>
      </vt:variant>
      <vt:variant>
        <vt:i4>2490404</vt:i4>
      </vt:variant>
      <vt:variant>
        <vt:i4>12</vt:i4>
      </vt:variant>
      <vt:variant>
        <vt:i4>0</vt:i4>
      </vt:variant>
      <vt:variant>
        <vt:i4>5</vt:i4>
      </vt:variant>
      <vt:variant>
        <vt:lpwstr>https://www-jstor-org.uwtsd.idm.oclc.org/stable/3822494?sid=primo&amp;seq=1</vt:lpwstr>
      </vt:variant>
      <vt:variant>
        <vt:lpwstr/>
      </vt:variant>
      <vt:variant>
        <vt:i4>3342372</vt:i4>
      </vt:variant>
      <vt:variant>
        <vt:i4>9</vt:i4>
      </vt:variant>
      <vt:variant>
        <vt:i4>0</vt:i4>
      </vt:variant>
      <vt:variant>
        <vt:i4>5</vt:i4>
      </vt:variant>
      <vt:variant>
        <vt:lpwstr>https://tt99.fitz.ms/architecture/plan.html</vt:lpwstr>
      </vt:variant>
      <vt:variant>
        <vt:lpwstr/>
      </vt:variant>
      <vt:variant>
        <vt:i4>589828</vt:i4>
      </vt:variant>
      <vt:variant>
        <vt:i4>6</vt:i4>
      </vt:variant>
      <vt:variant>
        <vt:i4>0</vt:i4>
      </vt:variant>
      <vt:variant>
        <vt:i4>5</vt:i4>
      </vt:variant>
      <vt:variant>
        <vt:lpwstr>https://www.academia.edu/9072195/The_Power_of_the_Elite_The_Officials_of_Hatshepsut_s_Regency_and_Coregency</vt:lpwstr>
      </vt:variant>
      <vt:variant>
        <vt:lpwstr/>
      </vt:variant>
      <vt:variant>
        <vt:i4>720926</vt:i4>
      </vt:variant>
      <vt:variant>
        <vt:i4>3</vt:i4>
      </vt:variant>
      <vt:variant>
        <vt:i4>0</vt:i4>
      </vt:variant>
      <vt:variant>
        <vt:i4>5</vt:i4>
      </vt:variant>
      <vt:variant>
        <vt:lpwstr>https://www.britannica.com/biography/Thutmose-III</vt:lpwstr>
      </vt:variant>
      <vt:variant>
        <vt:lpwstr/>
      </vt:variant>
      <vt:variant>
        <vt:i4>3014742</vt:i4>
      </vt:variant>
      <vt:variant>
        <vt:i4>0</vt:i4>
      </vt:variant>
      <vt:variant>
        <vt:i4>0</vt:i4>
      </vt:variant>
      <vt:variant>
        <vt:i4>5</vt:i4>
      </vt:variant>
      <vt:variant>
        <vt:lpwstr>https://www.worldhistory.org/timeline/New_Kingdom_of_Egypt/</vt:lpwstr>
      </vt:variant>
      <vt:variant>
        <vt:lpwstr>:~:text=The%20New%20Kingdom%20of%20Egypt%20lasted%20from,%2D%201149%20BCE**%20Reign%20of%20Ramesses%20IV</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3</cp:revision>
  <dcterms:created xsi:type="dcterms:W3CDTF">2026-03-13T15:02:00Z</dcterms:created>
  <dcterms:modified xsi:type="dcterms:W3CDTF">2026-03-13T15:02:00Z</dcterms:modified>
</cp:coreProperties>
</file>