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E982282" w14:textId="013705F0" w:rsidR="00523237" w:rsidRDefault="00FA1DB4">
      <w:pPr>
        <w:rPr>
          <w:noProof/>
        </w:rPr>
      </w:pPr>
      <w:bookmarkStart w:id="0" w:name="_top"/>
      <w:bookmarkEnd w:id="0"/>
      <w:r>
        <w:rPr>
          <w:noProof/>
        </w:rPr>
        <w:drawing>
          <wp:inline distT="0" distB="0" distL="0" distR="0" wp14:anchorId="36EB766B" wp14:editId="022AC37D">
            <wp:extent cx="2965450" cy="983414"/>
            <wp:effectExtent l="0" t="0" r="0" b="0"/>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xt&#10;&#10;Description automatically generated with medium confiden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98687" cy="1027598"/>
                    </a:xfrm>
                    <a:prstGeom prst="rect">
                      <a:avLst/>
                    </a:prstGeom>
                    <a:noFill/>
                    <a:ln>
                      <a:noFill/>
                    </a:ln>
                  </pic:spPr>
                </pic:pic>
              </a:graphicData>
            </a:graphic>
          </wp:inline>
        </w:drawing>
      </w:r>
    </w:p>
    <w:p w14:paraId="6BB97B89" w14:textId="77777777" w:rsidR="00FA1DB4" w:rsidRPr="00FA1DB4" w:rsidRDefault="00FA1DB4" w:rsidP="00FA1DB4"/>
    <w:p w14:paraId="36CFC32D" w14:textId="77777777" w:rsidR="00FA1DB4" w:rsidRPr="00FA1DB4" w:rsidRDefault="00FA1DB4" w:rsidP="00FA1DB4"/>
    <w:p w14:paraId="436BEF84" w14:textId="77777777" w:rsidR="00FA1DB4" w:rsidRPr="00FA1DB4" w:rsidRDefault="00FA1DB4" w:rsidP="00FA1DB4"/>
    <w:p w14:paraId="3B4BE1E1" w14:textId="77777777" w:rsidR="00FA1DB4" w:rsidRPr="00FA1DB4" w:rsidRDefault="00FA1DB4" w:rsidP="00FA1DB4"/>
    <w:p w14:paraId="56FC78AB" w14:textId="77777777" w:rsidR="00FA1DB4" w:rsidRDefault="00FA1DB4" w:rsidP="00FA1DB4">
      <w:pPr>
        <w:rPr>
          <w:noProof/>
        </w:rPr>
      </w:pPr>
    </w:p>
    <w:p w14:paraId="5131F94D" w14:textId="77777777" w:rsidR="00FA1DB4" w:rsidRDefault="00FA1DB4" w:rsidP="00FA1DB4">
      <w:pPr>
        <w:spacing w:line="360" w:lineRule="auto"/>
        <w:jc w:val="center"/>
        <w:rPr>
          <w:b/>
          <w:bCs/>
        </w:rPr>
      </w:pPr>
      <w:r>
        <w:rPr>
          <w:b/>
          <w:bCs/>
        </w:rPr>
        <w:t>BA BUSINESS MANAGEMENT</w:t>
      </w:r>
    </w:p>
    <w:p w14:paraId="0535DB5D" w14:textId="77777777" w:rsidR="00FA1DB4" w:rsidRDefault="00FA1DB4" w:rsidP="00FA1DB4">
      <w:pPr>
        <w:spacing w:line="360" w:lineRule="auto"/>
        <w:jc w:val="center"/>
        <w:rPr>
          <w:b/>
          <w:bCs/>
        </w:rPr>
      </w:pPr>
    </w:p>
    <w:p w14:paraId="34E4A120" w14:textId="1A2E1FCA" w:rsidR="00FA1DB4" w:rsidRPr="00FA1DB4" w:rsidRDefault="00FA1DB4" w:rsidP="00FA1DB4">
      <w:pPr>
        <w:spacing w:before="100" w:beforeAutospacing="1" w:after="100" w:afterAutospacing="1"/>
        <w:jc w:val="center"/>
        <w:rPr>
          <w:rFonts w:ascii="Times New Roman" w:eastAsia="Times New Roman" w:hAnsi="Times New Roman" w:cs="Times New Roman"/>
          <w:kern w:val="0"/>
          <w:lang w:eastAsia="en-GB"/>
          <w14:ligatures w14:val="none"/>
        </w:rPr>
      </w:pPr>
      <w:r>
        <w:rPr>
          <w:rFonts w:ascii="Arial" w:eastAsia="Times New Roman" w:hAnsi="Arial" w:cs="Arial"/>
          <w:b/>
          <w:bCs/>
          <w:kern w:val="0"/>
          <w:sz w:val="22"/>
          <w:szCs w:val="22"/>
          <w:lang w:eastAsia="en-GB"/>
          <w14:ligatures w14:val="none"/>
        </w:rPr>
        <w:t>I</w:t>
      </w:r>
      <w:r w:rsidRPr="00FA1DB4">
        <w:rPr>
          <w:rFonts w:ascii="Arial" w:eastAsia="Times New Roman" w:hAnsi="Arial" w:cs="Arial"/>
          <w:b/>
          <w:bCs/>
          <w:kern w:val="0"/>
          <w:sz w:val="22"/>
          <w:szCs w:val="22"/>
          <w:lang w:eastAsia="en-GB"/>
          <w14:ligatures w14:val="none"/>
        </w:rPr>
        <w:t>nternational Financial Management</w:t>
      </w:r>
    </w:p>
    <w:p w14:paraId="26B76879" w14:textId="624C40B4" w:rsidR="00FA1DB4" w:rsidRDefault="00FA1DB4" w:rsidP="00FA1DB4">
      <w:pPr>
        <w:pStyle w:val="NormalWeb"/>
        <w:jc w:val="center"/>
        <w:rPr>
          <w:rFonts w:ascii="Arial" w:hAnsi="Arial" w:cs="Arial"/>
          <w:b/>
          <w:bCs/>
        </w:rPr>
      </w:pPr>
      <w:r>
        <w:rPr>
          <w:rFonts w:ascii="Arial" w:hAnsi="Arial" w:cs="Arial"/>
          <w:b/>
          <w:bCs/>
        </w:rPr>
        <w:t xml:space="preserve">Assessment </w:t>
      </w:r>
      <w:r w:rsidR="008933BC">
        <w:rPr>
          <w:rFonts w:ascii="Arial" w:hAnsi="Arial" w:cs="Arial"/>
          <w:b/>
          <w:bCs/>
        </w:rPr>
        <w:t>1</w:t>
      </w:r>
    </w:p>
    <w:p w14:paraId="652F9EA1" w14:textId="77777777" w:rsidR="00FA1DB4" w:rsidRDefault="00FA1DB4" w:rsidP="00FA1DB4">
      <w:pPr>
        <w:pStyle w:val="NormalWeb"/>
        <w:jc w:val="center"/>
      </w:pPr>
    </w:p>
    <w:p w14:paraId="6EE57AED" w14:textId="77777777" w:rsidR="00FA1DB4" w:rsidRDefault="00FA1DB4" w:rsidP="00FA1DB4">
      <w:pPr>
        <w:spacing w:line="360" w:lineRule="auto"/>
        <w:jc w:val="center"/>
        <w:rPr>
          <w:b/>
          <w:bCs/>
        </w:rPr>
      </w:pPr>
    </w:p>
    <w:p w14:paraId="74A9BA46" w14:textId="77777777" w:rsidR="00FA1DB4" w:rsidRDefault="00FA1DB4" w:rsidP="00FA1DB4">
      <w:pPr>
        <w:pStyle w:val="NoSpacing"/>
        <w:rPr>
          <w:b/>
          <w:bCs/>
          <w:sz w:val="28"/>
          <w:szCs w:val="28"/>
        </w:rPr>
      </w:pPr>
    </w:p>
    <w:p w14:paraId="2E5C0A17" w14:textId="0347D473" w:rsidR="00FA1DB4" w:rsidRPr="00FA1DB4" w:rsidRDefault="00FA1DB4" w:rsidP="00FA1DB4">
      <w:pPr>
        <w:pStyle w:val="NormalWeb"/>
        <w:rPr>
          <w:sz w:val="24"/>
          <w:szCs w:val="24"/>
        </w:rPr>
      </w:pPr>
      <w:r w:rsidRPr="00754643">
        <w:rPr>
          <w:b/>
          <w:bCs/>
          <w:sz w:val="28"/>
          <w:szCs w:val="28"/>
        </w:rPr>
        <w:t>Module</w:t>
      </w:r>
      <w:r w:rsidRPr="00754643">
        <w:rPr>
          <w:sz w:val="28"/>
          <w:szCs w:val="28"/>
        </w:rPr>
        <w:t xml:space="preserve">: </w:t>
      </w:r>
      <w:r w:rsidRPr="00FA1DB4">
        <w:rPr>
          <w:sz w:val="28"/>
          <w:szCs w:val="28"/>
        </w:rPr>
        <w:t>International Financial Management</w:t>
      </w:r>
      <w:r w:rsidRPr="00FA1DB4">
        <w:rPr>
          <w:rFonts w:ascii="Arial" w:hAnsi="Arial" w:cs="Arial"/>
          <w:b/>
          <w:bCs/>
        </w:rPr>
        <w:t xml:space="preserve"> </w:t>
      </w:r>
    </w:p>
    <w:p w14:paraId="1BFBD52C" w14:textId="23B2E6A4" w:rsidR="00FA1DB4" w:rsidRPr="00754643" w:rsidRDefault="00FA1DB4" w:rsidP="00FA1DB4">
      <w:pPr>
        <w:pStyle w:val="NoSpacing"/>
        <w:rPr>
          <w:sz w:val="28"/>
          <w:szCs w:val="28"/>
        </w:rPr>
      </w:pPr>
      <w:r w:rsidRPr="00754643">
        <w:rPr>
          <w:b/>
          <w:bCs/>
          <w:sz w:val="28"/>
          <w:szCs w:val="28"/>
        </w:rPr>
        <w:t>Code</w:t>
      </w:r>
      <w:r w:rsidRPr="00754643">
        <w:rPr>
          <w:sz w:val="28"/>
          <w:szCs w:val="28"/>
        </w:rPr>
        <w:t xml:space="preserve">: </w:t>
      </w:r>
      <w:r w:rsidRPr="00754643">
        <w:rPr>
          <w:rFonts w:ascii="Times New Roman" w:hAnsi="Times New Roman" w:cs="Times New Roman"/>
          <w:sz w:val="28"/>
          <w:szCs w:val="28"/>
        </w:rPr>
        <w:t>LCBB</w:t>
      </w:r>
      <w:r>
        <w:rPr>
          <w:rFonts w:ascii="Times New Roman" w:hAnsi="Times New Roman" w:cs="Times New Roman"/>
          <w:sz w:val="28"/>
          <w:szCs w:val="28"/>
        </w:rPr>
        <w:t>6002</w:t>
      </w:r>
    </w:p>
    <w:p w14:paraId="272DB108" w14:textId="171799BB" w:rsidR="00FA1DB4" w:rsidRPr="00FA1DB4" w:rsidRDefault="00FA1DB4" w:rsidP="00FA1DB4">
      <w:pPr>
        <w:pStyle w:val="NormalWeb"/>
        <w:rPr>
          <w:sz w:val="24"/>
          <w:szCs w:val="24"/>
        </w:rPr>
      </w:pPr>
      <w:r w:rsidRPr="00754643">
        <w:rPr>
          <w:b/>
          <w:bCs/>
          <w:sz w:val="28"/>
          <w:szCs w:val="28"/>
        </w:rPr>
        <w:t>Lecturer</w:t>
      </w:r>
      <w:r w:rsidRPr="00754643">
        <w:rPr>
          <w:sz w:val="28"/>
          <w:szCs w:val="28"/>
        </w:rPr>
        <w:t xml:space="preserve">: </w:t>
      </w:r>
      <w:r w:rsidRPr="00FA1DB4">
        <w:rPr>
          <w:sz w:val="28"/>
          <w:szCs w:val="28"/>
        </w:rPr>
        <w:t>Dr Amandeep Sahota</w:t>
      </w:r>
    </w:p>
    <w:p w14:paraId="1EED54A7" w14:textId="77777777" w:rsidR="00FA1DB4" w:rsidRPr="00754643" w:rsidRDefault="00FA1DB4" w:rsidP="00FA1DB4">
      <w:pPr>
        <w:pStyle w:val="NoSpacing"/>
        <w:rPr>
          <w:rFonts w:ascii="Times New Roman" w:hAnsi="Times New Roman" w:cs="Times New Roman"/>
          <w:sz w:val="28"/>
          <w:szCs w:val="28"/>
        </w:rPr>
      </w:pPr>
      <w:r w:rsidRPr="00754643">
        <w:rPr>
          <w:b/>
          <w:bCs/>
          <w:sz w:val="28"/>
          <w:szCs w:val="28"/>
        </w:rPr>
        <w:t xml:space="preserve">Name: </w:t>
      </w:r>
      <w:r w:rsidRPr="00754643">
        <w:rPr>
          <w:rFonts w:ascii="Times New Roman" w:hAnsi="Times New Roman" w:cs="Times New Roman"/>
          <w:sz w:val="28"/>
          <w:szCs w:val="28"/>
        </w:rPr>
        <w:t>Dimitar</w:t>
      </w:r>
      <w:r>
        <w:rPr>
          <w:rFonts w:ascii="Times New Roman" w:hAnsi="Times New Roman" w:cs="Times New Roman"/>
          <w:sz w:val="28"/>
          <w:szCs w:val="28"/>
        </w:rPr>
        <w:t xml:space="preserve"> Stefanov</w:t>
      </w:r>
      <w:r w:rsidRPr="00754643">
        <w:rPr>
          <w:rFonts w:ascii="Times New Roman" w:hAnsi="Times New Roman" w:cs="Times New Roman"/>
          <w:sz w:val="28"/>
          <w:szCs w:val="28"/>
        </w:rPr>
        <w:t xml:space="preserve"> Cherganski</w:t>
      </w:r>
    </w:p>
    <w:p w14:paraId="11D54EDB" w14:textId="77777777" w:rsidR="00FA1DB4" w:rsidRPr="00754643" w:rsidRDefault="00FA1DB4" w:rsidP="00FA1DB4">
      <w:pPr>
        <w:pStyle w:val="NoSpacing"/>
        <w:rPr>
          <w:b/>
          <w:bCs/>
          <w:sz w:val="28"/>
          <w:szCs w:val="28"/>
        </w:rPr>
      </w:pPr>
    </w:p>
    <w:p w14:paraId="3F3EE646" w14:textId="77777777" w:rsidR="00FA1DB4" w:rsidRPr="00754643" w:rsidRDefault="00FA1DB4" w:rsidP="00FA1DB4">
      <w:pPr>
        <w:pStyle w:val="NoSpacing"/>
        <w:rPr>
          <w:rFonts w:ascii="Times New Roman" w:hAnsi="Times New Roman" w:cs="Times New Roman"/>
          <w:sz w:val="28"/>
          <w:szCs w:val="28"/>
        </w:rPr>
      </w:pPr>
      <w:r w:rsidRPr="00754643">
        <w:rPr>
          <w:b/>
          <w:bCs/>
          <w:sz w:val="28"/>
          <w:szCs w:val="28"/>
        </w:rPr>
        <w:t xml:space="preserve">Student ID: </w:t>
      </w:r>
      <w:r w:rsidRPr="00754643">
        <w:rPr>
          <w:rFonts w:ascii="Times New Roman" w:hAnsi="Times New Roman" w:cs="Times New Roman"/>
          <w:sz w:val="28"/>
          <w:szCs w:val="28"/>
        </w:rPr>
        <w:t>2133011</w:t>
      </w:r>
    </w:p>
    <w:p w14:paraId="6B14E68A" w14:textId="77777777" w:rsidR="00FA1DB4" w:rsidRDefault="00FA1DB4" w:rsidP="00FA1DB4">
      <w:pPr>
        <w:pStyle w:val="NoSpacing"/>
        <w:rPr>
          <w:b/>
          <w:bCs/>
        </w:rPr>
      </w:pPr>
    </w:p>
    <w:p w14:paraId="1BDD378B" w14:textId="77777777" w:rsidR="00FA1DB4" w:rsidRDefault="00FA1DB4" w:rsidP="00FA1DB4">
      <w:pPr>
        <w:spacing w:line="360" w:lineRule="auto"/>
        <w:jc w:val="both"/>
        <w:rPr>
          <w:b/>
          <w:bCs/>
        </w:rPr>
      </w:pPr>
    </w:p>
    <w:p w14:paraId="10A88945" w14:textId="77777777" w:rsidR="00FA1DB4" w:rsidRDefault="00FA1DB4" w:rsidP="00FA1DB4">
      <w:pPr>
        <w:spacing w:line="360" w:lineRule="auto"/>
        <w:jc w:val="both"/>
        <w:rPr>
          <w:b/>
          <w:bCs/>
        </w:rPr>
      </w:pPr>
      <w:r>
        <w:rPr>
          <w:b/>
          <w:bCs/>
        </w:rPr>
        <w:tab/>
        <w:t xml:space="preserve">                                </w:t>
      </w:r>
    </w:p>
    <w:p w14:paraId="2CA6D144" w14:textId="77777777" w:rsidR="00FA1DB4" w:rsidRDefault="00FA1DB4" w:rsidP="00FA1DB4">
      <w:pPr>
        <w:spacing w:line="360" w:lineRule="auto"/>
        <w:jc w:val="center"/>
        <w:rPr>
          <w:b/>
          <w:bCs/>
        </w:rPr>
      </w:pPr>
    </w:p>
    <w:p w14:paraId="16B6F632" w14:textId="77777777" w:rsidR="00FA1DB4" w:rsidRDefault="00FA1DB4" w:rsidP="00FA1DB4">
      <w:pPr>
        <w:spacing w:line="360" w:lineRule="auto"/>
        <w:jc w:val="center"/>
        <w:rPr>
          <w:b/>
          <w:bCs/>
        </w:rPr>
      </w:pPr>
    </w:p>
    <w:p w14:paraId="040FA380" w14:textId="77777777" w:rsidR="00FA1DB4" w:rsidRDefault="00FA1DB4" w:rsidP="00FA1DB4">
      <w:pPr>
        <w:spacing w:line="360" w:lineRule="auto"/>
        <w:jc w:val="center"/>
        <w:rPr>
          <w:b/>
          <w:bCs/>
        </w:rPr>
      </w:pPr>
    </w:p>
    <w:p w14:paraId="670015FA" w14:textId="77777777" w:rsidR="00FA1DB4" w:rsidRDefault="00FA1DB4" w:rsidP="00FA1DB4">
      <w:pPr>
        <w:spacing w:line="360" w:lineRule="auto"/>
        <w:jc w:val="center"/>
        <w:rPr>
          <w:b/>
          <w:bCs/>
        </w:rPr>
      </w:pPr>
    </w:p>
    <w:p w14:paraId="095805AB" w14:textId="77777777" w:rsidR="00FA1DB4" w:rsidRDefault="00FA1DB4" w:rsidP="00FA1DB4">
      <w:pPr>
        <w:spacing w:line="360" w:lineRule="auto"/>
        <w:jc w:val="center"/>
        <w:rPr>
          <w:b/>
          <w:bCs/>
        </w:rPr>
      </w:pPr>
    </w:p>
    <w:p w14:paraId="10DE2F8A" w14:textId="3CB27E4C" w:rsidR="00FA1DB4" w:rsidRDefault="00FA1DB4" w:rsidP="00FA1DB4">
      <w:pPr>
        <w:spacing w:line="360" w:lineRule="auto"/>
        <w:jc w:val="center"/>
        <w:rPr>
          <w:b/>
          <w:bCs/>
        </w:rPr>
      </w:pPr>
      <w:r>
        <w:rPr>
          <w:b/>
          <w:bCs/>
        </w:rPr>
        <w:t>SUBMITTED ON 18 August 2024</w:t>
      </w:r>
    </w:p>
    <w:p w14:paraId="26A3EF85" w14:textId="77777777" w:rsidR="00FA1DB4" w:rsidRDefault="00FA1DB4">
      <w:pPr>
        <w:rPr>
          <w:b/>
          <w:bCs/>
        </w:rPr>
      </w:pPr>
      <w:r>
        <w:rPr>
          <w:b/>
          <w:bCs/>
        </w:rPr>
        <w:br w:type="page"/>
      </w:r>
    </w:p>
    <w:p w14:paraId="7871B17A" w14:textId="77777777" w:rsidR="00FA1DB4" w:rsidRDefault="00FA1DB4" w:rsidP="00FA1DB4">
      <w:pPr>
        <w:spacing w:line="360" w:lineRule="auto"/>
        <w:jc w:val="center"/>
        <w:rPr>
          <w:b/>
          <w:bCs/>
        </w:rPr>
      </w:pPr>
    </w:p>
    <w:p w14:paraId="6AD38F6B" w14:textId="77777777" w:rsidR="00FA1DB4" w:rsidRDefault="00FA1DB4" w:rsidP="00FA1DB4"/>
    <w:sdt>
      <w:sdtPr>
        <w:id w:val="-865292222"/>
        <w:docPartObj>
          <w:docPartGallery w:val="Table of Contents"/>
          <w:docPartUnique/>
        </w:docPartObj>
      </w:sdtPr>
      <w:sdtEndPr>
        <w:rPr>
          <w:rFonts w:asciiTheme="minorHAnsi" w:eastAsiaTheme="minorHAnsi" w:hAnsiTheme="minorHAnsi" w:cstheme="minorBidi"/>
          <w:noProof/>
          <w:color w:val="auto"/>
          <w:kern w:val="2"/>
          <w:sz w:val="24"/>
          <w:szCs w:val="24"/>
          <w:lang w:val="en-GB"/>
          <w14:ligatures w14:val="standardContextual"/>
        </w:rPr>
      </w:sdtEndPr>
      <w:sdtContent>
        <w:p w14:paraId="4E43A357" w14:textId="7767DA82" w:rsidR="00503F6B" w:rsidRDefault="00503F6B">
          <w:pPr>
            <w:pStyle w:val="TOCHeading"/>
          </w:pPr>
          <w:r>
            <w:t>Table of Contents</w:t>
          </w:r>
        </w:p>
        <w:p w14:paraId="62F291FD" w14:textId="1860F7E5" w:rsidR="00503F6B" w:rsidRDefault="00503F6B">
          <w:pPr>
            <w:pStyle w:val="TOC1"/>
            <w:tabs>
              <w:tab w:val="right" w:leader="dot" w:pos="9016"/>
            </w:tabs>
            <w:rPr>
              <w:noProof/>
            </w:rPr>
          </w:pPr>
          <w:r>
            <w:rPr>
              <w:b w:val="0"/>
              <w:bCs w:val="0"/>
            </w:rPr>
            <w:fldChar w:fldCharType="begin"/>
          </w:r>
          <w:r>
            <w:instrText xml:space="preserve"> TOC \o "1-3" \h \z \u </w:instrText>
          </w:r>
          <w:r>
            <w:rPr>
              <w:b w:val="0"/>
              <w:bCs w:val="0"/>
            </w:rPr>
            <w:fldChar w:fldCharType="separate"/>
          </w:r>
          <w:hyperlink w:anchor="_Toc174568183" w:history="1">
            <w:r w:rsidRPr="00BA2A1C">
              <w:rPr>
                <w:rStyle w:val="Hyperlink"/>
                <w:noProof/>
              </w:rPr>
              <w:t>Introduction</w:t>
            </w:r>
            <w:r>
              <w:rPr>
                <w:noProof/>
                <w:webHidden/>
              </w:rPr>
              <w:tab/>
            </w:r>
            <w:r>
              <w:rPr>
                <w:noProof/>
                <w:webHidden/>
              </w:rPr>
              <w:fldChar w:fldCharType="begin"/>
            </w:r>
            <w:r>
              <w:rPr>
                <w:noProof/>
                <w:webHidden/>
              </w:rPr>
              <w:instrText xml:space="preserve"> PAGEREF _Toc174568183 \h </w:instrText>
            </w:r>
            <w:r>
              <w:rPr>
                <w:noProof/>
                <w:webHidden/>
              </w:rPr>
            </w:r>
            <w:r>
              <w:rPr>
                <w:noProof/>
                <w:webHidden/>
              </w:rPr>
              <w:fldChar w:fldCharType="separate"/>
            </w:r>
            <w:r>
              <w:rPr>
                <w:noProof/>
                <w:webHidden/>
              </w:rPr>
              <w:t>3</w:t>
            </w:r>
            <w:r>
              <w:rPr>
                <w:noProof/>
                <w:webHidden/>
              </w:rPr>
              <w:fldChar w:fldCharType="end"/>
            </w:r>
          </w:hyperlink>
        </w:p>
        <w:p w14:paraId="0ED770FA" w14:textId="434C7E9D" w:rsidR="00503F6B" w:rsidRDefault="00503F6B">
          <w:pPr>
            <w:pStyle w:val="TOC1"/>
            <w:tabs>
              <w:tab w:val="right" w:leader="dot" w:pos="9016"/>
            </w:tabs>
            <w:rPr>
              <w:noProof/>
            </w:rPr>
          </w:pPr>
          <w:hyperlink w:anchor="_Toc174568184" w:history="1">
            <w:r w:rsidRPr="00BA2A1C">
              <w:rPr>
                <w:rStyle w:val="Hyperlink"/>
                <w:noProof/>
              </w:rPr>
              <w:t>Understanding Foreign Exchange Risk</w:t>
            </w:r>
            <w:r>
              <w:rPr>
                <w:noProof/>
                <w:webHidden/>
              </w:rPr>
              <w:tab/>
            </w:r>
            <w:r>
              <w:rPr>
                <w:noProof/>
                <w:webHidden/>
              </w:rPr>
              <w:fldChar w:fldCharType="begin"/>
            </w:r>
            <w:r>
              <w:rPr>
                <w:noProof/>
                <w:webHidden/>
              </w:rPr>
              <w:instrText xml:space="preserve"> PAGEREF _Toc174568184 \h </w:instrText>
            </w:r>
            <w:r>
              <w:rPr>
                <w:noProof/>
                <w:webHidden/>
              </w:rPr>
            </w:r>
            <w:r>
              <w:rPr>
                <w:noProof/>
                <w:webHidden/>
              </w:rPr>
              <w:fldChar w:fldCharType="separate"/>
            </w:r>
            <w:r>
              <w:rPr>
                <w:noProof/>
                <w:webHidden/>
              </w:rPr>
              <w:t>3</w:t>
            </w:r>
            <w:r>
              <w:rPr>
                <w:noProof/>
                <w:webHidden/>
              </w:rPr>
              <w:fldChar w:fldCharType="end"/>
            </w:r>
          </w:hyperlink>
        </w:p>
        <w:p w14:paraId="7A15E708" w14:textId="54433AEE" w:rsidR="00503F6B" w:rsidRDefault="00503F6B">
          <w:pPr>
            <w:pStyle w:val="TOC2"/>
            <w:tabs>
              <w:tab w:val="right" w:leader="dot" w:pos="9016"/>
            </w:tabs>
            <w:rPr>
              <w:noProof/>
            </w:rPr>
          </w:pPr>
          <w:hyperlink w:anchor="_Toc174568185" w:history="1">
            <w:r w:rsidRPr="00BA2A1C">
              <w:rPr>
                <w:rStyle w:val="Hyperlink"/>
                <w:noProof/>
              </w:rPr>
              <w:t>Transactio</w:t>
            </w:r>
            <w:r w:rsidRPr="00BA2A1C">
              <w:rPr>
                <w:rStyle w:val="Hyperlink"/>
                <w:noProof/>
              </w:rPr>
              <w:t>n</w:t>
            </w:r>
            <w:r w:rsidRPr="00BA2A1C">
              <w:rPr>
                <w:rStyle w:val="Hyperlink"/>
                <w:noProof/>
              </w:rPr>
              <w:t xml:space="preserve"> Exposure</w:t>
            </w:r>
            <w:r>
              <w:rPr>
                <w:noProof/>
                <w:webHidden/>
              </w:rPr>
              <w:tab/>
            </w:r>
            <w:r>
              <w:rPr>
                <w:noProof/>
                <w:webHidden/>
              </w:rPr>
              <w:fldChar w:fldCharType="begin"/>
            </w:r>
            <w:r>
              <w:rPr>
                <w:noProof/>
                <w:webHidden/>
              </w:rPr>
              <w:instrText xml:space="preserve"> PAGEREF _Toc174568185 \h </w:instrText>
            </w:r>
            <w:r>
              <w:rPr>
                <w:noProof/>
                <w:webHidden/>
              </w:rPr>
            </w:r>
            <w:r>
              <w:rPr>
                <w:noProof/>
                <w:webHidden/>
              </w:rPr>
              <w:fldChar w:fldCharType="separate"/>
            </w:r>
            <w:r>
              <w:rPr>
                <w:noProof/>
                <w:webHidden/>
              </w:rPr>
              <w:t>3</w:t>
            </w:r>
            <w:r>
              <w:rPr>
                <w:noProof/>
                <w:webHidden/>
              </w:rPr>
              <w:fldChar w:fldCharType="end"/>
            </w:r>
          </w:hyperlink>
        </w:p>
        <w:p w14:paraId="354D114C" w14:textId="4127C43A" w:rsidR="00503F6B" w:rsidRDefault="00503F6B">
          <w:pPr>
            <w:pStyle w:val="TOC2"/>
            <w:tabs>
              <w:tab w:val="right" w:leader="dot" w:pos="9016"/>
            </w:tabs>
            <w:rPr>
              <w:noProof/>
            </w:rPr>
          </w:pPr>
          <w:hyperlink w:anchor="_Toc174568186" w:history="1">
            <w:r w:rsidRPr="00BA2A1C">
              <w:rPr>
                <w:rStyle w:val="Hyperlink"/>
                <w:noProof/>
              </w:rPr>
              <w:t>Translation Exposure</w:t>
            </w:r>
            <w:r>
              <w:rPr>
                <w:noProof/>
                <w:webHidden/>
              </w:rPr>
              <w:tab/>
            </w:r>
            <w:r>
              <w:rPr>
                <w:noProof/>
                <w:webHidden/>
              </w:rPr>
              <w:fldChar w:fldCharType="begin"/>
            </w:r>
            <w:r>
              <w:rPr>
                <w:noProof/>
                <w:webHidden/>
              </w:rPr>
              <w:instrText xml:space="preserve"> PAGEREF _Toc174568186 \h </w:instrText>
            </w:r>
            <w:r>
              <w:rPr>
                <w:noProof/>
                <w:webHidden/>
              </w:rPr>
            </w:r>
            <w:r>
              <w:rPr>
                <w:noProof/>
                <w:webHidden/>
              </w:rPr>
              <w:fldChar w:fldCharType="separate"/>
            </w:r>
            <w:r>
              <w:rPr>
                <w:noProof/>
                <w:webHidden/>
              </w:rPr>
              <w:t>3</w:t>
            </w:r>
            <w:r>
              <w:rPr>
                <w:noProof/>
                <w:webHidden/>
              </w:rPr>
              <w:fldChar w:fldCharType="end"/>
            </w:r>
          </w:hyperlink>
        </w:p>
        <w:p w14:paraId="689D5FF5" w14:textId="1AFD5D39" w:rsidR="00503F6B" w:rsidRDefault="00503F6B">
          <w:pPr>
            <w:pStyle w:val="TOC2"/>
            <w:tabs>
              <w:tab w:val="right" w:leader="dot" w:pos="9016"/>
            </w:tabs>
            <w:rPr>
              <w:noProof/>
            </w:rPr>
          </w:pPr>
          <w:hyperlink w:anchor="_Toc174568187" w:history="1">
            <w:r w:rsidRPr="00BA2A1C">
              <w:rPr>
                <w:rStyle w:val="Hyperlink"/>
                <w:noProof/>
              </w:rPr>
              <w:t>Economic Exposure</w:t>
            </w:r>
            <w:r>
              <w:rPr>
                <w:noProof/>
                <w:webHidden/>
              </w:rPr>
              <w:tab/>
            </w:r>
            <w:r>
              <w:rPr>
                <w:noProof/>
                <w:webHidden/>
              </w:rPr>
              <w:fldChar w:fldCharType="begin"/>
            </w:r>
            <w:r>
              <w:rPr>
                <w:noProof/>
                <w:webHidden/>
              </w:rPr>
              <w:instrText xml:space="preserve"> PAGEREF _Toc174568187 \h </w:instrText>
            </w:r>
            <w:r>
              <w:rPr>
                <w:noProof/>
                <w:webHidden/>
              </w:rPr>
            </w:r>
            <w:r>
              <w:rPr>
                <w:noProof/>
                <w:webHidden/>
              </w:rPr>
              <w:fldChar w:fldCharType="separate"/>
            </w:r>
            <w:r>
              <w:rPr>
                <w:noProof/>
                <w:webHidden/>
              </w:rPr>
              <w:t>3</w:t>
            </w:r>
            <w:r>
              <w:rPr>
                <w:noProof/>
                <w:webHidden/>
              </w:rPr>
              <w:fldChar w:fldCharType="end"/>
            </w:r>
          </w:hyperlink>
        </w:p>
        <w:p w14:paraId="7877218D" w14:textId="1D070EC6" w:rsidR="00503F6B" w:rsidRDefault="00503F6B">
          <w:pPr>
            <w:pStyle w:val="TOC2"/>
            <w:tabs>
              <w:tab w:val="right" w:leader="dot" w:pos="9016"/>
            </w:tabs>
            <w:rPr>
              <w:noProof/>
            </w:rPr>
          </w:pPr>
          <w:hyperlink w:anchor="_Toc174568188" w:history="1">
            <w:r w:rsidRPr="00BA2A1C">
              <w:rPr>
                <w:rStyle w:val="Hyperlink"/>
                <w:noProof/>
              </w:rPr>
              <w:t>Strategies for Managing Foreign Exchange Risks</w:t>
            </w:r>
            <w:r>
              <w:rPr>
                <w:noProof/>
                <w:webHidden/>
              </w:rPr>
              <w:tab/>
            </w:r>
            <w:r>
              <w:rPr>
                <w:noProof/>
                <w:webHidden/>
              </w:rPr>
              <w:fldChar w:fldCharType="begin"/>
            </w:r>
            <w:r>
              <w:rPr>
                <w:noProof/>
                <w:webHidden/>
              </w:rPr>
              <w:instrText xml:space="preserve"> PAGEREF _Toc174568188 \h </w:instrText>
            </w:r>
            <w:r>
              <w:rPr>
                <w:noProof/>
                <w:webHidden/>
              </w:rPr>
            </w:r>
            <w:r>
              <w:rPr>
                <w:noProof/>
                <w:webHidden/>
              </w:rPr>
              <w:fldChar w:fldCharType="separate"/>
            </w:r>
            <w:r>
              <w:rPr>
                <w:noProof/>
                <w:webHidden/>
              </w:rPr>
              <w:t>4</w:t>
            </w:r>
            <w:r>
              <w:rPr>
                <w:noProof/>
                <w:webHidden/>
              </w:rPr>
              <w:fldChar w:fldCharType="end"/>
            </w:r>
          </w:hyperlink>
        </w:p>
        <w:p w14:paraId="0D4F1F7A" w14:textId="669BAD68" w:rsidR="00503F6B" w:rsidRDefault="00503F6B">
          <w:pPr>
            <w:pStyle w:val="TOC1"/>
            <w:tabs>
              <w:tab w:val="right" w:leader="dot" w:pos="9016"/>
            </w:tabs>
            <w:rPr>
              <w:noProof/>
            </w:rPr>
          </w:pPr>
          <w:hyperlink w:anchor="_Toc174568189" w:history="1">
            <w:r w:rsidRPr="00BA2A1C">
              <w:rPr>
                <w:rStyle w:val="Hyperlink"/>
                <w:noProof/>
              </w:rPr>
              <w:t>Internal (Operational) Strategies</w:t>
            </w:r>
            <w:r>
              <w:rPr>
                <w:noProof/>
                <w:webHidden/>
              </w:rPr>
              <w:tab/>
            </w:r>
            <w:r>
              <w:rPr>
                <w:noProof/>
                <w:webHidden/>
              </w:rPr>
              <w:fldChar w:fldCharType="begin"/>
            </w:r>
            <w:r>
              <w:rPr>
                <w:noProof/>
                <w:webHidden/>
              </w:rPr>
              <w:instrText xml:space="preserve"> PAGEREF _Toc174568189 \h </w:instrText>
            </w:r>
            <w:r>
              <w:rPr>
                <w:noProof/>
                <w:webHidden/>
              </w:rPr>
            </w:r>
            <w:r>
              <w:rPr>
                <w:noProof/>
                <w:webHidden/>
              </w:rPr>
              <w:fldChar w:fldCharType="separate"/>
            </w:r>
            <w:r>
              <w:rPr>
                <w:noProof/>
                <w:webHidden/>
              </w:rPr>
              <w:t>4</w:t>
            </w:r>
            <w:r>
              <w:rPr>
                <w:noProof/>
                <w:webHidden/>
              </w:rPr>
              <w:fldChar w:fldCharType="end"/>
            </w:r>
          </w:hyperlink>
        </w:p>
        <w:p w14:paraId="2F774B89" w14:textId="0FC5A920" w:rsidR="00503F6B" w:rsidRDefault="00503F6B">
          <w:pPr>
            <w:pStyle w:val="TOC2"/>
            <w:tabs>
              <w:tab w:val="right" w:leader="dot" w:pos="9016"/>
            </w:tabs>
            <w:rPr>
              <w:noProof/>
            </w:rPr>
          </w:pPr>
          <w:hyperlink w:anchor="_Toc174568190" w:history="1">
            <w:r w:rsidRPr="00BA2A1C">
              <w:rPr>
                <w:rStyle w:val="Hyperlink"/>
                <w:noProof/>
              </w:rPr>
              <w:t>Natural Hedging</w:t>
            </w:r>
            <w:r>
              <w:rPr>
                <w:noProof/>
                <w:webHidden/>
              </w:rPr>
              <w:tab/>
            </w:r>
            <w:r>
              <w:rPr>
                <w:noProof/>
                <w:webHidden/>
              </w:rPr>
              <w:fldChar w:fldCharType="begin"/>
            </w:r>
            <w:r>
              <w:rPr>
                <w:noProof/>
                <w:webHidden/>
              </w:rPr>
              <w:instrText xml:space="preserve"> PAGEREF _Toc174568190 \h </w:instrText>
            </w:r>
            <w:r>
              <w:rPr>
                <w:noProof/>
                <w:webHidden/>
              </w:rPr>
            </w:r>
            <w:r>
              <w:rPr>
                <w:noProof/>
                <w:webHidden/>
              </w:rPr>
              <w:fldChar w:fldCharType="separate"/>
            </w:r>
            <w:r>
              <w:rPr>
                <w:noProof/>
                <w:webHidden/>
              </w:rPr>
              <w:t>4</w:t>
            </w:r>
            <w:r>
              <w:rPr>
                <w:noProof/>
                <w:webHidden/>
              </w:rPr>
              <w:fldChar w:fldCharType="end"/>
            </w:r>
          </w:hyperlink>
        </w:p>
        <w:p w14:paraId="0E9993CD" w14:textId="55B8EFB6" w:rsidR="00503F6B" w:rsidRDefault="00503F6B">
          <w:pPr>
            <w:pStyle w:val="TOC2"/>
            <w:tabs>
              <w:tab w:val="right" w:leader="dot" w:pos="9016"/>
            </w:tabs>
            <w:rPr>
              <w:noProof/>
            </w:rPr>
          </w:pPr>
          <w:hyperlink w:anchor="_Toc174568191" w:history="1">
            <w:r w:rsidRPr="00BA2A1C">
              <w:rPr>
                <w:rStyle w:val="Hyperlink"/>
                <w:noProof/>
              </w:rPr>
              <w:t>Leading and Lagging</w:t>
            </w:r>
            <w:r>
              <w:rPr>
                <w:noProof/>
                <w:webHidden/>
              </w:rPr>
              <w:tab/>
            </w:r>
            <w:r>
              <w:rPr>
                <w:noProof/>
                <w:webHidden/>
              </w:rPr>
              <w:fldChar w:fldCharType="begin"/>
            </w:r>
            <w:r>
              <w:rPr>
                <w:noProof/>
                <w:webHidden/>
              </w:rPr>
              <w:instrText xml:space="preserve"> PAGEREF _Toc174568191 \h </w:instrText>
            </w:r>
            <w:r>
              <w:rPr>
                <w:noProof/>
                <w:webHidden/>
              </w:rPr>
            </w:r>
            <w:r>
              <w:rPr>
                <w:noProof/>
                <w:webHidden/>
              </w:rPr>
              <w:fldChar w:fldCharType="separate"/>
            </w:r>
            <w:r>
              <w:rPr>
                <w:noProof/>
                <w:webHidden/>
              </w:rPr>
              <w:t>4</w:t>
            </w:r>
            <w:r>
              <w:rPr>
                <w:noProof/>
                <w:webHidden/>
              </w:rPr>
              <w:fldChar w:fldCharType="end"/>
            </w:r>
          </w:hyperlink>
        </w:p>
        <w:p w14:paraId="34C7C876" w14:textId="208E8D4E" w:rsidR="00503F6B" w:rsidRDefault="00503F6B">
          <w:pPr>
            <w:pStyle w:val="TOC2"/>
            <w:tabs>
              <w:tab w:val="right" w:leader="dot" w:pos="9016"/>
            </w:tabs>
            <w:rPr>
              <w:noProof/>
            </w:rPr>
          </w:pPr>
          <w:hyperlink w:anchor="_Toc174568192" w:history="1">
            <w:r w:rsidRPr="00BA2A1C">
              <w:rPr>
                <w:rStyle w:val="Hyperlink"/>
                <w:noProof/>
              </w:rPr>
              <w:t>Invoicing in Home Currency</w:t>
            </w:r>
            <w:r>
              <w:rPr>
                <w:noProof/>
                <w:webHidden/>
              </w:rPr>
              <w:tab/>
            </w:r>
            <w:r>
              <w:rPr>
                <w:noProof/>
                <w:webHidden/>
              </w:rPr>
              <w:fldChar w:fldCharType="begin"/>
            </w:r>
            <w:r>
              <w:rPr>
                <w:noProof/>
                <w:webHidden/>
              </w:rPr>
              <w:instrText xml:space="preserve"> PAGEREF _Toc174568192 \h </w:instrText>
            </w:r>
            <w:r>
              <w:rPr>
                <w:noProof/>
                <w:webHidden/>
              </w:rPr>
            </w:r>
            <w:r>
              <w:rPr>
                <w:noProof/>
                <w:webHidden/>
              </w:rPr>
              <w:fldChar w:fldCharType="separate"/>
            </w:r>
            <w:r>
              <w:rPr>
                <w:noProof/>
                <w:webHidden/>
              </w:rPr>
              <w:t>4</w:t>
            </w:r>
            <w:r>
              <w:rPr>
                <w:noProof/>
                <w:webHidden/>
              </w:rPr>
              <w:fldChar w:fldCharType="end"/>
            </w:r>
          </w:hyperlink>
        </w:p>
        <w:p w14:paraId="6F62180D" w14:textId="7AB0F076" w:rsidR="00503F6B" w:rsidRDefault="00503F6B">
          <w:pPr>
            <w:pStyle w:val="TOC2"/>
            <w:tabs>
              <w:tab w:val="right" w:leader="dot" w:pos="9016"/>
            </w:tabs>
            <w:rPr>
              <w:noProof/>
            </w:rPr>
          </w:pPr>
          <w:hyperlink w:anchor="_Toc174568193" w:history="1">
            <w:r w:rsidRPr="00BA2A1C">
              <w:rPr>
                <w:rStyle w:val="Hyperlink"/>
                <w:noProof/>
              </w:rPr>
              <w:t>Diversification of Operations</w:t>
            </w:r>
            <w:r>
              <w:rPr>
                <w:noProof/>
                <w:webHidden/>
              </w:rPr>
              <w:tab/>
            </w:r>
            <w:r>
              <w:rPr>
                <w:noProof/>
                <w:webHidden/>
              </w:rPr>
              <w:fldChar w:fldCharType="begin"/>
            </w:r>
            <w:r>
              <w:rPr>
                <w:noProof/>
                <w:webHidden/>
              </w:rPr>
              <w:instrText xml:space="preserve"> PAGEREF _Toc174568193 \h </w:instrText>
            </w:r>
            <w:r>
              <w:rPr>
                <w:noProof/>
                <w:webHidden/>
              </w:rPr>
            </w:r>
            <w:r>
              <w:rPr>
                <w:noProof/>
                <w:webHidden/>
              </w:rPr>
              <w:fldChar w:fldCharType="separate"/>
            </w:r>
            <w:r>
              <w:rPr>
                <w:noProof/>
                <w:webHidden/>
              </w:rPr>
              <w:t>4</w:t>
            </w:r>
            <w:r>
              <w:rPr>
                <w:noProof/>
                <w:webHidden/>
              </w:rPr>
              <w:fldChar w:fldCharType="end"/>
            </w:r>
          </w:hyperlink>
        </w:p>
        <w:p w14:paraId="2141ABFA" w14:textId="56EBEC3C" w:rsidR="00503F6B" w:rsidRDefault="00503F6B">
          <w:pPr>
            <w:pStyle w:val="TOC1"/>
            <w:tabs>
              <w:tab w:val="right" w:leader="dot" w:pos="9016"/>
            </w:tabs>
            <w:rPr>
              <w:noProof/>
            </w:rPr>
          </w:pPr>
          <w:hyperlink w:anchor="_Toc174568194" w:history="1">
            <w:r w:rsidRPr="00BA2A1C">
              <w:rPr>
                <w:rStyle w:val="Hyperlink"/>
                <w:noProof/>
              </w:rPr>
              <w:t>External (Financial) Strategies</w:t>
            </w:r>
            <w:r>
              <w:rPr>
                <w:noProof/>
                <w:webHidden/>
              </w:rPr>
              <w:tab/>
            </w:r>
            <w:r>
              <w:rPr>
                <w:noProof/>
                <w:webHidden/>
              </w:rPr>
              <w:fldChar w:fldCharType="begin"/>
            </w:r>
            <w:r>
              <w:rPr>
                <w:noProof/>
                <w:webHidden/>
              </w:rPr>
              <w:instrText xml:space="preserve"> PAGEREF _Toc174568194 \h </w:instrText>
            </w:r>
            <w:r>
              <w:rPr>
                <w:noProof/>
                <w:webHidden/>
              </w:rPr>
            </w:r>
            <w:r>
              <w:rPr>
                <w:noProof/>
                <w:webHidden/>
              </w:rPr>
              <w:fldChar w:fldCharType="separate"/>
            </w:r>
            <w:r>
              <w:rPr>
                <w:noProof/>
                <w:webHidden/>
              </w:rPr>
              <w:t>5</w:t>
            </w:r>
            <w:r>
              <w:rPr>
                <w:noProof/>
                <w:webHidden/>
              </w:rPr>
              <w:fldChar w:fldCharType="end"/>
            </w:r>
          </w:hyperlink>
        </w:p>
        <w:p w14:paraId="6F6F5608" w14:textId="275ABB10" w:rsidR="00503F6B" w:rsidRDefault="00503F6B">
          <w:pPr>
            <w:pStyle w:val="TOC2"/>
            <w:tabs>
              <w:tab w:val="right" w:leader="dot" w:pos="9016"/>
            </w:tabs>
            <w:rPr>
              <w:noProof/>
            </w:rPr>
          </w:pPr>
          <w:hyperlink w:anchor="_Toc174568195" w:history="1">
            <w:r w:rsidRPr="00BA2A1C">
              <w:rPr>
                <w:rStyle w:val="Hyperlink"/>
                <w:noProof/>
              </w:rPr>
              <w:t>Forward Contracts</w:t>
            </w:r>
            <w:r>
              <w:rPr>
                <w:noProof/>
                <w:webHidden/>
              </w:rPr>
              <w:tab/>
            </w:r>
            <w:r>
              <w:rPr>
                <w:noProof/>
                <w:webHidden/>
              </w:rPr>
              <w:fldChar w:fldCharType="begin"/>
            </w:r>
            <w:r>
              <w:rPr>
                <w:noProof/>
                <w:webHidden/>
              </w:rPr>
              <w:instrText xml:space="preserve"> PAGEREF _Toc174568195 \h </w:instrText>
            </w:r>
            <w:r>
              <w:rPr>
                <w:noProof/>
                <w:webHidden/>
              </w:rPr>
            </w:r>
            <w:r>
              <w:rPr>
                <w:noProof/>
                <w:webHidden/>
              </w:rPr>
              <w:fldChar w:fldCharType="separate"/>
            </w:r>
            <w:r>
              <w:rPr>
                <w:noProof/>
                <w:webHidden/>
              </w:rPr>
              <w:t>5</w:t>
            </w:r>
            <w:r>
              <w:rPr>
                <w:noProof/>
                <w:webHidden/>
              </w:rPr>
              <w:fldChar w:fldCharType="end"/>
            </w:r>
          </w:hyperlink>
        </w:p>
        <w:p w14:paraId="1D44644C" w14:textId="34B030F3" w:rsidR="00503F6B" w:rsidRDefault="00503F6B">
          <w:pPr>
            <w:pStyle w:val="TOC2"/>
            <w:tabs>
              <w:tab w:val="right" w:leader="dot" w:pos="9016"/>
            </w:tabs>
            <w:rPr>
              <w:noProof/>
            </w:rPr>
          </w:pPr>
          <w:hyperlink w:anchor="_Toc174568196" w:history="1">
            <w:r w:rsidRPr="00BA2A1C">
              <w:rPr>
                <w:rStyle w:val="Hyperlink"/>
                <w:noProof/>
              </w:rPr>
              <w:t>Currency Options</w:t>
            </w:r>
            <w:r>
              <w:rPr>
                <w:noProof/>
                <w:webHidden/>
              </w:rPr>
              <w:tab/>
            </w:r>
            <w:r>
              <w:rPr>
                <w:noProof/>
                <w:webHidden/>
              </w:rPr>
              <w:fldChar w:fldCharType="begin"/>
            </w:r>
            <w:r>
              <w:rPr>
                <w:noProof/>
                <w:webHidden/>
              </w:rPr>
              <w:instrText xml:space="preserve"> PAGEREF _Toc174568196 \h </w:instrText>
            </w:r>
            <w:r>
              <w:rPr>
                <w:noProof/>
                <w:webHidden/>
              </w:rPr>
            </w:r>
            <w:r>
              <w:rPr>
                <w:noProof/>
                <w:webHidden/>
              </w:rPr>
              <w:fldChar w:fldCharType="separate"/>
            </w:r>
            <w:r>
              <w:rPr>
                <w:noProof/>
                <w:webHidden/>
              </w:rPr>
              <w:t>5</w:t>
            </w:r>
            <w:r>
              <w:rPr>
                <w:noProof/>
                <w:webHidden/>
              </w:rPr>
              <w:fldChar w:fldCharType="end"/>
            </w:r>
          </w:hyperlink>
        </w:p>
        <w:p w14:paraId="63C886F5" w14:textId="4DF1B938" w:rsidR="00503F6B" w:rsidRDefault="00503F6B">
          <w:pPr>
            <w:pStyle w:val="TOC2"/>
            <w:tabs>
              <w:tab w:val="right" w:leader="dot" w:pos="9016"/>
            </w:tabs>
            <w:rPr>
              <w:noProof/>
            </w:rPr>
          </w:pPr>
          <w:hyperlink w:anchor="_Toc174568197" w:history="1">
            <w:r w:rsidRPr="00BA2A1C">
              <w:rPr>
                <w:rStyle w:val="Hyperlink"/>
                <w:noProof/>
              </w:rPr>
              <w:t>Currency Swaps</w:t>
            </w:r>
            <w:r>
              <w:rPr>
                <w:noProof/>
                <w:webHidden/>
              </w:rPr>
              <w:tab/>
            </w:r>
            <w:r>
              <w:rPr>
                <w:noProof/>
                <w:webHidden/>
              </w:rPr>
              <w:fldChar w:fldCharType="begin"/>
            </w:r>
            <w:r>
              <w:rPr>
                <w:noProof/>
                <w:webHidden/>
              </w:rPr>
              <w:instrText xml:space="preserve"> PAGEREF _Toc174568197 \h </w:instrText>
            </w:r>
            <w:r>
              <w:rPr>
                <w:noProof/>
                <w:webHidden/>
              </w:rPr>
            </w:r>
            <w:r>
              <w:rPr>
                <w:noProof/>
                <w:webHidden/>
              </w:rPr>
              <w:fldChar w:fldCharType="separate"/>
            </w:r>
            <w:r>
              <w:rPr>
                <w:noProof/>
                <w:webHidden/>
              </w:rPr>
              <w:t>5</w:t>
            </w:r>
            <w:r>
              <w:rPr>
                <w:noProof/>
                <w:webHidden/>
              </w:rPr>
              <w:fldChar w:fldCharType="end"/>
            </w:r>
          </w:hyperlink>
        </w:p>
        <w:p w14:paraId="1EEE4C8F" w14:textId="47DA28B9" w:rsidR="00503F6B" w:rsidRDefault="00503F6B">
          <w:pPr>
            <w:pStyle w:val="TOC2"/>
            <w:tabs>
              <w:tab w:val="right" w:leader="dot" w:pos="9016"/>
            </w:tabs>
            <w:rPr>
              <w:noProof/>
            </w:rPr>
          </w:pPr>
          <w:hyperlink w:anchor="_Toc174568198" w:history="1">
            <w:r w:rsidRPr="00BA2A1C">
              <w:rPr>
                <w:rStyle w:val="Hyperlink"/>
                <w:noProof/>
              </w:rPr>
              <w:t>Money Market Hedges</w:t>
            </w:r>
            <w:r>
              <w:rPr>
                <w:noProof/>
                <w:webHidden/>
              </w:rPr>
              <w:tab/>
            </w:r>
            <w:r>
              <w:rPr>
                <w:noProof/>
                <w:webHidden/>
              </w:rPr>
              <w:fldChar w:fldCharType="begin"/>
            </w:r>
            <w:r>
              <w:rPr>
                <w:noProof/>
                <w:webHidden/>
              </w:rPr>
              <w:instrText xml:space="preserve"> PAGEREF _Toc174568198 \h </w:instrText>
            </w:r>
            <w:r>
              <w:rPr>
                <w:noProof/>
                <w:webHidden/>
              </w:rPr>
            </w:r>
            <w:r>
              <w:rPr>
                <w:noProof/>
                <w:webHidden/>
              </w:rPr>
              <w:fldChar w:fldCharType="separate"/>
            </w:r>
            <w:r>
              <w:rPr>
                <w:noProof/>
                <w:webHidden/>
              </w:rPr>
              <w:t>5</w:t>
            </w:r>
            <w:r>
              <w:rPr>
                <w:noProof/>
                <w:webHidden/>
              </w:rPr>
              <w:fldChar w:fldCharType="end"/>
            </w:r>
          </w:hyperlink>
        </w:p>
        <w:p w14:paraId="36FBBE7A" w14:textId="2E0054F2" w:rsidR="00503F6B" w:rsidRDefault="00503F6B">
          <w:pPr>
            <w:pStyle w:val="TOC1"/>
            <w:tabs>
              <w:tab w:val="right" w:leader="dot" w:pos="9016"/>
            </w:tabs>
            <w:rPr>
              <w:noProof/>
            </w:rPr>
          </w:pPr>
          <w:hyperlink w:anchor="_Toc174568199" w:history="1">
            <w:r w:rsidRPr="00BA2A1C">
              <w:rPr>
                <w:rStyle w:val="Hyperlink"/>
                <w:noProof/>
              </w:rPr>
              <w:t>Critical Analysis and Empirical Evidence</w:t>
            </w:r>
            <w:r>
              <w:rPr>
                <w:noProof/>
                <w:webHidden/>
              </w:rPr>
              <w:tab/>
            </w:r>
            <w:r>
              <w:rPr>
                <w:noProof/>
                <w:webHidden/>
              </w:rPr>
              <w:fldChar w:fldCharType="begin"/>
            </w:r>
            <w:r>
              <w:rPr>
                <w:noProof/>
                <w:webHidden/>
              </w:rPr>
              <w:instrText xml:space="preserve"> PAGEREF _Toc174568199 \h </w:instrText>
            </w:r>
            <w:r>
              <w:rPr>
                <w:noProof/>
                <w:webHidden/>
              </w:rPr>
            </w:r>
            <w:r>
              <w:rPr>
                <w:noProof/>
                <w:webHidden/>
              </w:rPr>
              <w:fldChar w:fldCharType="separate"/>
            </w:r>
            <w:r>
              <w:rPr>
                <w:noProof/>
                <w:webHidden/>
              </w:rPr>
              <w:t>6</w:t>
            </w:r>
            <w:r>
              <w:rPr>
                <w:noProof/>
                <w:webHidden/>
              </w:rPr>
              <w:fldChar w:fldCharType="end"/>
            </w:r>
          </w:hyperlink>
        </w:p>
        <w:p w14:paraId="72C70E75" w14:textId="0123CB92" w:rsidR="00503F6B" w:rsidRDefault="00503F6B">
          <w:pPr>
            <w:pStyle w:val="TOC1"/>
            <w:tabs>
              <w:tab w:val="right" w:leader="dot" w:pos="9016"/>
            </w:tabs>
            <w:rPr>
              <w:noProof/>
            </w:rPr>
          </w:pPr>
          <w:hyperlink w:anchor="_Toc174568200" w:history="1">
            <w:r w:rsidRPr="00BA2A1C">
              <w:rPr>
                <w:rStyle w:val="Hyperlink"/>
                <w:noProof/>
              </w:rPr>
              <w:t>Evaluation of the Points Made</w:t>
            </w:r>
            <w:r>
              <w:rPr>
                <w:noProof/>
                <w:webHidden/>
              </w:rPr>
              <w:tab/>
            </w:r>
            <w:r>
              <w:rPr>
                <w:noProof/>
                <w:webHidden/>
              </w:rPr>
              <w:fldChar w:fldCharType="begin"/>
            </w:r>
            <w:r>
              <w:rPr>
                <w:noProof/>
                <w:webHidden/>
              </w:rPr>
              <w:instrText xml:space="preserve"> PAGEREF _Toc174568200 \h </w:instrText>
            </w:r>
            <w:r>
              <w:rPr>
                <w:noProof/>
                <w:webHidden/>
              </w:rPr>
            </w:r>
            <w:r>
              <w:rPr>
                <w:noProof/>
                <w:webHidden/>
              </w:rPr>
              <w:fldChar w:fldCharType="separate"/>
            </w:r>
            <w:r>
              <w:rPr>
                <w:noProof/>
                <w:webHidden/>
              </w:rPr>
              <w:t>6</w:t>
            </w:r>
            <w:r>
              <w:rPr>
                <w:noProof/>
                <w:webHidden/>
              </w:rPr>
              <w:fldChar w:fldCharType="end"/>
            </w:r>
          </w:hyperlink>
        </w:p>
        <w:p w14:paraId="59828AED" w14:textId="168747B7" w:rsidR="00503F6B" w:rsidRDefault="00503F6B">
          <w:pPr>
            <w:pStyle w:val="TOC1"/>
            <w:tabs>
              <w:tab w:val="right" w:leader="dot" w:pos="9016"/>
            </w:tabs>
            <w:rPr>
              <w:noProof/>
            </w:rPr>
          </w:pPr>
          <w:hyperlink w:anchor="_Toc174568201" w:history="1">
            <w:r w:rsidRPr="00BA2A1C">
              <w:rPr>
                <w:rStyle w:val="Hyperlink"/>
                <w:noProof/>
              </w:rPr>
              <w:t>Conclusi</w:t>
            </w:r>
            <w:r w:rsidRPr="00BA2A1C">
              <w:rPr>
                <w:rStyle w:val="Hyperlink"/>
                <w:noProof/>
              </w:rPr>
              <w:t>o</w:t>
            </w:r>
            <w:r w:rsidRPr="00BA2A1C">
              <w:rPr>
                <w:rStyle w:val="Hyperlink"/>
                <w:noProof/>
              </w:rPr>
              <w:t>n</w:t>
            </w:r>
            <w:r>
              <w:rPr>
                <w:noProof/>
                <w:webHidden/>
              </w:rPr>
              <w:tab/>
            </w:r>
            <w:r>
              <w:rPr>
                <w:noProof/>
                <w:webHidden/>
              </w:rPr>
              <w:fldChar w:fldCharType="begin"/>
            </w:r>
            <w:r>
              <w:rPr>
                <w:noProof/>
                <w:webHidden/>
              </w:rPr>
              <w:instrText xml:space="preserve"> PAGEREF _Toc174568201 \h </w:instrText>
            </w:r>
            <w:r>
              <w:rPr>
                <w:noProof/>
                <w:webHidden/>
              </w:rPr>
            </w:r>
            <w:r>
              <w:rPr>
                <w:noProof/>
                <w:webHidden/>
              </w:rPr>
              <w:fldChar w:fldCharType="separate"/>
            </w:r>
            <w:r>
              <w:rPr>
                <w:noProof/>
                <w:webHidden/>
              </w:rPr>
              <w:t>7</w:t>
            </w:r>
            <w:r>
              <w:rPr>
                <w:noProof/>
                <w:webHidden/>
              </w:rPr>
              <w:fldChar w:fldCharType="end"/>
            </w:r>
          </w:hyperlink>
        </w:p>
        <w:p w14:paraId="13DE162D" w14:textId="5ED6F452" w:rsidR="00503F6B" w:rsidRDefault="00503F6B">
          <w:r>
            <w:rPr>
              <w:b/>
              <w:bCs/>
              <w:noProof/>
            </w:rPr>
            <w:fldChar w:fldCharType="end"/>
          </w:r>
        </w:p>
      </w:sdtContent>
    </w:sdt>
    <w:p w14:paraId="6EE2912D" w14:textId="77777777" w:rsidR="00222C36" w:rsidRPr="00222C36" w:rsidRDefault="00222C36" w:rsidP="00222C36"/>
    <w:p w14:paraId="6336749C" w14:textId="77777777" w:rsidR="00222C36" w:rsidRPr="00222C36" w:rsidRDefault="00222C36" w:rsidP="00222C36"/>
    <w:p w14:paraId="7EB1E918" w14:textId="77777777" w:rsidR="00222C36" w:rsidRPr="00222C36" w:rsidRDefault="00222C36" w:rsidP="00222C36"/>
    <w:p w14:paraId="0DF59582" w14:textId="77777777" w:rsidR="00222C36" w:rsidRPr="00222C36" w:rsidRDefault="00222C36" w:rsidP="00222C36"/>
    <w:p w14:paraId="2D685397" w14:textId="77777777" w:rsidR="00222C36" w:rsidRPr="00222C36" w:rsidRDefault="00222C36" w:rsidP="00222C36"/>
    <w:p w14:paraId="503DCA8A" w14:textId="77777777" w:rsidR="00222C36" w:rsidRPr="00222C36" w:rsidRDefault="00222C36" w:rsidP="00222C36"/>
    <w:p w14:paraId="46321A11" w14:textId="77777777" w:rsidR="00222C36" w:rsidRPr="00222C36" w:rsidRDefault="00222C36" w:rsidP="00222C36"/>
    <w:p w14:paraId="3A20D9D0" w14:textId="77777777" w:rsidR="00222C36" w:rsidRPr="00222C36" w:rsidRDefault="00222C36" w:rsidP="00222C36"/>
    <w:p w14:paraId="4F4D2247" w14:textId="77777777" w:rsidR="00222C36" w:rsidRPr="00222C36" w:rsidRDefault="00222C36" w:rsidP="00222C36"/>
    <w:p w14:paraId="0307B1FA" w14:textId="77777777" w:rsidR="00222C36" w:rsidRPr="00222C36" w:rsidRDefault="00222C36" w:rsidP="00222C36"/>
    <w:p w14:paraId="0A89C434" w14:textId="77777777" w:rsidR="00222C36" w:rsidRPr="00222C36" w:rsidRDefault="00222C36" w:rsidP="00222C36"/>
    <w:p w14:paraId="34E02928" w14:textId="77777777" w:rsidR="00222C36" w:rsidRPr="00222C36" w:rsidRDefault="00222C36" w:rsidP="00222C36"/>
    <w:p w14:paraId="55152505" w14:textId="77777777" w:rsidR="00222C36" w:rsidRPr="00222C36" w:rsidRDefault="00222C36" w:rsidP="00222C36"/>
    <w:p w14:paraId="7B7DA0C2" w14:textId="77777777" w:rsidR="00222C36" w:rsidRPr="00222C36" w:rsidRDefault="00222C36" w:rsidP="00222C36"/>
    <w:p w14:paraId="49BC12F7" w14:textId="77777777" w:rsidR="00222C36" w:rsidRPr="00222C36" w:rsidRDefault="00222C36" w:rsidP="00222C36"/>
    <w:p w14:paraId="0EC5C06E" w14:textId="77777777" w:rsidR="00222C36" w:rsidRPr="00222C36" w:rsidRDefault="00222C36" w:rsidP="00222C36"/>
    <w:p w14:paraId="231CBD32" w14:textId="77777777" w:rsidR="00222C36" w:rsidRPr="00222C36" w:rsidRDefault="00222C36" w:rsidP="00222C36"/>
    <w:p w14:paraId="40139222" w14:textId="77777777" w:rsidR="00222C36" w:rsidRDefault="00222C36" w:rsidP="00222C36"/>
    <w:p w14:paraId="4B958AFF" w14:textId="77777777" w:rsidR="00222C36" w:rsidRDefault="00222C36" w:rsidP="00222C36"/>
    <w:p w14:paraId="47FDD0FB" w14:textId="5F1D9311" w:rsidR="00222C36" w:rsidRDefault="00222C36" w:rsidP="00222C36">
      <w:pPr>
        <w:tabs>
          <w:tab w:val="left" w:pos="910"/>
        </w:tabs>
      </w:pPr>
      <w:r>
        <w:tab/>
      </w:r>
    </w:p>
    <w:p w14:paraId="550E4C54" w14:textId="608836A3" w:rsidR="00F901C2" w:rsidRPr="00E84AEE" w:rsidRDefault="00222C36" w:rsidP="000448EB">
      <w:pPr>
        <w:pStyle w:val="Heading1"/>
      </w:pPr>
      <w:r>
        <w:br w:type="page"/>
      </w:r>
      <w:bookmarkStart w:id="1" w:name="_Toc174568183"/>
      <w:r w:rsidR="00F901C2" w:rsidRPr="00E84AEE">
        <w:lastRenderedPageBreak/>
        <w:t>Introduction</w:t>
      </w:r>
      <w:bookmarkEnd w:id="1"/>
    </w:p>
    <w:p w14:paraId="2093259C" w14:textId="77777777" w:rsidR="00F901C2" w:rsidRPr="00E84AEE" w:rsidRDefault="00F901C2" w:rsidP="00E84AEE">
      <w:pPr>
        <w:tabs>
          <w:tab w:val="left" w:pos="910"/>
        </w:tabs>
        <w:spacing w:line="360" w:lineRule="auto"/>
        <w:rPr>
          <w:rFonts w:ascii="Arial" w:hAnsi="Arial" w:cs="Arial"/>
          <w:sz w:val="22"/>
          <w:szCs w:val="22"/>
        </w:rPr>
      </w:pPr>
    </w:p>
    <w:p w14:paraId="48168526" w14:textId="6437684B" w:rsidR="00F901C2" w:rsidRPr="00E84AEE" w:rsidRDefault="00F901C2" w:rsidP="00E84AEE">
      <w:pPr>
        <w:tabs>
          <w:tab w:val="left" w:pos="910"/>
        </w:tabs>
        <w:spacing w:line="360" w:lineRule="auto"/>
        <w:rPr>
          <w:rFonts w:ascii="Arial" w:hAnsi="Arial" w:cs="Arial"/>
          <w:sz w:val="22"/>
          <w:szCs w:val="22"/>
        </w:rPr>
      </w:pPr>
      <w:r w:rsidRPr="00E84AEE">
        <w:rPr>
          <w:rFonts w:ascii="Arial" w:hAnsi="Arial" w:cs="Arial"/>
          <w:sz w:val="22"/>
          <w:szCs w:val="22"/>
        </w:rPr>
        <w:t xml:space="preserve">In the increasingly globalized economy, multinational corporations (MNCs) face significant exposure to foreign exchange (FX) risks due to their involvement in international trade, investment, and financing activities. FX risk, which arises from fluctuations in currency exchange rates, can have profound implications on </w:t>
      </w:r>
      <w:r w:rsidR="00480A51" w:rsidRPr="00E84AEE">
        <w:rPr>
          <w:rFonts w:ascii="Arial" w:hAnsi="Arial" w:cs="Arial"/>
          <w:sz w:val="22"/>
          <w:szCs w:val="22"/>
        </w:rPr>
        <w:t>MNCs'</w:t>
      </w:r>
      <w:r w:rsidRPr="00E84AEE">
        <w:rPr>
          <w:rFonts w:ascii="Arial" w:hAnsi="Arial" w:cs="Arial"/>
          <w:sz w:val="22"/>
          <w:szCs w:val="22"/>
        </w:rPr>
        <w:t xml:space="preserve"> financial performance and stability. </w:t>
      </w:r>
      <w:r w:rsidR="0001469B" w:rsidRPr="00E84AEE">
        <w:rPr>
          <w:rFonts w:ascii="Arial" w:hAnsi="Arial" w:cs="Arial"/>
          <w:sz w:val="22"/>
          <w:szCs w:val="22"/>
        </w:rPr>
        <w:t>FX risk management</w:t>
      </w:r>
      <w:r w:rsidRPr="00E84AEE">
        <w:rPr>
          <w:rFonts w:ascii="Arial" w:hAnsi="Arial" w:cs="Arial"/>
          <w:sz w:val="22"/>
          <w:szCs w:val="22"/>
        </w:rPr>
        <w:t xml:space="preserve"> is a critical aspect of International Financial Management (IFM), and MNCs adopt various strategies to mitigate or manage these risks. This essay critically evaluates </w:t>
      </w:r>
      <w:r w:rsidR="00480A51" w:rsidRPr="00E84AEE">
        <w:rPr>
          <w:rFonts w:ascii="Arial" w:hAnsi="Arial" w:cs="Arial"/>
          <w:sz w:val="22"/>
          <w:szCs w:val="22"/>
        </w:rPr>
        <w:t>MNCs'</w:t>
      </w:r>
      <w:r w:rsidR="0001469B" w:rsidRPr="00E84AEE">
        <w:rPr>
          <w:rFonts w:ascii="Arial" w:hAnsi="Arial" w:cs="Arial"/>
          <w:sz w:val="22"/>
          <w:szCs w:val="22"/>
        </w:rPr>
        <w:t xml:space="preserve"> different strategies</w:t>
      </w:r>
      <w:r w:rsidRPr="00E84AEE">
        <w:rPr>
          <w:rFonts w:ascii="Arial" w:hAnsi="Arial" w:cs="Arial"/>
          <w:sz w:val="22"/>
          <w:szCs w:val="22"/>
        </w:rPr>
        <w:t>, drawing from extensive research and literature.</w:t>
      </w:r>
    </w:p>
    <w:p w14:paraId="22FED47B" w14:textId="77777777" w:rsidR="00F901C2" w:rsidRPr="00E84AEE" w:rsidRDefault="00F901C2" w:rsidP="00E84AEE">
      <w:pPr>
        <w:tabs>
          <w:tab w:val="left" w:pos="910"/>
        </w:tabs>
        <w:spacing w:line="360" w:lineRule="auto"/>
        <w:rPr>
          <w:rFonts w:ascii="Arial" w:hAnsi="Arial" w:cs="Arial"/>
          <w:sz w:val="22"/>
          <w:szCs w:val="22"/>
        </w:rPr>
      </w:pPr>
    </w:p>
    <w:p w14:paraId="252A25B6" w14:textId="0AFE61DE" w:rsidR="00F901C2" w:rsidRPr="00E84AEE" w:rsidRDefault="00F901C2" w:rsidP="003D6B94">
      <w:pPr>
        <w:pStyle w:val="Heading1"/>
      </w:pPr>
      <w:bookmarkStart w:id="2" w:name="_Toc174568184"/>
      <w:r w:rsidRPr="00E84AEE">
        <w:t>Understanding Foreign Exchange Risk</w:t>
      </w:r>
      <w:bookmarkEnd w:id="2"/>
    </w:p>
    <w:p w14:paraId="5CF58557" w14:textId="77777777" w:rsidR="00F901C2" w:rsidRPr="00E84AEE" w:rsidRDefault="00F901C2" w:rsidP="00E84AEE">
      <w:pPr>
        <w:tabs>
          <w:tab w:val="left" w:pos="910"/>
        </w:tabs>
        <w:spacing w:line="360" w:lineRule="auto"/>
        <w:rPr>
          <w:rFonts w:ascii="Arial" w:hAnsi="Arial" w:cs="Arial"/>
          <w:sz w:val="22"/>
          <w:szCs w:val="22"/>
        </w:rPr>
      </w:pPr>
    </w:p>
    <w:p w14:paraId="52094CB8" w14:textId="77777777" w:rsidR="00F901C2" w:rsidRPr="00E84AEE" w:rsidRDefault="00F901C2" w:rsidP="00E84AEE">
      <w:pPr>
        <w:tabs>
          <w:tab w:val="left" w:pos="910"/>
        </w:tabs>
        <w:spacing w:line="360" w:lineRule="auto"/>
        <w:rPr>
          <w:rFonts w:ascii="Arial" w:hAnsi="Arial" w:cs="Arial"/>
          <w:sz w:val="22"/>
          <w:szCs w:val="22"/>
        </w:rPr>
      </w:pPr>
      <w:r w:rsidRPr="00E84AEE">
        <w:rPr>
          <w:rFonts w:ascii="Arial" w:hAnsi="Arial" w:cs="Arial"/>
          <w:sz w:val="22"/>
          <w:szCs w:val="22"/>
        </w:rPr>
        <w:t xml:space="preserve">Foreign exchange risk, also known as currency risk, is the potential for a </w:t>
      </w:r>
      <w:r w:rsidR="00480A51" w:rsidRPr="00E84AEE">
        <w:rPr>
          <w:rFonts w:ascii="Arial" w:hAnsi="Arial" w:cs="Arial"/>
          <w:sz w:val="22"/>
          <w:szCs w:val="22"/>
        </w:rPr>
        <w:t>company's</w:t>
      </w:r>
      <w:r w:rsidRPr="00E84AEE">
        <w:rPr>
          <w:rFonts w:ascii="Arial" w:hAnsi="Arial" w:cs="Arial"/>
          <w:sz w:val="22"/>
          <w:szCs w:val="22"/>
        </w:rPr>
        <w:t xml:space="preserve"> financial performance to be affected by changes in exchange rates. It can be categorized into three primary types:</w:t>
      </w:r>
    </w:p>
    <w:p w14:paraId="49D1212F" w14:textId="77777777" w:rsidR="00F901C2" w:rsidRPr="00E84AEE" w:rsidRDefault="00F901C2" w:rsidP="00E84AEE">
      <w:pPr>
        <w:tabs>
          <w:tab w:val="left" w:pos="910"/>
        </w:tabs>
        <w:spacing w:line="360" w:lineRule="auto"/>
        <w:rPr>
          <w:rFonts w:ascii="Arial" w:hAnsi="Arial" w:cs="Arial"/>
          <w:sz w:val="22"/>
          <w:szCs w:val="22"/>
        </w:rPr>
      </w:pPr>
    </w:p>
    <w:p w14:paraId="3DD91726" w14:textId="30BFB1D3" w:rsidR="00A02398" w:rsidRPr="00E84AEE" w:rsidRDefault="00F901C2" w:rsidP="00503F6B">
      <w:pPr>
        <w:pStyle w:val="Heading2"/>
      </w:pPr>
      <w:bookmarkStart w:id="3" w:name="_Toc174568185"/>
      <w:r w:rsidRPr="00E84AEE">
        <w:t>Transaction Exposure</w:t>
      </w:r>
      <w:bookmarkEnd w:id="3"/>
    </w:p>
    <w:p w14:paraId="76F2E8F4" w14:textId="5C102319" w:rsidR="00F901C2" w:rsidRPr="00E84AEE" w:rsidRDefault="00F901C2" w:rsidP="00E84AEE">
      <w:pPr>
        <w:tabs>
          <w:tab w:val="left" w:pos="910"/>
        </w:tabs>
        <w:spacing w:line="360" w:lineRule="auto"/>
        <w:rPr>
          <w:rFonts w:ascii="Arial" w:hAnsi="Arial" w:cs="Arial"/>
          <w:sz w:val="22"/>
          <w:szCs w:val="22"/>
        </w:rPr>
      </w:pPr>
      <w:r w:rsidRPr="00E84AEE">
        <w:rPr>
          <w:rFonts w:ascii="Arial" w:hAnsi="Arial" w:cs="Arial"/>
          <w:sz w:val="22"/>
          <w:szCs w:val="22"/>
        </w:rPr>
        <w:t xml:space="preserve">This arises from the effect of exchange rate movements on the value of a </w:t>
      </w:r>
      <w:r w:rsidR="00480A51" w:rsidRPr="00E84AEE">
        <w:rPr>
          <w:rFonts w:ascii="Arial" w:hAnsi="Arial" w:cs="Arial"/>
          <w:sz w:val="22"/>
          <w:szCs w:val="22"/>
        </w:rPr>
        <w:t>company's</w:t>
      </w:r>
      <w:r w:rsidRPr="00E84AEE">
        <w:rPr>
          <w:rFonts w:ascii="Arial" w:hAnsi="Arial" w:cs="Arial"/>
          <w:sz w:val="22"/>
          <w:szCs w:val="22"/>
        </w:rPr>
        <w:t xml:space="preserve"> contractual cash flows denominated in foreign currencies. For instance, an MNC that exports goods to a foreign country may receive payments in a foreign currency, exposing it to the risk of depreciating against the home currency (Eun and Resnick, 2015).</w:t>
      </w:r>
    </w:p>
    <w:p w14:paraId="5FDFD385" w14:textId="77777777" w:rsidR="00F901C2" w:rsidRPr="00E84AEE" w:rsidRDefault="00F901C2" w:rsidP="00E84AEE">
      <w:pPr>
        <w:tabs>
          <w:tab w:val="left" w:pos="910"/>
        </w:tabs>
        <w:spacing w:line="360" w:lineRule="auto"/>
        <w:rPr>
          <w:rFonts w:ascii="Arial" w:hAnsi="Arial" w:cs="Arial"/>
          <w:sz w:val="22"/>
          <w:szCs w:val="22"/>
        </w:rPr>
      </w:pPr>
    </w:p>
    <w:p w14:paraId="78223333" w14:textId="77777777" w:rsidR="00A02398" w:rsidRPr="00E84AEE" w:rsidRDefault="00F901C2" w:rsidP="00503F6B">
      <w:pPr>
        <w:pStyle w:val="Heading2"/>
      </w:pPr>
      <w:bookmarkStart w:id="4" w:name="_Toc174568186"/>
      <w:r w:rsidRPr="00E84AEE">
        <w:t>Translation Exposure</w:t>
      </w:r>
      <w:bookmarkEnd w:id="4"/>
    </w:p>
    <w:p w14:paraId="28C29153" w14:textId="3B02DE98" w:rsidR="00F901C2" w:rsidRPr="00E84AEE" w:rsidRDefault="00F901C2" w:rsidP="00E84AEE">
      <w:pPr>
        <w:tabs>
          <w:tab w:val="left" w:pos="910"/>
        </w:tabs>
        <w:spacing w:line="360" w:lineRule="auto"/>
        <w:rPr>
          <w:rFonts w:ascii="Arial" w:hAnsi="Arial" w:cs="Arial"/>
          <w:sz w:val="22"/>
          <w:szCs w:val="22"/>
        </w:rPr>
      </w:pPr>
      <w:r w:rsidRPr="00E84AEE">
        <w:rPr>
          <w:rFonts w:ascii="Arial" w:hAnsi="Arial" w:cs="Arial"/>
          <w:sz w:val="22"/>
          <w:szCs w:val="22"/>
        </w:rPr>
        <w:t xml:space="preserve">This is the risk that the value of an </w:t>
      </w:r>
      <w:r w:rsidR="00480A51" w:rsidRPr="00E84AEE">
        <w:rPr>
          <w:rFonts w:ascii="Arial" w:hAnsi="Arial" w:cs="Arial"/>
          <w:sz w:val="22"/>
          <w:szCs w:val="22"/>
        </w:rPr>
        <w:t>MNC's</w:t>
      </w:r>
      <w:r w:rsidRPr="00E84AEE">
        <w:rPr>
          <w:rFonts w:ascii="Arial" w:hAnsi="Arial" w:cs="Arial"/>
          <w:sz w:val="22"/>
          <w:szCs w:val="22"/>
        </w:rPr>
        <w:t xml:space="preserve"> consolidated financial statements will change due to fluctuations in exchange rates. It occurs when a parent company consolidates its foreign </w:t>
      </w:r>
      <w:r w:rsidR="00480A51" w:rsidRPr="00E84AEE">
        <w:rPr>
          <w:rFonts w:ascii="Arial" w:hAnsi="Arial" w:cs="Arial"/>
          <w:sz w:val="22"/>
          <w:szCs w:val="22"/>
        </w:rPr>
        <w:t>subsidiaries'</w:t>
      </w:r>
      <w:r w:rsidRPr="00E84AEE">
        <w:rPr>
          <w:rFonts w:ascii="Arial" w:hAnsi="Arial" w:cs="Arial"/>
          <w:sz w:val="22"/>
          <w:szCs w:val="22"/>
        </w:rPr>
        <w:t xml:space="preserve"> financial statements into its home currency (Shapiro, 2013).</w:t>
      </w:r>
    </w:p>
    <w:p w14:paraId="4B4DE83B" w14:textId="77777777" w:rsidR="00F901C2" w:rsidRPr="00E84AEE" w:rsidRDefault="00F901C2" w:rsidP="00E84AEE">
      <w:pPr>
        <w:tabs>
          <w:tab w:val="left" w:pos="910"/>
        </w:tabs>
        <w:spacing w:line="360" w:lineRule="auto"/>
        <w:rPr>
          <w:rFonts w:ascii="Arial" w:hAnsi="Arial" w:cs="Arial"/>
          <w:sz w:val="22"/>
          <w:szCs w:val="22"/>
        </w:rPr>
      </w:pPr>
    </w:p>
    <w:p w14:paraId="37B059F2" w14:textId="77777777" w:rsidR="00A02398" w:rsidRPr="00E84AEE" w:rsidRDefault="00F901C2" w:rsidP="00503F6B">
      <w:pPr>
        <w:pStyle w:val="Heading2"/>
      </w:pPr>
      <w:bookmarkStart w:id="5" w:name="_Toc174568187"/>
      <w:r w:rsidRPr="00E84AEE">
        <w:t>Economic Exposure</w:t>
      </w:r>
      <w:bookmarkEnd w:id="5"/>
    </w:p>
    <w:p w14:paraId="06D2F96D" w14:textId="4200E725" w:rsidR="00F901C2" w:rsidRPr="00E84AEE" w:rsidRDefault="00F901C2" w:rsidP="00E84AEE">
      <w:pPr>
        <w:tabs>
          <w:tab w:val="left" w:pos="910"/>
        </w:tabs>
        <w:spacing w:line="360" w:lineRule="auto"/>
        <w:rPr>
          <w:rFonts w:ascii="Arial" w:hAnsi="Arial" w:cs="Arial"/>
          <w:sz w:val="22"/>
          <w:szCs w:val="22"/>
        </w:rPr>
      </w:pPr>
      <w:r w:rsidRPr="00E84AEE">
        <w:rPr>
          <w:rFonts w:ascii="Arial" w:hAnsi="Arial" w:cs="Arial"/>
          <w:sz w:val="22"/>
          <w:szCs w:val="22"/>
        </w:rPr>
        <w:t xml:space="preserve">Also known as operating exposure, this type of risk reflects the impact of exchange rate changes on a </w:t>
      </w:r>
      <w:r w:rsidR="00480A51" w:rsidRPr="00E84AEE">
        <w:rPr>
          <w:rFonts w:ascii="Arial" w:hAnsi="Arial" w:cs="Arial"/>
          <w:sz w:val="22"/>
          <w:szCs w:val="22"/>
        </w:rPr>
        <w:t>company's</w:t>
      </w:r>
      <w:r w:rsidRPr="00E84AEE">
        <w:rPr>
          <w:rFonts w:ascii="Arial" w:hAnsi="Arial" w:cs="Arial"/>
          <w:sz w:val="22"/>
          <w:szCs w:val="22"/>
        </w:rPr>
        <w:t xml:space="preserve"> future cash flows and long-term market value. It is broader and more strategic than transaction or translation exposure (Madura, 2020).</w:t>
      </w:r>
    </w:p>
    <w:p w14:paraId="66B783D7" w14:textId="77777777" w:rsidR="00F901C2" w:rsidRPr="00E84AEE" w:rsidRDefault="00F901C2" w:rsidP="00E84AEE">
      <w:pPr>
        <w:tabs>
          <w:tab w:val="left" w:pos="910"/>
        </w:tabs>
        <w:spacing w:line="360" w:lineRule="auto"/>
        <w:rPr>
          <w:rFonts w:ascii="Arial" w:hAnsi="Arial" w:cs="Arial"/>
          <w:sz w:val="22"/>
          <w:szCs w:val="22"/>
        </w:rPr>
      </w:pPr>
    </w:p>
    <w:p w14:paraId="2949C69E" w14:textId="6A396A58" w:rsidR="00F901C2" w:rsidRPr="00E84AEE" w:rsidRDefault="00F901C2" w:rsidP="00503F6B">
      <w:pPr>
        <w:pStyle w:val="Heading2"/>
      </w:pPr>
      <w:bookmarkStart w:id="6" w:name="_Toc174568188"/>
      <w:r w:rsidRPr="00E84AEE">
        <w:lastRenderedPageBreak/>
        <w:t>Strategies for Managing Foreign Exchange Risks</w:t>
      </w:r>
      <w:bookmarkEnd w:id="6"/>
    </w:p>
    <w:p w14:paraId="7DDEA995" w14:textId="35F0C66B" w:rsidR="00F901C2" w:rsidRPr="00E84AEE" w:rsidRDefault="00F901C2" w:rsidP="00E84AEE">
      <w:pPr>
        <w:tabs>
          <w:tab w:val="left" w:pos="910"/>
        </w:tabs>
        <w:spacing w:line="360" w:lineRule="auto"/>
        <w:rPr>
          <w:rFonts w:ascii="Arial" w:hAnsi="Arial" w:cs="Arial"/>
          <w:sz w:val="22"/>
          <w:szCs w:val="22"/>
        </w:rPr>
      </w:pPr>
      <w:r w:rsidRPr="00E84AEE">
        <w:rPr>
          <w:rFonts w:ascii="Arial" w:hAnsi="Arial" w:cs="Arial"/>
          <w:sz w:val="22"/>
          <w:szCs w:val="22"/>
        </w:rPr>
        <w:t xml:space="preserve">MNCs adopt </w:t>
      </w:r>
      <w:r w:rsidR="00480A51" w:rsidRPr="00E84AEE">
        <w:rPr>
          <w:rFonts w:ascii="Arial" w:hAnsi="Arial" w:cs="Arial"/>
          <w:sz w:val="22"/>
          <w:szCs w:val="22"/>
        </w:rPr>
        <w:t>various</w:t>
      </w:r>
      <w:r w:rsidRPr="00E84AEE">
        <w:rPr>
          <w:rFonts w:ascii="Arial" w:hAnsi="Arial" w:cs="Arial"/>
          <w:sz w:val="22"/>
          <w:szCs w:val="22"/>
        </w:rPr>
        <w:t xml:space="preserve"> strategies to manage their exposure to foreign exchange risks. These strategies can be broadly categorized into internal (operational) strategies and external (financial) strategies.</w:t>
      </w:r>
    </w:p>
    <w:p w14:paraId="621CA89F" w14:textId="77777777" w:rsidR="00F901C2" w:rsidRPr="00E84AEE" w:rsidRDefault="00F901C2" w:rsidP="00E84AEE">
      <w:pPr>
        <w:tabs>
          <w:tab w:val="left" w:pos="910"/>
        </w:tabs>
        <w:spacing w:line="360" w:lineRule="auto"/>
        <w:rPr>
          <w:rFonts w:ascii="Arial" w:hAnsi="Arial" w:cs="Arial"/>
          <w:sz w:val="22"/>
          <w:szCs w:val="22"/>
        </w:rPr>
      </w:pPr>
    </w:p>
    <w:p w14:paraId="007DC065" w14:textId="7999FF36" w:rsidR="00F901C2" w:rsidRPr="00E84AEE" w:rsidRDefault="00F901C2" w:rsidP="00503F6B">
      <w:pPr>
        <w:pStyle w:val="Heading1"/>
      </w:pPr>
      <w:bookmarkStart w:id="7" w:name="_Toc174568189"/>
      <w:r w:rsidRPr="00E84AEE">
        <w:t>Internal (Operational) Strategies</w:t>
      </w:r>
      <w:bookmarkEnd w:id="7"/>
    </w:p>
    <w:p w14:paraId="734A93FE" w14:textId="77777777" w:rsidR="00F901C2" w:rsidRPr="00E84AEE" w:rsidRDefault="00F901C2" w:rsidP="00E84AEE">
      <w:pPr>
        <w:tabs>
          <w:tab w:val="left" w:pos="910"/>
        </w:tabs>
        <w:spacing w:line="360" w:lineRule="auto"/>
        <w:rPr>
          <w:rFonts w:ascii="Arial" w:hAnsi="Arial" w:cs="Arial"/>
          <w:sz w:val="22"/>
          <w:szCs w:val="22"/>
        </w:rPr>
      </w:pPr>
    </w:p>
    <w:p w14:paraId="0F1C650C" w14:textId="5A94B6A0" w:rsidR="00F901C2" w:rsidRPr="00E84AEE" w:rsidRDefault="00F901C2" w:rsidP="00503F6B">
      <w:pPr>
        <w:pStyle w:val="Heading2"/>
      </w:pPr>
      <w:bookmarkStart w:id="8" w:name="_Toc174568190"/>
      <w:r w:rsidRPr="00E84AEE">
        <w:t>Natural Hedging</w:t>
      </w:r>
      <w:bookmarkEnd w:id="8"/>
      <w:r w:rsidRPr="00E84AEE">
        <w:t xml:space="preserve"> </w:t>
      </w:r>
    </w:p>
    <w:p w14:paraId="4F5D4045" w14:textId="108354CC" w:rsidR="00F901C2" w:rsidRPr="00E84AEE" w:rsidRDefault="00F901C2" w:rsidP="00E84AEE">
      <w:pPr>
        <w:tabs>
          <w:tab w:val="left" w:pos="910"/>
        </w:tabs>
        <w:spacing w:line="360" w:lineRule="auto"/>
        <w:rPr>
          <w:rFonts w:ascii="Arial" w:hAnsi="Arial" w:cs="Arial"/>
          <w:sz w:val="22"/>
          <w:szCs w:val="22"/>
        </w:rPr>
      </w:pPr>
      <w:r w:rsidRPr="00E84AEE">
        <w:rPr>
          <w:rFonts w:ascii="Arial" w:hAnsi="Arial" w:cs="Arial"/>
          <w:sz w:val="22"/>
          <w:szCs w:val="22"/>
        </w:rPr>
        <w:t xml:space="preserve">Natural hedging involves structuring operations to offset currency exposures without financial instruments. For instance, an MNC might source raw materials, produce goods, and sell products in the same foreign currency, aligning its revenue and cost streams. This approach minimizes the impact of exchange rate fluctuations on the </w:t>
      </w:r>
      <w:r w:rsidR="00480A51" w:rsidRPr="00E84AEE">
        <w:rPr>
          <w:rFonts w:ascii="Arial" w:hAnsi="Arial" w:cs="Arial"/>
          <w:sz w:val="22"/>
          <w:szCs w:val="22"/>
        </w:rPr>
        <w:t>firm's</w:t>
      </w:r>
      <w:r w:rsidRPr="00E84AEE">
        <w:rPr>
          <w:rFonts w:ascii="Arial" w:hAnsi="Arial" w:cs="Arial"/>
          <w:sz w:val="22"/>
          <w:szCs w:val="22"/>
        </w:rPr>
        <w:t xml:space="preserve"> profitability (Eun and Resnick, 2015).</w:t>
      </w:r>
    </w:p>
    <w:p w14:paraId="477778C6" w14:textId="77777777" w:rsidR="00F901C2" w:rsidRPr="00E84AEE" w:rsidRDefault="00F901C2" w:rsidP="00E84AEE">
      <w:pPr>
        <w:tabs>
          <w:tab w:val="left" w:pos="910"/>
        </w:tabs>
        <w:spacing w:line="360" w:lineRule="auto"/>
        <w:rPr>
          <w:rFonts w:ascii="Arial" w:hAnsi="Arial" w:cs="Arial"/>
          <w:sz w:val="22"/>
          <w:szCs w:val="22"/>
        </w:rPr>
      </w:pPr>
    </w:p>
    <w:p w14:paraId="4D611860" w14:textId="56DD1EE6" w:rsidR="00F901C2" w:rsidRPr="00E84AEE" w:rsidRDefault="00F901C2" w:rsidP="00503F6B">
      <w:pPr>
        <w:pStyle w:val="Heading2"/>
      </w:pPr>
      <w:bookmarkStart w:id="9" w:name="_Toc174568191"/>
      <w:r w:rsidRPr="00E84AEE">
        <w:t>Leading and Lagging</w:t>
      </w:r>
      <w:bookmarkEnd w:id="9"/>
    </w:p>
    <w:p w14:paraId="20F0E98D" w14:textId="609A4C43" w:rsidR="00F901C2" w:rsidRPr="00E84AEE" w:rsidRDefault="00F901C2" w:rsidP="00E84AEE">
      <w:pPr>
        <w:tabs>
          <w:tab w:val="left" w:pos="910"/>
        </w:tabs>
        <w:spacing w:line="360" w:lineRule="auto"/>
        <w:rPr>
          <w:rFonts w:ascii="Arial" w:hAnsi="Arial" w:cs="Arial"/>
          <w:sz w:val="22"/>
          <w:szCs w:val="22"/>
        </w:rPr>
      </w:pPr>
      <w:r w:rsidRPr="00E84AEE">
        <w:rPr>
          <w:rFonts w:ascii="Arial" w:hAnsi="Arial" w:cs="Arial"/>
          <w:sz w:val="22"/>
          <w:szCs w:val="22"/>
        </w:rPr>
        <w:t xml:space="preserve">This strategy involves adjusting the timing of cash flows to take advantage of </w:t>
      </w:r>
      <w:r w:rsidR="00480A51" w:rsidRPr="00E84AEE">
        <w:rPr>
          <w:rFonts w:ascii="Arial" w:hAnsi="Arial" w:cs="Arial"/>
          <w:sz w:val="22"/>
          <w:szCs w:val="22"/>
        </w:rPr>
        <w:t>favourable</w:t>
      </w:r>
      <w:r w:rsidRPr="00E84AEE">
        <w:rPr>
          <w:rFonts w:ascii="Arial" w:hAnsi="Arial" w:cs="Arial"/>
          <w:sz w:val="22"/>
          <w:szCs w:val="22"/>
        </w:rPr>
        <w:t xml:space="preserve"> exchange rate movements. </w:t>
      </w:r>
      <w:r w:rsidR="00480A51" w:rsidRPr="00E84AEE">
        <w:rPr>
          <w:rFonts w:ascii="Arial" w:hAnsi="Arial" w:cs="Arial"/>
          <w:sz w:val="22"/>
          <w:szCs w:val="22"/>
        </w:rPr>
        <w:t>"</w:t>
      </w:r>
      <w:r w:rsidRPr="00E84AEE">
        <w:rPr>
          <w:rFonts w:ascii="Arial" w:hAnsi="Arial" w:cs="Arial"/>
          <w:sz w:val="22"/>
          <w:szCs w:val="22"/>
        </w:rPr>
        <w:t>Leading</w:t>
      </w:r>
      <w:r w:rsidR="00480A51" w:rsidRPr="00E84AEE">
        <w:rPr>
          <w:rFonts w:ascii="Arial" w:hAnsi="Arial" w:cs="Arial"/>
          <w:sz w:val="22"/>
          <w:szCs w:val="22"/>
        </w:rPr>
        <w:t>"</w:t>
      </w:r>
      <w:r w:rsidRPr="00E84AEE">
        <w:rPr>
          <w:rFonts w:ascii="Arial" w:hAnsi="Arial" w:cs="Arial"/>
          <w:sz w:val="22"/>
          <w:szCs w:val="22"/>
        </w:rPr>
        <w:t xml:space="preserve"> refers to accelerating foreign currency receipts or payments when a currency is expected to appreciate, while </w:t>
      </w:r>
      <w:r w:rsidR="00480A51" w:rsidRPr="00E84AEE">
        <w:rPr>
          <w:rFonts w:ascii="Arial" w:hAnsi="Arial" w:cs="Arial"/>
          <w:sz w:val="22"/>
          <w:szCs w:val="22"/>
        </w:rPr>
        <w:t>"</w:t>
      </w:r>
      <w:r w:rsidRPr="00E84AEE">
        <w:rPr>
          <w:rFonts w:ascii="Arial" w:hAnsi="Arial" w:cs="Arial"/>
          <w:sz w:val="22"/>
          <w:szCs w:val="22"/>
        </w:rPr>
        <w:t>lagging</w:t>
      </w:r>
      <w:r w:rsidR="00480A51" w:rsidRPr="00E84AEE">
        <w:rPr>
          <w:rFonts w:ascii="Arial" w:hAnsi="Arial" w:cs="Arial"/>
          <w:sz w:val="22"/>
          <w:szCs w:val="22"/>
        </w:rPr>
        <w:t>"</w:t>
      </w:r>
      <w:r w:rsidRPr="00E84AEE">
        <w:rPr>
          <w:rFonts w:ascii="Arial" w:hAnsi="Arial" w:cs="Arial"/>
          <w:sz w:val="22"/>
          <w:szCs w:val="22"/>
        </w:rPr>
        <w:t xml:space="preserve"> involves delaying them when </w:t>
      </w:r>
      <w:r w:rsidR="00480A51" w:rsidRPr="00E84AEE">
        <w:rPr>
          <w:rFonts w:ascii="Arial" w:hAnsi="Arial" w:cs="Arial"/>
          <w:sz w:val="22"/>
          <w:szCs w:val="22"/>
        </w:rPr>
        <w:t>it depreciates</w:t>
      </w:r>
      <w:r w:rsidRPr="00E84AEE">
        <w:rPr>
          <w:rFonts w:ascii="Arial" w:hAnsi="Arial" w:cs="Arial"/>
          <w:sz w:val="22"/>
          <w:szCs w:val="22"/>
        </w:rPr>
        <w:t xml:space="preserve">. However, the effectiveness of this strategy depends on accurate exchange rate forecasts, which can be </w:t>
      </w:r>
      <w:r w:rsidR="00480A51" w:rsidRPr="00E84AEE">
        <w:rPr>
          <w:rFonts w:ascii="Arial" w:hAnsi="Arial" w:cs="Arial"/>
          <w:sz w:val="22"/>
          <w:szCs w:val="22"/>
        </w:rPr>
        <w:t>challenging</w:t>
      </w:r>
      <w:r w:rsidRPr="00E84AEE">
        <w:rPr>
          <w:rFonts w:ascii="Arial" w:hAnsi="Arial" w:cs="Arial"/>
          <w:sz w:val="22"/>
          <w:szCs w:val="22"/>
        </w:rPr>
        <w:t xml:space="preserve"> to achieve (Shapiro, 2013).</w:t>
      </w:r>
    </w:p>
    <w:p w14:paraId="553C956C" w14:textId="77777777" w:rsidR="00F901C2" w:rsidRPr="00E84AEE" w:rsidRDefault="00F901C2" w:rsidP="00E84AEE">
      <w:pPr>
        <w:tabs>
          <w:tab w:val="left" w:pos="910"/>
        </w:tabs>
        <w:spacing w:line="360" w:lineRule="auto"/>
        <w:rPr>
          <w:rFonts w:ascii="Arial" w:hAnsi="Arial" w:cs="Arial"/>
          <w:sz w:val="22"/>
          <w:szCs w:val="22"/>
        </w:rPr>
      </w:pPr>
    </w:p>
    <w:p w14:paraId="103D29DA" w14:textId="048CC6E5" w:rsidR="00F901C2" w:rsidRPr="00E84AEE" w:rsidRDefault="00F901C2" w:rsidP="00503F6B">
      <w:pPr>
        <w:pStyle w:val="Heading2"/>
      </w:pPr>
      <w:bookmarkStart w:id="10" w:name="_Toc174568192"/>
      <w:r w:rsidRPr="00E84AEE">
        <w:t>Invoicing in Home Currency</w:t>
      </w:r>
      <w:bookmarkEnd w:id="10"/>
    </w:p>
    <w:p w14:paraId="157B4CF7" w14:textId="6FEFC348" w:rsidR="00F901C2" w:rsidRPr="00E84AEE" w:rsidRDefault="00F901C2" w:rsidP="00E84AEE">
      <w:pPr>
        <w:tabs>
          <w:tab w:val="left" w:pos="910"/>
        </w:tabs>
        <w:spacing w:line="360" w:lineRule="auto"/>
        <w:rPr>
          <w:rFonts w:ascii="Arial" w:hAnsi="Arial" w:cs="Arial"/>
          <w:sz w:val="22"/>
          <w:szCs w:val="22"/>
        </w:rPr>
      </w:pPr>
      <w:r w:rsidRPr="00E84AEE">
        <w:rPr>
          <w:rFonts w:ascii="Arial" w:hAnsi="Arial" w:cs="Arial"/>
          <w:sz w:val="22"/>
          <w:szCs w:val="22"/>
        </w:rPr>
        <w:t xml:space="preserve">MNCs may require </w:t>
      </w:r>
      <w:r w:rsidR="00480A51" w:rsidRPr="00E84AEE">
        <w:rPr>
          <w:rFonts w:ascii="Arial" w:hAnsi="Arial" w:cs="Arial"/>
          <w:sz w:val="22"/>
          <w:szCs w:val="22"/>
        </w:rPr>
        <w:t>invoicing their international transactions</w:t>
      </w:r>
      <w:r w:rsidRPr="00E84AEE">
        <w:rPr>
          <w:rFonts w:ascii="Arial" w:hAnsi="Arial" w:cs="Arial"/>
          <w:sz w:val="22"/>
          <w:szCs w:val="22"/>
        </w:rPr>
        <w:t xml:space="preserve"> in their home currency to eliminate transaction exposure. This strategy transfers the currency risk to the foreign counterparties. However, it may be less feasible if the MNC has weak bargaining power or competitors are willing to invoice in foreign currency (Madura, 2020).</w:t>
      </w:r>
    </w:p>
    <w:p w14:paraId="36445F1F" w14:textId="77777777" w:rsidR="00F901C2" w:rsidRPr="00E84AEE" w:rsidRDefault="00F901C2" w:rsidP="00E84AEE">
      <w:pPr>
        <w:tabs>
          <w:tab w:val="left" w:pos="910"/>
        </w:tabs>
        <w:spacing w:line="360" w:lineRule="auto"/>
        <w:rPr>
          <w:rFonts w:ascii="Arial" w:hAnsi="Arial" w:cs="Arial"/>
          <w:sz w:val="22"/>
          <w:szCs w:val="22"/>
        </w:rPr>
      </w:pPr>
    </w:p>
    <w:p w14:paraId="7801F55C" w14:textId="01276BD2" w:rsidR="00F901C2" w:rsidRPr="00E84AEE" w:rsidRDefault="00F901C2" w:rsidP="00503F6B">
      <w:pPr>
        <w:pStyle w:val="Heading2"/>
      </w:pPr>
      <w:bookmarkStart w:id="11" w:name="_Toc174568193"/>
      <w:r w:rsidRPr="00E84AEE">
        <w:t>Diversification of Operations</w:t>
      </w:r>
      <w:bookmarkEnd w:id="11"/>
    </w:p>
    <w:p w14:paraId="7E2EC719" w14:textId="77777777" w:rsidR="00F901C2" w:rsidRPr="00E84AEE" w:rsidRDefault="00F901C2" w:rsidP="00E84AEE">
      <w:pPr>
        <w:tabs>
          <w:tab w:val="left" w:pos="910"/>
        </w:tabs>
        <w:spacing w:line="360" w:lineRule="auto"/>
        <w:rPr>
          <w:rFonts w:ascii="Arial" w:hAnsi="Arial" w:cs="Arial"/>
          <w:sz w:val="22"/>
          <w:szCs w:val="22"/>
        </w:rPr>
      </w:pPr>
      <w:r w:rsidRPr="00E84AEE">
        <w:rPr>
          <w:rFonts w:ascii="Arial" w:hAnsi="Arial" w:cs="Arial"/>
          <w:sz w:val="22"/>
          <w:szCs w:val="22"/>
        </w:rPr>
        <w:t>MNCs can reduce their exposure by diversifying their operations across multiple countries and currencies. By having a geographically diverse revenue base, the company can mitigate the risk of any single currency movement significantly impacting overall financial performance (Shapiro, 2013).</w:t>
      </w:r>
    </w:p>
    <w:p w14:paraId="639913E0" w14:textId="77777777" w:rsidR="00F901C2" w:rsidRPr="00E84AEE" w:rsidRDefault="00F901C2" w:rsidP="00E84AEE">
      <w:pPr>
        <w:tabs>
          <w:tab w:val="left" w:pos="910"/>
        </w:tabs>
        <w:spacing w:line="360" w:lineRule="auto"/>
        <w:rPr>
          <w:rFonts w:ascii="Arial" w:hAnsi="Arial" w:cs="Arial"/>
          <w:sz w:val="22"/>
          <w:szCs w:val="22"/>
        </w:rPr>
      </w:pPr>
    </w:p>
    <w:p w14:paraId="029C53B7" w14:textId="72780540" w:rsidR="00F901C2" w:rsidRPr="00E84AEE" w:rsidRDefault="00F901C2" w:rsidP="00503F6B">
      <w:pPr>
        <w:pStyle w:val="Heading1"/>
      </w:pPr>
      <w:bookmarkStart w:id="12" w:name="_Toc174568194"/>
      <w:r w:rsidRPr="00E84AEE">
        <w:t>External (Financial) Strategies</w:t>
      </w:r>
      <w:bookmarkEnd w:id="12"/>
    </w:p>
    <w:p w14:paraId="42445711" w14:textId="77777777" w:rsidR="00F901C2" w:rsidRPr="00E84AEE" w:rsidRDefault="00F901C2" w:rsidP="00E84AEE">
      <w:pPr>
        <w:tabs>
          <w:tab w:val="left" w:pos="910"/>
        </w:tabs>
        <w:spacing w:line="360" w:lineRule="auto"/>
        <w:rPr>
          <w:rFonts w:ascii="Arial" w:hAnsi="Arial" w:cs="Arial"/>
          <w:sz w:val="22"/>
          <w:szCs w:val="22"/>
        </w:rPr>
      </w:pPr>
    </w:p>
    <w:p w14:paraId="52CCFADF" w14:textId="527244D5" w:rsidR="00F901C2" w:rsidRPr="00E84AEE" w:rsidRDefault="00F901C2" w:rsidP="00503F6B">
      <w:pPr>
        <w:pStyle w:val="Heading2"/>
      </w:pPr>
      <w:bookmarkStart w:id="13" w:name="_Toc174568195"/>
      <w:r w:rsidRPr="00E84AEE">
        <w:t>Forward Contracts</w:t>
      </w:r>
      <w:bookmarkEnd w:id="13"/>
    </w:p>
    <w:p w14:paraId="1CC129BC" w14:textId="5A2C439F" w:rsidR="00F901C2" w:rsidRPr="00E84AEE" w:rsidRDefault="00F901C2" w:rsidP="00E84AEE">
      <w:pPr>
        <w:tabs>
          <w:tab w:val="left" w:pos="910"/>
        </w:tabs>
        <w:spacing w:line="360" w:lineRule="auto"/>
        <w:rPr>
          <w:rFonts w:ascii="Arial" w:hAnsi="Arial" w:cs="Arial"/>
          <w:sz w:val="22"/>
          <w:szCs w:val="22"/>
        </w:rPr>
      </w:pPr>
      <w:r w:rsidRPr="00E84AEE">
        <w:rPr>
          <w:rFonts w:ascii="Arial" w:hAnsi="Arial" w:cs="Arial"/>
          <w:sz w:val="22"/>
          <w:szCs w:val="22"/>
        </w:rPr>
        <w:t xml:space="preserve">A forward contract is a financial derivative that allows an MNC to lock in an exchange rate for a future transaction. By fixing the future rate, the company eliminates uncertainty regarding </w:t>
      </w:r>
      <w:r w:rsidR="00480A51" w:rsidRPr="00E84AEE">
        <w:rPr>
          <w:rFonts w:ascii="Arial" w:hAnsi="Arial" w:cs="Arial"/>
          <w:sz w:val="22"/>
          <w:szCs w:val="22"/>
        </w:rPr>
        <w:t>how much</w:t>
      </w:r>
      <w:r w:rsidRPr="00E84AEE">
        <w:rPr>
          <w:rFonts w:ascii="Arial" w:hAnsi="Arial" w:cs="Arial"/>
          <w:sz w:val="22"/>
          <w:szCs w:val="22"/>
        </w:rPr>
        <w:t xml:space="preserve"> home currency it will receive or pay. This is particularly useful for managing transaction exposure. Forward contracts are tailored to the specific needs of the MNC, making them a flexible tool, although they may involve counterparty risk (</w:t>
      </w:r>
      <w:proofErr w:type="spellStart"/>
      <w:r w:rsidRPr="00E84AEE">
        <w:rPr>
          <w:rFonts w:ascii="Arial" w:hAnsi="Arial" w:cs="Arial"/>
          <w:sz w:val="22"/>
          <w:szCs w:val="22"/>
        </w:rPr>
        <w:t>Eiteman</w:t>
      </w:r>
      <w:proofErr w:type="spellEnd"/>
      <w:r w:rsidRPr="00E84AEE">
        <w:rPr>
          <w:rFonts w:ascii="Arial" w:hAnsi="Arial" w:cs="Arial"/>
          <w:sz w:val="22"/>
          <w:szCs w:val="22"/>
        </w:rPr>
        <w:t>, Stonehill, and Moffett, 2019).</w:t>
      </w:r>
    </w:p>
    <w:p w14:paraId="396ADA47" w14:textId="77777777" w:rsidR="00F901C2" w:rsidRPr="00E84AEE" w:rsidRDefault="00F901C2" w:rsidP="00E84AEE">
      <w:pPr>
        <w:tabs>
          <w:tab w:val="left" w:pos="910"/>
        </w:tabs>
        <w:spacing w:line="360" w:lineRule="auto"/>
        <w:rPr>
          <w:rFonts w:ascii="Arial" w:hAnsi="Arial" w:cs="Arial"/>
          <w:sz w:val="22"/>
          <w:szCs w:val="22"/>
        </w:rPr>
      </w:pPr>
    </w:p>
    <w:p w14:paraId="5344AC7C" w14:textId="0DBAB177" w:rsidR="00F901C2" w:rsidRPr="00E84AEE" w:rsidRDefault="00F901C2" w:rsidP="00503F6B">
      <w:pPr>
        <w:pStyle w:val="Heading2"/>
      </w:pPr>
      <w:bookmarkStart w:id="14" w:name="_Toc174568196"/>
      <w:r w:rsidRPr="00E84AEE">
        <w:t>Currency Options</w:t>
      </w:r>
      <w:bookmarkEnd w:id="14"/>
    </w:p>
    <w:p w14:paraId="0C99F0F5" w14:textId="6D5274B9" w:rsidR="00F901C2" w:rsidRPr="00E84AEE" w:rsidRDefault="00F901C2" w:rsidP="00E84AEE">
      <w:pPr>
        <w:tabs>
          <w:tab w:val="left" w:pos="910"/>
        </w:tabs>
        <w:spacing w:line="360" w:lineRule="auto"/>
        <w:rPr>
          <w:rFonts w:ascii="Arial" w:hAnsi="Arial" w:cs="Arial"/>
          <w:sz w:val="22"/>
          <w:szCs w:val="22"/>
        </w:rPr>
      </w:pPr>
      <w:r w:rsidRPr="00E84AEE">
        <w:rPr>
          <w:rFonts w:ascii="Arial" w:hAnsi="Arial" w:cs="Arial"/>
          <w:sz w:val="22"/>
          <w:szCs w:val="22"/>
        </w:rPr>
        <w:t xml:space="preserve">Currency options </w:t>
      </w:r>
      <w:r w:rsidR="007539FF">
        <w:rPr>
          <w:rFonts w:ascii="Arial" w:hAnsi="Arial" w:cs="Arial"/>
          <w:sz w:val="22"/>
          <w:szCs w:val="22"/>
        </w:rPr>
        <w:t>allow purchasing or selling</w:t>
      </w:r>
      <w:r w:rsidR="00F65FF3" w:rsidRPr="00E84AEE">
        <w:rPr>
          <w:rFonts w:ascii="Arial" w:hAnsi="Arial" w:cs="Arial"/>
          <w:sz w:val="22"/>
          <w:szCs w:val="22"/>
        </w:rPr>
        <w:t xml:space="preserve"> a currency at a predetermined rate within a certain timeframe without being obligated to do so.</w:t>
      </w:r>
      <w:r w:rsidRPr="00E84AEE">
        <w:rPr>
          <w:rFonts w:ascii="Arial" w:hAnsi="Arial" w:cs="Arial"/>
          <w:sz w:val="22"/>
          <w:szCs w:val="22"/>
        </w:rPr>
        <w:t xml:space="preserve"> Options offer protection against adverse currency movements while allowing MNCs to benefit from </w:t>
      </w:r>
      <w:r w:rsidR="00480A51" w:rsidRPr="00E84AEE">
        <w:rPr>
          <w:rFonts w:ascii="Arial" w:hAnsi="Arial" w:cs="Arial"/>
          <w:sz w:val="22"/>
          <w:szCs w:val="22"/>
        </w:rPr>
        <w:t>favourable</w:t>
      </w:r>
      <w:r w:rsidRPr="00E84AEE">
        <w:rPr>
          <w:rFonts w:ascii="Arial" w:hAnsi="Arial" w:cs="Arial"/>
          <w:sz w:val="22"/>
          <w:szCs w:val="22"/>
        </w:rPr>
        <w:t xml:space="preserve"> rate changes. However, options can be costly due to premium payments, and their use requires sophisticated risk management capabilities (Madura, 2020).</w:t>
      </w:r>
    </w:p>
    <w:p w14:paraId="08BDADAA" w14:textId="77777777" w:rsidR="00F901C2" w:rsidRPr="00E84AEE" w:rsidRDefault="00F901C2" w:rsidP="00E84AEE">
      <w:pPr>
        <w:tabs>
          <w:tab w:val="left" w:pos="910"/>
        </w:tabs>
        <w:spacing w:line="360" w:lineRule="auto"/>
        <w:rPr>
          <w:rFonts w:ascii="Arial" w:hAnsi="Arial" w:cs="Arial"/>
          <w:sz w:val="22"/>
          <w:szCs w:val="22"/>
        </w:rPr>
      </w:pPr>
    </w:p>
    <w:p w14:paraId="6FBC113F" w14:textId="33461AB8" w:rsidR="00F901C2" w:rsidRPr="00E84AEE" w:rsidRDefault="00F901C2" w:rsidP="00503F6B">
      <w:pPr>
        <w:pStyle w:val="Heading2"/>
      </w:pPr>
      <w:bookmarkStart w:id="15" w:name="_Toc174568197"/>
      <w:r w:rsidRPr="00E84AEE">
        <w:t>Currency Swaps</w:t>
      </w:r>
      <w:bookmarkEnd w:id="15"/>
    </w:p>
    <w:p w14:paraId="1CEE8A76" w14:textId="416E9AD3" w:rsidR="00F901C2" w:rsidRPr="00E84AEE" w:rsidRDefault="00F901C2" w:rsidP="00E84AEE">
      <w:pPr>
        <w:tabs>
          <w:tab w:val="left" w:pos="910"/>
        </w:tabs>
        <w:spacing w:line="360" w:lineRule="auto"/>
        <w:rPr>
          <w:rFonts w:ascii="Arial" w:hAnsi="Arial" w:cs="Arial"/>
          <w:sz w:val="22"/>
          <w:szCs w:val="22"/>
        </w:rPr>
      </w:pPr>
      <w:r w:rsidRPr="00E84AEE">
        <w:rPr>
          <w:rFonts w:ascii="Arial" w:hAnsi="Arial" w:cs="Arial"/>
          <w:sz w:val="22"/>
          <w:szCs w:val="22"/>
        </w:rPr>
        <w:t>A currency swap involves exchanging cash flows in different currencies between two parties. This strategy is often used to manage both transaction and translation exposure. For example, a U.S. firm borrowing in euros might enter into a swap agreement with a European firm borrowing in dollars, allowing both firms to pay their debt in their respective home currencies. Currency swaps are effective for managing long-term exposure but can be complex and involve significant transaction costs (Shapiro, 2013).</w:t>
      </w:r>
    </w:p>
    <w:p w14:paraId="06428BFD" w14:textId="77777777" w:rsidR="00F901C2" w:rsidRPr="00E84AEE" w:rsidRDefault="00F901C2" w:rsidP="00E84AEE">
      <w:pPr>
        <w:tabs>
          <w:tab w:val="left" w:pos="910"/>
        </w:tabs>
        <w:spacing w:line="360" w:lineRule="auto"/>
        <w:rPr>
          <w:rFonts w:ascii="Arial" w:hAnsi="Arial" w:cs="Arial"/>
          <w:sz w:val="22"/>
          <w:szCs w:val="22"/>
        </w:rPr>
      </w:pPr>
    </w:p>
    <w:p w14:paraId="42012873" w14:textId="4075FDD7" w:rsidR="00F901C2" w:rsidRPr="00E84AEE" w:rsidRDefault="00F901C2" w:rsidP="00503F6B">
      <w:pPr>
        <w:pStyle w:val="Heading2"/>
      </w:pPr>
      <w:bookmarkStart w:id="16" w:name="_Toc174568198"/>
      <w:r w:rsidRPr="00E84AEE">
        <w:t>Money Market Hedges</w:t>
      </w:r>
      <w:bookmarkEnd w:id="16"/>
    </w:p>
    <w:p w14:paraId="41799ED1" w14:textId="60332EAD" w:rsidR="00F901C2" w:rsidRPr="00E84AEE" w:rsidRDefault="00F901C2" w:rsidP="00E84AEE">
      <w:pPr>
        <w:tabs>
          <w:tab w:val="left" w:pos="910"/>
        </w:tabs>
        <w:spacing w:line="360" w:lineRule="auto"/>
        <w:rPr>
          <w:rFonts w:ascii="Arial" w:hAnsi="Arial" w:cs="Arial"/>
          <w:sz w:val="22"/>
          <w:szCs w:val="22"/>
        </w:rPr>
      </w:pPr>
      <w:r w:rsidRPr="00E84AEE">
        <w:rPr>
          <w:rFonts w:ascii="Arial" w:hAnsi="Arial" w:cs="Arial"/>
          <w:sz w:val="22"/>
          <w:szCs w:val="22"/>
        </w:rPr>
        <w:t>A money market hedge involves taking a position in the money markets to offset currency exposure. For instance, an MNC expecting a foreign currency payment in the future can borrow that currency now, convert it to the home currency, and repay the loan with the foreign currency received later. This approach locks in the exchange rate and is particularly useful when forward markets are not well-developed or for managing short-term exposures (</w:t>
      </w:r>
      <w:proofErr w:type="spellStart"/>
      <w:r w:rsidRPr="00E84AEE">
        <w:rPr>
          <w:rFonts w:ascii="Arial" w:hAnsi="Arial" w:cs="Arial"/>
          <w:sz w:val="22"/>
          <w:szCs w:val="22"/>
        </w:rPr>
        <w:t>Eiteman</w:t>
      </w:r>
      <w:proofErr w:type="spellEnd"/>
      <w:r w:rsidRPr="00E84AEE">
        <w:rPr>
          <w:rFonts w:ascii="Arial" w:hAnsi="Arial" w:cs="Arial"/>
          <w:sz w:val="22"/>
          <w:szCs w:val="22"/>
        </w:rPr>
        <w:t>, Stonehill, and Moffett, 2019).</w:t>
      </w:r>
    </w:p>
    <w:p w14:paraId="71CE8600" w14:textId="77777777" w:rsidR="00F901C2" w:rsidRPr="00E84AEE" w:rsidRDefault="00F901C2" w:rsidP="00E84AEE">
      <w:pPr>
        <w:tabs>
          <w:tab w:val="left" w:pos="910"/>
        </w:tabs>
        <w:spacing w:line="360" w:lineRule="auto"/>
        <w:rPr>
          <w:rFonts w:ascii="Arial" w:hAnsi="Arial" w:cs="Arial"/>
          <w:sz w:val="22"/>
          <w:szCs w:val="22"/>
        </w:rPr>
      </w:pPr>
    </w:p>
    <w:p w14:paraId="1AF7922F" w14:textId="5E7953A1" w:rsidR="00F901C2" w:rsidRPr="00E84AEE" w:rsidRDefault="00F901C2" w:rsidP="00503F6B">
      <w:pPr>
        <w:pStyle w:val="Heading1"/>
      </w:pPr>
      <w:bookmarkStart w:id="17" w:name="_Toc174568199"/>
      <w:r w:rsidRPr="00E84AEE">
        <w:t>Critical Analysis and Empirical Evidence</w:t>
      </w:r>
      <w:bookmarkEnd w:id="17"/>
    </w:p>
    <w:p w14:paraId="26AFC302" w14:textId="77777777" w:rsidR="00F901C2" w:rsidRPr="00E84AEE" w:rsidRDefault="00F901C2" w:rsidP="00E84AEE">
      <w:pPr>
        <w:tabs>
          <w:tab w:val="left" w:pos="910"/>
        </w:tabs>
        <w:spacing w:line="360" w:lineRule="auto"/>
        <w:rPr>
          <w:rFonts w:ascii="Arial" w:hAnsi="Arial" w:cs="Arial"/>
          <w:sz w:val="22"/>
          <w:szCs w:val="22"/>
        </w:rPr>
      </w:pPr>
    </w:p>
    <w:p w14:paraId="3FD8E477" w14:textId="4B3675A8" w:rsidR="00F901C2" w:rsidRPr="00E84AEE" w:rsidRDefault="00F901C2" w:rsidP="00E84AEE">
      <w:pPr>
        <w:tabs>
          <w:tab w:val="left" w:pos="910"/>
        </w:tabs>
        <w:spacing w:line="360" w:lineRule="auto"/>
        <w:rPr>
          <w:rFonts w:ascii="Arial" w:hAnsi="Arial" w:cs="Arial"/>
          <w:sz w:val="22"/>
          <w:szCs w:val="22"/>
        </w:rPr>
      </w:pPr>
      <w:r w:rsidRPr="00E84AEE">
        <w:rPr>
          <w:rFonts w:ascii="Arial" w:hAnsi="Arial" w:cs="Arial"/>
          <w:sz w:val="22"/>
          <w:szCs w:val="22"/>
        </w:rPr>
        <w:t xml:space="preserve">The choice of strategy depends on the nature of the exposure, the </w:t>
      </w:r>
      <w:r w:rsidR="00480A51" w:rsidRPr="00E84AEE">
        <w:rPr>
          <w:rFonts w:ascii="Arial" w:hAnsi="Arial" w:cs="Arial"/>
          <w:sz w:val="22"/>
          <w:szCs w:val="22"/>
        </w:rPr>
        <w:t>firm's</w:t>
      </w:r>
      <w:r w:rsidRPr="00E84AEE">
        <w:rPr>
          <w:rFonts w:ascii="Arial" w:hAnsi="Arial" w:cs="Arial"/>
          <w:sz w:val="22"/>
          <w:szCs w:val="22"/>
        </w:rPr>
        <w:t xml:space="preserve"> risk appetite, the cost of the strategy, and the market conditions. Internal strategies, such as natural hedging and diversification, offer a cost-effective way to manage risk, but they may not eliminate exposure, especially when exchange rate movements are unpredictable. External strategies, like forward contracts and options, provide more precise risk management but can be expensive and complex.</w:t>
      </w:r>
    </w:p>
    <w:p w14:paraId="7EC180AB" w14:textId="77777777" w:rsidR="00F901C2" w:rsidRPr="00E84AEE" w:rsidRDefault="00F901C2" w:rsidP="00E84AEE">
      <w:pPr>
        <w:tabs>
          <w:tab w:val="left" w:pos="910"/>
        </w:tabs>
        <w:spacing w:line="360" w:lineRule="auto"/>
        <w:rPr>
          <w:rFonts w:ascii="Arial" w:hAnsi="Arial" w:cs="Arial"/>
          <w:sz w:val="22"/>
          <w:szCs w:val="22"/>
        </w:rPr>
      </w:pPr>
    </w:p>
    <w:p w14:paraId="60721F59" w14:textId="7EB6ACFE" w:rsidR="00F901C2" w:rsidRPr="00E84AEE" w:rsidRDefault="00F901C2" w:rsidP="00E84AEE">
      <w:pPr>
        <w:tabs>
          <w:tab w:val="left" w:pos="910"/>
        </w:tabs>
        <w:spacing w:line="360" w:lineRule="auto"/>
        <w:rPr>
          <w:rFonts w:ascii="Arial" w:hAnsi="Arial" w:cs="Arial"/>
          <w:sz w:val="22"/>
          <w:szCs w:val="22"/>
        </w:rPr>
      </w:pPr>
      <w:r w:rsidRPr="00E84AEE">
        <w:rPr>
          <w:rFonts w:ascii="Arial" w:hAnsi="Arial" w:cs="Arial"/>
          <w:sz w:val="22"/>
          <w:szCs w:val="22"/>
        </w:rPr>
        <w:t xml:space="preserve">Empirical evidence suggests that MNCs often use a combination of strategies to manage FX risks. For example, </w:t>
      </w:r>
      <w:proofErr w:type="spellStart"/>
      <w:r w:rsidRPr="00E84AEE">
        <w:rPr>
          <w:rFonts w:ascii="Arial" w:hAnsi="Arial" w:cs="Arial"/>
          <w:sz w:val="22"/>
          <w:szCs w:val="22"/>
        </w:rPr>
        <w:t>Allayannis</w:t>
      </w:r>
      <w:proofErr w:type="spellEnd"/>
      <w:r w:rsidRPr="00E84AEE">
        <w:rPr>
          <w:rFonts w:ascii="Arial" w:hAnsi="Arial" w:cs="Arial"/>
          <w:sz w:val="22"/>
          <w:szCs w:val="22"/>
        </w:rPr>
        <w:t xml:space="preserve">, </w:t>
      </w:r>
      <w:proofErr w:type="spellStart"/>
      <w:r w:rsidRPr="00E84AEE">
        <w:rPr>
          <w:rFonts w:ascii="Arial" w:hAnsi="Arial" w:cs="Arial"/>
          <w:sz w:val="22"/>
          <w:szCs w:val="22"/>
        </w:rPr>
        <w:t>Ihrig</w:t>
      </w:r>
      <w:proofErr w:type="spellEnd"/>
      <w:r w:rsidRPr="00E84AEE">
        <w:rPr>
          <w:rFonts w:ascii="Arial" w:hAnsi="Arial" w:cs="Arial"/>
          <w:sz w:val="22"/>
          <w:szCs w:val="22"/>
        </w:rPr>
        <w:t xml:space="preserve">, and Weston (2001) found that firms using both operational and financial hedging techniques tend to have lower earnings volatility </w:t>
      </w:r>
      <w:r w:rsidR="004F0B20" w:rsidRPr="00E84AEE">
        <w:rPr>
          <w:rFonts w:ascii="Arial" w:hAnsi="Arial" w:cs="Arial"/>
          <w:sz w:val="22"/>
          <w:szCs w:val="22"/>
        </w:rPr>
        <w:t>than</w:t>
      </w:r>
      <w:r w:rsidRPr="00E84AEE">
        <w:rPr>
          <w:rFonts w:ascii="Arial" w:hAnsi="Arial" w:cs="Arial"/>
          <w:sz w:val="22"/>
          <w:szCs w:val="22"/>
        </w:rPr>
        <w:t xml:space="preserve"> firms that do not hedge or only use one strategy. Moreover, </w:t>
      </w:r>
      <w:proofErr w:type="spellStart"/>
      <w:r w:rsidRPr="00E84AEE">
        <w:rPr>
          <w:rFonts w:ascii="Arial" w:hAnsi="Arial" w:cs="Arial"/>
          <w:sz w:val="22"/>
          <w:szCs w:val="22"/>
        </w:rPr>
        <w:t>Bartov</w:t>
      </w:r>
      <w:proofErr w:type="spellEnd"/>
      <w:r w:rsidRPr="00E84AEE">
        <w:rPr>
          <w:rFonts w:ascii="Arial" w:hAnsi="Arial" w:cs="Arial"/>
          <w:sz w:val="22"/>
          <w:szCs w:val="22"/>
        </w:rPr>
        <w:t xml:space="preserve"> and Bodnar (1994) highlighted that firms with significant foreign operations are more likely to use forward contracts, reflecting their need for more sophisticated financial instruments to manage substantial exposures.</w:t>
      </w:r>
    </w:p>
    <w:p w14:paraId="15298382" w14:textId="77777777" w:rsidR="00F901C2" w:rsidRPr="00E84AEE" w:rsidRDefault="00F901C2" w:rsidP="00E84AEE">
      <w:pPr>
        <w:tabs>
          <w:tab w:val="left" w:pos="910"/>
        </w:tabs>
        <w:spacing w:line="360" w:lineRule="auto"/>
        <w:rPr>
          <w:rFonts w:ascii="Arial" w:hAnsi="Arial" w:cs="Arial"/>
          <w:sz w:val="22"/>
          <w:szCs w:val="22"/>
        </w:rPr>
      </w:pPr>
    </w:p>
    <w:p w14:paraId="74A6D476" w14:textId="22EC8423" w:rsidR="00F901C2" w:rsidRPr="00E84AEE" w:rsidRDefault="00F901C2" w:rsidP="00E84AEE">
      <w:pPr>
        <w:tabs>
          <w:tab w:val="left" w:pos="910"/>
        </w:tabs>
        <w:spacing w:line="360" w:lineRule="auto"/>
        <w:rPr>
          <w:rFonts w:ascii="Arial" w:hAnsi="Arial" w:cs="Arial"/>
          <w:sz w:val="22"/>
          <w:szCs w:val="22"/>
        </w:rPr>
      </w:pPr>
      <w:r w:rsidRPr="00E84AEE">
        <w:rPr>
          <w:rFonts w:ascii="Arial" w:hAnsi="Arial" w:cs="Arial"/>
          <w:sz w:val="22"/>
          <w:szCs w:val="22"/>
        </w:rPr>
        <w:t>The effectiveness of these strategies also varies with market conditions. For instance, during periods of high volatility, currency options become more attractive due to their ability to offer protection with upside potential</w:t>
      </w:r>
      <w:r w:rsidR="004F0B20" w:rsidRPr="00E84AEE">
        <w:rPr>
          <w:rFonts w:ascii="Arial" w:hAnsi="Arial" w:cs="Arial"/>
          <w:sz w:val="22"/>
          <w:szCs w:val="22"/>
        </w:rPr>
        <w:t>. In contrast</w:t>
      </w:r>
      <w:r w:rsidRPr="00E84AEE">
        <w:rPr>
          <w:rFonts w:ascii="Arial" w:hAnsi="Arial" w:cs="Arial"/>
          <w:sz w:val="22"/>
          <w:szCs w:val="22"/>
        </w:rPr>
        <w:t xml:space="preserve">, forward contracts may be preferred </w:t>
      </w:r>
      <w:r w:rsidR="004F0B20" w:rsidRPr="00E84AEE">
        <w:rPr>
          <w:rFonts w:ascii="Arial" w:hAnsi="Arial" w:cs="Arial"/>
          <w:sz w:val="22"/>
          <w:szCs w:val="22"/>
        </w:rPr>
        <w:t xml:space="preserve">in stable environments </w:t>
      </w:r>
      <w:r w:rsidRPr="00E84AEE">
        <w:rPr>
          <w:rFonts w:ascii="Arial" w:hAnsi="Arial" w:cs="Arial"/>
          <w:sz w:val="22"/>
          <w:szCs w:val="22"/>
        </w:rPr>
        <w:t xml:space="preserve">for their simplicity and cost-effectiveness (Madura, 2020). Additionally, </w:t>
      </w:r>
      <w:r w:rsidR="004F0B20" w:rsidRPr="00E84AEE">
        <w:rPr>
          <w:rFonts w:ascii="Arial" w:hAnsi="Arial" w:cs="Arial"/>
          <w:sz w:val="22"/>
          <w:szCs w:val="22"/>
        </w:rPr>
        <w:t>financial derivatives are</w:t>
      </w:r>
      <w:r w:rsidRPr="00E84AEE">
        <w:rPr>
          <w:rFonts w:ascii="Arial" w:hAnsi="Arial" w:cs="Arial"/>
          <w:sz w:val="22"/>
          <w:szCs w:val="22"/>
        </w:rPr>
        <w:t xml:space="preserve"> often contingent on the availability of liquid markets and the regulatory environment, which can vary significantly across regions (Eun and Resnick, 2015).</w:t>
      </w:r>
    </w:p>
    <w:p w14:paraId="3F31A296" w14:textId="77777777" w:rsidR="00F901C2" w:rsidRPr="00E84AEE" w:rsidRDefault="00F901C2" w:rsidP="00E84AEE">
      <w:pPr>
        <w:tabs>
          <w:tab w:val="left" w:pos="910"/>
        </w:tabs>
        <w:spacing w:line="360" w:lineRule="auto"/>
        <w:rPr>
          <w:rFonts w:ascii="Arial" w:hAnsi="Arial" w:cs="Arial"/>
          <w:sz w:val="22"/>
          <w:szCs w:val="22"/>
        </w:rPr>
      </w:pPr>
    </w:p>
    <w:p w14:paraId="6E3727BC" w14:textId="2BBB3858" w:rsidR="00F901C2" w:rsidRPr="00E84AEE" w:rsidRDefault="00F901C2" w:rsidP="00503F6B">
      <w:pPr>
        <w:pStyle w:val="Heading1"/>
      </w:pPr>
      <w:bookmarkStart w:id="18" w:name="_Toc174568200"/>
      <w:r w:rsidRPr="00E84AEE">
        <w:t>Evaluation of the Points Made</w:t>
      </w:r>
      <w:bookmarkEnd w:id="18"/>
    </w:p>
    <w:p w14:paraId="54FC4FEE" w14:textId="77777777" w:rsidR="00F901C2" w:rsidRPr="00E84AEE" w:rsidRDefault="00F901C2" w:rsidP="00E84AEE">
      <w:pPr>
        <w:tabs>
          <w:tab w:val="left" w:pos="910"/>
        </w:tabs>
        <w:spacing w:line="360" w:lineRule="auto"/>
        <w:rPr>
          <w:rFonts w:ascii="Arial" w:hAnsi="Arial" w:cs="Arial"/>
          <w:sz w:val="22"/>
          <w:szCs w:val="22"/>
        </w:rPr>
      </w:pPr>
    </w:p>
    <w:p w14:paraId="6E93483B" w14:textId="250EB1A7" w:rsidR="00F901C2" w:rsidRPr="00E84AEE" w:rsidRDefault="00F901C2" w:rsidP="00E84AEE">
      <w:pPr>
        <w:tabs>
          <w:tab w:val="left" w:pos="910"/>
        </w:tabs>
        <w:spacing w:line="360" w:lineRule="auto"/>
        <w:rPr>
          <w:rFonts w:ascii="Arial" w:hAnsi="Arial" w:cs="Arial"/>
          <w:sz w:val="22"/>
          <w:szCs w:val="22"/>
        </w:rPr>
      </w:pPr>
      <w:r w:rsidRPr="00E84AEE">
        <w:rPr>
          <w:rFonts w:ascii="Arial" w:hAnsi="Arial" w:cs="Arial"/>
          <w:sz w:val="22"/>
          <w:szCs w:val="22"/>
        </w:rPr>
        <w:t xml:space="preserve">While the </w:t>
      </w:r>
      <w:r w:rsidR="004F0B20" w:rsidRPr="00E84AEE">
        <w:rPr>
          <w:rFonts w:ascii="Arial" w:hAnsi="Arial" w:cs="Arial"/>
          <w:sz w:val="22"/>
          <w:szCs w:val="22"/>
        </w:rPr>
        <w:t>strategies mentioned earlier</w:t>
      </w:r>
      <w:r w:rsidRPr="00E84AEE">
        <w:rPr>
          <w:rFonts w:ascii="Arial" w:hAnsi="Arial" w:cs="Arial"/>
          <w:sz w:val="22"/>
          <w:szCs w:val="22"/>
        </w:rPr>
        <w:t xml:space="preserve"> offer a robust framework for managing FX risks, it is essential to recognize that no single strategy is universally superior. The optimal approach for an MNC depends on its specific circumstances, including its exposure profile, market conditions, and the availability of risk management tools. Moreover, </w:t>
      </w:r>
      <w:r w:rsidR="00480A51" w:rsidRPr="00E84AEE">
        <w:rPr>
          <w:rFonts w:ascii="Arial" w:hAnsi="Arial" w:cs="Arial"/>
          <w:sz w:val="22"/>
          <w:szCs w:val="22"/>
        </w:rPr>
        <w:t>using</w:t>
      </w:r>
      <w:r w:rsidRPr="00E84AEE">
        <w:rPr>
          <w:rFonts w:ascii="Arial" w:hAnsi="Arial" w:cs="Arial"/>
          <w:sz w:val="22"/>
          <w:szCs w:val="22"/>
        </w:rPr>
        <w:t xml:space="preserve"> sophisticated financial instruments requires </w:t>
      </w:r>
      <w:r w:rsidR="00480A51" w:rsidRPr="00E84AEE">
        <w:rPr>
          <w:rFonts w:ascii="Arial" w:hAnsi="Arial" w:cs="Arial"/>
          <w:sz w:val="22"/>
          <w:szCs w:val="22"/>
        </w:rPr>
        <w:t>solid internal</w:t>
      </w:r>
      <w:r w:rsidRPr="00E84AEE">
        <w:rPr>
          <w:rFonts w:ascii="Arial" w:hAnsi="Arial" w:cs="Arial"/>
          <w:sz w:val="22"/>
          <w:szCs w:val="22"/>
        </w:rPr>
        <w:t xml:space="preserve"> controls and expertise, as mismanagement can </w:t>
      </w:r>
      <w:r w:rsidRPr="00E84AEE">
        <w:rPr>
          <w:rFonts w:ascii="Arial" w:hAnsi="Arial" w:cs="Arial"/>
          <w:sz w:val="22"/>
          <w:szCs w:val="22"/>
        </w:rPr>
        <w:lastRenderedPageBreak/>
        <w:t>lead to significant financial losses, as seen in high-profile cases like the collapse of Barings Bank in 1995 (Shapiro, 2013).</w:t>
      </w:r>
    </w:p>
    <w:p w14:paraId="2346F96B" w14:textId="77777777" w:rsidR="00F901C2" w:rsidRPr="00E84AEE" w:rsidRDefault="00F901C2" w:rsidP="00E84AEE">
      <w:pPr>
        <w:tabs>
          <w:tab w:val="left" w:pos="910"/>
        </w:tabs>
        <w:spacing w:line="360" w:lineRule="auto"/>
        <w:rPr>
          <w:rFonts w:ascii="Arial" w:hAnsi="Arial" w:cs="Arial"/>
          <w:sz w:val="22"/>
          <w:szCs w:val="22"/>
        </w:rPr>
      </w:pPr>
    </w:p>
    <w:p w14:paraId="74DB4C9E" w14:textId="138D8791" w:rsidR="00F901C2" w:rsidRPr="00E84AEE" w:rsidRDefault="00F901C2" w:rsidP="00E84AEE">
      <w:pPr>
        <w:tabs>
          <w:tab w:val="left" w:pos="910"/>
        </w:tabs>
        <w:spacing w:line="360" w:lineRule="auto"/>
        <w:rPr>
          <w:rFonts w:ascii="Arial" w:hAnsi="Arial" w:cs="Arial"/>
          <w:sz w:val="22"/>
          <w:szCs w:val="22"/>
        </w:rPr>
      </w:pPr>
      <w:r w:rsidRPr="00E84AEE">
        <w:rPr>
          <w:rFonts w:ascii="Arial" w:hAnsi="Arial" w:cs="Arial"/>
          <w:sz w:val="22"/>
          <w:szCs w:val="22"/>
        </w:rPr>
        <w:t xml:space="preserve">In practice, many MNCs adopt a dynamic approach to FX risk management, adjusting their strategies in response to changing conditions. This adaptability is crucial in a volatile global environment where exchange rates can be influenced by </w:t>
      </w:r>
      <w:r w:rsidR="00480A51" w:rsidRPr="00E84AEE">
        <w:rPr>
          <w:rFonts w:ascii="Arial" w:hAnsi="Arial" w:cs="Arial"/>
          <w:sz w:val="22"/>
          <w:szCs w:val="22"/>
        </w:rPr>
        <w:t>many</w:t>
      </w:r>
      <w:r w:rsidRPr="00E84AEE">
        <w:rPr>
          <w:rFonts w:ascii="Arial" w:hAnsi="Arial" w:cs="Arial"/>
          <w:sz w:val="22"/>
          <w:szCs w:val="22"/>
        </w:rPr>
        <w:t xml:space="preserve"> factors, including economic policy shifts, geopolitical events, and market sentiment (Madura, 2020).</w:t>
      </w:r>
    </w:p>
    <w:p w14:paraId="1C1745EF" w14:textId="77777777" w:rsidR="00F901C2" w:rsidRPr="00E84AEE" w:rsidRDefault="00F901C2" w:rsidP="00E84AEE">
      <w:pPr>
        <w:tabs>
          <w:tab w:val="left" w:pos="910"/>
        </w:tabs>
        <w:spacing w:line="360" w:lineRule="auto"/>
        <w:rPr>
          <w:rFonts w:ascii="Arial" w:hAnsi="Arial" w:cs="Arial"/>
          <w:sz w:val="22"/>
          <w:szCs w:val="22"/>
        </w:rPr>
      </w:pPr>
    </w:p>
    <w:p w14:paraId="43E290F4" w14:textId="790E484D" w:rsidR="00F901C2" w:rsidRPr="00E84AEE" w:rsidRDefault="00F901C2" w:rsidP="00503F6B">
      <w:pPr>
        <w:pStyle w:val="Heading1"/>
      </w:pPr>
      <w:bookmarkStart w:id="19" w:name="_Toc174568201"/>
      <w:r w:rsidRPr="00E84AEE">
        <w:t>Conclusion</w:t>
      </w:r>
      <w:bookmarkEnd w:id="19"/>
    </w:p>
    <w:p w14:paraId="65DFC425" w14:textId="77777777" w:rsidR="00F901C2" w:rsidRPr="00E84AEE" w:rsidRDefault="00F901C2" w:rsidP="00E84AEE">
      <w:pPr>
        <w:tabs>
          <w:tab w:val="left" w:pos="910"/>
        </w:tabs>
        <w:spacing w:line="360" w:lineRule="auto"/>
        <w:rPr>
          <w:rFonts w:ascii="Arial" w:hAnsi="Arial" w:cs="Arial"/>
          <w:sz w:val="22"/>
          <w:szCs w:val="22"/>
        </w:rPr>
      </w:pPr>
    </w:p>
    <w:p w14:paraId="2CB6DEAC" w14:textId="7F464DF9" w:rsidR="00DB170D" w:rsidRPr="00E84AEE" w:rsidRDefault="00F901C2" w:rsidP="00E84AEE">
      <w:pPr>
        <w:tabs>
          <w:tab w:val="left" w:pos="910"/>
        </w:tabs>
        <w:spacing w:line="360" w:lineRule="auto"/>
        <w:rPr>
          <w:rFonts w:ascii="Arial" w:hAnsi="Arial" w:cs="Arial"/>
          <w:sz w:val="22"/>
          <w:szCs w:val="22"/>
        </w:rPr>
      </w:pPr>
      <w:r w:rsidRPr="00E84AEE">
        <w:rPr>
          <w:rFonts w:ascii="Arial" w:hAnsi="Arial" w:cs="Arial"/>
          <w:sz w:val="22"/>
          <w:szCs w:val="22"/>
        </w:rPr>
        <w:t xml:space="preserve">Managing foreign exchange risk is a critical aspect of International Financial Management for MNCs. The strategies employed by MNCs range from operational approaches like natural hedging and invoicing in </w:t>
      </w:r>
      <w:r w:rsidR="00480A51" w:rsidRPr="00E84AEE">
        <w:rPr>
          <w:rFonts w:ascii="Arial" w:hAnsi="Arial" w:cs="Arial"/>
          <w:sz w:val="22"/>
          <w:szCs w:val="22"/>
        </w:rPr>
        <w:t xml:space="preserve">the </w:t>
      </w:r>
      <w:r w:rsidRPr="00E84AEE">
        <w:rPr>
          <w:rFonts w:ascii="Arial" w:hAnsi="Arial" w:cs="Arial"/>
          <w:sz w:val="22"/>
          <w:szCs w:val="22"/>
        </w:rPr>
        <w:t xml:space="preserve">home currency to financial strategies involving derivatives such as forward contracts, options, and swaps. Each strategy has its advantages and limitations, </w:t>
      </w:r>
      <w:r w:rsidR="003C017A" w:rsidRPr="00E84AEE">
        <w:rPr>
          <w:rFonts w:ascii="Arial" w:hAnsi="Arial" w:cs="Arial"/>
          <w:sz w:val="22"/>
          <w:szCs w:val="22"/>
        </w:rPr>
        <w:t>and t</w:t>
      </w:r>
      <w:r w:rsidR="006142D6" w:rsidRPr="00E84AEE">
        <w:rPr>
          <w:rFonts w:ascii="Arial" w:hAnsi="Arial" w:cs="Arial"/>
          <w:sz w:val="22"/>
          <w:szCs w:val="22"/>
        </w:rPr>
        <w:t>he efficacy of these techniques is contingent upon several aspects</w:t>
      </w:r>
      <w:r w:rsidR="000448EB">
        <w:rPr>
          <w:rFonts w:ascii="Arial" w:hAnsi="Arial" w:cs="Arial"/>
          <w:sz w:val="22"/>
          <w:szCs w:val="22"/>
        </w:rPr>
        <w:t>,</w:t>
      </w:r>
      <w:r w:rsidRPr="00E84AEE">
        <w:rPr>
          <w:rFonts w:ascii="Arial" w:hAnsi="Arial" w:cs="Arial"/>
          <w:sz w:val="22"/>
          <w:szCs w:val="22"/>
        </w:rPr>
        <w:t xml:space="preserve"> including the type of exposure, market conditions, and the </w:t>
      </w:r>
      <w:r w:rsidR="00480A51" w:rsidRPr="00E84AEE">
        <w:rPr>
          <w:rFonts w:ascii="Arial" w:hAnsi="Arial" w:cs="Arial"/>
          <w:sz w:val="22"/>
          <w:szCs w:val="22"/>
        </w:rPr>
        <w:t>firm's</w:t>
      </w:r>
      <w:r w:rsidRPr="00E84AEE">
        <w:rPr>
          <w:rFonts w:ascii="Arial" w:hAnsi="Arial" w:cs="Arial"/>
          <w:sz w:val="22"/>
          <w:szCs w:val="22"/>
        </w:rPr>
        <w:t xml:space="preserve"> risk management capabilities. Empirical evidence supports </w:t>
      </w:r>
      <w:r w:rsidR="00480A51" w:rsidRPr="00E84AEE">
        <w:rPr>
          <w:rFonts w:ascii="Arial" w:hAnsi="Arial" w:cs="Arial"/>
          <w:sz w:val="22"/>
          <w:szCs w:val="22"/>
        </w:rPr>
        <w:t>using</w:t>
      </w:r>
      <w:r w:rsidRPr="00E84AEE">
        <w:rPr>
          <w:rFonts w:ascii="Arial" w:hAnsi="Arial" w:cs="Arial"/>
          <w:sz w:val="22"/>
          <w:szCs w:val="22"/>
        </w:rPr>
        <w:t xml:space="preserve"> a combination of strategies to achieve optimal risk management outcomes. Ultimately, the key to successful FX risk management lies in a </w:t>
      </w:r>
      <w:r w:rsidR="00480A51" w:rsidRPr="00E84AEE">
        <w:rPr>
          <w:rFonts w:ascii="Arial" w:hAnsi="Arial" w:cs="Arial"/>
          <w:sz w:val="22"/>
          <w:szCs w:val="22"/>
        </w:rPr>
        <w:t>firm's</w:t>
      </w:r>
      <w:r w:rsidRPr="00E84AEE">
        <w:rPr>
          <w:rFonts w:ascii="Arial" w:hAnsi="Arial" w:cs="Arial"/>
          <w:sz w:val="22"/>
          <w:szCs w:val="22"/>
        </w:rPr>
        <w:t xml:space="preserve"> ability to understand its exposure, evaluate the costs and benefits of different strategies, and adapt to changing market conditions.</w:t>
      </w:r>
    </w:p>
    <w:p w14:paraId="7092CFE5" w14:textId="77777777" w:rsidR="00DB170D" w:rsidRPr="00E84AEE" w:rsidRDefault="00DB170D" w:rsidP="00E84AEE">
      <w:pPr>
        <w:tabs>
          <w:tab w:val="left" w:pos="910"/>
        </w:tabs>
        <w:spacing w:line="360" w:lineRule="auto"/>
        <w:rPr>
          <w:rFonts w:ascii="Arial" w:hAnsi="Arial" w:cs="Arial"/>
          <w:sz w:val="22"/>
          <w:szCs w:val="22"/>
        </w:rPr>
      </w:pPr>
    </w:p>
    <w:p w14:paraId="570C9371" w14:textId="1595246A" w:rsidR="00DB170D" w:rsidRDefault="00DB170D" w:rsidP="007539FF">
      <w:pPr>
        <w:pStyle w:val="Heading1"/>
      </w:pPr>
      <w:r w:rsidRPr="00E84AEE">
        <w:rPr>
          <w:rFonts w:ascii="Arial" w:hAnsi="Arial" w:cs="Arial"/>
          <w:sz w:val="22"/>
          <w:szCs w:val="22"/>
        </w:rPr>
        <w:br w:type="page"/>
      </w:r>
      <w:r>
        <w:lastRenderedPageBreak/>
        <w:t>References</w:t>
      </w:r>
    </w:p>
    <w:p w14:paraId="45F65C34" w14:textId="77777777" w:rsidR="000A6B77" w:rsidRDefault="000A6B77" w:rsidP="00F901C2">
      <w:pPr>
        <w:tabs>
          <w:tab w:val="left" w:pos="910"/>
        </w:tabs>
      </w:pPr>
    </w:p>
    <w:p w14:paraId="173C1DC5" w14:textId="77777777" w:rsidR="000A6B77" w:rsidRDefault="000A6B77" w:rsidP="007425DE">
      <w:pPr>
        <w:tabs>
          <w:tab w:val="left" w:pos="910"/>
        </w:tabs>
        <w:ind w:left="284" w:hanging="284"/>
      </w:pPr>
      <w:proofErr w:type="spellStart"/>
      <w:r>
        <w:t>Allayannis</w:t>
      </w:r>
      <w:proofErr w:type="spellEnd"/>
      <w:r>
        <w:t xml:space="preserve">, G., </w:t>
      </w:r>
      <w:proofErr w:type="spellStart"/>
      <w:r>
        <w:t>Ihrig</w:t>
      </w:r>
      <w:proofErr w:type="spellEnd"/>
      <w:r>
        <w:t>, J., and Weston, J.P., 2001. Exchange-rate hedging: Financial versus operational strategies. American Economic Review, 91(2), pp.391-395.</w:t>
      </w:r>
    </w:p>
    <w:p w14:paraId="686D999D" w14:textId="77777777" w:rsidR="000A6B77" w:rsidRDefault="000A6B77" w:rsidP="007425DE">
      <w:pPr>
        <w:tabs>
          <w:tab w:val="left" w:pos="910"/>
        </w:tabs>
        <w:ind w:left="284" w:hanging="284"/>
      </w:pPr>
    </w:p>
    <w:p w14:paraId="784ED11A" w14:textId="6171DE64" w:rsidR="000A6B77" w:rsidRDefault="000A6B77" w:rsidP="007425DE">
      <w:pPr>
        <w:tabs>
          <w:tab w:val="left" w:pos="910"/>
        </w:tabs>
        <w:ind w:left="284" w:hanging="284"/>
      </w:pPr>
      <w:proofErr w:type="spellStart"/>
      <w:r>
        <w:t>Bartov</w:t>
      </w:r>
      <w:proofErr w:type="spellEnd"/>
      <w:r>
        <w:t>, E., and Bodnar, G.M., 1994. Firm valuation, earnings expectations, and the exchange</w:t>
      </w:r>
      <w:r>
        <w:rPr>
          <w:rFonts w:ascii="Cambria Math" w:hAnsi="Cambria Math" w:cs="Cambria Math"/>
        </w:rPr>
        <w:t>‐</w:t>
      </w:r>
      <w:r>
        <w:t>rate exposure effect. The Journal of Finance, 49(5), pp.1755-1785.</w:t>
      </w:r>
    </w:p>
    <w:p w14:paraId="6DA458AA" w14:textId="77777777" w:rsidR="000A6B77" w:rsidRDefault="000A6B77" w:rsidP="007425DE">
      <w:pPr>
        <w:tabs>
          <w:tab w:val="left" w:pos="910"/>
        </w:tabs>
        <w:ind w:left="284" w:hanging="284"/>
      </w:pPr>
    </w:p>
    <w:p w14:paraId="02B8B7AD" w14:textId="3DDB4CEA" w:rsidR="000A6B77" w:rsidRDefault="000A6B77" w:rsidP="007425DE">
      <w:pPr>
        <w:tabs>
          <w:tab w:val="left" w:pos="910"/>
        </w:tabs>
        <w:ind w:left="284" w:hanging="284"/>
      </w:pPr>
      <w:proofErr w:type="spellStart"/>
      <w:r>
        <w:t>Eiteman</w:t>
      </w:r>
      <w:proofErr w:type="spellEnd"/>
      <w:r>
        <w:t>, D.K., Stonehill, A.I., and Moffett, M.H., 2019. Multinational Business Finance. 14th ed. Harlow, Pearson.</w:t>
      </w:r>
    </w:p>
    <w:p w14:paraId="3E769AE5" w14:textId="77777777" w:rsidR="000A6B77" w:rsidRDefault="000A6B77" w:rsidP="007425DE">
      <w:pPr>
        <w:tabs>
          <w:tab w:val="left" w:pos="910"/>
        </w:tabs>
        <w:ind w:left="284" w:hanging="284"/>
      </w:pPr>
    </w:p>
    <w:p w14:paraId="036B2A9D" w14:textId="54EA6020" w:rsidR="000A6B77" w:rsidRDefault="000A6B77" w:rsidP="007425DE">
      <w:pPr>
        <w:tabs>
          <w:tab w:val="left" w:pos="910"/>
        </w:tabs>
        <w:ind w:left="284" w:hanging="284"/>
      </w:pPr>
      <w:r>
        <w:t>Eun, C.S., and Resnick, B.G., 2015. International Financial Management. 7th ed. New York: McGraw-Hill Education.</w:t>
      </w:r>
    </w:p>
    <w:p w14:paraId="7ADF7F09" w14:textId="77777777" w:rsidR="000A6B77" w:rsidRDefault="000A6B77" w:rsidP="007425DE">
      <w:pPr>
        <w:tabs>
          <w:tab w:val="left" w:pos="910"/>
        </w:tabs>
        <w:ind w:left="284" w:hanging="284"/>
      </w:pPr>
    </w:p>
    <w:p w14:paraId="414E7672" w14:textId="672112EA" w:rsidR="000A6B77" w:rsidRDefault="000A6B77" w:rsidP="007425DE">
      <w:pPr>
        <w:tabs>
          <w:tab w:val="left" w:pos="910"/>
        </w:tabs>
        <w:ind w:left="284" w:hanging="284"/>
      </w:pPr>
      <w:r>
        <w:t>Madura, J., 2020. International Financial Management. 14th ed. Boston: Cengage Learning.</w:t>
      </w:r>
    </w:p>
    <w:p w14:paraId="48DAC162" w14:textId="77777777" w:rsidR="000A6B77" w:rsidRDefault="000A6B77" w:rsidP="007425DE">
      <w:pPr>
        <w:tabs>
          <w:tab w:val="left" w:pos="910"/>
        </w:tabs>
        <w:ind w:left="284" w:hanging="284"/>
      </w:pPr>
    </w:p>
    <w:p w14:paraId="7A22C0BB" w14:textId="6B1968EA" w:rsidR="000A6B77" w:rsidRDefault="000A6B77" w:rsidP="007425DE">
      <w:pPr>
        <w:tabs>
          <w:tab w:val="left" w:pos="910"/>
        </w:tabs>
        <w:ind w:left="284" w:hanging="284"/>
      </w:pPr>
      <w:r>
        <w:t>Shapiro, A.C., 2013. Multinational Financial Management. 10th ed. Hoboken: Wiley.</w:t>
      </w:r>
    </w:p>
    <w:p w14:paraId="09AF1FBC" w14:textId="77777777" w:rsidR="00F901C2" w:rsidRDefault="00F901C2" w:rsidP="007425DE">
      <w:pPr>
        <w:tabs>
          <w:tab w:val="left" w:pos="910"/>
        </w:tabs>
        <w:ind w:left="284" w:hanging="284"/>
      </w:pPr>
    </w:p>
    <w:p w14:paraId="020A459F" w14:textId="728886CC" w:rsidR="00222C36" w:rsidRDefault="00222C36" w:rsidP="00F901C2">
      <w:pPr>
        <w:tabs>
          <w:tab w:val="left" w:pos="910"/>
        </w:tabs>
      </w:pPr>
    </w:p>
    <w:p w14:paraId="2A78C5BF" w14:textId="77777777" w:rsidR="007539FF" w:rsidRPr="007539FF" w:rsidRDefault="007539FF" w:rsidP="007539FF"/>
    <w:p w14:paraId="1A58332C" w14:textId="77777777" w:rsidR="007539FF" w:rsidRDefault="007539FF" w:rsidP="007539FF"/>
    <w:p w14:paraId="2B5A25D0" w14:textId="2926C1AB" w:rsidR="007539FF" w:rsidRPr="007539FF" w:rsidRDefault="007539FF" w:rsidP="007539FF">
      <w:hyperlink w:anchor="_top" w:history="1">
        <w:r w:rsidRPr="007539FF">
          <w:rPr>
            <w:rStyle w:val="Hyperlink"/>
          </w:rPr>
          <w:t>Top of D</w:t>
        </w:r>
        <w:r w:rsidRPr="007539FF">
          <w:rPr>
            <w:rStyle w:val="Hyperlink"/>
          </w:rPr>
          <w:t>o</w:t>
        </w:r>
        <w:r w:rsidRPr="007539FF">
          <w:rPr>
            <w:rStyle w:val="Hyperlink"/>
          </w:rPr>
          <w:t>cument</w:t>
        </w:r>
      </w:hyperlink>
    </w:p>
    <w:sectPr w:rsidR="007539FF" w:rsidRPr="007539FF" w:rsidSect="00FA1DB4">
      <w:footerReference w:type="even" r:id="rId9"/>
      <w:footerReference w:type="default" r:id="rId1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D780CE1" w14:textId="77777777" w:rsidR="0070434E" w:rsidRDefault="0070434E" w:rsidP="00222C36">
      <w:r>
        <w:separator/>
      </w:r>
    </w:p>
  </w:endnote>
  <w:endnote w:type="continuationSeparator" w:id="0">
    <w:p w14:paraId="1B7206CC" w14:textId="77777777" w:rsidR="0070434E" w:rsidRDefault="0070434E" w:rsidP="00222C36">
      <w:r>
        <w:continuationSeparator/>
      </w:r>
    </w:p>
  </w:endnote>
  <w:endnote w:type="continuationNotice" w:id="1">
    <w:p w14:paraId="61392216" w14:textId="77777777" w:rsidR="00480A51" w:rsidRDefault="00480A5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Times New Roman (Body CS)">
    <w:altName w:val="Times New Roman"/>
    <w:panose1 w:val="020B0604020202020204"/>
    <w:charset w:val="00"/>
    <w:family w:val="roman"/>
    <w:notTrueType/>
    <w:pitch w:val="default"/>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2016141372"/>
      <w:docPartObj>
        <w:docPartGallery w:val="Page Numbers (Bottom of Page)"/>
        <w:docPartUnique/>
      </w:docPartObj>
    </w:sdtPr>
    <w:sdtEndPr>
      <w:rPr>
        <w:rStyle w:val="PageNumber"/>
      </w:rPr>
    </w:sdtEndPr>
    <w:sdtContent>
      <w:p w14:paraId="74BB24AA" w14:textId="5B9C1CFE" w:rsidR="00222C36" w:rsidRDefault="00222C36" w:rsidP="00FD46D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08335FD" w14:textId="77777777" w:rsidR="00222C36" w:rsidRDefault="00222C36" w:rsidP="00222C3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204806134"/>
      <w:docPartObj>
        <w:docPartGallery w:val="Page Numbers (Bottom of Page)"/>
        <w:docPartUnique/>
      </w:docPartObj>
    </w:sdtPr>
    <w:sdtEndPr>
      <w:rPr>
        <w:rStyle w:val="PageNumber"/>
      </w:rPr>
    </w:sdtEndPr>
    <w:sdtContent>
      <w:p w14:paraId="7604C8F8" w14:textId="417FD935" w:rsidR="00222C36" w:rsidRDefault="00222C36" w:rsidP="00FD46D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859BF19" w14:textId="77777777" w:rsidR="00222C36" w:rsidRDefault="00222C36" w:rsidP="00222C3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8B36F8B" w14:textId="77777777" w:rsidR="0070434E" w:rsidRDefault="0070434E" w:rsidP="00222C36">
      <w:r>
        <w:separator/>
      </w:r>
    </w:p>
  </w:footnote>
  <w:footnote w:type="continuationSeparator" w:id="0">
    <w:p w14:paraId="0E7EBCCC" w14:textId="77777777" w:rsidR="0070434E" w:rsidRDefault="0070434E" w:rsidP="00222C36">
      <w:r>
        <w:continuationSeparator/>
      </w:r>
    </w:p>
  </w:footnote>
  <w:footnote w:type="continuationNotice" w:id="1">
    <w:p w14:paraId="3EE9241E" w14:textId="77777777" w:rsidR="00480A51" w:rsidRDefault="00480A51"/>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1DB4"/>
    <w:rsid w:val="0001469B"/>
    <w:rsid w:val="00024B04"/>
    <w:rsid w:val="000448EB"/>
    <w:rsid w:val="000A6B77"/>
    <w:rsid w:val="00222C36"/>
    <w:rsid w:val="002565A9"/>
    <w:rsid w:val="002F5566"/>
    <w:rsid w:val="002F7489"/>
    <w:rsid w:val="003C017A"/>
    <w:rsid w:val="003D6B94"/>
    <w:rsid w:val="00480A51"/>
    <w:rsid w:val="004C2080"/>
    <w:rsid w:val="004F0B20"/>
    <w:rsid w:val="00503F6B"/>
    <w:rsid w:val="00523237"/>
    <w:rsid w:val="006142D6"/>
    <w:rsid w:val="0070434E"/>
    <w:rsid w:val="007425DE"/>
    <w:rsid w:val="007539FF"/>
    <w:rsid w:val="008933BC"/>
    <w:rsid w:val="008E4574"/>
    <w:rsid w:val="009316D0"/>
    <w:rsid w:val="009F1FDD"/>
    <w:rsid w:val="00A02398"/>
    <w:rsid w:val="00C57184"/>
    <w:rsid w:val="00DB170D"/>
    <w:rsid w:val="00DE1DFD"/>
    <w:rsid w:val="00E84AEE"/>
    <w:rsid w:val="00F65FF3"/>
    <w:rsid w:val="00F901C2"/>
    <w:rsid w:val="00FA1D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57D8A9"/>
  <w15:chartTrackingRefBased/>
  <w15:docId w15:val="{6D0EB053-4DFD-AD4C-A46D-4ED0C89F64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A1DB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A1DB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A1DB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A1DB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A1DB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A1DB4"/>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A1DB4"/>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A1DB4"/>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A1DB4"/>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1DB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A1DB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A1DB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A1DB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A1DB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A1DB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A1DB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A1DB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A1DB4"/>
    <w:rPr>
      <w:rFonts w:eastAsiaTheme="majorEastAsia" w:cstheme="majorBidi"/>
      <w:color w:val="272727" w:themeColor="text1" w:themeTint="D8"/>
    </w:rPr>
  </w:style>
  <w:style w:type="paragraph" w:styleId="Title">
    <w:name w:val="Title"/>
    <w:basedOn w:val="Normal"/>
    <w:next w:val="Normal"/>
    <w:link w:val="TitleChar"/>
    <w:uiPriority w:val="10"/>
    <w:qFormat/>
    <w:rsid w:val="00FA1DB4"/>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A1DB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A1DB4"/>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A1DB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A1DB4"/>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FA1DB4"/>
    <w:rPr>
      <w:i/>
      <w:iCs/>
      <w:color w:val="404040" w:themeColor="text1" w:themeTint="BF"/>
    </w:rPr>
  </w:style>
  <w:style w:type="paragraph" w:styleId="ListParagraph">
    <w:name w:val="List Paragraph"/>
    <w:basedOn w:val="Normal"/>
    <w:uiPriority w:val="34"/>
    <w:qFormat/>
    <w:rsid w:val="00FA1DB4"/>
    <w:pPr>
      <w:ind w:left="720"/>
      <w:contextualSpacing/>
    </w:pPr>
  </w:style>
  <w:style w:type="character" w:styleId="IntenseEmphasis">
    <w:name w:val="Intense Emphasis"/>
    <w:basedOn w:val="DefaultParagraphFont"/>
    <w:uiPriority w:val="21"/>
    <w:qFormat/>
    <w:rsid w:val="00FA1DB4"/>
    <w:rPr>
      <w:i/>
      <w:iCs/>
      <w:color w:val="0F4761" w:themeColor="accent1" w:themeShade="BF"/>
    </w:rPr>
  </w:style>
  <w:style w:type="paragraph" w:styleId="IntenseQuote">
    <w:name w:val="Intense Quote"/>
    <w:basedOn w:val="Normal"/>
    <w:next w:val="Normal"/>
    <w:link w:val="IntenseQuoteChar"/>
    <w:uiPriority w:val="30"/>
    <w:qFormat/>
    <w:rsid w:val="00FA1DB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A1DB4"/>
    <w:rPr>
      <w:i/>
      <w:iCs/>
      <w:color w:val="0F4761" w:themeColor="accent1" w:themeShade="BF"/>
    </w:rPr>
  </w:style>
  <w:style w:type="character" w:styleId="IntenseReference">
    <w:name w:val="Intense Reference"/>
    <w:basedOn w:val="DefaultParagraphFont"/>
    <w:uiPriority w:val="32"/>
    <w:qFormat/>
    <w:rsid w:val="00FA1DB4"/>
    <w:rPr>
      <w:b/>
      <w:bCs/>
      <w:smallCaps/>
      <w:color w:val="0F4761" w:themeColor="accent1" w:themeShade="BF"/>
      <w:spacing w:val="5"/>
    </w:rPr>
  </w:style>
  <w:style w:type="paragraph" w:styleId="NormalWeb">
    <w:name w:val="Normal (Web)"/>
    <w:basedOn w:val="Normal"/>
    <w:uiPriority w:val="99"/>
    <w:unhideWhenUsed/>
    <w:rsid w:val="00FA1DB4"/>
    <w:pPr>
      <w:spacing w:before="100" w:beforeAutospacing="1" w:after="100" w:afterAutospacing="1"/>
    </w:pPr>
    <w:rPr>
      <w:rFonts w:ascii="Times New Roman" w:eastAsia="Times New Roman" w:hAnsi="Times New Roman" w:cs="Times New Roman"/>
      <w:kern w:val="0"/>
      <w:sz w:val="22"/>
      <w:szCs w:val="22"/>
      <w:lang w:eastAsia="en-GB"/>
      <w14:ligatures w14:val="none"/>
    </w:rPr>
  </w:style>
  <w:style w:type="paragraph" w:styleId="NoSpacing">
    <w:name w:val="No Spacing"/>
    <w:link w:val="NoSpacingChar"/>
    <w:uiPriority w:val="1"/>
    <w:qFormat/>
    <w:rsid w:val="00FA1DB4"/>
    <w:rPr>
      <w:rFonts w:ascii="Arial" w:eastAsiaTheme="minorEastAsia" w:hAnsi="Arial" w:cs="Times New Roman (Body CS)"/>
      <w:kern w:val="0"/>
      <w:sz w:val="22"/>
      <w:szCs w:val="22"/>
      <w:lang w:val="en-US"/>
      <w14:ligatures w14:val="none"/>
    </w:rPr>
  </w:style>
  <w:style w:type="character" w:customStyle="1" w:styleId="NoSpacingChar">
    <w:name w:val="No Spacing Char"/>
    <w:basedOn w:val="DefaultParagraphFont"/>
    <w:link w:val="NoSpacing"/>
    <w:uiPriority w:val="1"/>
    <w:rsid w:val="00FA1DB4"/>
    <w:rPr>
      <w:rFonts w:ascii="Arial" w:eastAsiaTheme="minorEastAsia" w:hAnsi="Arial" w:cs="Times New Roman (Body CS)"/>
      <w:kern w:val="0"/>
      <w:sz w:val="22"/>
      <w:szCs w:val="22"/>
      <w:lang w:val="en-US"/>
      <w14:ligatures w14:val="none"/>
    </w:rPr>
  </w:style>
  <w:style w:type="paragraph" w:styleId="Footer">
    <w:name w:val="footer"/>
    <w:basedOn w:val="Normal"/>
    <w:link w:val="FooterChar"/>
    <w:uiPriority w:val="99"/>
    <w:unhideWhenUsed/>
    <w:rsid w:val="00222C36"/>
    <w:pPr>
      <w:tabs>
        <w:tab w:val="center" w:pos="4513"/>
        <w:tab w:val="right" w:pos="9026"/>
      </w:tabs>
    </w:pPr>
  </w:style>
  <w:style w:type="character" w:customStyle="1" w:styleId="FooterChar">
    <w:name w:val="Footer Char"/>
    <w:basedOn w:val="DefaultParagraphFont"/>
    <w:link w:val="Footer"/>
    <w:uiPriority w:val="99"/>
    <w:rsid w:val="00222C36"/>
  </w:style>
  <w:style w:type="character" w:styleId="PageNumber">
    <w:name w:val="page number"/>
    <w:basedOn w:val="DefaultParagraphFont"/>
    <w:uiPriority w:val="99"/>
    <w:semiHidden/>
    <w:unhideWhenUsed/>
    <w:rsid w:val="00222C36"/>
  </w:style>
  <w:style w:type="paragraph" w:styleId="Header">
    <w:name w:val="header"/>
    <w:basedOn w:val="Normal"/>
    <w:link w:val="HeaderChar"/>
    <w:uiPriority w:val="99"/>
    <w:semiHidden/>
    <w:unhideWhenUsed/>
    <w:rsid w:val="00480A51"/>
    <w:pPr>
      <w:tabs>
        <w:tab w:val="center" w:pos="4513"/>
        <w:tab w:val="right" w:pos="9026"/>
      </w:tabs>
    </w:pPr>
  </w:style>
  <w:style w:type="character" w:customStyle="1" w:styleId="HeaderChar">
    <w:name w:val="Header Char"/>
    <w:basedOn w:val="DefaultParagraphFont"/>
    <w:link w:val="Header"/>
    <w:uiPriority w:val="99"/>
    <w:semiHidden/>
    <w:rsid w:val="00480A51"/>
  </w:style>
  <w:style w:type="paragraph" w:styleId="TOCHeading">
    <w:name w:val="TOC Heading"/>
    <w:basedOn w:val="Heading1"/>
    <w:next w:val="Normal"/>
    <w:uiPriority w:val="39"/>
    <w:unhideWhenUsed/>
    <w:qFormat/>
    <w:rsid w:val="00503F6B"/>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503F6B"/>
    <w:pPr>
      <w:spacing w:before="360" w:after="360"/>
    </w:pPr>
    <w:rPr>
      <w:b/>
      <w:bCs/>
      <w:caps/>
      <w:sz w:val="22"/>
      <w:szCs w:val="22"/>
      <w:u w:val="single"/>
    </w:rPr>
  </w:style>
  <w:style w:type="paragraph" w:styleId="TOC2">
    <w:name w:val="toc 2"/>
    <w:basedOn w:val="Normal"/>
    <w:next w:val="Normal"/>
    <w:autoRedefine/>
    <w:uiPriority w:val="39"/>
    <w:unhideWhenUsed/>
    <w:rsid w:val="00503F6B"/>
    <w:rPr>
      <w:b/>
      <w:bCs/>
      <w:smallCaps/>
      <w:sz w:val="22"/>
      <w:szCs w:val="22"/>
    </w:rPr>
  </w:style>
  <w:style w:type="character" w:styleId="Hyperlink">
    <w:name w:val="Hyperlink"/>
    <w:basedOn w:val="DefaultParagraphFont"/>
    <w:uiPriority w:val="99"/>
    <w:unhideWhenUsed/>
    <w:rsid w:val="00503F6B"/>
    <w:rPr>
      <w:color w:val="467886" w:themeColor="hyperlink"/>
      <w:u w:val="single"/>
    </w:rPr>
  </w:style>
  <w:style w:type="paragraph" w:styleId="TOC3">
    <w:name w:val="toc 3"/>
    <w:basedOn w:val="Normal"/>
    <w:next w:val="Normal"/>
    <w:autoRedefine/>
    <w:uiPriority w:val="39"/>
    <w:semiHidden/>
    <w:unhideWhenUsed/>
    <w:rsid w:val="00503F6B"/>
    <w:rPr>
      <w:smallCaps/>
      <w:sz w:val="22"/>
      <w:szCs w:val="22"/>
    </w:rPr>
  </w:style>
  <w:style w:type="paragraph" w:styleId="TOC4">
    <w:name w:val="toc 4"/>
    <w:basedOn w:val="Normal"/>
    <w:next w:val="Normal"/>
    <w:autoRedefine/>
    <w:uiPriority w:val="39"/>
    <w:semiHidden/>
    <w:unhideWhenUsed/>
    <w:rsid w:val="00503F6B"/>
    <w:rPr>
      <w:sz w:val="22"/>
      <w:szCs w:val="22"/>
    </w:rPr>
  </w:style>
  <w:style w:type="paragraph" w:styleId="TOC5">
    <w:name w:val="toc 5"/>
    <w:basedOn w:val="Normal"/>
    <w:next w:val="Normal"/>
    <w:autoRedefine/>
    <w:uiPriority w:val="39"/>
    <w:semiHidden/>
    <w:unhideWhenUsed/>
    <w:rsid w:val="00503F6B"/>
    <w:rPr>
      <w:sz w:val="22"/>
      <w:szCs w:val="22"/>
    </w:rPr>
  </w:style>
  <w:style w:type="paragraph" w:styleId="TOC6">
    <w:name w:val="toc 6"/>
    <w:basedOn w:val="Normal"/>
    <w:next w:val="Normal"/>
    <w:autoRedefine/>
    <w:uiPriority w:val="39"/>
    <w:semiHidden/>
    <w:unhideWhenUsed/>
    <w:rsid w:val="00503F6B"/>
    <w:rPr>
      <w:sz w:val="22"/>
      <w:szCs w:val="22"/>
    </w:rPr>
  </w:style>
  <w:style w:type="paragraph" w:styleId="TOC7">
    <w:name w:val="toc 7"/>
    <w:basedOn w:val="Normal"/>
    <w:next w:val="Normal"/>
    <w:autoRedefine/>
    <w:uiPriority w:val="39"/>
    <w:semiHidden/>
    <w:unhideWhenUsed/>
    <w:rsid w:val="00503F6B"/>
    <w:rPr>
      <w:sz w:val="22"/>
      <w:szCs w:val="22"/>
    </w:rPr>
  </w:style>
  <w:style w:type="paragraph" w:styleId="TOC8">
    <w:name w:val="toc 8"/>
    <w:basedOn w:val="Normal"/>
    <w:next w:val="Normal"/>
    <w:autoRedefine/>
    <w:uiPriority w:val="39"/>
    <w:semiHidden/>
    <w:unhideWhenUsed/>
    <w:rsid w:val="00503F6B"/>
    <w:rPr>
      <w:sz w:val="22"/>
      <w:szCs w:val="22"/>
    </w:rPr>
  </w:style>
  <w:style w:type="paragraph" w:styleId="TOC9">
    <w:name w:val="toc 9"/>
    <w:basedOn w:val="Normal"/>
    <w:next w:val="Normal"/>
    <w:autoRedefine/>
    <w:uiPriority w:val="39"/>
    <w:semiHidden/>
    <w:unhideWhenUsed/>
    <w:rsid w:val="00503F6B"/>
    <w:rPr>
      <w:sz w:val="22"/>
      <w:szCs w:val="22"/>
    </w:rPr>
  </w:style>
  <w:style w:type="character" w:styleId="UnresolvedMention">
    <w:name w:val="Unresolved Mention"/>
    <w:basedOn w:val="DefaultParagraphFont"/>
    <w:uiPriority w:val="99"/>
    <w:semiHidden/>
    <w:unhideWhenUsed/>
    <w:rsid w:val="007539FF"/>
    <w:rPr>
      <w:color w:val="605E5C"/>
      <w:shd w:val="clear" w:color="auto" w:fill="E1DFDD"/>
    </w:rPr>
  </w:style>
  <w:style w:type="character" w:styleId="FollowedHyperlink">
    <w:name w:val="FollowedHyperlink"/>
    <w:basedOn w:val="DefaultParagraphFont"/>
    <w:uiPriority w:val="99"/>
    <w:semiHidden/>
    <w:unhideWhenUsed/>
    <w:rsid w:val="007539FF"/>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40775074">
      <w:bodyDiv w:val="1"/>
      <w:marLeft w:val="0"/>
      <w:marRight w:val="0"/>
      <w:marTop w:val="0"/>
      <w:marBottom w:val="0"/>
      <w:divBdr>
        <w:top w:val="none" w:sz="0" w:space="0" w:color="auto"/>
        <w:left w:val="none" w:sz="0" w:space="0" w:color="auto"/>
        <w:bottom w:val="none" w:sz="0" w:space="0" w:color="auto"/>
        <w:right w:val="none" w:sz="0" w:space="0" w:color="auto"/>
      </w:divBdr>
      <w:divsChild>
        <w:div w:id="1940408233">
          <w:marLeft w:val="0"/>
          <w:marRight w:val="0"/>
          <w:marTop w:val="0"/>
          <w:marBottom w:val="0"/>
          <w:divBdr>
            <w:top w:val="none" w:sz="0" w:space="0" w:color="auto"/>
            <w:left w:val="none" w:sz="0" w:space="0" w:color="auto"/>
            <w:bottom w:val="none" w:sz="0" w:space="0" w:color="auto"/>
            <w:right w:val="none" w:sz="0" w:space="0" w:color="auto"/>
          </w:divBdr>
          <w:divsChild>
            <w:div w:id="1099984256">
              <w:marLeft w:val="0"/>
              <w:marRight w:val="0"/>
              <w:marTop w:val="0"/>
              <w:marBottom w:val="0"/>
              <w:divBdr>
                <w:top w:val="none" w:sz="0" w:space="0" w:color="auto"/>
                <w:left w:val="none" w:sz="0" w:space="0" w:color="auto"/>
                <w:bottom w:val="none" w:sz="0" w:space="0" w:color="auto"/>
                <w:right w:val="none" w:sz="0" w:space="0" w:color="auto"/>
              </w:divBdr>
              <w:divsChild>
                <w:div w:id="745034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4101800">
      <w:bodyDiv w:val="1"/>
      <w:marLeft w:val="0"/>
      <w:marRight w:val="0"/>
      <w:marTop w:val="0"/>
      <w:marBottom w:val="0"/>
      <w:divBdr>
        <w:top w:val="none" w:sz="0" w:space="0" w:color="auto"/>
        <w:left w:val="none" w:sz="0" w:space="0" w:color="auto"/>
        <w:bottom w:val="none" w:sz="0" w:space="0" w:color="auto"/>
        <w:right w:val="none" w:sz="0" w:space="0" w:color="auto"/>
      </w:divBdr>
      <w:divsChild>
        <w:div w:id="1399472788">
          <w:marLeft w:val="0"/>
          <w:marRight w:val="0"/>
          <w:marTop w:val="0"/>
          <w:marBottom w:val="0"/>
          <w:divBdr>
            <w:top w:val="none" w:sz="0" w:space="0" w:color="auto"/>
            <w:left w:val="none" w:sz="0" w:space="0" w:color="auto"/>
            <w:bottom w:val="none" w:sz="0" w:space="0" w:color="auto"/>
            <w:right w:val="none" w:sz="0" w:space="0" w:color="auto"/>
          </w:divBdr>
          <w:divsChild>
            <w:div w:id="1009138804">
              <w:marLeft w:val="0"/>
              <w:marRight w:val="0"/>
              <w:marTop w:val="0"/>
              <w:marBottom w:val="0"/>
              <w:divBdr>
                <w:top w:val="none" w:sz="0" w:space="0" w:color="auto"/>
                <w:left w:val="none" w:sz="0" w:space="0" w:color="auto"/>
                <w:bottom w:val="none" w:sz="0" w:space="0" w:color="auto"/>
                <w:right w:val="none" w:sz="0" w:space="0" w:color="auto"/>
              </w:divBdr>
              <w:divsChild>
                <w:div w:id="552816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4461770">
      <w:bodyDiv w:val="1"/>
      <w:marLeft w:val="0"/>
      <w:marRight w:val="0"/>
      <w:marTop w:val="0"/>
      <w:marBottom w:val="0"/>
      <w:divBdr>
        <w:top w:val="none" w:sz="0" w:space="0" w:color="auto"/>
        <w:left w:val="none" w:sz="0" w:space="0" w:color="auto"/>
        <w:bottom w:val="none" w:sz="0" w:space="0" w:color="auto"/>
        <w:right w:val="none" w:sz="0" w:space="0" w:color="auto"/>
      </w:divBdr>
      <w:divsChild>
        <w:div w:id="719716628">
          <w:marLeft w:val="0"/>
          <w:marRight w:val="0"/>
          <w:marTop w:val="0"/>
          <w:marBottom w:val="0"/>
          <w:divBdr>
            <w:top w:val="none" w:sz="0" w:space="0" w:color="auto"/>
            <w:left w:val="none" w:sz="0" w:space="0" w:color="auto"/>
            <w:bottom w:val="none" w:sz="0" w:space="0" w:color="auto"/>
            <w:right w:val="none" w:sz="0" w:space="0" w:color="auto"/>
          </w:divBdr>
          <w:divsChild>
            <w:div w:id="664742469">
              <w:marLeft w:val="0"/>
              <w:marRight w:val="0"/>
              <w:marTop w:val="0"/>
              <w:marBottom w:val="0"/>
              <w:divBdr>
                <w:top w:val="none" w:sz="0" w:space="0" w:color="auto"/>
                <w:left w:val="none" w:sz="0" w:space="0" w:color="auto"/>
                <w:bottom w:val="none" w:sz="0" w:space="0" w:color="auto"/>
                <w:right w:val="none" w:sz="0" w:space="0" w:color="auto"/>
              </w:divBdr>
              <w:divsChild>
                <w:div w:id="1213663410">
                  <w:marLeft w:val="0"/>
                  <w:marRight w:val="0"/>
                  <w:marTop w:val="0"/>
                  <w:marBottom w:val="0"/>
                  <w:divBdr>
                    <w:top w:val="none" w:sz="0" w:space="0" w:color="auto"/>
                    <w:left w:val="none" w:sz="0" w:space="0" w:color="auto"/>
                    <w:bottom w:val="none" w:sz="0" w:space="0" w:color="auto"/>
                    <w:right w:val="none" w:sz="0" w:space="0" w:color="auto"/>
                  </w:divBdr>
                  <w:divsChild>
                    <w:div w:id="1466000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 dockstate="right" visibility="0" width="350" row="0">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4700BFEA-1BCD-CC40-B2CA-FF92918D65B7}">
  <we:reference id="wa200001011" version="1.2.0.0" store="en-US" storeType="OMEX"/>
  <we:alternateReferences>
    <we:reference id="WA200001011" version="1.2.0.0" store="" storeType="OMEX"/>
  </we:alternateReferences>
  <we:properties/>
  <we:bindings/>
  <we:snapshot xmlns:r="http://schemas.openxmlformats.org/officeDocument/2006/relationships"/>
</we:webextension>
</file>

<file path=word/webextensions/webextension2.xml><?xml version="1.0" encoding="utf-8"?>
<we:webextension xmlns:we="http://schemas.microsoft.com/office/webextensions/webextension/2010/11" id="{08EF456D-3B55-2643-81B6-D81DFA0CA8E2}">
  <we:reference id="wa200000368" version="1.0.0.0" store="en-US" storeType="OMEX"/>
  <we:alternateReferences>
    <we:reference id="WA200000368" version="1.0.0.0"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367A48-09DF-BA4B-A1F8-769E8F9045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1713</Words>
  <Characters>10177</Characters>
  <Application>Microsoft Office Word</Application>
  <DocSecurity>0</DocSecurity>
  <Lines>275</Lines>
  <Paragraphs>75</Paragraphs>
  <ScaleCrop>false</ScaleCrop>
  <Company/>
  <LinksUpToDate>false</LinksUpToDate>
  <CharactersWithSpaces>11815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Dimitar Cherganski (2133011)</dc:creator>
  <cp:keywords/>
  <dc:description/>
  <cp:lastModifiedBy>Dimitar Cherganski (2133011)</cp:lastModifiedBy>
  <cp:revision>2</cp:revision>
  <dcterms:created xsi:type="dcterms:W3CDTF">2024-08-14T21:53:00Z</dcterms:created>
  <dcterms:modified xsi:type="dcterms:W3CDTF">2024-08-14T21:53:00Z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_documentId">
    <vt:lpwstr>documentId_8016</vt:lpwstr>
  </property>
  <property fmtid="{D5CDD505-2E9C-101B-9397-08002B2CF9AE}" pid="3" name="grammarly_documentContext">
    <vt:lpwstr>{"goals":["inform"],"domain":"academic","emotions":["analytical","confident"],"dialect":"british","style":"formal"}</vt:lpwstr>
  </property>
</Properties>
</file>