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6B538" w14:textId="77777777" w:rsidR="00794A18" w:rsidRDefault="00794A18" w:rsidP="00D27654">
      <w:pPr>
        <w:jc w:val="right"/>
      </w:pPr>
    </w:p>
    <w:p w14:paraId="325FFDB2" w14:textId="77777777" w:rsidR="00794A18" w:rsidRDefault="00794A18" w:rsidP="00794A18">
      <w:pPr>
        <w:jc w:val="center"/>
      </w:pPr>
    </w:p>
    <w:p w14:paraId="02C32DD8" w14:textId="77777777" w:rsidR="00794A18" w:rsidRDefault="00794A18" w:rsidP="00794A18">
      <w:pPr>
        <w:jc w:val="center"/>
      </w:pPr>
    </w:p>
    <w:p w14:paraId="00B6014B" w14:textId="77777777" w:rsidR="00794A18" w:rsidRDefault="00794A18" w:rsidP="00794A18">
      <w:pPr>
        <w:jc w:val="center"/>
      </w:pPr>
    </w:p>
    <w:p w14:paraId="2B135B6B" w14:textId="77777777" w:rsidR="00794A18" w:rsidRDefault="00794A18" w:rsidP="00794A18">
      <w:pPr>
        <w:jc w:val="center"/>
      </w:pPr>
    </w:p>
    <w:p w14:paraId="3EA50F86" w14:textId="77777777" w:rsidR="00794A18" w:rsidRDefault="00794A18" w:rsidP="00794A18">
      <w:pPr>
        <w:jc w:val="center"/>
      </w:pPr>
    </w:p>
    <w:p w14:paraId="158A2354" w14:textId="77777777" w:rsidR="00794A18" w:rsidRDefault="00794A18" w:rsidP="00794A18">
      <w:pPr>
        <w:jc w:val="center"/>
      </w:pPr>
    </w:p>
    <w:p w14:paraId="37F7B143" w14:textId="77777777" w:rsidR="00794A18" w:rsidRDefault="00794A18" w:rsidP="00794A18">
      <w:pPr>
        <w:jc w:val="center"/>
      </w:pPr>
    </w:p>
    <w:p w14:paraId="3726FA97" w14:textId="77777777" w:rsidR="00794A18" w:rsidRDefault="00794A18" w:rsidP="00794A18">
      <w:pPr>
        <w:jc w:val="center"/>
      </w:pPr>
    </w:p>
    <w:p w14:paraId="53816F49" w14:textId="77777777" w:rsidR="00794A18" w:rsidRDefault="00794A18" w:rsidP="00794A18">
      <w:pPr>
        <w:jc w:val="center"/>
      </w:pPr>
    </w:p>
    <w:p w14:paraId="6D8D0A3A" w14:textId="77777777" w:rsidR="00794A18" w:rsidRDefault="00794A18" w:rsidP="00794A18">
      <w:pPr>
        <w:jc w:val="center"/>
      </w:pPr>
    </w:p>
    <w:p w14:paraId="41835707" w14:textId="77777777" w:rsidR="00794A18" w:rsidRDefault="00794A18" w:rsidP="00794A18">
      <w:pPr>
        <w:jc w:val="center"/>
      </w:pPr>
    </w:p>
    <w:p w14:paraId="4C84625B" w14:textId="77777777" w:rsidR="00794A18" w:rsidRDefault="00794A18" w:rsidP="00794A18">
      <w:pPr>
        <w:jc w:val="center"/>
      </w:pPr>
    </w:p>
    <w:p w14:paraId="5044E9F1" w14:textId="77777777" w:rsidR="00794A18" w:rsidRDefault="00794A18" w:rsidP="00794A18">
      <w:pPr>
        <w:jc w:val="center"/>
      </w:pPr>
    </w:p>
    <w:p w14:paraId="7E627EC6" w14:textId="0DBE1554" w:rsidR="00794A18" w:rsidRPr="00794A18" w:rsidRDefault="00794A18" w:rsidP="00794A18">
      <w:pPr>
        <w:jc w:val="center"/>
        <w:rPr>
          <w:rFonts w:ascii="Arial" w:hAnsi="Arial" w:cs="Arial"/>
          <w:sz w:val="52"/>
          <w:szCs w:val="52"/>
        </w:rPr>
      </w:pPr>
      <w:r w:rsidRPr="00794A18">
        <w:rPr>
          <w:rFonts w:ascii="Arial" w:hAnsi="Arial" w:cs="Arial"/>
          <w:sz w:val="52"/>
          <w:szCs w:val="52"/>
        </w:rPr>
        <w:t>Contract Law BMLW5017</w:t>
      </w:r>
    </w:p>
    <w:p w14:paraId="64EA457A" w14:textId="6B9D382A" w:rsidR="00794A18" w:rsidRPr="00794A18" w:rsidRDefault="00794A18" w:rsidP="00794A18">
      <w:pPr>
        <w:jc w:val="center"/>
        <w:rPr>
          <w:rFonts w:ascii="Arial" w:hAnsi="Arial" w:cs="Arial"/>
        </w:rPr>
      </w:pPr>
      <w:r w:rsidRPr="00794A18">
        <w:rPr>
          <w:rFonts w:ascii="Arial" w:hAnsi="Arial" w:cs="Arial"/>
        </w:rPr>
        <w:t>Gabrial Harris 2305593</w:t>
      </w:r>
    </w:p>
    <w:p w14:paraId="24CFC85B" w14:textId="77777777" w:rsidR="00794A18" w:rsidRPr="00794A18" w:rsidRDefault="00794A18" w:rsidP="00794A18">
      <w:pPr>
        <w:jc w:val="center"/>
        <w:rPr>
          <w:rFonts w:ascii="Arial" w:hAnsi="Arial" w:cs="Arial"/>
        </w:rPr>
      </w:pPr>
    </w:p>
    <w:p w14:paraId="640BAAE0" w14:textId="77777777" w:rsidR="00794A18" w:rsidRDefault="00794A18" w:rsidP="00794A18">
      <w:pPr>
        <w:jc w:val="center"/>
      </w:pPr>
    </w:p>
    <w:p w14:paraId="63B70C84" w14:textId="77777777" w:rsidR="00794A18" w:rsidRDefault="00794A18" w:rsidP="00794A18">
      <w:pPr>
        <w:jc w:val="center"/>
      </w:pPr>
    </w:p>
    <w:p w14:paraId="30B6C3F6" w14:textId="77777777" w:rsidR="00794A18" w:rsidRDefault="00794A18" w:rsidP="00794A18">
      <w:pPr>
        <w:jc w:val="center"/>
      </w:pPr>
    </w:p>
    <w:p w14:paraId="0776CACF" w14:textId="77777777" w:rsidR="00794A18" w:rsidRDefault="00794A18" w:rsidP="00794A18">
      <w:pPr>
        <w:jc w:val="center"/>
      </w:pPr>
    </w:p>
    <w:p w14:paraId="3B66400A" w14:textId="77777777" w:rsidR="00794A18" w:rsidRDefault="00794A18" w:rsidP="00794A18">
      <w:pPr>
        <w:jc w:val="center"/>
      </w:pPr>
    </w:p>
    <w:p w14:paraId="70671063" w14:textId="77777777" w:rsidR="00794A18" w:rsidRDefault="00794A18" w:rsidP="00794A18">
      <w:pPr>
        <w:jc w:val="center"/>
      </w:pPr>
    </w:p>
    <w:p w14:paraId="5A6DF6DF" w14:textId="77777777" w:rsidR="00794A18" w:rsidRDefault="00794A18" w:rsidP="00794A18">
      <w:pPr>
        <w:jc w:val="center"/>
      </w:pPr>
    </w:p>
    <w:p w14:paraId="13E2A188" w14:textId="77777777" w:rsidR="00794A18" w:rsidRDefault="00794A18" w:rsidP="00794A18">
      <w:pPr>
        <w:jc w:val="center"/>
      </w:pPr>
    </w:p>
    <w:p w14:paraId="6D7C6B50" w14:textId="77777777" w:rsidR="00794A18" w:rsidRDefault="00794A18" w:rsidP="00794A18">
      <w:pPr>
        <w:jc w:val="center"/>
      </w:pPr>
    </w:p>
    <w:p w14:paraId="4C76D055" w14:textId="77777777" w:rsidR="00794A18" w:rsidRDefault="00794A18" w:rsidP="00794A18">
      <w:pPr>
        <w:jc w:val="center"/>
      </w:pPr>
    </w:p>
    <w:p w14:paraId="7F16C9D5" w14:textId="77777777" w:rsidR="00794A18" w:rsidRDefault="00794A18" w:rsidP="00794A18">
      <w:pPr>
        <w:jc w:val="center"/>
      </w:pPr>
    </w:p>
    <w:p w14:paraId="351B72D8" w14:textId="77777777" w:rsidR="00794A18" w:rsidRDefault="00794A18" w:rsidP="00794A18">
      <w:pPr>
        <w:jc w:val="center"/>
      </w:pPr>
    </w:p>
    <w:p w14:paraId="35E292FB" w14:textId="77777777" w:rsidR="00794A18" w:rsidRDefault="00794A18" w:rsidP="00794A18">
      <w:pPr>
        <w:jc w:val="center"/>
      </w:pPr>
    </w:p>
    <w:p w14:paraId="7DEC4724" w14:textId="77777777" w:rsidR="00794A18" w:rsidRDefault="00794A18" w:rsidP="00794A18">
      <w:pPr>
        <w:jc w:val="center"/>
      </w:pPr>
    </w:p>
    <w:p w14:paraId="50256207" w14:textId="7952F3DE" w:rsidR="00D27654" w:rsidRPr="00794A18" w:rsidRDefault="00D27654" w:rsidP="00D27654">
      <w:pPr>
        <w:jc w:val="right"/>
        <w:rPr>
          <w:rFonts w:ascii="Arial" w:hAnsi="Arial" w:cs="Arial"/>
          <w:sz w:val="24"/>
          <w:szCs w:val="24"/>
        </w:rPr>
      </w:pPr>
      <w:r w:rsidRPr="00794A18">
        <w:rPr>
          <w:rFonts w:ascii="Arial" w:hAnsi="Arial" w:cs="Arial"/>
          <w:sz w:val="24"/>
          <w:szCs w:val="24"/>
        </w:rPr>
        <w:t>XXXX</w:t>
      </w:r>
    </w:p>
    <w:p w14:paraId="1E09A6F7" w14:textId="4CE75C04" w:rsidR="00D27654" w:rsidRPr="00794A18" w:rsidRDefault="00D27654" w:rsidP="00D27654">
      <w:pPr>
        <w:jc w:val="right"/>
        <w:rPr>
          <w:rFonts w:ascii="Arial" w:hAnsi="Arial" w:cs="Arial"/>
          <w:sz w:val="24"/>
          <w:szCs w:val="24"/>
        </w:rPr>
      </w:pPr>
      <w:r w:rsidRPr="00794A18">
        <w:rPr>
          <w:rFonts w:ascii="Arial" w:hAnsi="Arial" w:cs="Arial"/>
          <w:sz w:val="24"/>
          <w:szCs w:val="24"/>
        </w:rPr>
        <w:t>XXXX</w:t>
      </w:r>
    </w:p>
    <w:p w14:paraId="40D146BD" w14:textId="727CAD80" w:rsidR="00D27654" w:rsidRPr="00794A18" w:rsidRDefault="00D27654" w:rsidP="00D27654">
      <w:pPr>
        <w:jc w:val="right"/>
        <w:rPr>
          <w:rFonts w:ascii="Arial" w:hAnsi="Arial" w:cs="Arial"/>
          <w:sz w:val="24"/>
          <w:szCs w:val="24"/>
        </w:rPr>
      </w:pPr>
      <w:r w:rsidRPr="00794A18">
        <w:rPr>
          <w:rFonts w:ascii="Arial" w:hAnsi="Arial" w:cs="Arial"/>
          <w:sz w:val="24"/>
          <w:szCs w:val="24"/>
        </w:rPr>
        <w:t>XXXX</w:t>
      </w:r>
    </w:p>
    <w:p w14:paraId="3B63E2F0" w14:textId="47EBAD1D" w:rsidR="00D27654" w:rsidRPr="00794A18" w:rsidRDefault="00D27654" w:rsidP="00D27654">
      <w:pPr>
        <w:jc w:val="right"/>
        <w:rPr>
          <w:rFonts w:ascii="Arial" w:hAnsi="Arial" w:cs="Arial"/>
          <w:sz w:val="24"/>
          <w:szCs w:val="24"/>
        </w:rPr>
      </w:pPr>
      <w:r w:rsidRPr="00794A18">
        <w:rPr>
          <w:rFonts w:ascii="Arial" w:hAnsi="Arial" w:cs="Arial"/>
          <w:sz w:val="24"/>
          <w:szCs w:val="24"/>
        </w:rPr>
        <w:t>XXXX</w:t>
      </w:r>
    </w:p>
    <w:p w14:paraId="0795B309" w14:textId="77777777" w:rsidR="00D27654" w:rsidRPr="00794A18" w:rsidRDefault="00D27654" w:rsidP="00D27654">
      <w:pPr>
        <w:jc w:val="right"/>
        <w:rPr>
          <w:rFonts w:ascii="Arial" w:hAnsi="Arial" w:cs="Arial"/>
          <w:sz w:val="24"/>
          <w:szCs w:val="24"/>
        </w:rPr>
      </w:pPr>
    </w:p>
    <w:p w14:paraId="0932B54A" w14:textId="4DC7F509" w:rsidR="00D27654" w:rsidRPr="00794A18" w:rsidRDefault="00D27654" w:rsidP="00D27654">
      <w:pPr>
        <w:jc w:val="right"/>
        <w:rPr>
          <w:rFonts w:ascii="Arial" w:hAnsi="Arial" w:cs="Arial"/>
          <w:sz w:val="24"/>
          <w:szCs w:val="24"/>
        </w:rPr>
      </w:pPr>
      <w:r w:rsidRPr="00794A18">
        <w:rPr>
          <w:rFonts w:ascii="Arial" w:hAnsi="Arial" w:cs="Arial"/>
          <w:sz w:val="24"/>
          <w:szCs w:val="24"/>
        </w:rPr>
        <w:t>07/03/2025</w:t>
      </w:r>
    </w:p>
    <w:p w14:paraId="26E87FC8" w14:textId="70470D36" w:rsidR="00D27654" w:rsidRPr="00794A18" w:rsidRDefault="00D27654" w:rsidP="00144180">
      <w:pPr>
        <w:rPr>
          <w:rFonts w:ascii="Arial" w:hAnsi="Arial" w:cs="Arial"/>
          <w:sz w:val="24"/>
          <w:szCs w:val="24"/>
        </w:rPr>
      </w:pPr>
      <w:r w:rsidRPr="00794A18">
        <w:rPr>
          <w:rFonts w:ascii="Arial" w:hAnsi="Arial" w:cs="Arial"/>
          <w:sz w:val="24"/>
          <w:szCs w:val="24"/>
        </w:rPr>
        <w:t>XXXX</w:t>
      </w:r>
    </w:p>
    <w:p w14:paraId="6248BDF8" w14:textId="2187B586" w:rsidR="00D27654" w:rsidRPr="00794A18" w:rsidRDefault="00D27654" w:rsidP="00144180">
      <w:pPr>
        <w:rPr>
          <w:rFonts w:ascii="Arial" w:hAnsi="Arial" w:cs="Arial"/>
          <w:sz w:val="24"/>
          <w:szCs w:val="24"/>
        </w:rPr>
      </w:pPr>
      <w:r w:rsidRPr="00794A18">
        <w:rPr>
          <w:rFonts w:ascii="Arial" w:hAnsi="Arial" w:cs="Arial"/>
          <w:sz w:val="24"/>
          <w:szCs w:val="24"/>
        </w:rPr>
        <w:t>XXXX</w:t>
      </w:r>
    </w:p>
    <w:p w14:paraId="662C6EEC" w14:textId="10094BC0" w:rsidR="00D27654" w:rsidRPr="00794A18" w:rsidRDefault="00D27654" w:rsidP="00144180">
      <w:pPr>
        <w:rPr>
          <w:rFonts w:ascii="Arial" w:hAnsi="Arial" w:cs="Arial"/>
          <w:sz w:val="24"/>
          <w:szCs w:val="24"/>
        </w:rPr>
      </w:pPr>
      <w:r w:rsidRPr="00794A18">
        <w:rPr>
          <w:rFonts w:ascii="Arial" w:hAnsi="Arial" w:cs="Arial"/>
          <w:sz w:val="24"/>
          <w:szCs w:val="24"/>
        </w:rPr>
        <w:t>XXXX</w:t>
      </w:r>
    </w:p>
    <w:p w14:paraId="0C623CBE" w14:textId="48B8BCFE" w:rsidR="00D27654" w:rsidRPr="00794A18" w:rsidRDefault="00D27654" w:rsidP="00144180">
      <w:pPr>
        <w:rPr>
          <w:rFonts w:ascii="Arial" w:hAnsi="Arial" w:cs="Arial"/>
          <w:sz w:val="24"/>
          <w:szCs w:val="24"/>
        </w:rPr>
      </w:pPr>
      <w:r w:rsidRPr="00794A18">
        <w:rPr>
          <w:rFonts w:ascii="Arial" w:hAnsi="Arial" w:cs="Arial"/>
          <w:sz w:val="24"/>
          <w:szCs w:val="24"/>
        </w:rPr>
        <w:t>XXXX</w:t>
      </w:r>
    </w:p>
    <w:p w14:paraId="4E14E653" w14:textId="6394D357" w:rsidR="00D27654" w:rsidRPr="00794A18" w:rsidRDefault="00D27654" w:rsidP="00144180">
      <w:pPr>
        <w:rPr>
          <w:rFonts w:ascii="Arial" w:hAnsi="Arial" w:cs="Arial"/>
          <w:sz w:val="24"/>
          <w:szCs w:val="24"/>
        </w:rPr>
      </w:pPr>
      <w:r w:rsidRPr="00794A18">
        <w:rPr>
          <w:rFonts w:ascii="Arial" w:hAnsi="Arial" w:cs="Arial"/>
          <w:sz w:val="24"/>
          <w:szCs w:val="24"/>
        </w:rPr>
        <w:t>XXXX</w:t>
      </w:r>
    </w:p>
    <w:p w14:paraId="73C2787F" w14:textId="77777777" w:rsidR="00D27654" w:rsidRPr="00794A18" w:rsidRDefault="00D27654" w:rsidP="00144180">
      <w:pPr>
        <w:rPr>
          <w:rFonts w:ascii="Arial" w:hAnsi="Arial" w:cs="Arial"/>
          <w:sz w:val="24"/>
          <w:szCs w:val="24"/>
        </w:rPr>
      </w:pPr>
    </w:p>
    <w:p w14:paraId="0C72A492" w14:textId="72EC7146" w:rsidR="005D488C" w:rsidRPr="00794A18" w:rsidRDefault="005D488C" w:rsidP="00144180">
      <w:pPr>
        <w:rPr>
          <w:rFonts w:ascii="Arial" w:hAnsi="Arial" w:cs="Arial"/>
          <w:sz w:val="24"/>
          <w:szCs w:val="24"/>
        </w:rPr>
      </w:pPr>
      <w:r w:rsidRPr="00794A18">
        <w:rPr>
          <w:rFonts w:ascii="Arial" w:hAnsi="Arial" w:cs="Arial"/>
          <w:sz w:val="24"/>
          <w:szCs w:val="24"/>
        </w:rPr>
        <w:t>Dear Mr.</w:t>
      </w:r>
      <w:r w:rsidR="00E43D3B" w:rsidRPr="00794A18">
        <w:rPr>
          <w:rFonts w:ascii="Arial" w:hAnsi="Arial" w:cs="Arial"/>
          <w:sz w:val="24"/>
          <w:szCs w:val="24"/>
        </w:rPr>
        <w:t xml:space="preserve"> </w:t>
      </w:r>
      <w:r w:rsidRPr="00794A18">
        <w:rPr>
          <w:rFonts w:ascii="Arial" w:hAnsi="Arial" w:cs="Arial"/>
          <w:sz w:val="24"/>
          <w:szCs w:val="24"/>
        </w:rPr>
        <w:t>Smith</w:t>
      </w:r>
    </w:p>
    <w:p w14:paraId="50461937" w14:textId="4D1406B4" w:rsidR="005D488C" w:rsidRPr="00794A18" w:rsidRDefault="005D488C" w:rsidP="00144180">
      <w:pPr>
        <w:rPr>
          <w:rFonts w:ascii="Arial" w:hAnsi="Arial" w:cs="Arial"/>
          <w:sz w:val="24"/>
          <w:szCs w:val="24"/>
        </w:rPr>
      </w:pPr>
      <w:r w:rsidRPr="00794A18">
        <w:rPr>
          <w:rFonts w:ascii="Arial" w:hAnsi="Arial" w:cs="Arial"/>
          <w:sz w:val="24"/>
          <w:szCs w:val="24"/>
        </w:rPr>
        <w:t xml:space="preserve">I am writing to discuss and advise on the details you have provided </w:t>
      </w:r>
      <w:proofErr w:type="gramStart"/>
      <w:r w:rsidRPr="00794A18">
        <w:rPr>
          <w:rFonts w:ascii="Arial" w:hAnsi="Arial" w:cs="Arial"/>
          <w:sz w:val="24"/>
          <w:szCs w:val="24"/>
        </w:rPr>
        <w:t>with regard to</w:t>
      </w:r>
      <w:proofErr w:type="gramEnd"/>
      <w:r w:rsidRPr="00794A18">
        <w:rPr>
          <w:rFonts w:ascii="Arial" w:hAnsi="Arial" w:cs="Arial"/>
          <w:sz w:val="24"/>
          <w:szCs w:val="24"/>
        </w:rPr>
        <w:t xml:space="preserve"> your correspondence with a potential tenant looking to rent your property</w:t>
      </w:r>
      <w:r w:rsidR="00E43D3B" w:rsidRPr="00794A18">
        <w:rPr>
          <w:rFonts w:ascii="Arial" w:hAnsi="Arial" w:cs="Arial"/>
          <w:sz w:val="24"/>
          <w:szCs w:val="24"/>
        </w:rPr>
        <w:t>, and if a binding contract had been formed prior to the retraction of offer</w:t>
      </w:r>
      <w:r w:rsidRPr="00794A18">
        <w:rPr>
          <w:rFonts w:ascii="Arial" w:hAnsi="Arial" w:cs="Arial"/>
          <w:sz w:val="24"/>
          <w:szCs w:val="24"/>
        </w:rPr>
        <w:t xml:space="preserve">. The details you have provided </w:t>
      </w:r>
      <w:r w:rsidR="00E43D3B" w:rsidRPr="00794A18">
        <w:rPr>
          <w:rFonts w:ascii="Arial" w:hAnsi="Arial" w:cs="Arial"/>
          <w:sz w:val="24"/>
          <w:szCs w:val="24"/>
        </w:rPr>
        <w:t xml:space="preserve">extend from the initial meeting with said tenant, to the email exchange between the both of you, the final response of the potential tenant, the payment of the deposit and further communications as to the selection of another tenant who has offered to pay more than jane, the potential tenant. </w:t>
      </w:r>
      <w:proofErr w:type="gramStart"/>
      <w:r w:rsidR="00E43D3B" w:rsidRPr="00794A18">
        <w:rPr>
          <w:rFonts w:ascii="Arial" w:hAnsi="Arial" w:cs="Arial"/>
          <w:sz w:val="24"/>
          <w:szCs w:val="24"/>
        </w:rPr>
        <w:t>In order to</w:t>
      </w:r>
      <w:proofErr w:type="gramEnd"/>
      <w:r w:rsidR="00E43D3B" w:rsidRPr="00794A18">
        <w:rPr>
          <w:rFonts w:ascii="Arial" w:hAnsi="Arial" w:cs="Arial"/>
          <w:sz w:val="24"/>
          <w:szCs w:val="24"/>
        </w:rPr>
        <w:t xml:space="preserve"> advise on if a binding contract has been formed, </w:t>
      </w:r>
      <w:r w:rsidR="00565EF3" w:rsidRPr="00794A18">
        <w:rPr>
          <w:rFonts w:ascii="Arial" w:hAnsi="Arial" w:cs="Arial"/>
          <w:sz w:val="24"/>
          <w:szCs w:val="24"/>
        </w:rPr>
        <w:t xml:space="preserve">it must first be determined if </w:t>
      </w:r>
      <w:r w:rsidR="00E43D3B" w:rsidRPr="00794A18">
        <w:rPr>
          <w:rFonts w:ascii="Arial" w:hAnsi="Arial" w:cs="Arial"/>
          <w:sz w:val="24"/>
          <w:szCs w:val="24"/>
        </w:rPr>
        <w:t>the four major elements of a contract under the law of England and Wales</w:t>
      </w:r>
      <w:r w:rsidR="00565EF3" w:rsidRPr="00794A18">
        <w:rPr>
          <w:rFonts w:ascii="Arial" w:hAnsi="Arial" w:cs="Arial"/>
          <w:sz w:val="24"/>
          <w:szCs w:val="24"/>
        </w:rPr>
        <w:t xml:space="preserve"> are present</w:t>
      </w:r>
      <w:r w:rsidR="00E43D3B" w:rsidRPr="00794A18">
        <w:rPr>
          <w:rFonts w:ascii="Arial" w:hAnsi="Arial" w:cs="Arial"/>
          <w:sz w:val="24"/>
          <w:szCs w:val="24"/>
        </w:rPr>
        <w:t xml:space="preserve">, being: an offer, an acceptance, consideration, and intention to create legal relations. </w:t>
      </w:r>
    </w:p>
    <w:p w14:paraId="10577486" w14:textId="16EC4829" w:rsidR="002F4150" w:rsidRPr="00794A18" w:rsidRDefault="00565EF3" w:rsidP="00144180">
      <w:pPr>
        <w:rPr>
          <w:rFonts w:ascii="Arial" w:hAnsi="Arial" w:cs="Arial"/>
          <w:sz w:val="24"/>
          <w:szCs w:val="24"/>
        </w:rPr>
      </w:pPr>
      <w:r w:rsidRPr="00794A18">
        <w:rPr>
          <w:rFonts w:ascii="Arial" w:hAnsi="Arial" w:cs="Arial"/>
          <w:sz w:val="24"/>
          <w:szCs w:val="24"/>
        </w:rPr>
        <w:t xml:space="preserve">To form a binding contract, an offer must be made by one party, indicating that they </w:t>
      </w:r>
      <w:r w:rsidR="00F17571" w:rsidRPr="00794A18">
        <w:rPr>
          <w:rFonts w:ascii="Arial" w:hAnsi="Arial" w:cs="Arial"/>
          <w:sz w:val="24"/>
          <w:szCs w:val="24"/>
        </w:rPr>
        <w:t xml:space="preserve">are willing to </w:t>
      </w:r>
      <w:proofErr w:type="gramStart"/>
      <w:r w:rsidR="00F17571" w:rsidRPr="00794A18">
        <w:rPr>
          <w:rFonts w:ascii="Arial" w:hAnsi="Arial" w:cs="Arial"/>
          <w:sz w:val="24"/>
          <w:szCs w:val="24"/>
        </w:rPr>
        <w:t>enter into</w:t>
      </w:r>
      <w:proofErr w:type="gramEnd"/>
      <w:r w:rsidR="00F17571" w:rsidRPr="00794A18">
        <w:rPr>
          <w:rFonts w:ascii="Arial" w:hAnsi="Arial" w:cs="Arial"/>
          <w:sz w:val="24"/>
          <w:szCs w:val="24"/>
        </w:rPr>
        <w:t xml:space="preserve"> a contract with another party, who must accept the offer in whole</w:t>
      </w:r>
      <w:r w:rsidR="003C0900" w:rsidRPr="00794A18">
        <w:rPr>
          <w:rFonts w:ascii="Arial" w:hAnsi="Arial" w:cs="Arial"/>
          <w:sz w:val="24"/>
          <w:szCs w:val="24"/>
        </w:rPr>
        <w:t xml:space="preserve"> however, the full circumstances of the offer and the circumstances of the acceptance of that offer should be inspected </w:t>
      </w:r>
      <w:r w:rsidR="00F972BD" w:rsidRPr="00794A18">
        <w:rPr>
          <w:rFonts w:ascii="Arial" w:hAnsi="Arial" w:cs="Arial"/>
          <w:sz w:val="24"/>
          <w:szCs w:val="24"/>
        </w:rPr>
        <w:t xml:space="preserve">to determine if there was an agreement. This was demonstrated by Lord Denning in </w:t>
      </w:r>
      <w:r w:rsidR="00B65741" w:rsidRPr="00794A18">
        <w:rPr>
          <w:rFonts w:ascii="Arial" w:hAnsi="Arial" w:cs="Arial"/>
          <w:sz w:val="24"/>
          <w:szCs w:val="24"/>
        </w:rPr>
        <w:t xml:space="preserve">Gibson v Manchester City Council </w:t>
      </w:r>
      <w:r w:rsidR="008E28B5" w:rsidRPr="00794A18">
        <w:rPr>
          <w:rFonts w:ascii="Arial" w:hAnsi="Arial" w:cs="Arial"/>
          <w:sz w:val="24"/>
          <w:szCs w:val="24"/>
        </w:rPr>
        <w:t>(</w:t>
      </w:r>
      <w:r w:rsidR="00B65741" w:rsidRPr="00794A18">
        <w:rPr>
          <w:rFonts w:ascii="Arial" w:hAnsi="Arial" w:cs="Arial"/>
          <w:sz w:val="24"/>
          <w:szCs w:val="24"/>
        </w:rPr>
        <w:t>1978</w:t>
      </w:r>
      <w:r w:rsidR="008E28B5" w:rsidRPr="00794A18">
        <w:rPr>
          <w:rFonts w:ascii="Arial" w:hAnsi="Arial" w:cs="Arial"/>
          <w:sz w:val="24"/>
          <w:szCs w:val="24"/>
        </w:rPr>
        <w:t>)</w:t>
      </w:r>
      <w:r w:rsidR="00B65741" w:rsidRPr="00794A18">
        <w:rPr>
          <w:rFonts w:ascii="Arial" w:hAnsi="Arial" w:cs="Arial"/>
          <w:sz w:val="24"/>
          <w:szCs w:val="24"/>
        </w:rPr>
        <w:t xml:space="preserve"> </w:t>
      </w:r>
      <w:r w:rsidR="00EC5930" w:rsidRPr="00794A18">
        <w:rPr>
          <w:rFonts w:ascii="Arial" w:hAnsi="Arial" w:cs="Arial"/>
          <w:sz w:val="24"/>
          <w:szCs w:val="24"/>
        </w:rPr>
        <w:t>in which Lord Denning stated</w:t>
      </w:r>
      <w:r w:rsidR="00B45306" w:rsidRPr="00794A18">
        <w:rPr>
          <w:rFonts w:ascii="Arial" w:hAnsi="Arial" w:cs="Arial"/>
          <w:sz w:val="24"/>
          <w:szCs w:val="24"/>
        </w:rPr>
        <w:t xml:space="preserve"> “You should look at the correspondence as a whole and at the conduct of the parties… If by their correspondence and their </w:t>
      </w:r>
      <w:r w:rsidR="00B65741" w:rsidRPr="00794A18">
        <w:rPr>
          <w:rFonts w:ascii="Arial" w:hAnsi="Arial" w:cs="Arial"/>
          <w:sz w:val="24"/>
          <w:szCs w:val="24"/>
        </w:rPr>
        <w:t>conduct,</w:t>
      </w:r>
      <w:r w:rsidR="00B45306" w:rsidRPr="00794A18">
        <w:rPr>
          <w:rFonts w:ascii="Arial" w:hAnsi="Arial" w:cs="Arial"/>
          <w:sz w:val="24"/>
          <w:szCs w:val="24"/>
        </w:rPr>
        <w:t xml:space="preserve"> you can see an agreement on all terms- which was meant to be binding- then there is a binding contract in law even though all the formalities have not been gone through”</w:t>
      </w:r>
      <w:r w:rsidR="00B65741" w:rsidRPr="00794A18">
        <w:rPr>
          <w:rFonts w:ascii="Arial" w:hAnsi="Arial" w:cs="Arial"/>
          <w:sz w:val="24"/>
          <w:szCs w:val="24"/>
        </w:rPr>
        <w:t>. This concept was further shown in</w:t>
      </w:r>
      <w:r w:rsidR="00EC5930" w:rsidRPr="00794A18">
        <w:rPr>
          <w:rFonts w:ascii="Arial" w:hAnsi="Arial" w:cs="Arial"/>
          <w:sz w:val="24"/>
          <w:szCs w:val="24"/>
        </w:rPr>
        <w:t xml:space="preserve"> </w:t>
      </w:r>
      <w:r w:rsidR="00B65741" w:rsidRPr="00794A18">
        <w:rPr>
          <w:rFonts w:ascii="Arial" w:hAnsi="Arial" w:cs="Arial"/>
          <w:sz w:val="24"/>
          <w:szCs w:val="24"/>
        </w:rPr>
        <w:t>Butler Machi</w:t>
      </w:r>
      <w:r w:rsidR="008E28B5" w:rsidRPr="00794A18">
        <w:rPr>
          <w:rFonts w:ascii="Arial" w:hAnsi="Arial" w:cs="Arial"/>
          <w:sz w:val="24"/>
          <w:szCs w:val="24"/>
        </w:rPr>
        <w:t>n</w:t>
      </w:r>
      <w:r w:rsidR="00B65741" w:rsidRPr="00794A18">
        <w:rPr>
          <w:rFonts w:ascii="Arial" w:hAnsi="Arial" w:cs="Arial"/>
          <w:sz w:val="24"/>
          <w:szCs w:val="24"/>
        </w:rPr>
        <w:t xml:space="preserve">e </w:t>
      </w:r>
      <w:r w:rsidR="008E28B5" w:rsidRPr="00794A18">
        <w:rPr>
          <w:rFonts w:ascii="Arial" w:hAnsi="Arial" w:cs="Arial"/>
          <w:sz w:val="24"/>
          <w:szCs w:val="24"/>
        </w:rPr>
        <w:t xml:space="preserve">Tool </w:t>
      </w:r>
      <w:r w:rsidR="00B65741" w:rsidRPr="00794A18">
        <w:rPr>
          <w:rFonts w:ascii="Arial" w:hAnsi="Arial" w:cs="Arial"/>
          <w:sz w:val="24"/>
          <w:szCs w:val="24"/>
        </w:rPr>
        <w:t xml:space="preserve">Co. Ltd v Ex-Cell-O corporation (England) Ltd </w:t>
      </w:r>
      <w:r w:rsidR="008E28B5" w:rsidRPr="00794A18">
        <w:rPr>
          <w:rFonts w:ascii="Arial" w:hAnsi="Arial" w:cs="Arial"/>
          <w:sz w:val="24"/>
          <w:szCs w:val="24"/>
        </w:rPr>
        <w:t>(</w:t>
      </w:r>
      <w:r w:rsidR="00B65741" w:rsidRPr="00794A18">
        <w:rPr>
          <w:rFonts w:ascii="Arial" w:hAnsi="Arial" w:cs="Arial"/>
          <w:sz w:val="24"/>
          <w:szCs w:val="24"/>
        </w:rPr>
        <w:t>1979</w:t>
      </w:r>
      <w:r w:rsidR="008E28B5" w:rsidRPr="00794A18">
        <w:rPr>
          <w:rFonts w:ascii="Arial" w:hAnsi="Arial" w:cs="Arial"/>
          <w:sz w:val="24"/>
          <w:szCs w:val="24"/>
        </w:rPr>
        <w:t>)</w:t>
      </w:r>
      <w:r w:rsidR="00B65741" w:rsidRPr="00794A18">
        <w:rPr>
          <w:rFonts w:ascii="Arial" w:hAnsi="Arial" w:cs="Arial"/>
          <w:sz w:val="24"/>
          <w:szCs w:val="24"/>
        </w:rPr>
        <w:t xml:space="preserve">. </w:t>
      </w:r>
    </w:p>
    <w:p w14:paraId="482FA737" w14:textId="75AAFF86" w:rsidR="002F4150" w:rsidRPr="00794A18" w:rsidRDefault="00EC5930" w:rsidP="00144180">
      <w:pPr>
        <w:rPr>
          <w:rFonts w:ascii="Arial" w:hAnsi="Arial" w:cs="Arial"/>
          <w:sz w:val="24"/>
          <w:szCs w:val="24"/>
        </w:rPr>
      </w:pPr>
      <w:r w:rsidRPr="00794A18">
        <w:rPr>
          <w:rFonts w:ascii="Arial" w:hAnsi="Arial" w:cs="Arial"/>
          <w:sz w:val="24"/>
          <w:szCs w:val="24"/>
        </w:rPr>
        <w:t xml:space="preserve">It is important to note that an offer is distinguished in law from an invitation to treat. While an offer is an indication that a party may want to enter a binding contract, an invitation to treat is only an invitation to request more information. Invitations to treat </w:t>
      </w:r>
      <w:r w:rsidRPr="00794A18">
        <w:rPr>
          <w:rFonts w:ascii="Arial" w:hAnsi="Arial" w:cs="Arial"/>
          <w:sz w:val="24"/>
          <w:szCs w:val="24"/>
        </w:rPr>
        <w:lastRenderedPageBreak/>
        <w:t xml:space="preserve">may be in the form of advertisements (Partridge v Crittenden </w:t>
      </w:r>
      <w:r w:rsidR="006B3EA9" w:rsidRPr="00794A18">
        <w:rPr>
          <w:rFonts w:ascii="Arial" w:hAnsi="Arial" w:cs="Arial"/>
          <w:sz w:val="24"/>
          <w:szCs w:val="24"/>
        </w:rPr>
        <w:t>(</w:t>
      </w:r>
      <w:r w:rsidRPr="00794A18">
        <w:rPr>
          <w:rFonts w:ascii="Arial" w:hAnsi="Arial" w:cs="Arial"/>
          <w:sz w:val="24"/>
          <w:szCs w:val="24"/>
        </w:rPr>
        <w:t>1968</w:t>
      </w:r>
      <w:r w:rsidR="006B3EA9" w:rsidRPr="00794A18">
        <w:rPr>
          <w:rFonts w:ascii="Arial" w:hAnsi="Arial" w:cs="Arial"/>
          <w:sz w:val="24"/>
          <w:szCs w:val="24"/>
        </w:rPr>
        <w:t>)</w:t>
      </w:r>
      <w:r w:rsidRPr="00794A18">
        <w:rPr>
          <w:rFonts w:ascii="Arial" w:hAnsi="Arial" w:cs="Arial"/>
          <w:sz w:val="24"/>
          <w:szCs w:val="24"/>
        </w:rPr>
        <w:t xml:space="preserve">), The display of goods for sale (Fisher v Bell </w:t>
      </w:r>
      <w:r w:rsidR="00333C04" w:rsidRPr="00794A18">
        <w:rPr>
          <w:rFonts w:ascii="Arial" w:hAnsi="Arial" w:cs="Arial"/>
          <w:sz w:val="24"/>
          <w:szCs w:val="24"/>
        </w:rPr>
        <w:t>(</w:t>
      </w:r>
      <w:r w:rsidRPr="00794A18">
        <w:rPr>
          <w:rFonts w:ascii="Arial" w:hAnsi="Arial" w:cs="Arial"/>
          <w:sz w:val="24"/>
          <w:szCs w:val="24"/>
        </w:rPr>
        <w:t>1961</w:t>
      </w:r>
      <w:r w:rsidR="00333C04" w:rsidRPr="00794A18">
        <w:rPr>
          <w:rFonts w:ascii="Arial" w:hAnsi="Arial" w:cs="Arial"/>
          <w:sz w:val="24"/>
          <w:szCs w:val="24"/>
        </w:rPr>
        <w:t>)</w:t>
      </w:r>
      <w:r w:rsidRPr="00794A18">
        <w:rPr>
          <w:rFonts w:ascii="Arial" w:hAnsi="Arial" w:cs="Arial"/>
          <w:sz w:val="24"/>
          <w:szCs w:val="24"/>
        </w:rPr>
        <w:t xml:space="preserve">, Pharmaceutical society of Great Britain v Boots Cash Chemists (Southern) Ltd </w:t>
      </w:r>
      <w:r w:rsidR="006820E4" w:rsidRPr="00794A18">
        <w:rPr>
          <w:rFonts w:ascii="Arial" w:hAnsi="Arial" w:cs="Arial"/>
          <w:sz w:val="24"/>
          <w:szCs w:val="24"/>
        </w:rPr>
        <w:t>(</w:t>
      </w:r>
      <w:r w:rsidRPr="00794A18">
        <w:rPr>
          <w:rFonts w:ascii="Arial" w:hAnsi="Arial" w:cs="Arial"/>
          <w:sz w:val="24"/>
          <w:szCs w:val="24"/>
        </w:rPr>
        <w:t>1952</w:t>
      </w:r>
      <w:r w:rsidR="006820E4" w:rsidRPr="00794A18">
        <w:rPr>
          <w:rFonts w:ascii="Arial" w:hAnsi="Arial" w:cs="Arial"/>
          <w:sz w:val="24"/>
          <w:szCs w:val="24"/>
        </w:rPr>
        <w:t>))</w:t>
      </w:r>
      <w:r w:rsidR="00B65741" w:rsidRPr="00794A18">
        <w:rPr>
          <w:rFonts w:ascii="Arial" w:hAnsi="Arial" w:cs="Arial"/>
          <w:sz w:val="24"/>
          <w:szCs w:val="24"/>
        </w:rPr>
        <w:t xml:space="preserve">, and tenders (Spencer v Harding </w:t>
      </w:r>
      <w:r w:rsidR="006820E4" w:rsidRPr="00794A18">
        <w:rPr>
          <w:rFonts w:ascii="Arial" w:hAnsi="Arial" w:cs="Arial"/>
          <w:sz w:val="24"/>
          <w:szCs w:val="24"/>
        </w:rPr>
        <w:t>(</w:t>
      </w:r>
      <w:r w:rsidR="00B65741" w:rsidRPr="00794A18">
        <w:rPr>
          <w:rFonts w:ascii="Arial" w:hAnsi="Arial" w:cs="Arial"/>
          <w:sz w:val="24"/>
          <w:szCs w:val="24"/>
        </w:rPr>
        <w:t>1870</w:t>
      </w:r>
      <w:r w:rsidR="006820E4" w:rsidRPr="00794A18">
        <w:rPr>
          <w:rFonts w:ascii="Arial" w:hAnsi="Arial" w:cs="Arial"/>
          <w:sz w:val="24"/>
          <w:szCs w:val="24"/>
        </w:rPr>
        <w:t>)</w:t>
      </w:r>
      <w:r w:rsidR="00B65741" w:rsidRPr="00794A18">
        <w:rPr>
          <w:rFonts w:ascii="Arial" w:hAnsi="Arial" w:cs="Arial"/>
          <w:sz w:val="24"/>
          <w:szCs w:val="24"/>
        </w:rPr>
        <w:t>)</w:t>
      </w:r>
      <w:r w:rsidR="00CD4589" w:rsidRPr="00794A18">
        <w:rPr>
          <w:rFonts w:ascii="Arial" w:hAnsi="Arial" w:cs="Arial"/>
          <w:sz w:val="24"/>
          <w:szCs w:val="24"/>
        </w:rPr>
        <w:t xml:space="preserve">. </w:t>
      </w:r>
    </w:p>
    <w:p w14:paraId="2C058394" w14:textId="0DC2A79D" w:rsidR="00565EF3" w:rsidRPr="00794A18" w:rsidRDefault="00CD4589" w:rsidP="00144180">
      <w:pPr>
        <w:rPr>
          <w:rFonts w:ascii="Arial" w:hAnsi="Arial" w:cs="Arial"/>
          <w:sz w:val="24"/>
          <w:szCs w:val="24"/>
        </w:rPr>
      </w:pPr>
      <w:r w:rsidRPr="00794A18">
        <w:rPr>
          <w:rFonts w:ascii="Arial" w:hAnsi="Arial" w:cs="Arial"/>
          <w:sz w:val="24"/>
          <w:szCs w:val="24"/>
        </w:rPr>
        <w:t>Given the details provided in your correspondence with Jane, It is likely that your first meeting with her could be considered an invitation to treat, and not necessarily an offer, as it only serves to promote interest in enquiring further with yourself about the property</w:t>
      </w:r>
      <w:r w:rsidR="002F4150" w:rsidRPr="00794A18">
        <w:rPr>
          <w:rFonts w:ascii="Arial" w:hAnsi="Arial" w:cs="Arial"/>
          <w:sz w:val="24"/>
          <w:szCs w:val="24"/>
        </w:rPr>
        <w:t xml:space="preserve">, however your direct interaction with jane at the first meeting indicating a price that you would be willing to agree tenancy for could be considered an offer. This is later made more concrete in your email exchange with Jane, as she you repeat that you would accept £500 for rent, and provide a date that would be suitable for you to have her move in. While the court may possibly decide that your first interaction with jane was simply an invitation to treat due to its informal circumstances, the later email exchange is likely to be seen as an offer, as the value of the rent and the start dates are identical, as well as the more professional environment for correspondence. </w:t>
      </w:r>
    </w:p>
    <w:p w14:paraId="5DA167EF" w14:textId="6907079C" w:rsidR="00B36DBB" w:rsidRPr="00794A18" w:rsidRDefault="00B36DBB" w:rsidP="00144180">
      <w:pPr>
        <w:rPr>
          <w:rFonts w:ascii="Arial" w:hAnsi="Arial" w:cs="Arial"/>
          <w:sz w:val="24"/>
          <w:szCs w:val="24"/>
        </w:rPr>
      </w:pPr>
      <w:r w:rsidRPr="00794A18">
        <w:rPr>
          <w:rFonts w:ascii="Arial" w:hAnsi="Arial" w:cs="Arial"/>
          <w:sz w:val="24"/>
          <w:szCs w:val="24"/>
        </w:rPr>
        <w:t xml:space="preserve">Once it is decided if an offer has been made by a party indicating a willingness to </w:t>
      </w:r>
      <w:proofErr w:type="gramStart"/>
      <w:r w:rsidRPr="00794A18">
        <w:rPr>
          <w:rFonts w:ascii="Arial" w:hAnsi="Arial" w:cs="Arial"/>
          <w:sz w:val="24"/>
          <w:szCs w:val="24"/>
        </w:rPr>
        <w:t>enter into</w:t>
      </w:r>
      <w:proofErr w:type="gramEnd"/>
      <w:r w:rsidRPr="00794A18">
        <w:rPr>
          <w:rFonts w:ascii="Arial" w:hAnsi="Arial" w:cs="Arial"/>
          <w:sz w:val="24"/>
          <w:szCs w:val="24"/>
        </w:rPr>
        <w:t xml:space="preserve"> a binding contract, it must be determined if there is an agreement to the decided terms by both parties. </w:t>
      </w:r>
      <w:r w:rsidR="00734E7F" w:rsidRPr="00794A18">
        <w:rPr>
          <w:rFonts w:ascii="Arial" w:hAnsi="Arial" w:cs="Arial"/>
          <w:sz w:val="24"/>
          <w:szCs w:val="24"/>
        </w:rPr>
        <w:t xml:space="preserve">First, it must be clear that the offer has been accepted by the receiving parties, meaning this communication must be communicated to the offeror (Entores v Miles Far East Corporation </w:t>
      </w:r>
      <w:r w:rsidR="006820E4" w:rsidRPr="00794A18">
        <w:rPr>
          <w:rFonts w:ascii="Arial" w:hAnsi="Arial" w:cs="Arial"/>
          <w:sz w:val="24"/>
          <w:szCs w:val="24"/>
        </w:rPr>
        <w:t>(</w:t>
      </w:r>
      <w:r w:rsidR="00734E7F" w:rsidRPr="00794A18">
        <w:rPr>
          <w:rFonts w:ascii="Arial" w:hAnsi="Arial" w:cs="Arial"/>
          <w:sz w:val="24"/>
          <w:szCs w:val="24"/>
        </w:rPr>
        <w:t>1955</w:t>
      </w:r>
      <w:r w:rsidR="006820E4" w:rsidRPr="00794A18">
        <w:rPr>
          <w:rFonts w:ascii="Arial" w:hAnsi="Arial" w:cs="Arial"/>
          <w:sz w:val="24"/>
          <w:szCs w:val="24"/>
        </w:rPr>
        <w:t>)</w:t>
      </w:r>
      <w:r w:rsidR="00734E7F" w:rsidRPr="00794A18">
        <w:rPr>
          <w:rFonts w:ascii="Arial" w:hAnsi="Arial" w:cs="Arial"/>
          <w:sz w:val="24"/>
          <w:szCs w:val="24"/>
        </w:rPr>
        <w:t>). Due to your correspondence with Jane taking place via email, it is difficult to determine the rules as to when and how an offer may be accepted, as there is no single, overriding authority on modern methods of communication in contract</w:t>
      </w:r>
      <w:r w:rsidR="001F7E23" w:rsidRPr="00794A18">
        <w:rPr>
          <w:rFonts w:ascii="Arial" w:hAnsi="Arial" w:cs="Arial"/>
          <w:sz w:val="24"/>
          <w:szCs w:val="24"/>
        </w:rPr>
        <w:t xml:space="preserve"> (Thomas v BPE Solicitors </w:t>
      </w:r>
      <w:r w:rsidR="006820E4" w:rsidRPr="00794A18">
        <w:rPr>
          <w:rFonts w:ascii="Arial" w:hAnsi="Arial" w:cs="Arial"/>
          <w:sz w:val="24"/>
          <w:szCs w:val="24"/>
        </w:rPr>
        <w:t>(</w:t>
      </w:r>
      <w:r w:rsidR="001F7E23" w:rsidRPr="00794A18">
        <w:rPr>
          <w:rFonts w:ascii="Arial" w:hAnsi="Arial" w:cs="Arial"/>
          <w:sz w:val="24"/>
          <w:szCs w:val="24"/>
        </w:rPr>
        <w:t>2010</w:t>
      </w:r>
      <w:r w:rsidR="006820E4" w:rsidRPr="00794A18">
        <w:rPr>
          <w:rFonts w:ascii="Arial" w:hAnsi="Arial" w:cs="Arial"/>
          <w:sz w:val="24"/>
          <w:szCs w:val="24"/>
        </w:rPr>
        <w:t>)</w:t>
      </w:r>
      <w:r w:rsidR="001F7E23" w:rsidRPr="00794A18">
        <w:rPr>
          <w:rFonts w:ascii="Arial" w:hAnsi="Arial" w:cs="Arial"/>
          <w:sz w:val="24"/>
          <w:szCs w:val="24"/>
        </w:rPr>
        <w:t>)</w:t>
      </w:r>
      <w:r w:rsidR="00734E7F" w:rsidRPr="00794A18">
        <w:rPr>
          <w:rFonts w:ascii="Arial" w:hAnsi="Arial" w:cs="Arial"/>
          <w:sz w:val="24"/>
          <w:szCs w:val="24"/>
        </w:rPr>
        <w:t xml:space="preserve">. </w:t>
      </w:r>
      <w:r w:rsidR="00407B7E" w:rsidRPr="00794A18">
        <w:rPr>
          <w:rFonts w:ascii="Arial" w:hAnsi="Arial" w:cs="Arial"/>
          <w:sz w:val="24"/>
          <w:szCs w:val="24"/>
        </w:rPr>
        <w:t xml:space="preserve">As per </w:t>
      </w:r>
      <w:proofErr w:type="spellStart"/>
      <w:r w:rsidR="00407B7E" w:rsidRPr="00794A18">
        <w:rPr>
          <w:rFonts w:ascii="Arial" w:hAnsi="Arial" w:cs="Arial"/>
          <w:sz w:val="24"/>
          <w:szCs w:val="24"/>
        </w:rPr>
        <w:t>Brinkibon</w:t>
      </w:r>
      <w:proofErr w:type="spellEnd"/>
      <w:r w:rsidR="00407B7E" w:rsidRPr="00794A18">
        <w:rPr>
          <w:rFonts w:ascii="Arial" w:hAnsi="Arial" w:cs="Arial"/>
          <w:sz w:val="24"/>
          <w:szCs w:val="24"/>
        </w:rPr>
        <w:t xml:space="preserve"> v </w:t>
      </w:r>
      <w:proofErr w:type="spellStart"/>
      <w:r w:rsidR="00407B7E" w:rsidRPr="00794A18">
        <w:rPr>
          <w:rFonts w:ascii="Arial" w:hAnsi="Arial" w:cs="Arial"/>
          <w:sz w:val="24"/>
          <w:szCs w:val="24"/>
        </w:rPr>
        <w:t>Stahag</w:t>
      </w:r>
      <w:proofErr w:type="spellEnd"/>
      <w:r w:rsidR="00407B7E" w:rsidRPr="00794A18">
        <w:rPr>
          <w:rFonts w:ascii="Arial" w:hAnsi="Arial" w:cs="Arial"/>
          <w:sz w:val="24"/>
          <w:szCs w:val="24"/>
        </w:rPr>
        <w:t xml:space="preserve"> Stahl </w:t>
      </w:r>
      <w:r w:rsidR="00B46FF2" w:rsidRPr="00794A18">
        <w:rPr>
          <w:rFonts w:ascii="Arial" w:hAnsi="Arial" w:cs="Arial"/>
          <w:sz w:val="24"/>
          <w:szCs w:val="24"/>
        </w:rPr>
        <w:t>(</w:t>
      </w:r>
      <w:r w:rsidR="00407B7E" w:rsidRPr="00794A18">
        <w:rPr>
          <w:rFonts w:ascii="Arial" w:hAnsi="Arial" w:cs="Arial"/>
          <w:sz w:val="24"/>
          <w:szCs w:val="24"/>
        </w:rPr>
        <w:t>1983</w:t>
      </w:r>
      <w:r w:rsidR="00B46FF2" w:rsidRPr="00794A18">
        <w:rPr>
          <w:rFonts w:ascii="Arial" w:hAnsi="Arial" w:cs="Arial"/>
          <w:sz w:val="24"/>
          <w:szCs w:val="24"/>
        </w:rPr>
        <w:t>)</w:t>
      </w:r>
      <w:r w:rsidR="00407B7E" w:rsidRPr="00794A18">
        <w:rPr>
          <w:rFonts w:ascii="Arial" w:hAnsi="Arial" w:cs="Arial"/>
          <w:sz w:val="24"/>
          <w:szCs w:val="24"/>
        </w:rPr>
        <w:t xml:space="preserve">, the time at which an acceptance is communicated by </w:t>
      </w:r>
      <w:r w:rsidR="001F7E23" w:rsidRPr="00794A18">
        <w:rPr>
          <w:rFonts w:ascii="Arial" w:hAnsi="Arial" w:cs="Arial"/>
          <w:sz w:val="24"/>
          <w:szCs w:val="24"/>
        </w:rPr>
        <w:t>modern methods of communication is unclear, so the courts will consider the intentions of the parties, sound judgement and business practice to decide where the risk should lie</w:t>
      </w:r>
      <w:r w:rsidR="00856BDC" w:rsidRPr="00794A18">
        <w:rPr>
          <w:rFonts w:ascii="Arial" w:hAnsi="Arial" w:cs="Arial"/>
          <w:sz w:val="24"/>
          <w:szCs w:val="24"/>
        </w:rPr>
        <w:t>.</w:t>
      </w:r>
      <w:r w:rsidR="00B06701" w:rsidRPr="00794A18">
        <w:rPr>
          <w:rFonts w:ascii="Arial" w:hAnsi="Arial" w:cs="Arial"/>
          <w:sz w:val="24"/>
          <w:szCs w:val="24"/>
        </w:rPr>
        <w:t xml:space="preserve"> The ruling in </w:t>
      </w:r>
      <w:proofErr w:type="spellStart"/>
      <w:r w:rsidR="00B06701" w:rsidRPr="00794A18">
        <w:rPr>
          <w:rFonts w:ascii="Arial" w:hAnsi="Arial" w:cs="Arial"/>
          <w:sz w:val="24"/>
          <w:szCs w:val="24"/>
        </w:rPr>
        <w:t>Brinkibon</w:t>
      </w:r>
      <w:proofErr w:type="spellEnd"/>
      <w:r w:rsidR="00B06701" w:rsidRPr="00794A18">
        <w:rPr>
          <w:rFonts w:ascii="Arial" w:hAnsi="Arial" w:cs="Arial"/>
          <w:sz w:val="24"/>
          <w:szCs w:val="24"/>
        </w:rPr>
        <w:t xml:space="preserve"> </w:t>
      </w:r>
      <w:r w:rsidR="00EA645B" w:rsidRPr="00794A18">
        <w:rPr>
          <w:rFonts w:ascii="Arial" w:hAnsi="Arial" w:cs="Arial"/>
          <w:sz w:val="24"/>
          <w:szCs w:val="24"/>
        </w:rPr>
        <w:t>(</w:t>
      </w:r>
      <w:r w:rsidR="00B06701" w:rsidRPr="00794A18">
        <w:rPr>
          <w:rFonts w:ascii="Arial" w:hAnsi="Arial" w:cs="Arial"/>
          <w:sz w:val="24"/>
          <w:szCs w:val="24"/>
        </w:rPr>
        <w:t>1983</w:t>
      </w:r>
      <w:r w:rsidR="00EA645B" w:rsidRPr="00794A18">
        <w:rPr>
          <w:rFonts w:ascii="Arial" w:hAnsi="Arial" w:cs="Arial"/>
          <w:sz w:val="24"/>
          <w:szCs w:val="24"/>
        </w:rPr>
        <w:t>)</w:t>
      </w:r>
      <w:r w:rsidR="00B06701" w:rsidRPr="00794A18">
        <w:rPr>
          <w:rFonts w:ascii="Arial" w:hAnsi="Arial" w:cs="Arial"/>
          <w:sz w:val="24"/>
          <w:szCs w:val="24"/>
        </w:rPr>
        <w:t xml:space="preserve"> is also highly dependent on if the offeror is a business or not, as it laid out precedent that would clarify that if a business receives an acceptance via email or other instantaneous communication, but does not read it, it is still considered to be </w:t>
      </w:r>
      <w:r w:rsidR="003761AB" w:rsidRPr="00794A18">
        <w:rPr>
          <w:rFonts w:ascii="Arial" w:hAnsi="Arial" w:cs="Arial"/>
          <w:sz w:val="24"/>
          <w:szCs w:val="24"/>
        </w:rPr>
        <w:t>valid agreement by the promise as long as the agreement is communicated within normal business hours. If it is not, it will be considered to have been delivered and therefore accepted by the next available working date of that business, in which it would be able to theoretically access the agreement. This means that as long as jane’s agreement was made within your normal working hours, it is likely binding, however if Jane had agreed outside of these hours, and you had revoked this offer outside of normal working hours it may be possible to argue that a communication of agreement did not take place</w:t>
      </w:r>
      <w:r w:rsidR="00856BDC" w:rsidRPr="00794A18">
        <w:rPr>
          <w:rFonts w:ascii="Arial" w:hAnsi="Arial" w:cs="Arial"/>
          <w:sz w:val="24"/>
          <w:szCs w:val="24"/>
        </w:rPr>
        <w:t xml:space="preserve"> It is stated in your transcript of events that Jane had agreed to the terms proposed by you</w:t>
      </w:r>
      <w:r w:rsidR="001F7E23" w:rsidRPr="00794A18">
        <w:rPr>
          <w:rFonts w:ascii="Arial" w:hAnsi="Arial" w:cs="Arial"/>
          <w:sz w:val="24"/>
          <w:szCs w:val="24"/>
        </w:rPr>
        <w:t xml:space="preserve">. Even in the event that </w:t>
      </w:r>
      <w:r w:rsidR="00856BDC" w:rsidRPr="00794A18">
        <w:rPr>
          <w:rFonts w:ascii="Arial" w:hAnsi="Arial" w:cs="Arial"/>
          <w:sz w:val="24"/>
          <w:szCs w:val="24"/>
        </w:rPr>
        <w:t>she</w:t>
      </w:r>
      <w:r w:rsidR="001F7E23" w:rsidRPr="00794A18">
        <w:rPr>
          <w:rFonts w:ascii="Arial" w:hAnsi="Arial" w:cs="Arial"/>
          <w:sz w:val="24"/>
          <w:szCs w:val="24"/>
        </w:rPr>
        <w:t xml:space="preserve"> did not agree formally, such as explicitly stating that </w:t>
      </w:r>
      <w:r w:rsidR="00856BDC" w:rsidRPr="00794A18">
        <w:rPr>
          <w:rFonts w:ascii="Arial" w:hAnsi="Arial" w:cs="Arial"/>
          <w:sz w:val="24"/>
          <w:szCs w:val="24"/>
        </w:rPr>
        <w:t>she</w:t>
      </w:r>
      <w:r w:rsidR="001F7E23" w:rsidRPr="00794A18">
        <w:rPr>
          <w:rFonts w:ascii="Arial" w:hAnsi="Arial" w:cs="Arial"/>
          <w:sz w:val="24"/>
          <w:szCs w:val="24"/>
        </w:rPr>
        <w:t xml:space="preserve"> agree</w:t>
      </w:r>
      <w:r w:rsidR="00856BDC" w:rsidRPr="00794A18">
        <w:rPr>
          <w:rFonts w:ascii="Arial" w:hAnsi="Arial" w:cs="Arial"/>
          <w:sz w:val="24"/>
          <w:szCs w:val="24"/>
        </w:rPr>
        <w:t>d</w:t>
      </w:r>
      <w:r w:rsidR="001F7E23" w:rsidRPr="00794A18">
        <w:rPr>
          <w:rFonts w:ascii="Arial" w:hAnsi="Arial" w:cs="Arial"/>
          <w:sz w:val="24"/>
          <w:szCs w:val="24"/>
        </w:rPr>
        <w:t xml:space="preserve"> to the terms proposed</w:t>
      </w:r>
      <w:r w:rsidR="00856BDC" w:rsidRPr="00794A18">
        <w:rPr>
          <w:rFonts w:ascii="Arial" w:hAnsi="Arial" w:cs="Arial"/>
          <w:sz w:val="24"/>
          <w:szCs w:val="24"/>
        </w:rPr>
        <w:t xml:space="preserve"> through words, but instead through emojis or emoticons</w:t>
      </w:r>
      <w:r w:rsidR="001F7E23" w:rsidRPr="00794A18">
        <w:rPr>
          <w:rFonts w:ascii="Arial" w:hAnsi="Arial" w:cs="Arial"/>
          <w:sz w:val="24"/>
          <w:szCs w:val="24"/>
        </w:rPr>
        <w:t>, it still may be considered to be an acceptance</w:t>
      </w:r>
      <w:r w:rsidR="00856BDC" w:rsidRPr="00794A18">
        <w:rPr>
          <w:rFonts w:ascii="Arial" w:hAnsi="Arial" w:cs="Arial"/>
          <w:sz w:val="24"/>
          <w:szCs w:val="24"/>
        </w:rPr>
        <w:t xml:space="preserve"> under the persuasive ruling</w:t>
      </w:r>
      <w:r w:rsidR="001F7E23" w:rsidRPr="00794A18">
        <w:rPr>
          <w:rFonts w:ascii="Arial" w:hAnsi="Arial" w:cs="Arial"/>
          <w:sz w:val="24"/>
          <w:szCs w:val="24"/>
        </w:rPr>
        <w:t xml:space="preserve"> in </w:t>
      </w:r>
      <w:proofErr w:type="gramStart"/>
      <w:r w:rsidR="001F7E23" w:rsidRPr="00794A18">
        <w:rPr>
          <w:rFonts w:ascii="Arial" w:hAnsi="Arial" w:cs="Arial"/>
          <w:sz w:val="24"/>
          <w:szCs w:val="24"/>
        </w:rPr>
        <w:t>South West</w:t>
      </w:r>
      <w:proofErr w:type="gramEnd"/>
      <w:r w:rsidR="001F7E23" w:rsidRPr="00794A18">
        <w:rPr>
          <w:rFonts w:ascii="Arial" w:hAnsi="Arial" w:cs="Arial"/>
          <w:sz w:val="24"/>
          <w:szCs w:val="24"/>
        </w:rPr>
        <w:t xml:space="preserve"> Terminal Ltd v Achter Land </w:t>
      </w:r>
      <w:r w:rsidR="00EA645B" w:rsidRPr="00794A18">
        <w:rPr>
          <w:rFonts w:ascii="Arial" w:hAnsi="Arial" w:cs="Arial"/>
          <w:sz w:val="24"/>
          <w:szCs w:val="24"/>
        </w:rPr>
        <w:t>(</w:t>
      </w:r>
      <w:r w:rsidR="001F7E23" w:rsidRPr="00794A18">
        <w:rPr>
          <w:rFonts w:ascii="Arial" w:hAnsi="Arial" w:cs="Arial"/>
          <w:sz w:val="24"/>
          <w:szCs w:val="24"/>
        </w:rPr>
        <w:t>2023</w:t>
      </w:r>
      <w:r w:rsidR="00EA645B" w:rsidRPr="00794A18">
        <w:rPr>
          <w:rFonts w:ascii="Arial" w:hAnsi="Arial" w:cs="Arial"/>
          <w:sz w:val="24"/>
          <w:szCs w:val="24"/>
        </w:rPr>
        <w:t>)</w:t>
      </w:r>
      <w:r w:rsidR="00856BDC" w:rsidRPr="00794A18">
        <w:rPr>
          <w:rFonts w:ascii="Arial" w:hAnsi="Arial" w:cs="Arial"/>
          <w:sz w:val="24"/>
          <w:szCs w:val="24"/>
        </w:rPr>
        <w:t xml:space="preserve">. </w:t>
      </w:r>
    </w:p>
    <w:p w14:paraId="5087BB3A" w14:textId="45C02A8D" w:rsidR="003761AB" w:rsidRPr="00794A18" w:rsidRDefault="00F00680" w:rsidP="00144180">
      <w:pPr>
        <w:rPr>
          <w:rFonts w:ascii="Arial" w:hAnsi="Arial" w:cs="Arial"/>
          <w:sz w:val="24"/>
          <w:szCs w:val="24"/>
        </w:rPr>
      </w:pPr>
      <w:r w:rsidRPr="00794A18">
        <w:rPr>
          <w:rFonts w:ascii="Arial" w:hAnsi="Arial" w:cs="Arial"/>
          <w:sz w:val="24"/>
          <w:szCs w:val="24"/>
        </w:rPr>
        <w:t>An important caveat to the general rule of required communication of acceptance is that an offer may be accepted by the conduct of the promise</w:t>
      </w:r>
      <w:r w:rsidR="003761AB" w:rsidRPr="00794A18">
        <w:rPr>
          <w:rFonts w:ascii="Arial" w:hAnsi="Arial" w:cs="Arial"/>
          <w:sz w:val="24"/>
          <w:szCs w:val="24"/>
        </w:rPr>
        <w:t xml:space="preserve">. </w:t>
      </w:r>
      <w:r w:rsidRPr="00794A18">
        <w:rPr>
          <w:rFonts w:ascii="Arial" w:hAnsi="Arial" w:cs="Arial"/>
          <w:sz w:val="24"/>
          <w:szCs w:val="24"/>
        </w:rPr>
        <w:t>This would be in keeping with the ruling made in Brogden v Metropolitan Railway</w:t>
      </w:r>
      <w:r w:rsidR="000D0BCF" w:rsidRPr="00794A18">
        <w:rPr>
          <w:rFonts w:ascii="Arial" w:hAnsi="Arial" w:cs="Arial"/>
          <w:sz w:val="24"/>
          <w:szCs w:val="24"/>
        </w:rPr>
        <w:t xml:space="preserve"> Co.</w:t>
      </w:r>
      <w:r w:rsidRPr="00794A18">
        <w:rPr>
          <w:rFonts w:ascii="Arial" w:hAnsi="Arial" w:cs="Arial"/>
          <w:sz w:val="24"/>
          <w:szCs w:val="24"/>
        </w:rPr>
        <w:t xml:space="preserve"> </w:t>
      </w:r>
      <w:r w:rsidR="00EA645B" w:rsidRPr="00794A18">
        <w:rPr>
          <w:rFonts w:ascii="Arial" w:hAnsi="Arial" w:cs="Arial"/>
          <w:sz w:val="24"/>
          <w:szCs w:val="24"/>
        </w:rPr>
        <w:t>(</w:t>
      </w:r>
      <w:r w:rsidRPr="00794A18">
        <w:rPr>
          <w:rFonts w:ascii="Arial" w:hAnsi="Arial" w:cs="Arial"/>
          <w:sz w:val="24"/>
          <w:szCs w:val="24"/>
        </w:rPr>
        <w:t>1877</w:t>
      </w:r>
      <w:r w:rsidR="00EA645B" w:rsidRPr="00794A18">
        <w:rPr>
          <w:rFonts w:ascii="Arial" w:hAnsi="Arial" w:cs="Arial"/>
          <w:sz w:val="24"/>
          <w:szCs w:val="24"/>
        </w:rPr>
        <w:t>)</w:t>
      </w:r>
      <w:r w:rsidRPr="00794A18">
        <w:rPr>
          <w:rFonts w:ascii="Arial" w:hAnsi="Arial" w:cs="Arial"/>
          <w:sz w:val="24"/>
          <w:szCs w:val="24"/>
        </w:rPr>
        <w:t xml:space="preserve">, the </w:t>
      </w:r>
      <w:r w:rsidRPr="00794A18">
        <w:rPr>
          <w:rFonts w:ascii="Arial" w:hAnsi="Arial" w:cs="Arial"/>
          <w:sz w:val="24"/>
          <w:szCs w:val="24"/>
        </w:rPr>
        <w:lastRenderedPageBreak/>
        <w:t xml:space="preserve">precedent for which allows an offer to be accepted and thus a binding agreement made, simply by taking the actions that are required by the contract. You may be bound in this way, as, if Jane’s sending of the deposit was part of the terms of contract that were decided by yourself in your offer, it is likely this would be considered acceptance by conduct, as she had fulfilled her contractual duties as if she had communicated acceptance orally, by post, or by mail. </w:t>
      </w:r>
    </w:p>
    <w:p w14:paraId="79452405" w14:textId="446D7505" w:rsidR="003761AB" w:rsidRPr="00794A18" w:rsidRDefault="003761AB" w:rsidP="00144180">
      <w:pPr>
        <w:rPr>
          <w:rFonts w:ascii="Arial" w:hAnsi="Arial" w:cs="Arial"/>
          <w:sz w:val="24"/>
          <w:szCs w:val="24"/>
        </w:rPr>
      </w:pPr>
      <w:r w:rsidRPr="00794A18">
        <w:rPr>
          <w:rFonts w:ascii="Arial" w:hAnsi="Arial" w:cs="Arial"/>
          <w:sz w:val="24"/>
          <w:szCs w:val="24"/>
        </w:rPr>
        <w:t>An acceptance of an offer must also follow the “Mirror-Image Rule”</w:t>
      </w:r>
      <w:r w:rsidR="00F00680" w:rsidRPr="00794A18">
        <w:rPr>
          <w:rFonts w:ascii="Arial" w:hAnsi="Arial" w:cs="Arial"/>
          <w:sz w:val="24"/>
          <w:szCs w:val="24"/>
        </w:rPr>
        <w:t xml:space="preserve">. This rule requires that an offer be equal in value to the one proposed, as was decided in Hyde v Wrench </w:t>
      </w:r>
      <w:r w:rsidR="000D0BCF" w:rsidRPr="00794A18">
        <w:rPr>
          <w:rFonts w:ascii="Arial" w:hAnsi="Arial" w:cs="Arial"/>
          <w:sz w:val="24"/>
          <w:szCs w:val="24"/>
        </w:rPr>
        <w:t>(</w:t>
      </w:r>
      <w:r w:rsidR="00F00680" w:rsidRPr="00794A18">
        <w:rPr>
          <w:rFonts w:ascii="Arial" w:hAnsi="Arial" w:cs="Arial"/>
          <w:sz w:val="24"/>
          <w:szCs w:val="24"/>
        </w:rPr>
        <w:t>1840</w:t>
      </w:r>
      <w:r w:rsidR="000D0BCF" w:rsidRPr="00794A18">
        <w:rPr>
          <w:rFonts w:ascii="Arial" w:hAnsi="Arial" w:cs="Arial"/>
          <w:sz w:val="24"/>
          <w:szCs w:val="24"/>
        </w:rPr>
        <w:t>)</w:t>
      </w:r>
      <w:r w:rsidR="00F00680" w:rsidRPr="00794A18">
        <w:rPr>
          <w:rFonts w:ascii="Arial" w:hAnsi="Arial" w:cs="Arial"/>
          <w:sz w:val="24"/>
          <w:szCs w:val="24"/>
        </w:rPr>
        <w:t xml:space="preserve">. This would suggest that any proposed change of value in what is offered or asked for as part of an offer would constitute a new offer or </w:t>
      </w:r>
      <w:proofErr w:type="gramStart"/>
      <w:r w:rsidR="006F7974" w:rsidRPr="00794A18">
        <w:rPr>
          <w:rFonts w:ascii="Arial" w:hAnsi="Arial" w:cs="Arial"/>
          <w:sz w:val="24"/>
          <w:szCs w:val="24"/>
        </w:rPr>
        <w:t>counter-offer</w:t>
      </w:r>
      <w:proofErr w:type="gramEnd"/>
      <w:r w:rsidR="00F00680" w:rsidRPr="00794A18">
        <w:rPr>
          <w:rFonts w:ascii="Arial" w:hAnsi="Arial" w:cs="Arial"/>
          <w:sz w:val="24"/>
          <w:szCs w:val="24"/>
        </w:rPr>
        <w:t xml:space="preserve">. </w:t>
      </w:r>
      <w:r w:rsidR="006F7974" w:rsidRPr="00794A18">
        <w:rPr>
          <w:rFonts w:ascii="Arial" w:hAnsi="Arial" w:cs="Arial"/>
          <w:sz w:val="24"/>
          <w:szCs w:val="24"/>
        </w:rPr>
        <w:t xml:space="preserve">Doing so would invalidate the first offer, and make it impossible to agree to, as in the law, the original offer no longer exists. If, in negotiations, there was any discussion or argument as to the price of rent, it would constitute a counter-offer, causing your original offer to effectively cease to exist, and making it impossible to bind another party to if it had not been re-established that the offer was still available directly before the acceptance, however, no evidence is provided either for or against this possibility. </w:t>
      </w:r>
    </w:p>
    <w:p w14:paraId="718E1734" w14:textId="472F6092" w:rsidR="00B73B70" w:rsidRPr="00794A18" w:rsidRDefault="00B73B70" w:rsidP="00ED7DCB">
      <w:pPr>
        <w:rPr>
          <w:rFonts w:ascii="Arial" w:hAnsi="Arial" w:cs="Arial"/>
          <w:sz w:val="24"/>
          <w:szCs w:val="24"/>
        </w:rPr>
      </w:pPr>
      <w:r w:rsidRPr="00794A18">
        <w:rPr>
          <w:rFonts w:ascii="Arial" w:hAnsi="Arial" w:cs="Arial"/>
          <w:sz w:val="24"/>
          <w:szCs w:val="24"/>
        </w:rPr>
        <w:t xml:space="preserve">To form a binding agreement between parties, there must also be valid consideration. Consideration is defined in Currie v Misa </w:t>
      </w:r>
      <w:r w:rsidR="000D0BCF" w:rsidRPr="00794A18">
        <w:rPr>
          <w:rFonts w:ascii="Arial" w:hAnsi="Arial" w:cs="Arial"/>
          <w:sz w:val="24"/>
          <w:szCs w:val="24"/>
        </w:rPr>
        <w:t>(</w:t>
      </w:r>
      <w:r w:rsidRPr="00794A18">
        <w:rPr>
          <w:rFonts w:ascii="Arial" w:hAnsi="Arial" w:cs="Arial"/>
          <w:sz w:val="24"/>
          <w:szCs w:val="24"/>
        </w:rPr>
        <w:t>1875</w:t>
      </w:r>
      <w:r w:rsidR="000D0BCF" w:rsidRPr="00794A18">
        <w:rPr>
          <w:rFonts w:ascii="Arial" w:hAnsi="Arial" w:cs="Arial"/>
          <w:sz w:val="24"/>
          <w:szCs w:val="24"/>
        </w:rPr>
        <w:t>)</w:t>
      </w:r>
      <w:r w:rsidRPr="00794A18">
        <w:rPr>
          <w:rFonts w:ascii="Arial" w:hAnsi="Arial" w:cs="Arial"/>
          <w:sz w:val="24"/>
          <w:szCs w:val="24"/>
        </w:rPr>
        <w:t xml:space="preserve"> as the price that a one party is willing to sell their promise for. Consideration is in effect the specific value of a party’s promise. This element of contract is also demonstrated in Dunlop Pneumatic Tyre Co</w:t>
      </w:r>
      <w:r w:rsidR="006C4CF1" w:rsidRPr="00794A18">
        <w:rPr>
          <w:rFonts w:ascii="Arial" w:hAnsi="Arial" w:cs="Arial"/>
          <w:sz w:val="24"/>
          <w:szCs w:val="24"/>
        </w:rPr>
        <w:t>.</w:t>
      </w:r>
      <w:r w:rsidRPr="00794A18">
        <w:rPr>
          <w:rFonts w:ascii="Arial" w:hAnsi="Arial" w:cs="Arial"/>
          <w:sz w:val="24"/>
          <w:szCs w:val="24"/>
        </w:rPr>
        <w:t xml:space="preserve"> Ltd</w:t>
      </w:r>
      <w:r w:rsidR="006C4CF1" w:rsidRPr="00794A18">
        <w:rPr>
          <w:rFonts w:ascii="Arial" w:hAnsi="Arial" w:cs="Arial"/>
          <w:sz w:val="24"/>
          <w:szCs w:val="24"/>
        </w:rPr>
        <w:t xml:space="preserve"> v Selfridge and Co. Ltd </w:t>
      </w:r>
      <w:r w:rsidR="000D0BCF" w:rsidRPr="00794A18">
        <w:rPr>
          <w:rFonts w:ascii="Arial" w:hAnsi="Arial" w:cs="Arial"/>
          <w:sz w:val="24"/>
          <w:szCs w:val="24"/>
        </w:rPr>
        <w:t>(</w:t>
      </w:r>
      <w:r w:rsidR="006C4CF1" w:rsidRPr="00794A18">
        <w:rPr>
          <w:rFonts w:ascii="Arial" w:hAnsi="Arial" w:cs="Arial"/>
          <w:sz w:val="24"/>
          <w:szCs w:val="24"/>
        </w:rPr>
        <w:t>19</w:t>
      </w:r>
      <w:r w:rsidR="000D0BCF" w:rsidRPr="00794A18">
        <w:rPr>
          <w:rFonts w:ascii="Arial" w:hAnsi="Arial" w:cs="Arial"/>
          <w:sz w:val="24"/>
          <w:szCs w:val="24"/>
        </w:rPr>
        <w:t>07)</w:t>
      </w:r>
      <w:r w:rsidR="006C4CF1" w:rsidRPr="00794A18">
        <w:rPr>
          <w:rFonts w:ascii="Arial" w:hAnsi="Arial" w:cs="Arial"/>
          <w:sz w:val="24"/>
          <w:szCs w:val="24"/>
        </w:rPr>
        <w:t xml:space="preserve">. </w:t>
      </w:r>
    </w:p>
    <w:p w14:paraId="757F3E94" w14:textId="25FCE765" w:rsidR="0068536E" w:rsidRPr="00794A18" w:rsidRDefault="00F0029C" w:rsidP="00ED7DCB">
      <w:pPr>
        <w:rPr>
          <w:rFonts w:ascii="Arial" w:hAnsi="Arial" w:cs="Arial"/>
          <w:sz w:val="24"/>
          <w:szCs w:val="24"/>
        </w:rPr>
      </w:pPr>
      <w:r w:rsidRPr="00794A18">
        <w:rPr>
          <w:rFonts w:ascii="Arial" w:hAnsi="Arial" w:cs="Arial"/>
          <w:sz w:val="24"/>
          <w:szCs w:val="24"/>
        </w:rPr>
        <w:t xml:space="preserve">The first element of consideration that must be examined within the timeline provided is that consideration must move from the promisee. This means that to enforce a contract, it must usually be shown that the party looking to enforce had provided consideration for that promise themselves. This is demonstrated in cases such as Tweddle v Atkinson </w:t>
      </w:r>
      <w:r w:rsidR="00E05206" w:rsidRPr="00794A18">
        <w:rPr>
          <w:rFonts w:ascii="Arial" w:hAnsi="Arial" w:cs="Arial"/>
          <w:sz w:val="24"/>
          <w:szCs w:val="24"/>
        </w:rPr>
        <w:t>(</w:t>
      </w:r>
      <w:r w:rsidRPr="00794A18">
        <w:rPr>
          <w:rFonts w:ascii="Arial" w:hAnsi="Arial" w:cs="Arial"/>
          <w:sz w:val="24"/>
          <w:szCs w:val="24"/>
        </w:rPr>
        <w:t>1861</w:t>
      </w:r>
      <w:r w:rsidR="00E05206" w:rsidRPr="00794A18">
        <w:rPr>
          <w:rFonts w:ascii="Arial" w:hAnsi="Arial" w:cs="Arial"/>
          <w:sz w:val="24"/>
          <w:szCs w:val="24"/>
        </w:rPr>
        <w:t>)</w:t>
      </w:r>
      <w:r w:rsidR="00CA3923" w:rsidRPr="00794A18">
        <w:rPr>
          <w:rFonts w:ascii="Arial" w:hAnsi="Arial" w:cs="Arial"/>
          <w:sz w:val="24"/>
          <w:szCs w:val="24"/>
        </w:rPr>
        <w:t xml:space="preserve">, in which a claimant attempted to enforce an agreement that he was not a part of, and did not offer consideration to, </w:t>
      </w:r>
      <w:r w:rsidR="00584665" w:rsidRPr="00794A18">
        <w:rPr>
          <w:rFonts w:ascii="Arial" w:hAnsi="Arial" w:cs="Arial"/>
          <w:sz w:val="24"/>
          <w:szCs w:val="24"/>
        </w:rPr>
        <w:t>and</w:t>
      </w:r>
      <w:r w:rsidR="00CA3923" w:rsidRPr="00794A18">
        <w:rPr>
          <w:rFonts w:ascii="Arial" w:hAnsi="Arial" w:cs="Arial"/>
          <w:sz w:val="24"/>
          <w:szCs w:val="24"/>
        </w:rPr>
        <w:t xml:space="preserve"> thus could not enforce, as well as the prior mentioned Dunlop Pneumatic Tyro Co. Ltd v Selfridge and Co. Ltd </w:t>
      </w:r>
      <w:r w:rsidR="000D0BCF" w:rsidRPr="00794A18">
        <w:rPr>
          <w:rFonts w:ascii="Arial" w:hAnsi="Arial" w:cs="Arial"/>
          <w:sz w:val="24"/>
          <w:szCs w:val="24"/>
        </w:rPr>
        <w:t>(</w:t>
      </w:r>
      <w:r w:rsidR="00CA3923" w:rsidRPr="00794A18">
        <w:rPr>
          <w:rFonts w:ascii="Arial" w:hAnsi="Arial" w:cs="Arial"/>
          <w:sz w:val="24"/>
          <w:szCs w:val="24"/>
        </w:rPr>
        <w:t>19</w:t>
      </w:r>
      <w:r w:rsidR="000D0BCF" w:rsidRPr="00794A18">
        <w:rPr>
          <w:rFonts w:ascii="Arial" w:hAnsi="Arial" w:cs="Arial"/>
          <w:sz w:val="24"/>
          <w:szCs w:val="24"/>
        </w:rPr>
        <w:t>07)</w:t>
      </w:r>
      <w:r w:rsidR="00CA3923" w:rsidRPr="00794A18">
        <w:rPr>
          <w:rFonts w:ascii="Arial" w:hAnsi="Arial" w:cs="Arial"/>
          <w:sz w:val="24"/>
          <w:szCs w:val="24"/>
        </w:rPr>
        <w:t xml:space="preserve">. </w:t>
      </w:r>
      <w:r w:rsidR="00584665" w:rsidRPr="00794A18">
        <w:rPr>
          <w:rFonts w:ascii="Arial" w:hAnsi="Arial" w:cs="Arial"/>
          <w:sz w:val="24"/>
          <w:szCs w:val="24"/>
        </w:rPr>
        <w:t>Consideration clearly had clearly been provided by the parties involved, as in your first meeting with Jane, you express the value you are willing to place upon your promise to allow tenancy</w:t>
      </w:r>
      <w:r w:rsidR="0068536E" w:rsidRPr="00794A18">
        <w:rPr>
          <w:rFonts w:ascii="Arial" w:hAnsi="Arial" w:cs="Arial"/>
          <w:sz w:val="24"/>
          <w:szCs w:val="24"/>
        </w:rPr>
        <w:t xml:space="preserve">. This later repeated in the email exchange. Consideration is also </w:t>
      </w:r>
      <w:r w:rsidR="006C76EB" w:rsidRPr="00794A18">
        <w:rPr>
          <w:rFonts w:ascii="Arial" w:hAnsi="Arial" w:cs="Arial"/>
          <w:sz w:val="24"/>
          <w:szCs w:val="24"/>
        </w:rPr>
        <w:t>undertaken by</w:t>
      </w:r>
      <w:r w:rsidR="0068536E" w:rsidRPr="00794A18">
        <w:rPr>
          <w:rFonts w:ascii="Arial" w:hAnsi="Arial" w:cs="Arial"/>
          <w:sz w:val="24"/>
          <w:szCs w:val="24"/>
        </w:rPr>
        <w:t xml:space="preserve"> jane, </w:t>
      </w:r>
      <w:r w:rsidR="00155B7E" w:rsidRPr="00794A18">
        <w:rPr>
          <w:rFonts w:ascii="Arial" w:hAnsi="Arial" w:cs="Arial"/>
          <w:sz w:val="24"/>
          <w:szCs w:val="24"/>
        </w:rPr>
        <w:t xml:space="preserve">by agreeing to these terms and sending the deposit. </w:t>
      </w:r>
    </w:p>
    <w:p w14:paraId="40933195" w14:textId="66BB2A52" w:rsidR="003A10FE" w:rsidRPr="00794A18" w:rsidRDefault="003A10FE" w:rsidP="00ED7DCB">
      <w:pPr>
        <w:rPr>
          <w:rFonts w:ascii="Arial" w:hAnsi="Arial" w:cs="Arial"/>
          <w:sz w:val="24"/>
          <w:szCs w:val="24"/>
        </w:rPr>
      </w:pPr>
      <w:r w:rsidRPr="00794A18">
        <w:rPr>
          <w:rFonts w:ascii="Arial" w:hAnsi="Arial" w:cs="Arial"/>
          <w:sz w:val="24"/>
          <w:szCs w:val="24"/>
        </w:rPr>
        <w:t xml:space="preserve">Consideration undertaken by parties must also have not taken place in the past. This is shown by cases such as Roscorla v Thomas </w:t>
      </w:r>
      <w:r w:rsidR="00E05206" w:rsidRPr="00794A18">
        <w:rPr>
          <w:rFonts w:ascii="Arial" w:hAnsi="Arial" w:cs="Arial"/>
          <w:sz w:val="24"/>
          <w:szCs w:val="24"/>
        </w:rPr>
        <w:t>(</w:t>
      </w:r>
      <w:r w:rsidRPr="00794A18">
        <w:rPr>
          <w:rFonts w:ascii="Arial" w:hAnsi="Arial" w:cs="Arial"/>
          <w:sz w:val="24"/>
          <w:szCs w:val="24"/>
        </w:rPr>
        <w:t>1842</w:t>
      </w:r>
      <w:r w:rsidR="00E05206" w:rsidRPr="00794A18">
        <w:rPr>
          <w:rFonts w:ascii="Arial" w:hAnsi="Arial" w:cs="Arial"/>
          <w:sz w:val="24"/>
          <w:szCs w:val="24"/>
        </w:rPr>
        <w:t>)</w:t>
      </w:r>
      <w:r w:rsidRPr="00794A18">
        <w:rPr>
          <w:rFonts w:ascii="Arial" w:hAnsi="Arial" w:cs="Arial"/>
          <w:sz w:val="24"/>
          <w:szCs w:val="24"/>
        </w:rPr>
        <w:t xml:space="preserve"> in which information provided after a sale was found to be untrue, however this was not considered a breach of contract as the contract had been made before this information had been mentioned, thus not making it subject to the contract. This is also seen in Re McArdle </w:t>
      </w:r>
      <w:r w:rsidR="00E05206" w:rsidRPr="00794A18">
        <w:rPr>
          <w:rFonts w:ascii="Arial" w:hAnsi="Arial" w:cs="Arial"/>
          <w:sz w:val="24"/>
          <w:szCs w:val="24"/>
        </w:rPr>
        <w:t>(</w:t>
      </w:r>
      <w:r w:rsidRPr="00794A18">
        <w:rPr>
          <w:rFonts w:ascii="Arial" w:hAnsi="Arial" w:cs="Arial"/>
          <w:sz w:val="24"/>
          <w:szCs w:val="24"/>
        </w:rPr>
        <w:t>1951</w:t>
      </w:r>
      <w:r w:rsidR="00E05206" w:rsidRPr="00794A18">
        <w:rPr>
          <w:rFonts w:ascii="Arial" w:hAnsi="Arial" w:cs="Arial"/>
          <w:sz w:val="24"/>
          <w:szCs w:val="24"/>
        </w:rPr>
        <w:t>)</w:t>
      </w:r>
      <w:r w:rsidRPr="00794A18">
        <w:rPr>
          <w:rFonts w:ascii="Arial" w:hAnsi="Arial" w:cs="Arial"/>
          <w:sz w:val="24"/>
          <w:szCs w:val="24"/>
        </w:rPr>
        <w:t xml:space="preserve"> concerning payment for </w:t>
      </w:r>
      <w:r w:rsidR="002B2293" w:rsidRPr="00794A18">
        <w:rPr>
          <w:rFonts w:ascii="Arial" w:hAnsi="Arial" w:cs="Arial"/>
          <w:sz w:val="24"/>
          <w:szCs w:val="24"/>
        </w:rPr>
        <w:t xml:space="preserve">house renovations that had already taken place prior to discussions of payment. Within your exchange with Jane, there does not seem to be any indication that considerations relate to any past </w:t>
      </w:r>
      <w:r w:rsidR="006C76EB" w:rsidRPr="00794A18">
        <w:rPr>
          <w:rFonts w:ascii="Arial" w:hAnsi="Arial" w:cs="Arial"/>
          <w:sz w:val="24"/>
          <w:szCs w:val="24"/>
        </w:rPr>
        <w:t>event but</w:t>
      </w:r>
      <w:r w:rsidR="002B2293" w:rsidRPr="00794A18">
        <w:rPr>
          <w:rFonts w:ascii="Arial" w:hAnsi="Arial" w:cs="Arial"/>
          <w:sz w:val="24"/>
          <w:szCs w:val="24"/>
        </w:rPr>
        <w:t xml:space="preserve"> are referring to executed considerations which are instantaneous acts, or executory considerations which are promises for future acts. </w:t>
      </w:r>
    </w:p>
    <w:p w14:paraId="776E1787" w14:textId="2D8CD19D" w:rsidR="006C76EB" w:rsidRPr="00794A18" w:rsidRDefault="006C76EB" w:rsidP="00ED7DCB">
      <w:pPr>
        <w:rPr>
          <w:rFonts w:ascii="Arial" w:hAnsi="Arial" w:cs="Arial"/>
          <w:sz w:val="24"/>
          <w:szCs w:val="24"/>
        </w:rPr>
      </w:pPr>
      <w:r w:rsidRPr="00794A18">
        <w:rPr>
          <w:rFonts w:ascii="Arial" w:hAnsi="Arial" w:cs="Arial"/>
          <w:sz w:val="24"/>
          <w:szCs w:val="24"/>
        </w:rPr>
        <w:lastRenderedPageBreak/>
        <w:t>There is no need that the consideration undertaken by parties be adequate, meaning they are of equal value to what is given in return.</w:t>
      </w:r>
      <w:r w:rsidR="001C7948" w:rsidRPr="00794A18">
        <w:rPr>
          <w:rFonts w:ascii="Arial" w:hAnsi="Arial" w:cs="Arial"/>
          <w:sz w:val="24"/>
          <w:szCs w:val="24"/>
        </w:rPr>
        <w:t xml:space="preserve"> This is demonstrated in Chappel &amp; Co v Nestle </w:t>
      </w:r>
      <w:r w:rsidR="00675907" w:rsidRPr="00794A18">
        <w:rPr>
          <w:rFonts w:ascii="Arial" w:hAnsi="Arial" w:cs="Arial"/>
          <w:sz w:val="24"/>
          <w:szCs w:val="24"/>
        </w:rPr>
        <w:t>(</w:t>
      </w:r>
      <w:r w:rsidR="001C7948" w:rsidRPr="00794A18">
        <w:rPr>
          <w:rFonts w:ascii="Arial" w:hAnsi="Arial" w:cs="Arial"/>
          <w:sz w:val="24"/>
          <w:szCs w:val="24"/>
        </w:rPr>
        <w:t>19</w:t>
      </w:r>
      <w:r w:rsidR="00675907" w:rsidRPr="00794A18">
        <w:rPr>
          <w:rFonts w:ascii="Arial" w:hAnsi="Arial" w:cs="Arial"/>
          <w:sz w:val="24"/>
          <w:szCs w:val="24"/>
        </w:rPr>
        <w:t>59)</w:t>
      </w:r>
      <w:r w:rsidR="001C7948" w:rsidRPr="00794A18">
        <w:rPr>
          <w:rFonts w:ascii="Arial" w:hAnsi="Arial" w:cs="Arial"/>
          <w:sz w:val="24"/>
          <w:szCs w:val="24"/>
        </w:rPr>
        <w:t xml:space="preserve"> in which it was decided that a return of chocolate wrappers could be considered part of a consideration, despite a lower value than cash. </w:t>
      </w:r>
      <w:r w:rsidR="00641BE4" w:rsidRPr="00794A18">
        <w:rPr>
          <w:rFonts w:ascii="Arial" w:hAnsi="Arial" w:cs="Arial"/>
          <w:sz w:val="24"/>
          <w:szCs w:val="24"/>
        </w:rPr>
        <w:t xml:space="preserve">While the value of the rental is subjective and is certainly lower than the value of the property, it seems clear that you provided a value at which you would be happy to trade the promise to allow tenancy within your property, making this consideration adequate. </w:t>
      </w:r>
    </w:p>
    <w:p w14:paraId="61404441" w14:textId="5C360507" w:rsidR="00641BE4" w:rsidRPr="00794A18" w:rsidRDefault="00641BE4" w:rsidP="00ED7DCB">
      <w:pPr>
        <w:rPr>
          <w:rFonts w:ascii="Arial" w:hAnsi="Arial" w:cs="Arial"/>
          <w:sz w:val="24"/>
          <w:szCs w:val="24"/>
        </w:rPr>
      </w:pPr>
      <w:r w:rsidRPr="00794A18">
        <w:rPr>
          <w:rFonts w:ascii="Arial" w:hAnsi="Arial" w:cs="Arial"/>
          <w:sz w:val="24"/>
          <w:szCs w:val="24"/>
        </w:rPr>
        <w:t xml:space="preserve">Finally, consideration must be sufficient, meaning there must be some benefit or detriment to the promisor or promisee. In your exchange with Jane, both her and yourself agree to take on a benefit or detriment as part of your promise to each other, in your case, being that the property would become occupied by a tenant, making it subject to laws around landlords and tenancy, as well as taking on some risk of property damage or devaluation, while Jane has provided monetary compensation for this in the form of the deposit, as well as making an executory consideration to continue to pay rent. This situation is mirrored by Thomas v Thomas </w:t>
      </w:r>
      <w:r w:rsidR="00675907" w:rsidRPr="00794A18">
        <w:rPr>
          <w:rFonts w:ascii="Arial" w:hAnsi="Arial" w:cs="Arial"/>
          <w:sz w:val="24"/>
          <w:szCs w:val="24"/>
        </w:rPr>
        <w:t>(</w:t>
      </w:r>
      <w:r w:rsidRPr="00794A18">
        <w:rPr>
          <w:rFonts w:ascii="Arial" w:hAnsi="Arial" w:cs="Arial"/>
          <w:sz w:val="24"/>
          <w:szCs w:val="24"/>
        </w:rPr>
        <w:t>1842</w:t>
      </w:r>
      <w:r w:rsidR="00675907" w:rsidRPr="00794A18">
        <w:rPr>
          <w:rFonts w:ascii="Arial" w:hAnsi="Arial" w:cs="Arial"/>
          <w:sz w:val="24"/>
          <w:szCs w:val="24"/>
        </w:rPr>
        <w:t>)</w:t>
      </w:r>
      <w:r w:rsidR="00CB1B9C" w:rsidRPr="00794A18">
        <w:rPr>
          <w:rFonts w:ascii="Arial" w:hAnsi="Arial" w:cs="Arial"/>
          <w:sz w:val="24"/>
          <w:szCs w:val="24"/>
        </w:rPr>
        <w:t xml:space="preserve">, which concerned an offer to pay rent and keep a property in good repair and decided it to be good consideration. It also made clear that consideration must be of some value in law. This shows that Jane’s willingness to undertake a monetary loss, as well as your willingness to hand over the right to occupy the property to a tenant as being good consideration, as both have value in law. </w:t>
      </w:r>
    </w:p>
    <w:p w14:paraId="11A2E14E" w14:textId="395EF52E" w:rsidR="00CB1B9C" w:rsidRPr="00794A18" w:rsidRDefault="00CB1B9C" w:rsidP="00ED7DCB">
      <w:pPr>
        <w:rPr>
          <w:rFonts w:ascii="Arial" w:hAnsi="Arial" w:cs="Arial"/>
          <w:sz w:val="24"/>
          <w:szCs w:val="24"/>
        </w:rPr>
      </w:pPr>
      <w:r w:rsidRPr="00794A18">
        <w:rPr>
          <w:rFonts w:ascii="Arial" w:hAnsi="Arial" w:cs="Arial"/>
          <w:sz w:val="24"/>
          <w:szCs w:val="24"/>
        </w:rPr>
        <w:t xml:space="preserve">Finally, it is necessary to establish if yourself and jane had intention to create legal relations </w:t>
      </w:r>
      <w:proofErr w:type="gramStart"/>
      <w:r w:rsidRPr="00794A18">
        <w:rPr>
          <w:rFonts w:ascii="Arial" w:hAnsi="Arial" w:cs="Arial"/>
          <w:sz w:val="24"/>
          <w:szCs w:val="24"/>
        </w:rPr>
        <w:t>in regard to</w:t>
      </w:r>
      <w:proofErr w:type="gramEnd"/>
      <w:r w:rsidRPr="00794A18">
        <w:rPr>
          <w:rFonts w:ascii="Arial" w:hAnsi="Arial" w:cs="Arial"/>
          <w:sz w:val="24"/>
          <w:szCs w:val="24"/>
        </w:rPr>
        <w:t xml:space="preserve"> this matter. Under the law of England and Wales, commercial and business agreements are generally assumed to be legally binding and thus show intent to create legal relations, due to the need for certainty and clarity within them. </w:t>
      </w:r>
      <w:r w:rsidR="00F72283" w:rsidRPr="00794A18">
        <w:rPr>
          <w:rFonts w:ascii="Arial" w:hAnsi="Arial" w:cs="Arial"/>
          <w:sz w:val="24"/>
          <w:szCs w:val="24"/>
        </w:rPr>
        <w:t xml:space="preserve">Intent to create legal relations is clearly shown in Bowerman v Association of British Travel Agents Ltd </w:t>
      </w:r>
      <w:r w:rsidR="00675907" w:rsidRPr="00794A18">
        <w:rPr>
          <w:rFonts w:ascii="Arial" w:hAnsi="Arial" w:cs="Arial"/>
          <w:sz w:val="24"/>
          <w:szCs w:val="24"/>
        </w:rPr>
        <w:t>(</w:t>
      </w:r>
      <w:r w:rsidR="00F72283" w:rsidRPr="00794A18">
        <w:rPr>
          <w:rFonts w:ascii="Arial" w:hAnsi="Arial" w:cs="Arial"/>
          <w:sz w:val="24"/>
          <w:szCs w:val="24"/>
        </w:rPr>
        <w:t>199</w:t>
      </w:r>
      <w:r w:rsidR="00675907" w:rsidRPr="00794A18">
        <w:rPr>
          <w:rFonts w:ascii="Arial" w:hAnsi="Arial" w:cs="Arial"/>
          <w:sz w:val="24"/>
          <w:szCs w:val="24"/>
        </w:rPr>
        <w:t>5)</w:t>
      </w:r>
      <w:r w:rsidR="00F72283" w:rsidRPr="00794A18">
        <w:rPr>
          <w:rFonts w:ascii="Arial" w:hAnsi="Arial" w:cs="Arial"/>
          <w:sz w:val="24"/>
          <w:szCs w:val="24"/>
        </w:rPr>
        <w:t xml:space="preserve"> in which it was argued there could be no intent to create legal relations in regards to the return of the cost of insurance as the right to refund contained within the contract was vague, however the court had decided that the terms would reasonably be read by consumers to be an offer to refund other offered services such as insurance and thus showed an intent to create a legal relationship. It is almost certain, that from your interactions with Jane, there is an intent to create legal relations as from your first meeting, there are indications through offers to treat, which are later confirmed by yourself to be full offers which may be accepted or declined by the other party</w:t>
      </w:r>
      <w:r w:rsidR="00CA3D89" w:rsidRPr="00794A18">
        <w:rPr>
          <w:rFonts w:ascii="Arial" w:hAnsi="Arial" w:cs="Arial"/>
          <w:sz w:val="24"/>
          <w:szCs w:val="24"/>
        </w:rPr>
        <w:t xml:space="preserve">, which were accepted by Jane both in writing and through her actions via providing you with the deposit payment. </w:t>
      </w:r>
    </w:p>
    <w:p w14:paraId="5E7AEEC6" w14:textId="0AEC961F" w:rsidR="00CA3D89" w:rsidRPr="00794A18" w:rsidRDefault="00CA3D89" w:rsidP="00ED7DCB">
      <w:pPr>
        <w:rPr>
          <w:rFonts w:ascii="Arial" w:hAnsi="Arial" w:cs="Arial"/>
          <w:sz w:val="24"/>
          <w:szCs w:val="24"/>
        </w:rPr>
      </w:pPr>
      <w:r w:rsidRPr="00794A18">
        <w:rPr>
          <w:rFonts w:ascii="Arial" w:hAnsi="Arial" w:cs="Arial"/>
          <w:sz w:val="24"/>
          <w:szCs w:val="24"/>
        </w:rPr>
        <w:t xml:space="preserve">While it is important to mention that an offer may be retracted, it is unlikely to apply, as you had already agreed to the terms and accepted the deposit, as had Jane, effectively completing her obligations at the time of agreement which was before the point at which you revoked your offer </w:t>
      </w:r>
    </w:p>
    <w:p w14:paraId="71FC6F2C" w14:textId="1969BE47" w:rsidR="00C23A20" w:rsidRPr="00794A18" w:rsidRDefault="00CA3D89" w:rsidP="00ED7DCB">
      <w:pPr>
        <w:rPr>
          <w:rFonts w:ascii="Arial" w:hAnsi="Arial" w:cs="Arial"/>
          <w:sz w:val="24"/>
          <w:szCs w:val="24"/>
        </w:rPr>
      </w:pPr>
      <w:r w:rsidRPr="00794A18">
        <w:rPr>
          <w:rFonts w:ascii="Arial" w:hAnsi="Arial" w:cs="Arial"/>
          <w:sz w:val="24"/>
          <w:szCs w:val="24"/>
        </w:rPr>
        <w:t xml:space="preserve">In conclusion, it is likely that yourself and Jane had entered a binding agreement with one another as an offer had been made, with no counter offers, rejection, or revocation before the time of agreement, all considerations made were valid in their nature and there was a clear intent to create legal relations through the creation of an agreement. </w:t>
      </w:r>
    </w:p>
    <w:p w14:paraId="3BA10BA4" w14:textId="14D2B1D2" w:rsidR="00155B7E" w:rsidRPr="00794A18" w:rsidRDefault="008E28B5" w:rsidP="00ED7DCB">
      <w:pPr>
        <w:rPr>
          <w:rFonts w:ascii="Arial" w:hAnsi="Arial" w:cs="Arial"/>
          <w:sz w:val="24"/>
          <w:szCs w:val="24"/>
          <w:u w:val="single"/>
        </w:rPr>
      </w:pPr>
      <w:r w:rsidRPr="00794A18">
        <w:rPr>
          <w:rFonts w:ascii="Arial" w:hAnsi="Arial" w:cs="Arial"/>
          <w:sz w:val="24"/>
          <w:szCs w:val="24"/>
          <w:u w:val="single"/>
        </w:rPr>
        <w:lastRenderedPageBreak/>
        <w:t>References:</w:t>
      </w:r>
    </w:p>
    <w:p w14:paraId="221F0CB2" w14:textId="7D2CA81B" w:rsidR="00675907" w:rsidRPr="00794A18" w:rsidRDefault="00675907" w:rsidP="00ED7DCB">
      <w:pPr>
        <w:rPr>
          <w:rFonts w:ascii="Arial" w:hAnsi="Arial" w:cs="Arial"/>
          <w:sz w:val="24"/>
          <w:szCs w:val="24"/>
        </w:rPr>
      </w:pPr>
      <w:r w:rsidRPr="00794A18">
        <w:rPr>
          <w:rFonts w:ascii="Arial" w:hAnsi="Arial" w:cs="Arial"/>
          <w:sz w:val="24"/>
          <w:szCs w:val="24"/>
        </w:rPr>
        <w:t>‘Bowerman v Association of British Travel Agents Ltd’ (1995) Times, 24 November</w:t>
      </w:r>
    </w:p>
    <w:p w14:paraId="633AD2F3" w14:textId="51BD95C2" w:rsidR="00675907" w:rsidRPr="00794A18" w:rsidRDefault="00675907" w:rsidP="00ED7DCB">
      <w:pPr>
        <w:rPr>
          <w:rFonts w:ascii="Arial" w:hAnsi="Arial" w:cs="Arial"/>
          <w:sz w:val="24"/>
          <w:szCs w:val="24"/>
        </w:rPr>
      </w:pPr>
      <w:r w:rsidRPr="00794A18">
        <w:rPr>
          <w:rFonts w:ascii="Arial" w:hAnsi="Arial" w:cs="Arial"/>
          <w:sz w:val="24"/>
          <w:szCs w:val="24"/>
        </w:rPr>
        <w:t>‘</w:t>
      </w:r>
      <w:proofErr w:type="spellStart"/>
      <w:r w:rsidRPr="00794A18">
        <w:rPr>
          <w:rFonts w:ascii="Arial" w:hAnsi="Arial" w:cs="Arial"/>
          <w:sz w:val="24"/>
          <w:szCs w:val="24"/>
        </w:rPr>
        <w:t>Brinkibon</w:t>
      </w:r>
      <w:proofErr w:type="spellEnd"/>
      <w:r w:rsidRPr="00794A18">
        <w:rPr>
          <w:rFonts w:ascii="Arial" w:hAnsi="Arial" w:cs="Arial"/>
          <w:sz w:val="24"/>
          <w:szCs w:val="24"/>
        </w:rPr>
        <w:t xml:space="preserve"> v </w:t>
      </w:r>
      <w:proofErr w:type="spellStart"/>
      <w:r w:rsidRPr="00794A18">
        <w:rPr>
          <w:rFonts w:ascii="Arial" w:hAnsi="Arial" w:cs="Arial"/>
          <w:sz w:val="24"/>
          <w:szCs w:val="24"/>
        </w:rPr>
        <w:t>Stahag</w:t>
      </w:r>
      <w:proofErr w:type="spellEnd"/>
      <w:r w:rsidRPr="00794A18">
        <w:rPr>
          <w:rFonts w:ascii="Arial" w:hAnsi="Arial" w:cs="Arial"/>
          <w:sz w:val="24"/>
          <w:szCs w:val="24"/>
        </w:rPr>
        <w:t xml:space="preserve"> Stahl’ (1983) WLR 264, 2</w:t>
      </w:r>
    </w:p>
    <w:p w14:paraId="0143DEF6" w14:textId="1410FEE2" w:rsidR="00675907" w:rsidRPr="00794A18" w:rsidRDefault="00675907" w:rsidP="00ED7DCB">
      <w:pPr>
        <w:rPr>
          <w:rFonts w:ascii="Arial" w:hAnsi="Arial" w:cs="Arial"/>
          <w:sz w:val="24"/>
          <w:szCs w:val="24"/>
        </w:rPr>
      </w:pPr>
      <w:r w:rsidRPr="00794A18">
        <w:rPr>
          <w:rFonts w:ascii="Arial" w:hAnsi="Arial" w:cs="Arial"/>
          <w:sz w:val="24"/>
          <w:szCs w:val="24"/>
        </w:rPr>
        <w:t>‘Brogden v Metropolitan Railway Co.’ (1877) App Cas 666, 2</w:t>
      </w:r>
    </w:p>
    <w:p w14:paraId="1781F561" w14:textId="30E60DDA" w:rsidR="006B3EA9" w:rsidRPr="00794A18" w:rsidRDefault="006B3EA9" w:rsidP="00ED7DCB">
      <w:pPr>
        <w:rPr>
          <w:rFonts w:ascii="Arial" w:hAnsi="Arial" w:cs="Arial"/>
          <w:sz w:val="24"/>
          <w:szCs w:val="24"/>
        </w:rPr>
      </w:pPr>
      <w:r w:rsidRPr="00794A18">
        <w:rPr>
          <w:rFonts w:ascii="Arial" w:hAnsi="Arial" w:cs="Arial"/>
          <w:sz w:val="24"/>
          <w:szCs w:val="24"/>
        </w:rPr>
        <w:t>‘Butler Machine Tool Co. Ltd v Ex-Cell-O corporation (England) Ltd’ (1979) WLR 401</w:t>
      </w:r>
      <w:r w:rsidR="006820E4" w:rsidRPr="00794A18">
        <w:rPr>
          <w:rFonts w:ascii="Arial" w:hAnsi="Arial" w:cs="Arial"/>
          <w:sz w:val="24"/>
          <w:szCs w:val="24"/>
        </w:rPr>
        <w:t>, 1</w:t>
      </w:r>
    </w:p>
    <w:p w14:paraId="7F137FE4" w14:textId="7E1DFE25" w:rsidR="00675907" w:rsidRPr="00794A18" w:rsidRDefault="00675907" w:rsidP="00ED7DCB">
      <w:pPr>
        <w:rPr>
          <w:rFonts w:ascii="Arial" w:hAnsi="Arial" w:cs="Arial"/>
          <w:sz w:val="24"/>
          <w:szCs w:val="24"/>
        </w:rPr>
      </w:pPr>
      <w:r w:rsidRPr="00794A18">
        <w:rPr>
          <w:rFonts w:ascii="Arial" w:hAnsi="Arial" w:cs="Arial"/>
          <w:sz w:val="24"/>
          <w:szCs w:val="24"/>
        </w:rPr>
        <w:t>‘Chappel &amp; Co v Nestle’ (1959) WLR 168, 3</w:t>
      </w:r>
    </w:p>
    <w:p w14:paraId="43D95D17" w14:textId="77777777" w:rsidR="00675907" w:rsidRPr="00794A18" w:rsidRDefault="00675907" w:rsidP="00675907">
      <w:pPr>
        <w:rPr>
          <w:rFonts w:ascii="Arial" w:hAnsi="Arial" w:cs="Arial"/>
          <w:sz w:val="24"/>
          <w:szCs w:val="24"/>
        </w:rPr>
      </w:pPr>
      <w:r w:rsidRPr="00794A18">
        <w:rPr>
          <w:rFonts w:ascii="Arial" w:hAnsi="Arial" w:cs="Arial"/>
          <w:sz w:val="24"/>
          <w:szCs w:val="24"/>
        </w:rPr>
        <w:t>‘Currie v Misa’ (1875) LR, 10, Exch 153</w:t>
      </w:r>
    </w:p>
    <w:p w14:paraId="5E42F0ED" w14:textId="77777777" w:rsidR="00675907" w:rsidRPr="00794A18" w:rsidRDefault="00675907" w:rsidP="00675907">
      <w:pPr>
        <w:rPr>
          <w:rFonts w:ascii="Arial" w:hAnsi="Arial" w:cs="Arial"/>
          <w:sz w:val="24"/>
          <w:szCs w:val="24"/>
        </w:rPr>
      </w:pPr>
      <w:r w:rsidRPr="00794A18">
        <w:rPr>
          <w:rFonts w:ascii="Arial" w:hAnsi="Arial" w:cs="Arial"/>
          <w:sz w:val="24"/>
          <w:szCs w:val="24"/>
        </w:rPr>
        <w:t>‘Dunlop Pneumatic Tyre Co. Ltd v Selfridge and Co. Ltd’ (1907) AC 430</w:t>
      </w:r>
    </w:p>
    <w:p w14:paraId="2B99BC4B" w14:textId="6D12A3BF" w:rsidR="00675907" w:rsidRPr="00794A18" w:rsidRDefault="00675907" w:rsidP="00ED7DCB">
      <w:pPr>
        <w:rPr>
          <w:rFonts w:ascii="Arial" w:hAnsi="Arial" w:cs="Arial"/>
          <w:sz w:val="24"/>
          <w:szCs w:val="24"/>
        </w:rPr>
      </w:pPr>
      <w:r w:rsidRPr="00794A18">
        <w:rPr>
          <w:rFonts w:ascii="Arial" w:hAnsi="Arial" w:cs="Arial"/>
          <w:sz w:val="24"/>
          <w:szCs w:val="24"/>
        </w:rPr>
        <w:t>‘Entores v Miles Far East Corporation’ (1955) WLR 48, 3</w:t>
      </w:r>
    </w:p>
    <w:p w14:paraId="25ECDD9C" w14:textId="353A0E9E" w:rsidR="00675907" w:rsidRPr="00794A18" w:rsidRDefault="00675907" w:rsidP="00ED7DCB">
      <w:pPr>
        <w:rPr>
          <w:rFonts w:ascii="Arial" w:hAnsi="Arial" w:cs="Arial"/>
          <w:sz w:val="24"/>
          <w:szCs w:val="24"/>
        </w:rPr>
      </w:pPr>
      <w:r w:rsidRPr="00794A18">
        <w:rPr>
          <w:rFonts w:ascii="Arial" w:hAnsi="Arial" w:cs="Arial"/>
          <w:sz w:val="24"/>
          <w:szCs w:val="24"/>
        </w:rPr>
        <w:t>‘Fisher v Bell’ (1961) WLR 919, 3</w:t>
      </w:r>
    </w:p>
    <w:p w14:paraId="6C8B8805" w14:textId="05FDE366" w:rsidR="008E28B5" w:rsidRPr="00794A18" w:rsidRDefault="008E28B5" w:rsidP="00ED7DCB">
      <w:pPr>
        <w:rPr>
          <w:rFonts w:ascii="Arial" w:hAnsi="Arial" w:cs="Arial"/>
          <w:sz w:val="24"/>
          <w:szCs w:val="24"/>
        </w:rPr>
      </w:pPr>
      <w:r w:rsidRPr="00794A18">
        <w:rPr>
          <w:rFonts w:ascii="Arial" w:hAnsi="Arial" w:cs="Arial"/>
          <w:sz w:val="24"/>
          <w:szCs w:val="24"/>
        </w:rPr>
        <w:t>‘</w:t>
      </w:r>
      <w:r w:rsidRPr="00794A18">
        <w:rPr>
          <w:rFonts w:ascii="Arial" w:hAnsi="Arial" w:cs="Arial"/>
          <w:sz w:val="24"/>
          <w:szCs w:val="24"/>
        </w:rPr>
        <w:t>Gibson v Manchester City Council</w:t>
      </w:r>
      <w:r w:rsidRPr="00794A18">
        <w:rPr>
          <w:rFonts w:ascii="Arial" w:hAnsi="Arial" w:cs="Arial"/>
          <w:sz w:val="24"/>
          <w:szCs w:val="24"/>
        </w:rPr>
        <w:t>’</w:t>
      </w:r>
      <w:r w:rsidRPr="00794A18">
        <w:rPr>
          <w:rFonts w:ascii="Arial" w:hAnsi="Arial" w:cs="Arial"/>
          <w:sz w:val="24"/>
          <w:szCs w:val="24"/>
        </w:rPr>
        <w:t xml:space="preserve"> (1978)</w:t>
      </w:r>
      <w:r w:rsidRPr="00794A18">
        <w:rPr>
          <w:rFonts w:ascii="Arial" w:hAnsi="Arial" w:cs="Arial"/>
          <w:sz w:val="24"/>
          <w:szCs w:val="24"/>
        </w:rPr>
        <w:t xml:space="preserve"> WLR 294</w:t>
      </w:r>
      <w:r w:rsidR="006820E4" w:rsidRPr="00794A18">
        <w:rPr>
          <w:rFonts w:ascii="Arial" w:hAnsi="Arial" w:cs="Arial"/>
          <w:sz w:val="24"/>
          <w:szCs w:val="24"/>
        </w:rPr>
        <w:t>, 1</w:t>
      </w:r>
    </w:p>
    <w:p w14:paraId="35AE750A" w14:textId="00CCCB6A" w:rsidR="00675907" w:rsidRPr="00794A18" w:rsidRDefault="00675907" w:rsidP="00ED7DCB">
      <w:pPr>
        <w:rPr>
          <w:rFonts w:ascii="Arial" w:hAnsi="Arial" w:cs="Arial"/>
          <w:sz w:val="24"/>
          <w:szCs w:val="24"/>
        </w:rPr>
      </w:pPr>
      <w:r w:rsidRPr="00794A18">
        <w:rPr>
          <w:rFonts w:ascii="Arial" w:hAnsi="Arial" w:cs="Arial"/>
          <w:sz w:val="24"/>
          <w:szCs w:val="24"/>
        </w:rPr>
        <w:t xml:space="preserve">‘Hyde v Wrench’ (1840) </w:t>
      </w:r>
      <w:proofErr w:type="spellStart"/>
      <w:r w:rsidRPr="00794A18">
        <w:rPr>
          <w:rFonts w:ascii="Arial" w:hAnsi="Arial" w:cs="Arial"/>
          <w:sz w:val="24"/>
          <w:szCs w:val="24"/>
        </w:rPr>
        <w:t>Beav</w:t>
      </w:r>
      <w:proofErr w:type="spellEnd"/>
      <w:r w:rsidRPr="00794A18">
        <w:rPr>
          <w:rFonts w:ascii="Arial" w:hAnsi="Arial" w:cs="Arial"/>
          <w:sz w:val="24"/>
          <w:szCs w:val="24"/>
        </w:rPr>
        <w:t xml:space="preserve"> 334, 3</w:t>
      </w:r>
    </w:p>
    <w:p w14:paraId="305B97FE" w14:textId="3EF49EBE" w:rsidR="008E28B5" w:rsidRPr="00794A18" w:rsidRDefault="006B3EA9" w:rsidP="00ED7DCB">
      <w:pPr>
        <w:rPr>
          <w:rFonts w:ascii="Arial" w:hAnsi="Arial" w:cs="Arial"/>
          <w:sz w:val="24"/>
          <w:szCs w:val="24"/>
        </w:rPr>
      </w:pPr>
      <w:r w:rsidRPr="00794A18">
        <w:rPr>
          <w:rFonts w:ascii="Arial" w:hAnsi="Arial" w:cs="Arial"/>
          <w:sz w:val="24"/>
          <w:szCs w:val="24"/>
        </w:rPr>
        <w:t>‘</w:t>
      </w:r>
      <w:r w:rsidRPr="00794A18">
        <w:rPr>
          <w:rFonts w:ascii="Arial" w:hAnsi="Arial" w:cs="Arial"/>
          <w:sz w:val="24"/>
          <w:szCs w:val="24"/>
        </w:rPr>
        <w:t>Partridge v Crittenden</w:t>
      </w:r>
      <w:r w:rsidRPr="00794A18">
        <w:rPr>
          <w:rFonts w:ascii="Arial" w:hAnsi="Arial" w:cs="Arial"/>
          <w:sz w:val="24"/>
          <w:szCs w:val="24"/>
        </w:rPr>
        <w:t>’</w:t>
      </w:r>
      <w:r w:rsidRPr="00794A18">
        <w:rPr>
          <w:rFonts w:ascii="Arial" w:hAnsi="Arial" w:cs="Arial"/>
          <w:sz w:val="24"/>
          <w:szCs w:val="24"/>
        </w:rPr>
        <w:t xml:space="preserve"> (1968)</w:t>
      </w:r>
      <w:r w:rsidR="006820E4" w:rsidRPr="00794A18">
        <w:rPr>
          <w:rFonts w:ascii="Arial" w:hAnsi="Arial" w:cs="Arial"/>
          <w:sz w:val="24"/>
          <w:szCs w:val="24"/>
        </w:rPr>
        <w:t xml:space="preserve"> </w:t>
      </w:r>
      <w:r w:rsidR="00333C04" w:rsidRPr="00794A18">
        <w:rPr>
          <w:rFonts w:ascii="Arial" w:hAnsi="Arial" w:cs="Arial"/>
          <w:sz w:val="24"/>
          <w:szCs w:val="24"/>
        </w:rPr>
        <w:t>WLR 1204</w:t>
      </w:r>
      <w:r w:rsidR="006820E4" w:rsidRPr="00794A18">
        <w:rPr>
          <w:rFonts w:ascii="Arial" w:hAnsi="Arial" w:cs="Arial"/>
          <w:sz w:val="24"/>
          <w:szCs w:val="24"/>
        </w:rPr>
        <w:t>, 1</w:t>
      </w:r>
    </w:p>
    <w:p w14:paraId="678CBBA1" w14:textId="518791DB" w:rsidR="006820E4" w:rsidRPr="00794A18" w:rsidRDefault="006820E4" w:rsidP="00ED7DCB">
      <w:pPr>
        <w:rPr>
          <w:rFonts w:ascii="Arial" w:hAnsi="Arial" w:cs="Arial"/>
          <w:sz w:val="24"/>
          <w:szCs w:val="24"/>
        </w:rPr>
      </w:pPr>
      <w:r w:rsidRPr="00794A18">
        <w:rPr>
          <w:rFonts w:ascii="Arial" w:hAnsi="Arial" w:cs="Arial"/>
          <w:sz w:val="24"/>
          <w:szCs w:val="24"/>
        </w:rPr>
        <w:t>‘</w:t>
      </w:r>
      <w:r w:rsidRPr="00794A18">
        <w:rPr>
          <w:rFonts w:ascii="Arial" w:hAnsi="Arial" w:cs="Arial"/>
          <w:sz w:val="24"/>
          <w:szCs w:val="24"/>
        </w:rPr>
        <w:t>Pharmaceutical society of Great Britain v Boots Cash Chemists (Southern) Ltd</w:t>
      </w:r>
      <w:r w:rsidRPr="00794A18">
        <w:rPr>
          <w:rFonts w:ascii="Arial" w:hAnsi="Arial" w:cs="Arial"/>
          <w:sz w:val="24"/>
          <w:szCs w:val="24"/>
        </w:rPr>
        <w:t>’</w:t>
      </w:r>
      <w:r w:rsidRPr="00794A18">
        <w:rPr>
          <w:rFonts w:ascii="Arial" w:hAnsi="Arial" w:cs="Arial"/>
          <w:sz w:val="24"/>
          <w:szCs w:val="24"/>
        </w:rPr>
        <w:t xml:space="preserve"> (1952)</w:t>
      </w:r>
      <w:r w:rsidRPr="00794A18">
        <w:rPr>
          <w:rFonts w:ascii="Arial" w:hAnsi="Arial" w:cs="Arial"/>
          <w:sz w:val="24"/>
          <w:szCs w:val="24"/>
        </w:rPr>
        <w:t xml:space="preserve"> WLR 427, 2</w:t>
      </w:r>
    </w:p>
    <w:p w14:paraId="5F9758F6" w14:textId="77777777" w:rsidR="00C23A20" w:rsidRPr="00794A18" w:rsidRDefault="00C23A20" w:rsidP="00C23A20">
      <w:pPr>
        <w:rPr>
          <w:rFonts w:ascii="Arial" w:hAnsi="Arial" w:cs="Arial"/>
          <w:sz w:val="24"/>
          <w:szCs w:val="24"/>
        </w:rPr>
      </w:pPr>
      <w:proofErr w:type="spellStart"/>
      <w:r w:rsidRPr="00794A18">
        <w:rPr>
          <w:rFonts w:ascii="Arial" w:hAnsi="Arial" w:cs="Arial"/>
          <w:sz w:val="24"/>
          <w:szCs w:val="24"/>
        </w:rPr>
        <w:t>‘Re</w:t>
      </w:r>
      <w:proofErr w:type="spellEnd"/>
      <w:r w:rsidRPr="00794A18">
        <w:rPr>
          <w:rFonts w:ascii="Arial" w:hAnsi="Arial" w:cs="Arial"/>
          <w:sz w:val="24"/>
          <w:szCs w:val="24"/>
        </w:rPr>
        <w:t xml:space="preserve"> McArdle’ (1951) Ch 669</w:t>
      </w:r>
    </w:p>
    <w:p w14:paraId="277C1DFE" w14:textId="43EECC67" w:rsidR="00C23A20" w:rsidRPr="00794A18" w:rsidRDefault="00C23A20" w:rsidP="00ED7DCB">
      <w:pPr>
        <w:rPr>
          <w:rFonts w:ascii="Arial" w:hAnsi="Arial" w:cs="Arial"/>
          <w:sz w:val="24"/>
          <w:szCs w:val="24"/>
        </w:rPr>
      </w:pPr>
      <w:r w:rsidRPr="00794A18">
        <w:rPr>
          <w:rFonts w:ascii="Arial" w:hAnsi="Arial" w:cs="Arial"/>
          <w:sz w:val="24"/>
          <w:szCs w:val="24"/>
        </w:rPr>
        <w:t>‘Roscorla v Thomas’ (1842) QB 234, 3</w:t>
      </w:r>
    </w:p>
    <w:p w14:paraId="2953E8E9" w14:textId="467B623E" w:rsidR="006820E4" w:rsidRPr="00794A18" w:rsidRDefault="006820E4" w:rsidP="00ED7DCB">
      <w:pPr>
        <w:rPr>
          <w:rFonts w:ascii="Arial" w:hAnsi="Arial" w:cs="Arial"/>
          <w:sz w:val="24"/>
          <w:szCs w:val="24"/>
        </w:rPr>
      </w:pPr>
      <w:r w:rsidRPr="00794A18">
        <w:rPr>
          <w:rFonts w:ascii="Arial" w:hAnsi="Arial" w:cs="Arial"/>
          <w:sz w:val="24"/>
          <w:szCs w:val="24"/>
        </w:rPr>
        <w:t>‘</w:t>
      </w:r>
      <w:r w:rsidRPr="00794A18">
        <w:rPr>
          <w:rFonts w:ascii="Arial" w:hAnsi="Arial" w:cs="Arial"/>
          <w:sz w:val="24"/>
          <w:szCs w:val="24"/>
        </w:rPr>
        <w:t>Spencer v Harding</w:t>
      </w:r>
      <w:r w:rsidRPr="00794A18">
        <w:rPr>
          <w:rFonts w:ascii="Arial" w:hAnsi="Arial" w:cs="Arial"/>
          <w:sz w:val="24"/>
          <w:szCs w:val="24"/>
        </w:rPr>
        <w:t>’</w:t>
      </w:r>
      <w:r w:rsidRPr="00794A18">
        <w:rPr>
          <w:rFonts w:ascii="Arial" w:hAnsi="Arial" w:cs="Arial"/>
          <w:sz w:val="24"/>
          <w:szCs w:val="24"/>
        </w:rPr>
        <w:t xml:space="preserve"> (1870)</w:t>
      </w:r>
      <w:r w:rsidRPr="00794A18">
        <w:rPr>
          <w:rFonts w:ascii="Arial" w:hAnsi="Arial" w:cs="Arial"/>
          <w:sz w:val="24"/>
          <w:szCs w:val="24"/>
        </w:rPr>
        <w:t xml:space="preserve"> LR, 5, CP 561</w:t>
      </w:r>
    </w:p>
    <w:p w14:paraId="2DEBE02C" w14:textId="26DA5A39" w:rsidR="00C23A20" w:rsidRPr="00794A18" w:rsidRDefault="00C23A20" w:rsidP="00ED7DCB">
      <w:pPr>
        <w:rPr>
          <w:rFonts w:ascii="Arial" w:hAnsi="Arial" w:cs="Arial"/>
          <w:sz w:val="24"/>
          <w:szCs w:val="24"/>
        </w:rPr>
      </w:pPr>
      <w:r w:rsidRPr="00794A18">
        <w:rPr>
          <w:rFonts w:ascii="Arial" w:hAnsi="Arial" w:cs="Arial"/>
          <w:sz w:val="24"/>
          <w:szCs w:val="24"/>
        </w:rPr>
        <w:t>‘</w:t>
      </w:r>
      <w:proofErr w:type="gramStart"/>
      <w:r w:rsidRPr="00794A18">
        <w:rPr>
          <w:rFonts w:ascii="Arial" w:hAnsi="Arial" w:cs="Arial"/>
          <w:sz w:val="24"/>
          <w:szCs w:val="24"/>
        </w:rPr>
        <w:t>South West</w:t>
      </w:r>
      <w:proofErr w:type="gramEnd"/>
      <w:r w:rsidRPr="00794A18">
        <w:rPr>
          <w:rFonts w:ascii="Arial" w:hAnsi="Arial" w:cs="Arial"/>
          <w:sz w:val="24"/>
          <w:szCs w:val="24"/>
        </w:rPr>
        <w:t xml:space="preserve"> Terminal Ltd v Achter Land’ (2023) SKKB 116. Available at: </w:t>
      </w:r>
      <w:hyperlink r:id="rId6" w:history="1">
        <w:r w:rsidRPr="00794A18">
          <w:rPr>
            <w:rStyle w:val="Hyperlink"/>
            <w:rFonts w:ascii="Arial" w:hAnsi="Arial" w:cs="Arial"/>
            <w:sz w:val="24"/>
            <w:szCs w:val="24"/>
          </w:rPr>
          <w:t>https://plus-lexis-com.ezproxy.uwtsd.ac.uk/uk/document/teaserdocument/?pdmfid=1001073&amp;crid=92e10232-dc17-4b7d-9d3d-3cddebdf38ad&amp;pddocfullpath=%2Fshared%2Fdocument%2Fnews-uk%2Furn:contentItem:6BGP-WKX3-RSSF-S1XB-00000-00&amp;pddocid=urn:contentItem:6BGP-WKX3-RSSF-S1XB-00000-00&amp;pdcontentcomponentid=184200&amp;pdteaserkey=h1&amp;pdislpamode=false&amp;ecomp=5t5k&amp;earg=sr0&amp;prid=6fdf5615-0b58-46de-82e4-0403bdf5514a</w:t>
        </w:r>
      </w:hyperlink>
      <w:r w:rsidRPr="00794A18">
        <w:rPr>
          <w:rFonts w:ascii="Arial" w:hAnsi="Arial" w:cs="Arial"/>
          <w:sz w:val="24"/>
          <w:szCs w:val="24"/>
        </w:rPr>
        <w:t xml:space="preserve"> (Accessed: 07/03/2025)</w:t>
      </w:r>
    </w:p>
    <w:p w14:paraId="2080459C" w14:textId="40C51F04" w:rsidR="006820E4" w:rsidRPr="00794A18" w:rsidRDefault="006820E4" w:rsidP="00ED7DCB">
      <w:pPr>
        <w:rPr>
          <w:rFonts w:ascii="Arial" w:hAnsi="Arial" w:cs="Arial"/>
          <w:sz w:val="24"/>
          <w:szCs w:val="24"/>
        </w:rPr>
      </w:pPr>
      <w:r w:rsidRPr="00794A18">
        <w:rPr>
          <w:rFonts w:ascii="Arial" w:hAnsi="Arial" w:cs="Arial"/>
          <w:sz w:val="24"/>
          <w:szCs w:val="24"/>
        </w:rPr>
        <w:t>‘</w:t>
      </w:r>
      <w:r w:rsidRPr="00794A18">
        <w:rPr>
          <w:rFonts w:ascii="Arial" w:hAnsi="Arial" w:cs="Arial"/>
          <w:sz w:val="24"/>
          <w:szCs w:val="24"/>
        </w:rPr>
        <w:t>Thomas v BPE Solicitors</w:t>
      </w:r>
      <w:r w:rsidRPr="00794A18">
        <w:rPr>
          <w:rFonts w:ascii="Arial" w:hAnsi="Arial" w:cs="Arial"/>
          <w:sz w:val="24"/>
          <w:szCs w:val="24"/>
        </w:rPr>
        <w:t>’</w:t>
      </w:r>
      <w:r w:rsidRPr="00794A18">
        <w:rPr>
          <w:rFonts w:ascii="Arial" w:hAnsi="Arial" w:cs="Arial"/>
          <w:sz w:val="24"/>
          <w:szCs w:val="24"/>
        </w:rPr>
        <w:t xml:space="preserve"> (2010)</w:t>
      </w:r>
      <w:r w:rsidRPr="00794A18">
        <w:rPr>
          <w:rFonts w:ascii="Arial" w:hAnsi="Arial" w:cs="Arial"/>
          <w:sz w:val="24"/>
          <w:szCs w:val="24"/>
        </w:rPr>
        <w:t xml:space="preserve"> </w:t>
      </w:r>
      <w:r w:rsidR="00B46FF2" w:rsidRPr="00794A18">
        <w:rPr>
          <w:rFonts w:ascii="Arial" w:hAnsi="Arial" w:cs="Arial"/>
          <w:sz w:val="24"/>
          <w:szCs w:val="24"/>
        </w:rPr>
        <w:t xml:space="preserve">EWHC, 306 (Ch). Available at: </w:t>
      </w:r>
      <w:r w:rsidR="00B46FF2" w:rsidRPr="00794A18">
        <w:rPr>
          <w:rFonts w:ascii="Arial" w:hAnsi="Arial" w:cs="Arial"/>
          <w:sz w:val="24"/>
          <w:szCs w:val="24"/>
        </w:rPr>
        <w:t>https://plus-lexis-com.ezproxy.uwtsd.ac.uk/uk/cases-uk/thomas-v-bpe-solicitors/?crid=411ec271-3f88-4480-90a3-a31ca9767a2c&amp;pddocumentnumber=1</w:t>
      </w:r>
      <w:r w:rsidR="00B46FF2" w:rsidRPr="00794A18">
        <w:rPr>
          <w:rFonts w:ascii="Arial" w:hAnsi="Arial" w:cs="Arial"/>
          <w:sz w:val="24"/>
          <w:szCs w:val="24"/>
        </w:rPr>
        <w:t xml:space="preserve"> (Accessed: 07/03/2025)</w:t>
      </w:r>
    </w:p>
    <w:p w14:paraId="64880D87" w14:textId="7384BE09" w:rsidR="00675907" w:rsidRPr="00794A18" w:rsidRDefault="00675907" w:rsidP="00ED7DCB">
      <w:pPr>
        <w:rPr>
          <w:rFonts w:ascii="Arial" w:hAnsi="Arial" w:cs="Arial"/>
          <w:sz w:val="24"/>
          <w:szCs w:val="24"/>
        </w:rPr>
      </w:pPr>
      <w:r w:rsidRPr="00794A18">
        <w:rPr>
          <w:rFonts w:ascii="Arial" w:hAnsi="Arial" w:cs="Arial"/>
          <w:sz w:val="24"/>
          <w:szCs w:val="24"/>
        </w:rPr>
        <w:t>‘Thomas v Thomas’ (1842) QB 851, 2</w:t>
      </w:r>
    </w:p>
    <w:p w14:paraId="7BB4485B" w14:textId="77777777" w:rsidR="00675907" w:rsidRPr="00794A18" w:rsidRDefault="00675907" w:rsidP="00675907">
      <w:pPr>
        <w:rPr>
          <w:rFonts w:ascii="Arial" w:hAnsi="Arial" w:cs="Arial"/>
          <w:sz w:val="24"/>
          <w:szCs w:val="24"/>
        </w:rPr>
      </w:pPr>
      <w:r w:rsidRPr="00794A18">
        <w:rPr>
          <w:rFonts w:ascii="Arial" w:hAnsi="Arial" w:cs="Arial"/>
          <w:sz w:val="24"/>
          <w:szCs w:val="24"/>
        </w:rPr>
        <w:t>‘Tweddle v Atkinson’ (1861) JP 517, 25</w:t>
      </w:r>
    </w:p>
    <w:p w14:paraId="320EC54F" w14:textId="77777777" w:rsidR="00675907" w:rsidRPr="00794A18" w:rsidRDefault="00675907" w:rsidP="00ED7DCB">
      <w:pPr>
        <w:rPr>
          <w:rFonts w:ascii="Arial" w:hAnsi="Arial" w:cs="Arial"/>
          <w:sz w:val="24"/>
          <w:szCs w:val="24"/>
        </w:rPr>
      </w:pPr>
    </w:p>
    <w:p w14:paraId="2A1EB318" w14:textId="592F0092" w:rsidR="000D0BCF" w:rsidRPr="00794A18" w:rsidRDefault="000D0BCF" w:rsidP="00ED7DCB">
      <w:pPr>
        <w:rPr>
          <w:rFonts w:ascii="Arial" w:hAnsi="Arial" w:cs="Arial"/>
          <w:sz w:val="24"/>
          <w:szCs w:val="24"/>
        </w:rPr>
      </w:pPr>
    </w:p>
    <w:p w14:paraId="2DB3051A" w14:textId="13A79185" w:rsidR="00675907" w:rsidRPr="00794A18" w:rsidRDefault="00675907" w:rsidP="00ED7DCB">
      <w:pPr>
        <w:rPr>
          <w:rFonts w:ascii="Arial" w:hAnsi="Arial" w:cs="Arial"/>
          <w:sz w:val="24"/>
          <w:szCs w:val="24"/>
        </w:rPr>
      </w:pPr>
    </w:p>
    <w:sectPr w:rsidR="00675907" w:rsidRPr="00794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4212"/>
    <w:multiLevelType w:val="hybridMultilevel"/>
    <w:tmpl w:val="623CF564"/>
    <w:lvl w:ilvl="0" w:tplc="B112995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50FED"/>
    <w:multiLevelType w:val="hybridMultilevel"/>
    <w:tmpl w:val="3E56EDEA"/>
    <w:lvl w:ilvl="0" w:tplc="EFCE50C0">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56404228">
    <w:abstractNumId w:val="0"/>
  </w:num>
  <w:num w:numId="2" w16cid:durableId="494567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955"/>
    <w:rsid w:val="0000405A"/>
    <w:rsid w:val="00025F81"/>
    <w:rsid w:val="00063A77"/>
    <w:rsid w:val="00065A00"/>
    <w:rsid w:val="00072B86"/>
    <w:rsid w:val="000D0BCF"/>
    <w:rsid w:val="000D5C72"/>
    <w:rsid w:val="000F06FD"/>
    <w:rsid w:val="000F5675"/>
    <w:rsid w:val="00144180"/>
    <w:rsid w:val="00155B7E"/>
    <w:rsid w:val="001C7948"/>
    <w:rsid w:val="001F7E23"/>
    <w:rsid w:val="002A07B9"/>
    <w:rsid w:val="002B2293"/>
    <w:rsid w:val="002B4495"/>
    <w:rsid w:val="002F4150"/>
    <w:rsid w:val="003114A0"/>
    <w:rsid w:val="00327971"/>
    <w:rsid w:val="00333C04"/>
    <w:rsid w:val="0033620A"/>
    <w:rsid w:val="003627AF"/>
    <w:rsid w:val="003668B7"/>
    <w:rsid w:val="003761AB"/>
    <w:rsid w:val="003A10FE"/>
    <w:rsid w:val="003C0900"/>
    <w:rsid w:val="00407B7E"/>
    <w:rsid w:val="00465758"/>
    <w:rsid w:val="004D7AE2"/>
    <w:rsid w:val="00511F6E"/>
    <w:rsid w:val="00565EF3"/>
    <w:rsid w:val="00583922"/>
    <w:rsid w:val="00584665"/>
    <w:rsid w:val="005849B7"/>
    <w:rsid w:val="005B70DF"/>
    <w:rsid w:val="005D488C"/>
    <w:rsid w:val="00641BE4"/>
    <w:rsid w:val="00645320"/>
    <w:rsid w:val="00675907"/>
    <w:rsid w:val="006820E4"/>
    <w:rsid w:val="0068536E"/>
    <w:rsid w:val="006A156B"/>
    <w:rsid w:val="006B3EA9"/>
    <w:rsid w:val="006B7955"/>
    <w:rsid w:val="006C4CF1"/>
    <w:rsid w:val="006C76EB"/>
    <w:rsid w:val="006D4435"/>
    <w:rsid w:val="006F7974"/>
    <w:rsid w:val="00734E7F"/>
    <w:rsid w:val="00794A18"/>
    <w:rsid w:val="007B361E"/>
    <w:rsid w:val="008304C5"/>
    <w:rsid w:val="00844E71"/>
    <w:rsid w:val="00856BDC"/>
    <w:rsid w:val="00856FBF"/>
    <w:rsid w:val="008E28B5"/>
    <w:rsid w:val="00A10C47"/>
    <w:rsid w:val="00A50A58"/>
    <w:rsid w:val="00A714A1"/>
    <w:rsid w:val="00AE0496"/>
    <w:rsid w:val="00B06701"/>
    <w:rsid w:val="00B36DBB"/>
    <w:rsid w:val="00B45306"/>
    <w:rsid w:val="00B46FF2"/>
    <w:rsid w:val="00B65741"/>
    <w:rsid w:val="00B73B70"/>
    <w:rsid w:val="00BC4346"/>
    <w:rsid w:val="00C23A20"/>
    <w:rsid w:val="00C85290"/>
    <w:rsid w:val="00CA3923"/>
    <w:rsid w:val="00CA3D89"/>
    <w:rsid w:val="00CB1B9C"/>
    <w:rsid w:val="00CD4589"/>
    <w:rsid w:val="00CF2555"/>
    <w:rsid w:val="00CF6CD0"/>
    <w:rsid w:val="00D27654"/>
    <w:rsid w:val="00D54442"/>
    <w:rsid w:val="00D62145"/>
    <w:rsid w:val="00D85CB8"/>
    <w:rsid w:val="00DC10DB"/>
    <w:rsid w:val="00DD6404"/>
    <w:rsid w:val="00E05206"/>
    <w:rsid w:val="00E43D3B"/>
    <w:rsid w:val="00E533AC"/>
    <w:rsid w:val="00EA645B"/>
    <w:rsid w:val="00EC5930"/>
    <w:rsid w:val="00ED7DCB"/>
    <w:rsid w:val="00EE61F7"/>
    <w:rsid w:val="00F0029C"/>
    <w:rsid w:val="00F00680"/>
    <w:rsid w:val="00F17571"/>
    <w:rsid w:val="00F72283"/>
    <w:rsid w:val="00F86826"/>
    <w:rsid w:val="00F97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BC218"/>
  <w15:chartTrackingRefBased/>
  <w15:docId w15:val="{1172E212-7366-4A5A-AFF9-EA2B8B69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7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9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9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9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9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9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9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9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9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79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79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79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79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7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955"/>
    <w:rPr>
      <w:rFonts w:eastAsiaTheme="majorEastAsia" w:cstheme="majorBidi"/>
      <w:color w:val="272727" w:themeColor="text1" w:themeTint="D8"/>
    </w:rPr>
  </w:style>
  <w:style w:type="paragraph" w:styleId="Title">
    <w:name w:val="Title"/>
    <w:basedOn w:val="Normal"/>
    <w:next w:val="Normal"/>
    <w:link w:val="TitleChar"/>
    <w:uiPriority w:val="10"/>
    <w:qFormat/>
    <w:rsid w:val="006B7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9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9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9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955"/>
    <w:pPr>
      <w:spacing w:before="160"/>
      <w:jc w:val="center"/>
    </w:pPr>
    <w:rPr>
      <w:i/>
      <w:iCs/>
      <w:color w:val="404040" w:themeColor="text1" w:themeTint="BF"/>
    </w:rPr>
  </w:style>
  <w:style w:type="character" w:customStyle="1" w:styleId="QuoteChar">
    <w:name w:val="Quote Char"/>
    <w:basedOn w:val="DefaultParagraphFont"/>
    <w:link w:val="Quote"/>
    <w:uiPriority w:val="29"/>
    <w:rsid w:val="006B7955"/>
    <w:rPr>
      <w:i/>
      <w:iCs/>
      <w:color w:val="404040" w:themeColor="text1" w:themeTint="BF"/>
    </w:rPr>
  </w:style>
  <w:style w:type="paragraph" w:styleId="ListParagraph">
    <w:name w:val="List Paragraph"/>
    <w:basedOn w:val="Normal"/>
    <w:uiPriority w:val="34"/>
    <w:qFormat/>
    <w:rsid w:val="006B7955"/>
    <w:pPr>
      <w:ind w:left="720"/>
      <w:contextualSpacing/>
    </w:pPr>
  </w:style>
  <w:style w:type="character" w:styleId="IntenseEmphasis">
    <w:name w:val="Intense Emphasis"/>
    <w:basedOn w:val="DefaultParagraphFont"/>
    <w:uiPriority w:val="21"/>
    <w:qFormat/>
    <w:rsid w:val="006B7955"/>
    <w:rPr>
      <w:i/>
      <w:iCs/>
      <w:color w:val="0F4761" w:themeColor="accent1" w:themeShade="BF"/>
    </w:rPr>
  </w:style>
  <w:style w:type="paragraph" w:styleId="IntenseQuote">
    <w:name w:val="Intense Quote"/>
    <w:basedOn w:val="Normal"/>
    <w:next w:val="Normal"/>
    <w:link w:val="IntenseQuoteChar"/>
    <w:uiPriority w:val="30"/>
    <w:qFormat/>
    <w:rsid w:val="006B7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955"/>
    <w:rPr>
      <w:i/>
      <w:iCs/>
      <w:color w:val="0F4761" w:themeColor="accent1" w:themeShade="BF"/>
    </w:rPr>
  </w:style>
  <w:style w:type="character" w:styleId="IntenseReference">
    <w:name w:val="Intense Reference"/>
    <w:basedOn w:val="DefaultParagraphFont"/>
    <w:uiPriority w:val="32"/>
    <w:qFormat/>
    <w:rsid w:val="006B7955"/>
    <w:rPr>
      <w:b/>
      <w:bCs/>
      <w:smallCaps/>
      <w:color w:val="0F4761" w:themeColor="accent1" w:themeShade="BF"/>
      <w:spacing w:val="5"/>
    </w:rPr>
  </w:style>
  <w:style w:type="character" w:styleId="Hyperlink">
    <w:name w:val="Hyperlink"/>
    <w:basedOn w:val="DefaultParagraphFont"/>
    <w:uiPriority w:val="99"/>
    <w:unhideWhenUsed/>
    <w:rsid w:val="00B46FF2"/>
    <w:rPr>
      <w:color w:val="467886" w:themeColor="hyperlink"/>
      <w:u w:val="single"/>
    </w:rPr>
  </w:style>
  <w:style w:type="character" w:styleId="UnresolvedMention">
    <w:name w:val="Unresolved Mention"/>
    <w:basedOn w:val="DefaultParagraphFont"/>
    <w:uiPriority w:val="99"/>
    <w:semiHidden/>
    <w:unhideWhenUsed/>
    <w:rsid w:val="00B46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lus-lexis-com.ezproxy.uwtsd.ac.uk/uk/document/teaserdocument/?pdmfid=1001073&amp;crid=92e10232-dc17-4b7d-9d3d-3cddebdf38ad&amp;pddocfullpath=%2Fshared%2Fdocument%2Fnews-uk%2Furn:contentItem:6BGP-WKX3-RSSF-S1XB-00000-00&amp;pddocid=urn:contentItem:6BGP-WKX3-RSSF-S1XB-00000-00&amp;pdcontentcomponentid=184200&amp;pdteaserkey=h1&amp;pdislpamode=false&amp;ecomp=5t5k&amp;earg=sr0&amp;prid=6fdf5615-0b58-46de-82e4-0403bdf5514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EB4F3-19FB-40D5-A50E-15AD629B1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Gabrial Harris</dc:creator>
  <cp:keywords/>
  <dc:description/>
  <cp:lastModifiedBy>Gabrial Harris</cp:lastModifiedBy>
  <cp:revision>3</cp:revision>
  <dcterms:created xsi:type="dcterms:W3CDTF">2025-03-07T14:22:00Z</dcterms:created>
  <dcterms:modified xsi:type="dcterms:W3CDTF">2025-03-07T14:33:00Z</dcterms:modified>
</cp:coreProperties>
</file>