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AFC91" w14:textId="40ECCC10" w:rsidR="003D7B83" w:rsidRDefault="003D7B83" w:rsidP="00721858">
      <w:pPr>
        <w:spacing w:line="360" w:lineRule="auto"/>
        <w:jc w:val="both"/>
        <w:rPr>
          <w:b/>
          <w:bCs/>
          <w:sz w:val="32"/>
          <w:szCs w:val="32"/>
        </w:rPr>
      </w:pPr>
      <w:bookmarkStart w:id="0" w:name="_Hlk216369340"/>
      <w:bookmarkEnd w:id="0"/>
      <w:r>
        <w:rPr>
          <w:b/>
          <w:bCs/>
          <w:noProof/>
          <w:sz w:val="28"/>
          <w:szCs w:val="28"/>
        </w:rPr>
        <w:drawing>
          <wp:inline distT="0" distB="0" distL="0" distR="0" wp14:anchorId="3D9F6604" wp14:editId="079FAD3C">
            <wp:extent cx="5813095" cy="28270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51439" cy="2894299"/>
                    </a:xfrm>
                    <a:prstGeom prst="rect">
                      <a:avLst/>
                    </a:prstGeom>
                    <a:noFill/>
                  </pic:spPr>
                </pic:pic>
              </a:graphicData>
            </a:graphic>
          </wp:inline>
        </w:drawing>
      </w:r>
    </w:p>
    <w:p w14:paraId="58AF6216" w14:textId="77777777" w:rsidR="003D7B83" w:rsidRDefault="003D7B83" w:rsidP="00721858">
      <w:pPr>
        <w:spacing w:line="360" w:lineRule="auto"/>
        <w:jc w:val="both"/>
        <w:rPr>
          <w:b/>
          <w:bCs/>
          <w:sz w:val="32"/>
          <w:szCs w:val="32"/>
        </w:rPr>
      </w:pPr>
    </w:p>
    <w:p w14:paraId="37AA9D53" w14:textId="3219E06A" w:rsidR="00F565AC" w:rsidRPr="00F565AC" w:rsidRDefault="005F619C" w:rsidP="00721858">
      <w:pPr>
        <w:spacing w:line="360" w:lineRule="auto"/>
        <w:jc w:val="both"/>
        <w:rPr>
          <w:b/>
          <w:bCs/>
          <w:sz w:val="32"/>
          <w:szCs w:val="32"/>
        </w:rPr>
      </w:pPr>
      <w:r>
        <w:rPr>
          <w:b/>
          <w:bCs/>
          <w:sz w:val="32"/>
          <w:szCs w:val="32"/>
        </w:rPr>
        <w:t xml:space="preserve">Module </w:t>
      </w:r>
      <w:r w:rsidR="00F565AC" w:rsidRPr="00F565AC">
        <w:rPr>
          <w:b/>
          <w:bCs/>
          <w:sz w:val="32"/>
          <w:szCs w:val="32"/>
        </w:rPr>
        <w:t>LCHS7006 – Quality Assurance and Service Improvements</w:t>
      </w:r>
    </w:p>
    <w:p w14:paraId="276245E1" w14:textId="227BED8F" w:rsidR="00F565AC" w:rsidRPr="00F565AC" w:rsidRDefault="00F565AC" w:rsidP="00721858">
      <w:pPr>
        <w:spacing w:line="360" w:lineRule="auto"/>
        <w:jc w:val="both"/>
        <w:rPr>
          <w:b/>
          <w:bCs/>
          <w:sz w:val="32"/>
          <w:szCs w:val="32"/>
        </w:rPr>
      </w:pPr>
      <w:r w:rsidRPr="00F565AC">
        <w:rPr>
          <w:b/>
          <w:bCs/>
          <w:sz w:val="32"/>
          <w:szCs w:val="32"/>
        </w:rPr>
        <w:t xml:space="preserve">Assignment: Component </w:t>
      </w:r>
      <w:r>
        <w:rPr>
          <w:b/>
          <w:bCs/>
          <w:sz w:val="32"/>
          <w:szCs w:val="32"/>
        </w:rPr>
        <w:t>2</w:t>
      </w:r>
      <w:r w:rsidRPr="00F565AC">
        <w:rPr>
          <w:b/>
          <w:bCs/>
          <w:sz w:val="32"/>
          <w:szCs w:val="32"/>
        </w:rPr>
        <w:t xml:space="preserve"> – </w:t>
      </w:r>
      <w:r>
        <w:rPr>
          <w:b/>
          <w:bCs/>
          <w:sz w:val="32"/>
          <w:szCs w:val="32"/>
        </w:rPr>
        <w:t xml:space="preserve">report </w:t>
      </w:r>
      <w:r w:rsidRPr="00F565AC">
        <w:rPr>
          <w:b/>
          <w:bCs/>
          <w:sz w:val="32"/>
          <w:szCs w:val="32"/>
        </w:rPr>
        <w:t>Case Study: Mid Staffordshire NHS Foundation Trust Scandal (2005–2009)</w:t>
      </w:r>
    </w:p>
    <w:p w14:paraId="001FA295" w14:textId="77777777" w:rsidR="00F565AC" w:rsidRPr="00F565AC" w:rsidRDefault="00F565AC" w:rsidP="00721858">
      <w:pPr>
        <w:spacing w:line="360" w:lineRule="auto"/>
        <w:jc w:val="both"/>
        <w:rPr>
          <w:b/>
          <w:bCs/>
          <w:sz w:val="32"/>
          <w:szCs w:val="32"/>
        </w:rPr>
      </w:pPr>
      <w:r w:rsidRPr="00F565AC">
        <w:rPr>
          <w:b/>
          <w:bCs/>
          <w:sz w:val="32"/>
          <w:szCs w:val="32"/>
        </w:rPr>
        <w:t>Programme: MSc Public Health and Social Care in Practice</w:t>
      </w:r>
    </w:p>
    <w:p w14:paraId="58ACD970" w14:textId="77777777" w:rsidR="00F565AC" w:rsidRPr="00F565AC" w:rsidRDefault="00F565AC" w:rsidP="00721858">
      <w:pPr>
        <w:spacing w:line="360" w:lineRule="auto"/>
        <w:jc w:val="both"/>
        <w:rPr>
          <w:b/>
          <w:bCs/>
          <w:sz w:val="32"/>
          <w:szCs w:val="32"/>
        </w:rPr>
      </w:pPr>
      <w:r w:rsidRPr="00F565AC">
        <w:rPr>
          <w:b/>
          <w:bCs/>
          <w:sz w:val="32"/>
          <w:szCs w:val="32"/>
        </w:rPr>
        <w:t>Lecturer: Shepherd Ziko</w:t>
      </w:r>
    </w:p>
    <w:p w14:paraId="7A1E7713" w14:textId="77777777" w:rsidR="00F565AC" w:rsidRDefault="00F565AC" w:rsidP="00721858">
      <w:pPr>
        <w:spacing w:line="360" w:lineRule="auto"/>
        <w:jc w:val="both"/>
        <w:rPr>
          <w:b/>
          <w:bCs/>
          <w:sz w:val="32"/>
          <w:szCs w:val="32"/>
        </w:rPr>
      </w:pPr>
      <w:r w:rsidRPr="00F565AC">
        <w:rPr>
          <w:b/>
          <w:bCs/>
          <w:sz w:val="32"/>
          <w:szCs w:val="32"/>
        </w:rPr>
        <w:t xml:space="preserve">Student:  </w:t>
      </w:r>
      <w:proofErr w:type="spellStart"/>
      <w:r w:rsidRPr="00F565AC">
        <w:rPr>
          <w:b/>
          <w:bCs/>
          <w:sz w:val="32"/>
          <w:szCs w:val="32"/>
        </w:rPr>
        <w:t>keval</w:t>
      </w:r>
      <w:proofErr w:type="spellEnd"/>
      <w:r w:rsidRPr="00F565AC">
        <w:rPr>
          <w:b/>
          <w:bCs/>
          <w:sz w:val="32"/>
          <w:szCs w:val="32"/>
        </w:rPr>
        <w:t xml:space="preserve"> </w:t>
      </w:r>
      <w:proofErr w:type="spellStart"/>
      <w:proofErr w:type="gramStart"/>
      <w:r w:rsidRPr="00F565AC">
        <w:rPr>
          <w:b/>
          <w:bCs/>
          <w:sz w:val="32"/>
          <w:szCs w:val="32"/>
        </w:rPr>
        <w:t>valundra</w:t>
      </w:r>
      <w:proofErr w:type="spellEnd"/>
      <w:r w:rsidRPr="00F565AC">
        <w:rPr>
          <w:b/>
          <w:bCs/>
          <w:sz w:val="32"/>
          <w:szCs w:val="32"/>
        </w:rPr>
        <w:t xml:space="preserve"> ,</w:t>
      </w:r>
      <w:proofErr w:type="gramEnd"/>
      <w:r w:rsidRPr="00F565AC">
        <w:rPr>
          <w:b/>
          <w:bCs/>
          <w:sz w:val="32"/>
          <w:szCs w:val="32"/>
        </w:rPr>
        <w:t xml:space="preserve"> Student Id: 2431091   </w:t>
      </w:r>
    </w:p>
    <w:p w14:paraId="576D9A1C" w14:textId="77777777" w:rsidR="006251B8" w:rsidRDefault="006251B8" w:rsidP="00721858">
      <w:pPr>
        <w:spacing w:line="360" w:lineRule="auto"/>
        <w:jc w:val="both"/>
        <w:rPr>
          <w:b/>
          <w:bCs/>
          <w:sz w:val="32"/>
          <w:szCs w:val="32"/>
        </w:rPr>
      </w:pPr>
    </w:p>
    <w:p w14:paraId="6F78973B" w14:textId="77777777" w:rsidR="006251B8" w:rsidRDefault="006251B8" w:rsidP="00721858">
      <w:pPr>
        <w:spacing w:line="360" w:lineRule="auto"/>
        <w:jc w:val="both"/>
        <w:rPr>
          <w:b/>
          <w:bCs/>
          <w:sz w:val="32"/>
          <w:szCs w:val="32"/>
        </w:rPr>
      </w:pPr>
    </w:p>
    <w:p w14:paraId="64D1D846" w14:textId="77777777" w:rsidR="006251B8" w:rsidRDefault="006251B8" w:rsidP="00721858">
      <w:pPr>
        <w:spacing w:line="360" w:lineRule="auto"/>
        <w:jc w:val="both"/>
        <w:rPr>
          <w:b/>
          <w:bCs/>
          <w:sz w:val="32"/>
          <w:szCs w:val="32"/>
        </w:rPr>
      </w:pPr>
    </w:p>
    <w:p w14:paraId="2B25D70B" w14:textId="77777777" w:rsidR="006251B8" w:rsidRDefault="006251B8" w:rsidP="00721858">
      <w:pPr>
        <w:spacing w:line="360" w:lineRule="auto"/>
        <w:jc w:val="both"/>
        <w:rPr>
          <w:b/>
          <w:bCs/>
          <w:sz w:val="32"/>
          <w:szCs w:val="32"/>
        </w:rPr>
      </w:pPr>
    </w:p>
    <w:p w14:paraId="4C775B0C" w14:textId="77777777" w:rsidR="006251B8" w:rsidRDefault="006251B8" w:rsidP="00721858">
      <w:pPr>
        <w:spacing w:line="360" w:lineRule="auto"/>
        <w:jc w:val="both"/>
        <w:rPr>
          <w:b/>
          <w:bCs/>
          <w:sz w:val="32"/>
          <w:szCs w:val="32"/>
        </w:rPr>
      </w:pPr>
    </w:p>
    <w:p w14:paraId="2A5D46C7" w14:textId="77777777" w:rsidR="006251B8" w:rsidRDefault="006251B8" w:rsidP="00721858">
      <w:pPr>
        <w:spacing w:line="360" w:lineRule="auto"/>
        <w:jc w:val="both"/>
        <w:rPr>
          <w:b/>
          <w:bCs/>
          <w:sz w:val="32"/>
          <w:szCs w:val="32"/>
        </w:rPr>
      </w:pPr>
    </w:p>
    <w:p w14:paraId="25416759" w14:textId="77777777" w:rsidR="006251B8" w:rsidRDefault="006251B8" w:rsidP="00721858">
      <w:pPr>
        <w:spacing w:line="360" w:lineRule="auto"/>
        <w:jc w:val="both"/>
        <w:rPr>
          <w:b/>
          <w:bCs/>
          <w:sz w:val="32"/>
          <w:szCs w:val="32"/>
        </w:rPr>
      </w:pPr>
    </w:p>
    <w:p w14:paraId="5EAC39ED" w14:textId="77777777" w:rsidR="00721858" w:rsidRDefault="00721858" w:rsidP="00721858">
      <w:pPr>
        <w:spacing w:line="360" w:lineRule="auto"/>
        <w:jc w:val="both"/>
        <w:rPr>
          <w:b/>
          <w:bCs/>
          <w:sz w:val="32"/>
          <w:szCs w:val="32"/>
        </w:rPr>
      </w:pPr>
    </w:p>
    <w:p w14:paraId="44A617D5" w14:textId="2CEEC299" w:rsidR="006251B8" w:rsidRPr="006251B8" w:rsidRDefault="006251B8" w:rsidP="00E41CD2">
      <w:pPr>
        <w:spacing w:line="360" w:lineRule="auto"/>
        <w:jc w:val="center"/>
        <w:rPr>
          <w:b/>
          <w:bCs/>
          <w:sz w:val="32"/>
          <w:szCs w:val="32"/>
        </w:rPr>
      </w:pPr>
      <w:r w:rsidRPr="006251B8">
        <w:rPr>
          <w:b/>
          <w:bCs/>
          <w:sz w:val="32"/>
          <w:szCs w:val="32"/>
        </w:rPr>
        <w:t>Table of Contents</w:t>
      </w:r>
    </w:p>
    <w:p w14:paraId="32ED3280" w14:textId="77777777" w:rsidR="006251B8" w:rsidRPr="006251B8" w:rsidRDefault="006251B8" w:rsidP="00721858">
      <w:pPr>
        <w:numPr>
          <w:ilvl w:val="0"/>
          <w:numId w:val="21"/>
        </w:numPr>
        <w:spacing w:line="360" w:lineRule="auto"/>
        <w:jc w:val="both"/>
        <w:rPr>
          <w:b/>
          <w:bCs/>
          <w:sz w:val="24"/>
          <w:szCs w:val="24"/>
        </w:rPr>
      </w:pPr>
      <w:r w:rsidRPr="006251B8">
        <w:rPr>
          <w:b/>
          <w:bCs/>
          <w:sz w:val="24"/>
          <w:szCs w:val="24"/>
        </w:rPr>
        <w:t>Introduction ........................................................................................................ 3</w:t>
      </w:r>
    </w:p>
    <w:p w14:paraId="50B73676" w14:textId="139B479A" w:rsidR="006251B8" w:rsidRPr="006251B8" w:rsidRDefault="006251B8" w:rsidP="00721858">
      <w:pPr>
        <w:numPr>
          <w:ilvl w:val="0"/>
          <w:numId w:val="21"/>
        </w:numPr>
        <w:spacing w:line="360" w:lineRule="auto"/>
        <w:jc w:val="both"/>
        <w:rPr>
          <w:b/>
          <w:bCs/>
          <w:sz w:val="24"/>
          <w:szCs w:val="24"/>
        </w:rPr>
      </w:pPr>
      <w:r w:rsidRPr="006251B8">
        <w:rPr>
          <w:b/>
          <w:bCs/>
          <w:sz w:val="24"/>
          <w:szCs w:val="24"/>
        </w:rPr>
        <w:t xml:space="preserve">Main Body – Analysis of Medication- and System-level Failings at Mid-Staffordshire ......................................................................................................... </w:t>
      </w:r>
      <w:r>
        <w:rPr>
          <w:b/>
          <w:bCs/>
          <w:sz w:val="24"/>
          <w:szCs w:val="24"/>
        </w:rPr>
        <w:t>3</w:t>
      </w:r>
    </w:p>
    <w:p w14:paraId="1FB11E2B" w14:textId="4A6EAEB6" w:rsidR="006251B8" w:rsidRPr="006251B8" w:rsidRDefault="006251B8" w:rsidP="00721858">
      <w:pPr>
        <w:numPr>
          <w:ilvl w:val="0"/>
          <w:numId w:val="21"/>
        </w:numPr>
        <w:spacing w:line="360" w:lineRule="auto"/>
        <w:jc w:val="both"/>
        <w:rPr>
          <w:b/>
          <w:bCs/>
          <w:sz w:val="24"/>
          <w:szCs w:val="24"/>
        </w:rPr>
      </w:pPr>
      <w:r w:rsidRPr="006251B8">
        <w:rPr>
          <w:b/>
          <w:bCs/>
          <w:sz w:val="24"/>
          <w:szCs w:val="24"/>
        </w:rPr>
        <w:t xml:space="preserve">Systems-Thinking and Patient Safety Failures .................................................. </w:t>
      </w:r>
      <w:r>
        <w:rPr>
          <w:b/>
          <w:bCs/>
          <w:sz w:val="24"/>
          <w:szCs w:val="24"/>
        </w:rPr>
        <w:t>4</w:t>
      </w:r>
    </w:p>
    <w:p w14:paraId="68DF0E2B" w14:textId="3A317815" w:rsidR="006251B8" w:rsidRPr="006251B8" w:rsidRDefault="006251B8" w:rsidP="00721858">
      <w:pPr>
        <w:numPr>
          <w:ilvl w:val="0"/>
          <w:numId w:val="21"/>
        </w:numPr>
        <w:spacing w:line="360" w:lineRule="auto"/>
        <w:jc w:val="both"/>
        <w:rPr>
          <w:b/>
          <w:bCs/>
          <w:sz w:val="24"/>
          <w:szCs w:val="24"/>
        </w:rPr>
      </w:pPr>
      <w:r w:rsidRPr="006251B8">
        <w:rPr>
          <w:b/>
          <w:bCs/>
          <w:sz w:val="24"/>
          <w:szCs w:val="24"/>
        </w:rPr>
        <w:t xml:space="preserve">Example Root-Cause Logic: Five Whys – Missed Dose Scenario ...................... </w:t>
      </w:r>
      <w:r w:rsidR="00D40AA1">
        <w:rPr>
          <w:b/>
          <w:bCs/>
          <w:sz w:val="24"/>
          <w:szCs w:val="24"/>
        </w:rPr>
        <w:t>5</w:t>
      </w:r>
    </w:p>
    <w:p w14:paraId="502F6A73" w14:textId="0C93FB27" w:rsidR="006251B8" w:rsidRPr="006251B8" w:rsidRDefault="006251B8" w:rsidP="00721858">
      <w:pPr>
        <w:numPr>
          <w:ilvl w:val="0"/>
          <w:numId w:val="21"/>
        </w:numPr>
        <w:spacing w:line="360" w:lineRule="auto"/>
        <w:jc w:val="both"/>
        <w:rPr>
          <w:b/>
          <w:bCs/>
          <w:sz w:val="24"/>
          <w:szCs w:val="24"/>
        </w:rPr>
      </w:pPr>
      <w:r w:rsidRPr="006251B8">
        <w:rPr>
          <w:b/>
          <w:bCs/>
          <w:sz w:val="24"/>
          <w:szCs w:val="24"/>
        </w:rPr>
        <w:t xml:space="preserve">Donabedian Framework .................................................................................. </w:t>
      </w:r>
      <w:r w:rsidR="00D40AA1">
        <w:rPr>
          <w:b/>
          <w:bCs/>
          <w:sz w:val="24"/>
          <w:szCs w:val="24"/>
        </w:rPr>
        <w:t>6</w:t>
      </w:r>
    </w:p>
    <w:p w14:paraId="4613AE05" w14:textId="15203358" w:rsidR="006251B8" w:rsidRPr="006251B8" w:rsidRDefault="006251B8" w:rsidP="00721858">
      <w:pPr>
        <w:numPr>
          <w:ilvl w:val="0"/>
          <w:numId w:val="21"/>
        </w:numPr>
        <w:spacing w:line="360" w:lineRule="auto"/>
        <w:jc w:val="both"/>
        <w:rPr>
          <w:b/>
          <w:bCs/>
          <w:sz w:val="24"/>
          <w:szCs w:val="24"/>
        </w:rPr>
      </w:pPr>
      <w:r w:rsidRPr="006251B8">
        <w:rPr>
          <w:b/>
          <w:bCs/>
          <w:sz w:val="24"/>
          <w:szCs w:val="24"/>
        </w:rPr>
        <w:t xml:space="preserve">Fishbone Model Analysis ................................................................................ </w:t>
      </w:r>
      <w:r w:rsidR="00D40AA1">
        <w:rPr>
          <w:b/>
          <w:bCs/>
          <w:sz w:val="24"/>
          <w:szCs w:val="24"/>
        </w:rPr>
        <w:t>7</w:t>
      </w:r>
    </w:p>
    <w:p w14:paraId="7C07D366" w14:textId="1E8DB6F1" w:rsidR="006251B8" w:rsidRPr="006251B8" w:rsidRDefault="006251B8" w:rsidP="00721858">
      <w:pPr>
        <w:numPr>
          <w:ilvl w:val="0"/>
          <w:numId w:val="21"/>
        </w:numPr>
        <w:spacing w:line="360" w:lineRule="auto"/>
        <w:jc w:val="both"/>
        <w:rPr>
          <w:b/>
          <w:bCs/>
          <w:sz w:val="24"/>
          <w:szCs w:val="24"/>
        </w:rPr>
      </w:pPr>
      <w:r w:rsidRPr="006251B8">
        <w:rPr>
          <w:b/>
          <w:bCs/>
          <w:sz w:val="24"/>
          <w:szCs w:val="24"/>
        </w:rPr>
        <w:t xml:space="preserve">SWOT Analysis – Medicines Safety in Mid-Staffs Context ............................. </w:t>
      </w:r>
      <w:r w:rsidR="00D40AA1">
        <w:rPr>
          <w:b/>
          <w:bCs/>
          <w:sz w:val="24"/>
          <w:szCs w:val="24"/>
        </w:rPr>
        <w:t>8</w:t>
      </w:r>
    </w:p>
    <w:p w14:paraId="5345EB3C" w14:textId="25824267" w:rsidR="006251B8" w:rsidRPr="006251B8" w:rsidRDefault="006251B8" w:rsidP="00721858">
      <w:pPr>
        <w:numPr>
          <w:ilvl w:val="0"/>
          <w:numId w:val="21"/>
        </w:numPr>
        <w:spacing w:line="360" w:lineRule="auto"/>
        <w:jc w:val="both"/>
        <w:rPr>
          <w:b/>
          <w:bCs/>
          <w:sz w:val="24"/>
          <w:szCs w:val="24"/>
        </w:rPr>
      </w:pPr>
      <w:r w:rsidRPr="006251B8">
        <w:rPr>
          <w:b/>
          <w:bCs/>
          <w:sz w:val="24"/>
          <w:szCs w:val="24"/>
        </w:rPr>
        <w:t xml:space="preserve">Regulatory, Policy, and Cultural Failings – Why Failures Persisted ............. </w:t>
      </w:r>
      <w:r w:rsidR="00D40AA1">
        <w:rPr>
          <w:b/>
          <w:bCs/>
          <w:sz w:val="24"/>
          <w:szCs w:val="24"/>
        </w:rPr>
        <w:t>9</w:t>
      </w:r>
    </w:p>
    <w:p w14:paraId="3C5E4E50" w14:textId="31F2CFFE" w:rsidR="006251B8" w:rsidRPr="006251B8" w:rsidRDefault="006251B8" w:rsidP="00721858">
      <w:pPr>
        <w:numPr>
          <w:ilvl w:val="0"/>
          <w:numId w:val="21"/>
        </w:numPr>
        <w:spacing w:line="360" w:lineRule="auto"/>
        <w:jc w:val="both"/>
        <w:rPr>
          <w:b/>
          <w:bCs/>
          <w:sz w:val="24"/>
          <w:szCs w:val="24"/>
        </w:rPr>
      </w:pPr>
      <w:r w:rsidRPr="006251B8">
        <w:rPr>
          <w:b/>
          <w:bCs/>
          <w:sz w:val="24"/>
          <w:szCs w:val="24"/>
        </w:rPr>
        <w:t xml:space="preserve">Critical Reflection on Analytical Frameworks ............................................... </w:t>
      </w:r>
      <w:r w:rsidR="00D40AA1">
        <w:rPr>
          <w:b/>
          <w:bCs/>
          <w:sz w:val="24"/>
          <w:szCs w:val="24"/>
        </w:rPr>
        <w:t>10</w:t>
      </w:r>
    </w:p>
    <w:p w14:paraId="08EF3406" w14:textId="17F20E6F" w:rsidR="006251B8" w:rsidRPr="006251B8" w:rsidRDefault="006251B8" w:rsidP="00721858">
      <w:pPr>
        <w:numPr>
          <w:ilvl w:val="0"/>
          <w:numId w:val="21"/>
        </w:numPr>
        <w:spacing w:line="360" w:lineRule="auto"/>
        <w:jc w:val="both"/>
        <w:rPr>
          <w:b/>
          <w:bCs/>
          <w:sz w:val="24"/>
          <w:szCs w:val="24"/>
        </w:rPr>
      </w:pPr>
      <w:r w:rsidRPr="006251B8">
        <w:rPr>
          <w:b/>
          <w:bCs/>
          <w:sz w:val="24"/>
          <w:szCs w:val="24"/>
        </w:rPr>
        <w:t xml:space="preserve">Contemporary Relevance – Lessons for Current NHS Settings .................. </w:t>
      </w:r>
      <w:r w:rsidR="00D40AA1">
        <w:rPr>
          <w:b/>
          <w:bCs/>
          <w:sz w:val="24"/>
          <w:szCs w:val="24"/>
        </w:rPr>
        <w:t>10</w:t>
      </w:r>
    </w:p>
    <w:p w14:paraId="5BAB7F4D" w14:textId="4B44D166" w:rsidR="006251B8" w:rsidRPr="006251B8" w:rsidRDefault="006251B8" w:rsidP="00721858">
      <w:pPr>
        <w:numPr>
          <w:ilvl w:val="0"/>
          <w:numId w:val="21"/>
        </w:numPr>
        <w:spacing w:line="360" w:lineRule="auto"/>
        <w:jc w:val="both"/>
        <w:rPr>
          <w:b/>
          <w:bCs/>
          <w:sz w:val="24"/>
          <w:szCs w:val="24"/>
        </w:rPr>
      </w:pPr>
      <w:r w:rsidRPr="006251B8">
        <w:rPr>
          <w:b/>
          <w:bCs/>
          <w:sz w:val="24"/>
          <w:szCs w:val="24"/>
        </w:rPr>
        <w:t xml:space="preserve">Recommendations ......................................................................................... </w:t>
      </w:r>
      <w:r w:rsidR="00D40AA1">
        <w:rPr>
          <w:b/>
          <w:bCs/>
          <w:sz w:val="24"/>
          <w:szCs w:val="24"/>
        </w:rPr>
        <w:t>11</w:t>
      </w:r>
    </w:p>
    <w:p w14:paraId="5D3FA4DB" w14:textId="790A8760" w:rsidR="006251B8" w:rsidRPr="006251B8" w:rsidRDefault="006251B8" w:rsidP="00721858">
      <w:pPr>
        <w:numPr>
          <w:ilvl w:val="0"/>
          <w:numId w:val="21"/>
        </w:numPr>
        <w:spacing w:line="360" w:lineRule="auto"/>
        <w:jc w:val="both"/>
        <w:rPr>
          <w:b/>
          <w:bCs/>
          <w:sz w:val="24"/>
          <w:szCs w:val="24"/>
        </w:rPr>
      </w:pPr>
      <w:r w:rsidRPr="006251B8">
        <w:rPr>
          <w:b/>
          <w:bCs/>
          <w:sz w:val="24"/>
          <w:szCs w:val="24"/>
        </w:rPr>
        <w:t xml:space="preserve">Conclusion ...................................................................................................... </w:t>
      </w:r>
      <w:r>
        <w:rPr>
          <w:b/>
          <w:bCs/>
          <w:sz w:val="24"/>
          <w:szCs w:val="24"/>
        </w:rPr>
        <w:t>1</w:t>
      </w:r>
      <w:r w:rsidR="00D40AA1">
        <w:rPr>
          <w:b/>
          <w:bCs/>
          <w:sz w:val="24"/>
          <w:szCs w:val="24"/>
        </w:rPr>
        <w:t>5</w:t>
      </w:r>
    </w:p>
    <w:p w14:paraId="6DA4575F" w14:textId="0C6489DC" w:rsidR="006251B8" w:rsidRPr="006251B8" w:rsidRDefault="006251B8" w:rsidP="00721858">
      <w:pPr>
        <w:numPr>
          <w:ilvl w:val="0"/>
          <w:numId w:val="21"/>
        </w:numPr>
        <w:spacing w:line="360" w:lineRule="auto"/>
        <w:jc w:val="both"/>
        <w:rPr>
          <w:b/>
          <w:bCs/>
          <w:sz w:val="24"/>
          <w:szCs w:val="24"/>
        </w:rPr>
      </w:pPr>
      <w:r w:rsidRPr="006251B8">
        <w:rPr>
          <w:b/>
          <w:bCs/>
          <w:sz w:val="24"/>
          <w:szCs w:val="24"/>
        </w:rPr>
        <w:t>References ...................................................................................................... 1</w:t>
      </w:r>
      <w:r w:rsidR="00D40AA1">
        <w:rPr>
          <w:b/>
          <w:bCs/>
          <w:sz w:val="24"/>
          <w:szCs w:val="24"/>
        </w:rPr>
        <w:t>6</w:t>
      </w:r>
    </w:p>
    <w:p w14:paraId="7C35A50E" w14:textId="77777777" w:rsidR="006251B8" w:rsidRPr="00F565AC" w:rsidRDefault="006251B8" w:rsidP="00721858">
      <w:pPr>
        <w:spacing w:line="360" w:lineRule="auto"/>
        <w:jc w:val="both"/>
        <w:rPr>
          <w:b/>
          <w:bCs/>
          <w:sz w:val="32"/>
          <w:szCs w:val="32"/>
        </w:rPr>
      </w:pPr>
    </w:p>
    <w:p w14:paraId="75CB4995" w14:textId="77777777" w:rsidR="00C63054" w:rsidRDefault="00C63054" w:rsidP="00721858">
      <w:pPr>
        <w:spacing w:line="360" w:lineRule="auto"/>
        <w:jc w:val="both"/>
        <w:rPr>
          <w:b/>
          <w:bCs/>
          <w:sz w:val="32"/>
          <w:szCs w:val="32"/>
        </w:rPr>
      </w:pPr>
    </w:p>
    <w:p w14:paraId="33732556" w14:textId="77777777" w:rsidR="00721858" w:rsidRDefault="00721858" w:rsidP="00721858">
      <w:pPr>
        <w:spacing w:line="360" w:lineRule="auto"/>
        <w:jc w:val="both"/>
        <w:rPr>
          <w:b/>
          <w:bCs/>
          <w:sz w:val="32"/>
          <w:szCs w:val="32"/>
        </w:rPr>
      </w:pPr>
    </w:p>
    <w:p w14:paraId="104FB8AB" w14:textId="77777777" w:rsidR="00E41CD2" w:rsidRDefault="00E41CD2" w:rsidP="00721858">
      <w:pPr>
        <w:spacing w:line="360" w:lineRule="auto"/>
        <w:jc w:val="both"/>
        <w:rPr>
          <w:b/>
          <w:bCs/>
          <w:sz w:val="32"/>
          <w:szCs w:val="32"/>
        </w:rPr>
      </w:pPr>
    </w:p>
    <w:p w14:paraId="5190F30C" w14:textId="5F77C1B9" w:rsidR="00B92070" w:rsidRPr="00B92070" w:rsidRDefault="00B92070" w:rsidP="00721858">
      <w:pPr>
        <w:spacing w:line="360" w:lineRule="auto"/>
        <w:jc w:val="both"/>
        <w:rPr>
          <w:b/>
          <w:bCs/>
          <w:sz w:val="32"/>
          <w:szCs w:val="32"/>
        </w:rPr>
      </w:pPr>
      <w:r w:rsidRPr="00B92070">
        <w:rPr>
          <w:b/>
          <w:bCs/>
          <w:sz w:val="32"/>
          <w:szCs w:val="32"/>
        </w:rPr>
        <w:lastRenderedPageBreak/>
        <w:t>Introduction</w:t>
      </w:r>
    </w:p>
    <w:p w14:paraId="6E910814" w14:textId="6C674A0E" w:rsidR="00385434" w:rsidRPr="00385434" w:rsidRDefault="00385434" w:rsidP="00721858">
      <w:pPr>
        <w:spacing w:line="360" w:lineRule="auto"/>
        <w:jc w:val="both"/>
      </w:pPr>
      <w:r w:rsidRPr="00385434">
        <w:t>Between 2005 and 2009, the Mid Staffordshire NHS Foundation Trust experienced systemic failures in patient care, including widespread medication-related harm. Reports from patients, staff, and monitoring bodies documented instances of missed or delayed medication administration, inconsistent medicines reconciliation, inadequate monitoring of high-risk drugs, and poor documentation (Healthcare Commission, 2009; Francis, 2013). These medication errors contributed to avoidable patient deterioration, exacerbation of chronic conditions, and preventable harm — underscoring a critical breakdown in medicines management.</w:t>
      </w:r>
    </w:p>
    <w:p w14:paraId="4CEFD662" w14:textId="77777777" w:rsidR="00385434" w:rsidRPr="00385434" w:rsidRDefault="00385434" w:rsidP="00721858">
      <w:pPr>
        <w:spacing w:line="360" w:lineRule="auto"/>
        <w:jc w:val="both"/>
      </w:pPr>
      <w:r w:rsidRPr="00385434">
        <w:t>The public inquiry led by Robert Francis QC explicitly concluded that the deficiencies were not isolated to individual mistake but were symptomatic of deep organisational dysfunction, dominated by failures in clinical governance, leadership, and staff support (Francis, 2013). The inquiry highlighted repeated neglect of basic care needs, including failure to administer essential medications in a timely manner or to monitor patients receiving high-risk therapies — such as analgesics, antibiotics and anticoagulants — placing patients at significant risk (Francis, 2013).</w:t>
      </w:r>
    </w:p>
    <w:p w14:paraId="280055D4" w14:textId="77777777" w:rsidR="00385434" w:rsidRPr="00385434" w:rsidRDefault="00385434" w:rsidP="00721858">
      <w:pPr>
        <w:spacing w:line="360" w:lineRule="auto"/>
        <w:jc w:val="both"/>
      </w:pPr>
      <w:r w:rsidRPr="00385434">
        <w:t>Despite repeated warnings — including rising mortality ratios (e.g. HSMR), patient and family complaints, and internal staff concerns — the Trust failed to respond adequately. Leaders prioritised targets related to performance and finances rather than safe staffing, robust medicines governance, or quality of care (Francis, 2013; NZNO, 2013). As a result, unsafe medication practices became embedded, unchecked, and normalized within the organisation’s operations.</w:t>
      </w:r>
    </w:p>
    <w:p w14:paraId="29E97C9B" w14:textId="298BED6F" w:rsidR="00385434" w:rsidRPr="00385434" w:rsidRDefault="00385434" w:rsidP="00721858">
      <w:pPr>
        <w:spacing w:line="360" w:lineRule="auto"/>
        <w:jc w:val="both"/>
      </w:pPr>
    </w:p>
    <w:p w14:paraId="7D5E0FBC" w14:textId="3EEA7685" w:rsidR="00385434" w:rsidRPr="00385434" w:rsidRDefault="00385434" w:rsidP="00721858">
      <w:pPr>
        <w:spacing w:line="360" w:lineRule="auto"/>
        <w:jc w:val="both"/>
      </w:pPr>
    </w:p>
    <w:p w14:paraId="2B58183A" w14:textId="77777777" w:rsidR="00203BFC" w:rsidRPr="00B92070" w:rsidRDefault="00203BFC" w:rsidP="00721858">
      <w:pPr>
        <w:spacing w:line="360" w:lineRule="auto"/>
        <w:jc w:val="both"/>
        <w:rPr>
          <w:b/>
          <w:bCs/>
          <w:sz w:val="32"/>
          <w:szCs w:val="32"/>
        </w:rPr>
      </w:pPr>
      <w:r w:rsidRPr="00B92070">
        <w:rPr>
          <w:b/>
          <w:bCs/>
          <w:sz w:val="32"/>
          <w:szCs w:val="32"/>
        </w:rPr>
        <w:t>Main Body — Analysis of Medication- and System-level Failings at Mid-Staffordshire</w:t>
      </w:r>
    </w:p>
    <w:p w14:paraId="6DA6417C" w14:textId="77777777" w:rsidR="00203BFC" w:rsidRPr="00B92070" w:rsidRDefault="00203BFC" w:rsidP="00721858">
      <w:pPr>
        <w:spacing w:line="360" w:lineRule="auto"/>
        <w:jc w:val="both"/>
        <w:rPr>
          <w:b/>
          <w:bCs/>
          <w:sz w:val="32"/>
          <w:szCs w:val="32"/>
        </w:rPr>
      </w:pPr>
      <w:r w:rsidRPr="00B92070">
        <w:rPr>
          <w:b/>
          <w:bCs/>
          <w:sz w:val="32"/>
          <w:szCs w:val="32"/>
        </w:rPr>
        <w:t>Background &amp; Context</w:t>
      </w:r>
    </w:p>
    <w:p w14:paraId="40841B6F" w14:textId="1908DDC4" w:rsidR="00203BFC" w:rsidRPr="00203BFC" w:rsidRDefault="00056B9B" w:rsidP="00721858">
      <w:pPr>
        <w:spacing w:line="360" w:lineRule="auto"/>
        <w:jc w:val="both"/>
      </w:pPr>
      <w:r w:rsidRPr="00056B9B">
        <w:t xml:space="preserve">The collapse of care quality at Mid Staffordshire manifested in a wide range of deficiencies, including serious failures in medications management (Healthcare Commission, 2009). An investigation by the Healthcare Commission (2009) reported alarmingly high mortality rates for emergency admissions and identified substandard care practices, such as delayed nursing care, poor monitoring and inadequate clinical oversight. According to the public inquiry led by Robert Francis QC (2013), these failings were </w:t>
      </w:r>
      <w:r w:rsidRPr="00056B9B">
        <w:lastRenderedPageBreak/>
        <w:t>not isolated events but reflected systemic breakdowns in governance, leadership and a culture focused on cost-cutting and performance targets rather than patient-centred care. The inquiry further highlighted that staffing levels, skill mix and clinical supervision were insufficient to ensure safe medicines administration, and that repeated warnings from staff, patients and regulators were routinely dismissed or ignored (Francis, 2013). Nursing staff numbers had also been significantly reduced—estimated at around 150 posts lost—in efforts to achieve financial surplus and Foundation Trust status (Francis, 2013; Jones and Kelly, 2014). This resulted in chronic staffing shortages, over-reliance on agency workers and inadequate supervision, all of which undermined safe prescribing, dispensing, medicines reconciliation and administration (Keers et al., 2018; Francis, 2013). Consequently, the Mid Staffordshire tragedy was not a case of individual negligence but a systemic failure involving structural weaknesses, process unreliability, poor governance and a culture that normalised substandard medicines care (Walshe and Higgins, 2013; Francis, 2013).</w:t>
      </w:r>
      <w:r w:rsidR="00000000">
        <w:pict w14:anchorId="5A7689A1">
          <v:rect id="_x0000_i1025" style="width:0;height:1.5pt" o:hralign="center" o:hrstd="t" o:hr="t" fillcolor="#a0a0a0" stroked="f"/>
        </w:pict>
      </w:r>
    </w:p>
    <w:p w14:paraId="271D4938" w14:textId="77777777" w:rsidR="00203BFC" w:rsidRPr="00B92070" w:rsidRDefault="00203BFC" w:rsidP="00721858">
      <w:pPr>
        <w:spacing w:line="360" w:lineRule="auto"/>
        <w:jc w:val="both"/>
        <w:rPr>
          <w:b/>
          <w:bCs/>
          <w:sz w:val="32"/>
          <w:szCs w:val="32"/>
        </w:rPr>
      </w:pPr>
      <w:r w:rsidRPr="00B92070">
        <w:rPr>
          <w:b/>
          <w:bCs/>
          <w:sz w:val="32"/>
          <w:szCs w:val="32"/>
        </w:rPr>
        <w:t>Systems-Thinking and Patient Safety Failures</w:t>
      </w:r>
    </w:p>
    <w:p w14:paraId="1666B265" w14:textId="780CD3D2" w:rsidR="00203BFC" w:rsidRPr="00203BFC" w:rsidRDefault="00056B9B" w:rsidP="00721858">
      <w:pPr>
        <w:spacing w:line="360" w:lineRule="auto"/>
        <w:jc w:val="both"/>
      </w:pPr>
      <w:r w:rsidRPr="00056B9B">
        <w:t>Contemporary patient safety theory rejects a blame-the-individual mindset, instead recognising that errors typically arise from broader systemic factors rather than isolated human failings (Reason, 2000). It emphasises systemic interactions and latent conditions that allow errors to propagate, as illustrated by the “Swiss Cheese” model (Reason, 2000). At Mid Staffordshire, latent systemic vulnerabilities included under-resourced staffing and pharmacy support, weak medicines-governance processes, limited clinical oversight, poor data monitoring and a defective incident-reporting culture (Francis, 2013; Healthcare Commission, 2009). Active failures such as delayed dose administration, missed medication rounds and incomplete prescriptions occurred frequently but were rarely investigated or addressed (Francis, 2013). This reactive approach to safety, characteristic of the Safety-I perspective, focused on responding to harm after it occurred rather than proactively strengthening systems to prevent it (Hollnagel, 2014). In contrast, the Safety-II approach stresses building resilient processes capable of anticipating and mitigating risk, an approach notably absent at Mid Staffordshire (Hollnagel, 2014). Consequently, early warning signs—including rising mortality rates, patient complaints, staff concerns and near-miss reports—were ignored or overlooked, allowing harm to accumulate over time (Francis, 2013; Jones and Kelly, 2014).</w:t>
      </w:r>
    </w:p>
    <w:p w14:paraId="7319A264" w14:textId="77777777" w:rsidR="00CE7B62" w:rsidRDefault="00CE7B62" w:rsidP="00721858">
      <w:pPr>
        <w:spacing w:line="360" w:lineRule="auto"/>
        <w:jc w:val="both"/>
        <w:rPr>
          <w:b/>
          <w:bCs/>
          <w:sz w:val="32"/>
          <w:szCs w:val="32"/>
        </w:rPr>
      </w:pPr>
    </w:p>
    <w:p w14:paraId="021A01E8" w14:textId="6523AB41" w:rsidR="00203BFC" w:rsidRPr="00203BFC" w:rsidRDefault="00000000" w:rsidP="00721858">
      <w:pPr>
        <w:spacing w:line="360" w:lineRule="auto"/>
        <w:jc w:val="both"/>
      </w:pPr>
      <w:r>
        <w:pict w14:anchorId="38C9096F">
          <v:rect id="_x0000_i1026" style="width:0;height:1.5pt" o:hralign="center" o:hrstd="t" o:hr="t" fillcolor="#a0a0a0" stroked="f"/>
        </w:pict>
      </w:r>
    </w:p>
    <w:p w14:paraId="1B538DED" w14:textId="1D9F94E2" w:rsidR="006114F5" w:rsidRPr="00D83745" w:rsidRDefault="006114F5" w:rsidP="00721858">
      <w:pPr>
        <w:pStyle w:val="NormalWeb"/>
        <w:spacing w:line="360" w:lineRule="auto"/>
        <w:jc w:val="both"/>
        <w:rPr>
          <w:rFonts w:ascii="Aptos Narrow" w:hAnsi="Aptos Narrow"/>
          <w:b/>
          <w:bCs/>
          <w:sz w:val="36"/>
          <w:szCs w:val="36"/>
        </w:rPr>
      </w:pPr>
      <w:r w:rsidRPr="00D83745">
        <w:rPr>
          <w:rFonts w:ascii="Aptos Narrow" w:hAnsi="Aptos Narrow"/>
          <w:b/>
          <w:bCs/>
          <w:sz w:val="36"/>
          <w:szCs w:val="36"/>
        </w:rPr>
        <w:lastRenderedPageBreak/>
        <w:t>Example Root-Cause Logic: Five Whys — Missed Dose Scenario</w:t>
      </w:r>
      <w:r w:rsidRPr="00D83745">
        <w:rPr>
          <w:rFonts w:ascii="Aptos Narrow" w:hAnsi="Aptos Narrow"/>
          <w:b/>
          <w:bCs/>
          <w:sz w:val="36"/>
          <w:szCs w:val="36"/>
        </w:rPr>
        <w:br/>
        <w:t>A typical causal pathway — e.g. a missed dose of antibiotic — might follow:</w:t>
      </w:r>
    </w:p>
    <w:p w14:paraId="6F786E2C" w14:textId="0D68FB90" w:rsidR="006114F5" w:rsidRPr="00C63054" w:rsidRDefault="00C63054" w:rsidP="00721858">
      <w:pPr>
        <w:pStyle w:val="NormalWeb"/>
        <w:numPr>
          <w:ilvl w:val="0"/>
          <w:numId w:val="19"/>
        </w:numPr>
        <w:spacing w:line="360" w:lineRule="auto"/>
        <w:jc w:val="both"/>
        <w:rPr>
          <w:rFonts w:ascii="Aptos Narrow" w:hAnsi="Aptos Narrow"/>
        </w:rPr>
      </w:pPr>
      <w:r>
        <w:rPr>
          <w:noProof/>
        </w:rPr>
        <w:drawing>
          <wp:anchor distT="0" distB="0" distL="114300" distR="114300" simplePos="0" relativeHeight="251659264" behindDoc="0" locked="0" layoutInCell="1" allowOverlap="1" wp14:anchorId="5A2DF638" wp14:editId="73945607">
            <wp:simplePos x="0" y="0"/>
            <wp:positionH relativeFrom="column">
              <wp:posOffset>7620</wp:posOffset>
            </wp:positionH>
            <wp:positionV relativeFrom="paragraph">
              <wp:posOffset>0</wp:posOffset>
            </wp:positionV>
            <wp:extent cx="3573780" cy="5800725"/>
            <wp:effectExtent l="0" t="0" r="7620" b="9525"/>
            <wp:wrapSquare wrapText="bothSides"/>
            <wp:docPr id="10103990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399023" name="Picture 1010399023"/>
                    <pic:cNvPicPr/>
                  </pic:nvPicPr>
                  <pic:blipFill>
                    <a:blip r:embed="rId9">
                      <a:extLst>
                        <a:ext uri="{28A0092B-C50C-407E-A947-70E740481C1C}">
                          <a14:useLocalDpi xmlns:a14="http://schemas.microsoft.com/office/drawing/2010/main" val="0"/>
                        </a:ext>
                      </a:extLst>
                    </a:blip>
                    <a:stretch>
                      <a:fillRect/>
                    </a:stretch>
                  </pic:blipFill>
                  <pic:spPr>
                    <a:xfrm>
                      <a:off x="0" y="0"/>
                      <a:ext cx="3573780" cy="5800725"/>
                    </a:xfrm>
                    <a:prstGeom prst="rect">
                      <a:avLst/>
                    </a:prstGeom>
                  </pic:spPr>
                </pic:pic>
              </a:graphicData>
            </a:graphic>
            <wp14:sizeRelH relativeFrom="margin">
              <wp14:pctWidth>0</wp14:pctWidth>
            </wp14:sizeRelH>
          </wp:anchor>
        </w:drawing>
      </w:r>
      <w:r w:rsidR="006114F5" w:rsidRPr="00C63054">
        <w:rPr>
          <w:rFonts w:ascii="Aptos Narrow" w:hAnsi="Aptos Narrow"/>
        </w:rPr>
        <w:t>Medication round was delayed.</w:t>
      </w:r>
    </w:p>
    <w:p w14:paraId="7A278D36" w14:textId="77777777" w:rsidR="006114F5" w:rsidRPr="00C63054" w:rsidRDefault="006114F5" w:rsidP="00721858">
      <w:pPr>
        <w:pStyle w:val="NormalWeb"/>
        <w:numPr>
          <w:ilvl w:val="0"/>
          <w:numId w:val="19"/>
        </w:numPr>
        <w:spacing w:line="360" w:lineRule="auto"/>
        <w:jc w:val="both"/>
        <w:rPr>
          <w:rFonts w:ascii="Aptos Narrow" w:hAnsi="Aptos Narrow"/>
        </w:rPr>
      </w:pPr>
      <w:r w:rsidRPr="00C63054">
        <w:rPr>
          <w:rFonts w:ascii="Aptos Narrow" w:hAnsi="Aptos Narrow"/>
        </w:rPr>
        <w:t>Why delayed? Only one nurse was available to administer medications.</w:t>
      </w:r>
    </w:p>
    <w:p w14:paraId="5A613AF0" w14:textId="77777777" w:rsidR="006114F5" w:rsidRPr="00C63054" w:rsidRDefault="006114F5" w:rsidP="00721858">
      <w:pPr>
        <w:pStyle w:val="NormalWeb"/>
        <w:numPr>
          <w:ilvl w:val="0"/>
          <w:numId w:val="19"/>
        </w:numPr>
        <w:spacing w:line="360" w:lineRule="auto"/>
        <w:jc w:val="both"/>
        <w:rPr>
          <w:rFonts w:ascii="Aptos Narrow" w:hAnsi="Aptos Narrow"/>
        </w:rPr>
      </w:pPr>
      <w:r w:rsidRPr="00C63054">
        <w:rPr>
          <w:rFonts w:ascii="Aptos Narrow" w:hAnsi="Aptos Narrow"/>
        </w:rPr>
        <w:t xml:space="preserve">Why only one nurse? The </w:t>
      </w:r>
      <w:proofErr w:type="spellStart"/>
      <w:r w:rsidRPr="00C63054">
        <w:rPr>
          <w:rFonts w:ascii="Aptos Narrow" w:hAnsi="Aptos Narrow"/>
        </w:rPr>
        <w:t>ward</w:t>
      </w:r>
      <w:proofErr w:type="spellEnd"/>
      <w:r w:rsidRPr="00C63054">
        <w:rPr>
          <w:rFonts w:ascii="Aptos Narrow" w:hAnsi="Aptos Narrow"/>
        </w:rPr>
        <w:t xml:space="preserve"> was understaffed, and short-staffing gaps were filled with agency staff unfamiliar with local routines (Healthcare Commission, 2009).</w:t>
      </w:r>
    </w:p>
    <w:p w14:paraId="5F1EFFCC" w14:textId="77777777" w:rsidR="006114F5" w:rsidRPr="00C63054" w:rsidRDefault="006114F5" w:rsidP="00721858">
      <w:pPr>
        <w:pStyle w:val="NormalWeb"/>
        <w:numPr>
          <w:ilvl w:val="0"/>
          <w:numId w:val="19"/>
        </w:numPr>
        <w:spacing w:line="360" w:lineRule="auto"/>
        <w:jc w:val="both"/>
        <w:rPr>
          <w:rFonts w:ascii="Aptos Narrow" w:hAnsi="Aptos Narrow"/>
        </w:rPr>
      </w:pPr>
      <w:r w:rsidRPr="00C63054">
        <w:rPr>
          <w:rFonts w:ascii="Aptos Narrow" w:hAnsi="Aptos Narrow"/>
        </w:rPr>
        <w:t>Why was the ward understaffed? Staff reductions had been implemented to cut costs and meet financial targets required for foundation trust status (Francis, 2013).</w:t>
      </w:r>
    </w:p>
    <w:p w14:paraId="4C46FA1B" w14:textId="7BFDD111" w:rsidR="00AF62DA" w:rsidRPr="00AF62DA" w:rsidRDefault="006114F5" w:rsidP="00AF62DA">
      <w:pPr>
        <w:pStyle w:val="NormalWeb"/>
        <w:numPr>
          <w:ilvl w:val="0"/>
          <w:numId w:val="19"/>
        </w:numPr>
        <w:spacing w:line="360" w:lineRule="auto"/>
        <w:jc w:val="both"/>
        <w:rPr>
          <w:rFonts w:ascii="Aptos Narrow" w:hAnsi="Aptos Narrow"/>
        </w:rPr>
      </w:pPr>
      <w:r w:rsidRPr="00C63054">
        <w:rPr>
          <w:rFonts w:ascii="Aptos Narrow" w:hAnsi="Aptos Narrow"/>
        </w:rPr>
        <w:t xml:space="preserve">Why cut staffing for finances, not safety? Because organisational priorities were misaligned — financial </w:t>
      </w:r>
      <w:r w:rsidR="00AF62DA">
        <w:rPr>
          <w:rFonts w:ascii="Aptos Narrow" w:hAnsi="Aptos Narrow"/>
        </w:rPr>
        <w:t xml:space="preserve">                       </w:t>
      </w:r>
      <w:proofErr w:type="gramStart"/>
      <w:r w:rsidR="00AF62DA">
        <w:rPr>
          <w:rFonts w:ascii="Aptos Narrow" w:hAnsi="Aptos Narrow"/>
        </w:rPr>
        <w:t xml:space="preserve">   </w:t>
      </w:r>
      <w:r w:rsidR="00AF62DA" w:rsidRPr="00AF62DA">
        <w:rPr>
          <w:rFonts w:ascii="Aptos Narrow" w:hAnsi="Aptos Narrow"/>
        </w:rPr>
        <w:t>(</w:t>
      </w:r>
      <w:proofErr w:type="spellStart"/>
      <w:proofErr w:type="gramEnd"/>
      <w:r w:rsidR="00AF62DA" w:rsidRPr="00AF62DA">
        <w:rPr>
          <w:rFonts w:ascii="Aptos Narrow" w:hAnsi="Aptos Narrow"/>
        </w:rPr>
        <w:t>ModelThinkers</w:t>
      </w:r>
      <w:proofErr w:type="spellEnd"/>
      <w:r w:rsidR="00AF62DA" w:rsidRPr="00AF62DA">
        <w:rPr>
          <w:rFonts w:ascii="Aptos Narrow" w:hAnsi="Aptos Narrow"/>
        </w:rPr>
        <w:t xml:space="preserve"> n.d.)</w:t>
      </w:r>
    </w:p>
    <w:p w14:paraId="4348238E" w14:textId="7DD0BF47" w:rsidR="006114F5" w:rsidRPr="00C63054" w:rsidRDefault="006114F5" w:rsidP="00721858">
      <w:pPr>
        <w:pStyle w:val="NormalWeb"/>
        <w:numPr>
          <w:ilvl w:val="0"/>
          <w:numId w:val="19"/>
        </w:numPr>
        <w:spacing w:line="360" w:lineRule="auto"/>
        <w:jc w:val="both"/>
        <w:rPr>
          <w:rFonts w:ascii="Aptos Narrow" w:hAnsi="Aptos Narrow"/>
        </w:rPr>
      </w:pPr>
      <w:r w:rsidRPr="00C63054">
        <w:rPr>
          <w:rFonts w:ascii="Aptos Narrow" w:hAnsi="Aptos Narrow"/>
        </w:rPr>
        <w:t>performance and targets were given precedence over clinical safety, safe staffing, and medicines governance (Francis, 2013; Healthcare Commission, 2009).</w:t>
      </w:r>
    </w:p>
    <w:p w14:paraId="16B11FF5" w14:textId="0CB34DD0" w:rsidR="00203BFC" w:rsidRPr="00203BFC" w:rsidRDefault="001D153A" w:rsidP="00721858">
      <w:pPr>
        <w:spacing w:line="360" w:lineRule="auto"/>
        <w:jc w:val="both"/>
      </w:pPr>
      <w:r w:rsidRPr="001D153A">
        <w:lastRenderedPageBreak/>
        <w:t>Staffing cuts at Mid Staffordshire reflected misaligned organisational priorities, where financial pressures were prioritised over clinical safety and medicines governance (NAO, 2012; The King’s Fund, 2011). Performance targets and budget constraints shaped staffing decisions more than workload or patient risk, despite repeated warnings from frontline staff (Keogh, 2013; BMA, 2010). National pressures, including foundation trust targets, incentivised cost-cutting, normalising low staffing levels and undermining medicines management processes (RCN, 2010; NHS Confederation, 2010). Unsafe care emerged from organisational culture rather than isolated errors, with concerns overlooked and resource constraints accepted as routine, making missed doses and other failures symptoms of structural and cultural flaws (IHI, 2011; WHO, 2009).</w:t>
      </w:r>
      <w:r w:rsidR="00203BFC" w:rsidRPr="00203BFC">
        <w:t xml:space="preserve"> </w:t>
      </w:r>
    </w:p>
    <w:p w14:paraId="2423A59D" w14:textId="77777777" w:rsidR="00203BFC" w:rsidRPr="00203BFC" w:rsidRDefault="00000000" w:rsidP="00721858">
      <w:pPr>
        <w:spacing w:line="360" w:lineRule="auto"/>
        <w:jc w:val="both"/>
      </w:pPr>
      <w:r>
        <w:pict w14:anchorId="137BBF4B">
          <v:rect id="_x0000_i1027" style="width:0;height:1.5pt" o:hralign="center" o:hrstd="t" o:hr="t" fillcolor="#a0a0a0" stroked="f"/>
        </w:pict>
      </w:r>
    </w:p>
    <w:p w14:paraId="5945CC98" w14:textId="77777777" w:rsidR="006251B8" w:rsidRDefault="006251B8" w:rsidP="00721858">
      <w:pPr>
        <w:spacing w:line="360" w:lineRule="auto"/>
        <w:jc w:val="both"/>
        <w:rPr>
          <w:b/>
          <w:bCs/>
        </w:rPr>
      </w:pPr>
    </w:p>
    <w:p w14:paraId="17A9D212" w14:textId="0722B351" w:rsidR="001D153A" w:rsidRPr="00D83745" w:rsidRDefault="001D153A" w:rsidP="00721858">
      <w:pPr>
        <w:spacing w:line="360" w:lineRule="auto"/>
        <w:jc w:val="both"/>
        <w:rPr>
          <w:b/>
          <w:bCs/>
          <w:sz w:val="36"/>
          <w:szCs w:val="36"/>
        </w:rPr>
      </w:pPr>
      <w:r w:rsidRPr="00D83745">
        <w:rPr>
          <w:b/>
          <w:bCs/>
          <w:sz w:val="36"/>
          <w:szCs w:val="36"/>
        </w:rPr>
        <w:t>Donabedian framework</w:t>
      </w:r>
    </w:p>
    <w:p w14:paraId="49567200" w14:textId="77777777" w:rsidR="00721858" w:rsidRDefault="00C63054" w:rsidP="00721858">
      <w:pPr>
        <w:spacing w:line="360" w:lineRule="auto"/>
        <w:jc w:val="both"/>
      </w:pPr>
      <w:r>
        <w:rPr>
          <w:noProof/>
        </w:rPr>
        <w:drawing>
          <wp:inline distT="0" distB="0" distL="0" distR="0" wp14:anchorId="612E2E04" wp14:editId="7DA80012">
            <wp:extent cx="5731510" cy="3274060"/>
            <wp:effectExtent l="0" t="0" r="2540" b="2540"/>
            <wp:docPr id="8781986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198627" name="Picture 878198627"/>
                    <pic:cNvPicPr/>
                  </pic:nvPicPr>
                  <pic:blipFill>
                    <a:blip r:embed="rId10">
                      <a:extLst>
                        <a:ext uri="{28A0092B-C50C-407E-A947-70E740481C1C}">
                          <a14:useLocalDpi xmlns:a14="http://schemas.microsoft.com/office/drawing/2010/main" val="0"/>
                        </a:ext>
                      </a:extLst>
                    </a:blip>
                    <a:stretch>
                      <a:fillRect/>
                    </a:stretch>
                  </pic:blipFill>
                  <pic:spPr>
                    <a:xfrm>
                      <a:off x="0" y="0"/>
                      <a:ext cx="5731510" cy="3274060"/>
                    </a:xfrm>
                    <a:prstGeom prst="rect">
                      <a:avLst/>
                    </a:prstGeom>
                  </pic:spPr>
                </pic:pic>
              </a:graphicData>
            </a:graphic>
          </wp:inline>
        </w:drawing>
      </w:r>
    </w:p>
    <w:p w14:paraId="606D2EEC" w14:textId="0D0D9D8F" w:rsidR="00721858" w:rsidRPr="00721858" w:rsidRDefault="00721858" w:rsidP="00721858">
      <w:pPr>
        <w:spacing w:line="360" w:lineRule="auto"/>
        <w:jc w:val="both"/>
      </w:pPr>
      <w:r>
        <w:rPr>
          <w:b/>
          <w:bCs/>
        </w:rPr>
        <w:t xml:space="preserve">                                                                             </w:t>
      </w:r>
      <w:r w:rsidR="00AF62DA">
        <w:rPr>
          <w:b/>
          <w:bCs/>
        </w:rPr>
        <w:t>(</w:t>
      </w:r>
      <w:proofErr w:type="spellStart"/>
      <w:r w:rsidRPr="00721858">
        <w:rPr>
          <w:b/>
          <w:bCs/>
        </w:rPr>
        <w:t>Editverse</w:t>
      </w:r>
      <w:proofErr w:type="spellEnd"/>
      <w:r w:rsidRPr="00721858">
        <w:rPr>
          <w:b/>
          <w:bCs/>
        </w:rPr>
        <w:t xml:space="preserve"> n.d.)</w:t>
      </w:r>
    </w:p>
    <w:p w14:paraId="38D72D11" w14:textId="146055FA" w:rsidR="001D153A" w:rsidRPr="001D153A" w:rsidRDefault="001D153A" w:rsidP="00721858">
      <w:pPr>
        <w:spacing w:line="360" w:lineRule="auto"/>
        <w:jc w:val="both"/>
      </w:pPr>
      <w:r w:rsidRPr="001D153A">
        <w:t xml:space="preserve">In the Donabedian framework, </w:t>
      </w:r>
      <w:r w:rsidRPr="001D153A">
        <w:rPr>
          <w:i/>
          <w:iCs/>
        </w:rPr>
        <w:t>structure</w:t>
      </w:r>
      <w:r w:rsidRPr="001D153A">
        <w:t xml:space="preserve"> refers to organisational conditions that enable—or constrain—the delivery of safe and effective care. At Mid Staffordshire, chronic understaffing, poor skill mix, and heavy reliance on temporary personnel created an unstable environment in which routine tasks such as medicines administration became unreliable and error-prone, as inadequate staffing has been linked to increased patient harm (UNISON, 2025). Low nurse-to-patient ratios left </w:t>
      </w:r>
      <w:r w:rsidRPr="001D153A">
        <w:lastRenderedPageBreak/>
        <w:t>staff overstretched, increasing the likelihood of omissions, delays, and communication failures, while agency staff unfamiliar with local procedures disrupted continuity of care (National Health Executive, 2025).</w:t>
      </w:r>
    </w:p>
    <w:p w14:paraId="31E8B919" w14:textId="77777777" w:rsidR="001D153A" w:rsidRPr="001D153A" w:rsidRDefault="001D153A" w:rsidP="00721858">
      <w:pPr>
        <w:spacing w:line="360" w:lineRule="auto"/>
        <w:jc w:val="both"/>
      </w:pPr>
      <w:r w:rsidRPr="001D153A">
        <w:t>Structural weaknesses extended beyond workforce issues to pharmacy and governance arrangements; limited pharmacy presence reduced clinical review opportunities and real-time detection of prescribing errors, which are essential for medicines safety (Pharmaceutical Journal, 2023). Leadership often prioritised financial and performance targets over safety, weakening audit, risk monitoring, and escalation systems and allowing unsafe practices to persist (UK Parliament, 2009).</w:t>
      </w:r>
    </w:p>
    <w:p w14:paraId="4811B857" w14:textId="77777777" w:rsidR="001D153A" w:rsidRDefault="001D153A" w:rsidP="00721858">
      <w:pPr>
        <w:spacing w:line="360" w:lineRule="auto"/>
        <w:jc w:val="both"/>
      </w:pPr>
      <w:r w:rsidRPr="001D153A">
        <w:t>Compounding these issues was the absence of a robust reporting and learning culture. Organisational factors such as leadership support and safety culture significantly influence near-miss reporting and learning from errors, meaning under-reporting hindered insight into recurring risks (PubMed, 2023). Collectively, these structural failings created conditions in which unsafe care was predictable, demonstrating how profoundly organisational infrastructure shapes clinical practice.</w:t>
      </w:r>
    </w:p>
    <w:p w14:paraId="4605E643" w14:textId="77777777" w:rsidR="00721858" w:rsidRDefault="00721858" w:rsidP="00721858">
      <w:pPr>
        <w:spacing w:line="360" w:lineRule="auto"/>
        <w:jc w:val="both"/>
        <w:rPr>
          <w:b/>
          <w:bCs/>
        </w:rPr>
      </w:pPr>
    </w:p>
    <w:p w14:paraId="0BC8B6C7" w14:textId="636C1F9E" w:rsidR="00B03A6C" w:rsidRPr="00D83745" w:rsidRDefault="00B03A6C" w:rsidP="00721858">
      <w:pPr>
        <w:spacing w:line="360" w:lineRule="auto"/>
        <w:jc w:val="both"/>
        <w:rPr>
          <w:b/>
          <w:bCs/>
          <w:sz w:val="36"/>
          <w:szCs w:val="36"/>
        </w:rPr>
      </w:pPr>
      <w:r w:rsidRPr="00D83745">
        <w:rPr>
          <w:b/>
          <w:bCs/>
          <w:sz w:val="36"/>
          <w:szCs w:val="36"/>
        </w:rPr>
        <w:t>Fish bone model</w:t>
      </w:r>
    </w:p>
    <w:p w14:paraId="370B7908" w14:textId="4CBF2E7C" w:rsidR="00B03A6C" w:rsidRPr="00B03A6C" w:rsidRDefault="00A874FA" w:rsidP="00721858">
      <w:pPr>
        <w:spacing w:line="360" w:lineRule="auto"/>
        <w:jc w:val="both"/>
      </w:pPr>
      <w:r>
        <w:rPr>
          <w:noProof/>
        </w:rPr>
        <w:drawing>
          <wp:anchor distT="0" distB="0" distL="114300" distR="114300" simplePos="0" relativeHeight="251658240" behindDoc="1" locked="0" layoutInCell="1" allowOverlap="1" wp14:anchorId="5D672017" wp14:editId="034422CF">
            <wp:simplePos x="0" y="0"/>
            <wp:positionH relativeFrom="column">
              <wp:posOffset>0</wp:posOffset>
            </wp:positionH>
            <wp:positionV relativeFrom="paragraph">
              <wp:posOffset>2540</wp:posOffset>
            </wp:positionV>
            <wp:extent cx="3414056" cy="2179509"/>
            <wp:effectExtent l="0" t="0" r="0" b="0"/>
            <wp:wrapTight wrapText="bothSides">
              <wp:wrapPolygon edited="0">
                <wp:start x="0" y="0"/>
                <wp:lineTo x="0" y="21336"/>
                <wp:lineTo x="21455" y="21336"/>
                <wp:lineTo x="21455" y="0"/>
                <wp:lineTo x="0" y="0"/>
              </wp:wrapPolygon>
            </wp:wrapTight>
            <wp:docPr id="817652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93867" name="Picture 193693867"/>
                    <pic:cNvPicPr/>
                  </pic:nvPicPr>
                  <pic:blipFill>
                    <a:blip r:embed="rId11">
                      <a:extLst>
                        <a:ext uri="{28A0092B-C50C-407E-A947-70E740481C1C}">
                          <a14:useLocalDpi xmlns:a14="http://schemas.microsoft.com/office/drawing/2010/main" val="0"/>
                        </a:ext>
                      </a:extLst>
                    </a:blip>
                    <a:stretch>
                      <a:fillRect/>
                    </a:stretch>
                  </pic:blipFill>
                  <pic:spPr>
                    <a:xfrm>
                      <a:off x="0" y="0"/>
                      <a:ext cx="3414056" cy="2179509"/>
                    </a:xfrm>
                    <a:prstGeom prst="rect">
                      <a:avLst/>
                    </a:prstGeom>
                  </pic:spPr>
                </pic:pic>
              </a:graphicData>
            </a:graphic>
          </wp:anchor>
        </w:drawing>
      </w:r>
      <w:r w:rsidR="00B03A6C" w:rsidRPr="00B03A6C">
        <w:t xml:space="preserve">Medication errors and unsafe medicines management at Mid Staffordshire NHS Foundation Trust (2005–2009) arose from multiple interconnected systemic causes. Weak clinical governance and a board prioritising financial targets over patient safety created conditions where risks went unaddressed, with leadership ignoring early warning signs such as rising mortality, patient complaints, and staff concerns (Francis, 2013; NAO, 2012; Keogh, 2013). Chronic understaffing, poor skill mix, and heavy reliance on agency staff left wards overstretched, reducing supervision for junior nurses and contributing to delays, missed doses, incomplete monitoring of high-risk drugs, and fatigue-related errors (NPSA, 2007; Francis, 2013). Medicines processes were inconsistent: prescribing and reconciliation were often delayed, double-checking of high-risk drugs was irregular, drug rounds were frequently interrupted, and monitoring was poor, while low incident reporting hindered learning (RPS, 2010; NPSA, 2008, 2010). Organisational culture discouraged reporting, framing errors as individual failings rather than </w:t>
      </w:r>
      <w:r w:rsidR="00B03A6C" w:rsidRPr="00B03A6C">
        <w:lastRenderedPageBreak/>
        <w:t>system issues, and management emphasised target compliance over clinical quality (Berwick, 2013; Keogh, 2013). Limited pharmacy involvement reduced opportunities for medicines review, optimisation, and high-risk drug oversight (RPS, 2010; NPSA, 2007). Environmental factors, including chaotic wards, frequent interruptions, and poor handovers, further increased omissions and unsafe practices. Finally, inconsistent policies, weak governance, lack of digital prescribing systems, and insufficient national oversight allowed unsafe systems to persist (RPS, 2010; NAO, 2012).</w:t>
      </w:r>
    </w:p>
    <w:p w14:paraId="73C06AA6" w14:textId="72B98309" w:rsidR="00597A4A" w:rsidRPr="00D83745" w:rsidRDefault="00597A4A" w:rsidP="00721858">
      <w:pPr>
        <w:spacing w:line="360" w:lineRule="auto"/>
        <w:jc w:val="both"/>
        <w:rPr>
          <w:b/>
          <w:bCs/>
          <w:sz w:val="36"/>
          <w:szCs w:val="36"/>
        </w:rPr>
      </w:pPr>
      <w:r w:rsidRPr="00D83745">
        <w:rPr>
          <w:b/>
          <w:bCs/>
          <w:sz w:val="36"/>
          <w:szCs w:val="36"/>
        </w:rPr>
        <w:t>SWOT Analysis — Medicines Safety in Mid-Staffs Context (With NEW In-Text Citations)</w:t>
      </w:r>
    </w:p>
    <w:p w14:paraId="37C84E0D" w14:textId="2868CD3B" w:rsidR="00597A4A" w:rsidRPr="00597A4A" w:rsidRDefault="00D83745" w:rsidP="00721858">
      <w:pPr>
        <w:spacing w:line="360" w:lineRule="auto"/>
        <w:jc w:val="both"/>
        <w:rPr>
          <w:b/>
          <w:bCs/>
        </w:rPr>
      </w:pPr>
      <w:r>
        <w:rPr>
          <w:noProof/>
        </w:rPr>
        <w:drawing>
          <wp:anchor distT="0" distB="0" distL="114300" distR="114300" simplePos="0" relativeHeight="251660288" behindDoc="0" locked="0" layoutInCell="1" allowOverlap="1" wp14:anchorId="0E7AF238" wp14:editId="2426B239">
            <wp:simplePos x="0" y="0"/>
            <wp:positionH relativeFrom="column">
              <wp:posOffset>0</wp:posOffset>
            </wp:positionH>
            <wp:positionV relativeFrom="paragraph">
              <wp:posOffset>-2540</wp:posOffset>
            </wp:positionV>
            <wp:extent cx="2415540" cy="2374900"/>
            <wp:effectExtent l="0" t="0" r="3810" b="6350"/>
            <wp:wrapSquare wrapText="bothSides"/>
            <wp:docPr id="2100973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651814" name="Picture 88465181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15540" cy="2374900"/>
                    </a:xfrm>
                    <a:prstGeom prst="rect">
                      <a:avLst/>
                    </a:prstGeom>
                  </pic:spPr>
                </pic:pic>
              </a:graphicData>
            </a:graphic>
          </wp:anchor>
        </w:drawing>
      </w:r>
      <w:r w:rsidR="00597A4A" w:rsidRPr="00597A4A">
        <w:rPr>
          <w:b/>
          <w:bCs/>
        </w:rPr>
        <w:t>Strengths (pre-reform)</w:t>
      </w:r>
    </w:p>
    <w:p w14:paraId="46BD9231" w14:textId="683D3AF1" w:rsidR="00AA12DE" w:rsidRDefault="00597A4A" w:rsidP="00721858">
      <w:pPr>
        <w:spacing w:line="360" w:lineRule="auto"/>
        <w:jc w:val="both"/>
      </w:pPr>
      <w:r w:rsidRPr="00597A4A">
        <w:t xml:space="preserve">Although medicines governance was inconsistent, the trust did possess formal medicines-management policies and written documentation, even if these were not reliably implemented in practice (CQC, 2010). A subset of dedicated clinicians and senior nurses continued to demonstrate strong personal commitment to patient safety, despite being constrained by workload pressures </w:t>
      </w:r>
      <w:r w:rsidR="00721858">
        <w:t xml:space="preserve">      </w:t>
      </w:r>
      <w:r w:rsidRPr="00597A4A">
        <w:t>and systemic obstacles (IHI, 2011).</w:t>
      </w:r>
    </w:p>
    <w:p w14:paraId="5F88070F" w14:textId="2841D66E" w:rsidR="00AA12DE" w:rsidRDefault="00721858" w:rsidP="00721858">
      <w:pPr>
        <w:spacing w:line="360" w:lineRule="auto"/>
        <w:jc w:val="both"/>
      </w:pPr>
      <w:r>
        <w:t xml:space="preserve">            </w:t>
      </w:r>
      <w:r w:rsidRPr="00721858">
        <w:t>(SWOT Analysis Diagram n.d.)</w:t>
      </w:r>
    </w:p>
    <w:p w14:paraId="02D0B28A" w14:textId="719E4348" w:rsidR="00597A4A" w:rsidRPr="00AA12DE" w:rsidRDefault="00597A4A" w:rsidP="00721858">
      <w:pPr>
        <w:spacing w:line="360" w:lineRule="auto"/>
        <w:jc w:val="both"/>
      </w:pPr>
      <w:r w:rsidRPr="00597A4A">
        <w:rPr>
          <w:b/>
          <w:bCs/>
        </w:rPr>
        <w:t>Weaknesses</w:t>
      </w:r>
    </w:p>
    <w:p w14:paraId="1B5E0491" w14:textId="77777777" w:rsidR="00597A4A" w:rsidRPr="00597A4A" w:rsidRDefault="00597A4A" w:rsidP="00721858">
      <w:pPr>
        <w:spacing w:line="360" w:lineRule="auto"/>
        <w:jc w:val="both"/>
      </w:pPr>
      <w:r w:rsidRPr="00597A4A">
        <w:t>Chronic understaffing, a deteriorating skill mix and growing reliance on temporary staff created unsafe conditions for medicines administration and monitoring (RCN, 2010). Governance structures lacked depth and consistency, with weak clinical audit, limited board visibility of risk, and insufficient monitoring of medicines processes (NHS Confederation, 2010). Organisational culture discouraged reporting, as staff feared blame or felt that concerns would not be acted upon, inhibiting learning and transparency (The King’s Fund, 2011). Medicines processes themselves were inconsistent—reconciliation, documentation and monitoring were often incomplete—leaving patients exposed to preventable errors (WHO, 2011; NICE, 2015). High-risk medicines lacked systematic oversight, intensifying clinical variation (Academy of Medical Royal Colleges, 2012).</w:t>
      </w:r>
    </w:p>
    <w:p w14:paraId="461112E0" w14:textId="77777777" w:rsidR="00721858" w:rsidRDefault="00721858" w:rsidP="00721858">
      <w:pPr>
        <w:spacing w:line="360" w:lineRule="auto"/>
        <w:jc w:val="both"/>
        <w:rPr>
          <w:b/>
          <w:bCs/>
        </w:rPr>
      </w:pPr>
    </w:p>
    <w:p w14:paraId="6C8A795F" w14:textId="77777777" w:rsidR="00721858" w:rsidRDefault="00721858" w:rsidP="00721858">
      <w:pPr>
        <w:spacing w:line="360" w:lineRule="auto"/>
        <w:jc w:val="both"/>
        <w:rPr>
          <w:b/>
          <w:bCs/>
        </w:rPr>
      </w:pPr>
    </w:p>
    <w:p w14:paraId="00E1FD82" w14:textId="180E02B4" w:rsidR="00597A4A" w:rsidRPr="00597A4A" w:rsidRDefault="00597A4A" w:rsidP="00721858">
      <w:pPr>
        <w:spacing w:line="360" w:lineRule="auto"/>
        <w:jc w:val="both"/>
        <w:rPr>
          <w:b/>
          <w:bCs/>
        </w:rPr>
      </w:pPr>
      <w:r w:rsidRPr="00597A4A">
        <w:rPr>
          <w:b/>
          <w:bCs/>
        </w:rPr>
        <w:lastRenderedPageBreak/>
        <w:t>Opportunities (post-inquiry)</w:t>
      </w:r>
    </w:p>
    <w:p w14:paraId="78C70BA3" w14:textId="77777777" w:rsidR="00597A4A" w:rsidRPr="00597A4A" w:rsidRDefault="00597A4A" w:rsidP="00721858">
      <w:pPr>
        <w:spacing w:line="360" w:lineRule="auto"/>
        <w:jc w:val="both"/>
      </w:pPr>
      <w:r w:rsidRPr="00597A4A">
        <w:t>Significant opportunities emerged through national reforms that emphasised transparency, learning, and patient involvement, building on international safety standards (WHO, 2009). National medicines-safety initiatives and NHS-wide improvement programmes strengthened standards around training, documentation, and digital systems such as electronic medicines management (IHI, 2007; NICE, 2015). Post-Mid-Staffs, regulatory and cultural reforms encouraged organisations to prioritise openness, strengthen teamwork, and embed patient-centred care into everyday practice (The King’s Fund, 2012). Strengthening staffing frameworks, professional development, and workforce planning also provided opportunities to stabilise medicines practice across the NHS (BMA, 2010).</w:t>
      </w:r>
    </w:p>
    <w:p w14:paraId="07165AE4" w14:textId="77777777" w:rsidR="00597A4A" w:rsidRPr="00597A4A" w:rsidRDefault="00597A4A" w:rsidP="00721858">
      <w:pPr>
        <w:spacing w:line="360" w:lineRule="auto"/>
        <w:jc w:val="both"/>
        <w:rPr>
          <w:b/>
          <w:bCs/>
        </w:rPr>
      </w:pPr>
      <w:r w:rsidRPr="00597A4A">
        <w:rPr>
          <w:b/>
          <w:bCs/>
        </w:rPr>
        <w:t>Threats</w:t>
      </w:r>
    </w:p>
    <w:p w14:paraId="7FA9806A" w14:textId="77777777" w:rsidR="00597A4A" w:rsidRPr="00597A4A" w:rsidRDefault="00597A4A" w:rsidP="00721858">
      <w:pPr>
        <w:spacing w:line="360" w:lineRule="auto"/>
        <w:jc w:val="both"/>
      </w:pPr>
      <w:r w:rsidRPr="00597A4A">
        <w:t>Persistent financial pressures and growing workforce shortages across the NHS posed ongoing risks to sustaining safe staffing and medicines optimisation (BMA, 2010). Some organisational leaders continued to face competing priorities that risked re-emphasising performance targets at the expense of quality and safety (NHS Confederation, 2010). Additionally, reform fatigue or superficial compliance—where organisations adopt new safety standards “on paper” without embedding cultural change—could limit the long-term impact of improvement efforts (The King’s Fund, 2012; IHI, 2011).</w:t>
      </w:r>
    </w:p>
    <w:p w14:paraId="5354A1EF" w14:textId="77777777" w:rsidR="00203BFC" w:rsidRPr="00203BFC" w:rsidRDefault="00000000" w:rsidP="00721858">
      <w:pPr>
        <w:spacing w:line="360" w:lineRule="auto"/>
        <w:jc w:val="both"/>
      </w:pPr>
      <w:r>
        <w:pict w14:anchorId="2B10E196">
          <v:rect id="_x0000_i1028" style="width:0;height:1.5pt" o:hralign="center" o:hrstd="t" o:hr="t" fillcolor="#a0a0a0" stroked="f"/>
        </w:pict>
      </w:r>
    </w:p>
    <w:p w14:paraId="70D5202B" w14:textId="77777777" w:rsidR="00203BFC" w:rsidRPr="00B92070" w:rsidRDefault="00203BFC" w:rsidP="00721858">
      <w:pPr>
        <w:spacing w:line="360" w:lineRule="auto"/>
        <w:jc w:val="both"/>
        <w:rPr>
          <w:b/>
          <w:bCs/>
          <w:sz w:val="32"/>
          <w:szCs w:val="32"/>
        </w:rPr>
      </w:pPr>
      <w:r w:rsidRPr="00B92070">
        <w:rPr>
          <w:b/>
          <w:bCs/>
          <w:sz w:val="32"/>
          <w:szCs w:val="32"/>
        </w:rPr>
        <w:t>Regulatory, Policy, and Cultural Failings — Why Failures Persisted</w:t>
      </w:r>
    </w:p>
    <w:p w14:paraId="3B40035D" w14:textId="77777777" w:rsidR="00203BFC" w:rsidRPr="00203BFC" w:rsidRDefault="00203BFC" w:rsidP="00721858">
      <w:pPr>
        <w:spacing w:line="360" w:lineRule="auto"/>
        <w:jc w:val="both"/>
      </w:pPr>
      <w:r w:rsidRPr="00203BFC">
        <w:t>Post-scandal reforms have sought to embed patient safety more deeply within NHS governance, but the context at Mid Staffordshire reveals how regulatory failure, cultural suppression and misaligned incentives contributed to disaster.</w:t>
      </w:r>
    </w:p>
    <w:p w14:paraId="21CDD670" w14:textId="070DF6EF" w:rsidR="00203BFC" w:rsidRPr="00203BFC" w:rsidRDefault="00203BFC" w:rsidP="00721858">
      <w:pPr>
        <w:spacing w:line="360" w:lineRule="auto"/>
        <w:jc w:val="both"/>
      </w:pPr>
      <w:r w:rsidRPr="00203BFC">
        <w:t xml:space="preserve">The Doubts about regulatory oversight were central: at the time, the process for granting Foundation Trust status lacked rigorous assessment of care quality and patient safety; regulators failed to act when repeated warning signs (mortality data, complaints, staff concerns) emerged (Guardian investigation). </w:t>
      </w:r>
    </w:p>
    <w:p w14:paraId="70A83D62" w14:textId="3DC6F27C" w:rsidR="00203BFC" w:rsidRPr="00203BFC" w:rsidRDefault="00203BFC" w:rsidP="00721858">
      <w:pPr>
        <w:spacing w:line="360" w:lineRule="auto"/>
        <w:jc w:val="both"/>
      </w:pPr>
      <w:r w:rsidRPr="00203BFC">
        <w:t xml:space="preserve">The culture of silence and fear prevented staff from reporting near-misses or unsafe practices; the absence of a “just culture” meant that many staff felt powerless or afraid to raise concerns (Nursing commentary). </w:t>
      </w:r>
    </w:p>
    <w:p w14:paraId="0147C95F" w14:textId="145159B7" w:rsidR="00203BFC" w:rsidRPr="00203BFC" w:rsidRDefault="00203BFC" w:rsidP="00721858">
      <w:pPr>
        <w:spacing w:line="360" w:lineRule="auto"/>
        <w:jc w:val="both"/>
      </w:pPr>
      <w:r w:rsidRPr="00203BFC">
        <w:t xml:space="preserve">Furthermore, medicines-safety processes lacked robust audit, feedback, learning loops; there was no structured system for identifying, investigating, learning from or preventing medication incidents. This </w:t>
      </w:r>
      <w:r w:rsidRPr="00203BFC">
        <w:lastRenderedPageBreak/>
        <w:t>lack of system-wide learning meant errors repeated, safety did not improve, and the organisation remained vulnerable (</w:t>
      </w:r>
      <w:proofErr w:type="gramStart"/>
      <w:r w:rsidRPr="00203BFC">
        <w:t>Post-Francis</w:t>
      </w:r>
      <w:proofErr w:type="gramEnd"/>
      <w:r w:rsidRPr="00203BFC">
        <w:t xml:space="preserve"> reviews). </w:t>
      </w:r>
    </w:p>
    <w:p w14:paraId="3A050339" w14:textId="77777777" w:rsidR="00203BFC" w:rsidRPr="00203BFC" w:rsidRDefault="00203BFC" w:rsidP="00721858">
      <w:pPr>
        <w:spacing w:line="360" w:lineRule="auto"/>
        <w:jc w:val="both"/>
      </w:pPr>
      <w:r w:rsidRPr="00203BFC">
        <w:t>The cumulative effect was a fragile system in which medication error risk was built into everyday operations — not an exception.</w:t>
      </w:r>
    </w:p>
    <w:p w14:paraId="6D598702" w14:textId="77777777" w:rsidR="00203BFC" w:rsidRPr="00203BFC" w:rsidRDefault="00000000" w:rsidP="00721858">
      <w:pPr>
        <w:spacing w:line="360" w:lineRule="auto"/>
        <w:jc w:val="both"/>
      </w:pPr>
      <w:r>
        <w:pict w14:anchorId="41AAFC5A">
          <v:rect id="_x0000_i1029" style="width:0;height:1.5pt" o:hralign="center" o:hrstd="t" o:hr="t" fillcolor="#a0a0a0" stroked="f"/>
        </w:pict>
      </w:r>
    </w:p>
    <w:p w14:paraId="1E9D5336" w14:textId="2526B2F3" w:rsidR="00203BFC" w:rsidRPr="00B92070" w:rsidRDefault="00203BFC" w:rsidP="00721858">
      <w:pPr>
        <w:spacing w:line="360" w:lineRule="auto"/>
        <w:jc w:val="both"/>
        <w:rPr>
          <w:b/>
          <w:bCs/>
          <w:sz w:val="32"/>
          <w:szCs w:val="32"/>
        </w:rPr>
      </w:pPr>
      <w:r w:rsidRPr="00B92070">
        <w:rPr>
          <w:b/>
          <w:bCs/>
          <w:sz w:val="32"/>
          <w:szCs w:val="32"/>
        </w:rPr>
        <w:t>Critical Reflection on Analytical Frameworks</w:t>
      </w:r>
    </w:p>
    <w:p w14:paraId="148DFF49" w14:textId="77777777" w:rsidR="00203BFC" w:rsidRPr="00203BFC" w:rsidRDefault="00203BFC" w:rsidP="00721858">
      <w:pPr>
        <w:spacing w:line="360" w:lineRule="auto"/>
        <w:jc w:val="both"/>
      </w:pPr>
      <w:r w:rsidRPr="00203BFC">
        <w:t>Using multiple frameworks — Fishbone, Five Whys, Donabedian, SWOT — offered complementary insights:</w:t>
      </w:r>
    </w:p>
    <w:p w14:paraId="26873DA2" w14:textId="77777777" w:rsidR="00203BFC" w:rsidRPr="00203BFC" w:rsidRDefault="00203BFC" w:rsidP="00721858">
      <w:pPr>
        <w:numPr>
          <w:ilvl w:val="0"/>
          <w:numId w:val="10"/>
        </w:numPr>
        <w:spacing w:line="360" w:lineRule="auto"/>
        <w:jc w:val="both"/>
      </w:pPr>
      <w:r w:rsidRPr="00203BFC">
        <w:t>The Fishbone model helped map the breadth of contributing factors across domains but did not prioritise which causes were most critical.</w:t>
      </w:r>
    </w:p>
    <w:p w14:paraId="2D54267A" w14:textId="77777777" w:rsidR="00203BFC" w:rsidRPr="00203BFC" w:rsidRDefault="00203BFC" w:rsidP="00721858">
      <w:pPr>
        <w:numPr>
          <w:ilvl w:val="0"/>
          <w:numId w:val="10"/>
        </w:numPr>
        <w:spacing w:line="360" w:lineRule="auto"/>
        <w:jc w:val="both"/>
      </w:pPr>
      <w:r w:rsidRPr="00203BFC">
        <w:t>The Five Whys provided a clear causal chain for specific incidents (e.g. missed doses), but may oversimplify multifactorial and nonlinear systems where many factors interact simultaneously.</w:t>
      </w:r>
    </w:p>
    <w:p w14:paraId="1054D9C2" w14:textId="77777777" w:rsidR="00203BFC" w:rsidRPr="00203BFC" w:rsidRDefault="00203BFC" w:rsidP="00721858">
      <w:pPr>
        <w:numPr>
          <w:ilvl w:val="0"/>
          <w:numId w:val="10"/>
        </w:numPr>
        <w:spacing w:line="360" w:lineRule="auto"/>
        <w:jc w:val="both"/>
      </w:pPr>
      <w:r w:rsidRPr="00203BFC">
        <w:t>Donabedian’s structure–process–outcome model contextualised failures holistically, linking deficiencies in resources and governance to process breakdowns and patient harm — but lacks focus on dynamic cultural and systemic feedback loops.</w:t>
      </w:r>
    </w:p>
    <w:p w14:paraId="2232AD3D" w14:textId="77777777" w:rsidR="00203BFC" w:rsidRPr="00203BFC" w:rsidRDefault="00203BFC" w:rsidP="00721858">
      <w:pPr>
        <w:numPr>
          <w:ilvl w:val="0"/>
          <w:numId w:val="10"/>
        </w:numPr>
        <w:spacing w:line="360" w:lineRule="auto"/>
        <w:jc w:val="both"/>
      </w:pPr>
      <w:r w:rsidRPr="00203BFC">
        <w:t>SWOT offered strategic framing, useful when planning reforms, but lacks operational detail necessary for frontline implementation.</w:t>
      </w:r>
    </w:p>
    <w:p w14:paraId="0D2CB4C3" w14:textId="77777777" w:rsidR="00203BFC" w:rsidRPr="00203BFC" w:rsidRDefault="00203BFC" w:rsidP="00721858">
      <w:pPr>
        <w:spacing w:line="360" w:lineRule="auto"/>
        <w:jc w:val="both"/>
      </w:pPr>
      <w:r w:rsidRPr="00203BFC">
        <w:t>In isolation, each framework has limitations. However, combined and triangulated, they provide a robust, multi-layered analysis of why medication safety failed at Mid Staffordshire — and what systemic weaknesses must be addressed to prevent recurrence.</w:t>
      </w:r>
    </w:p>
    <w:p w14:paraId="071F47C7" w14:textId="77777777" w:rsidR="00203BFC" w:rsidRPr="00203BFC" w:rsidRDefault="00000000" w:rsidP="00721858">
      <w:pPr>
        <w:spacing w:line="360" w:lineRule="auto"/>
        <w:jc w:val="both"/>
      </w:pPr>
      <w:r>
        <w:pict w14:anchorId="579FDFC3">
          <v:rect id="_x0000_i1030" style="width:0;height:1.5pt" o:hralign="center" o:hrstd="t" o:hr="t" fillcolor="#a0a0a0" stroked="f"/>
        </w:pict>
      </w:r>
    </w:p>
    <w:p w14:paraId="561153D7" w14:textId="77777777" w:rsidR="00203BFC" w:rsidRPr="00B92070" w:rsidRDefault="00203BFC" w:rsidP="00721858">
      <w:pPr>
        <w:spacing w:line="360" w:lineRule="auto"/>
        <w:jc w:val="both"/>
        <w:rPr>
          <w:b/>
          <w:bCs/>
          <w:sz w:val="32"/>
          <w:szCs w:val="32"/>
        </w:rPr>
      </w:pPr>
      <w:r w:rsidRPr="00B92070">
        <w:rPr>
          <w:b/>
          <w:bCs/>
          <w:sz w:val="32"/>
          <w:szCs w:val="32"/>
        </w:rPr>
        <w:t>Contemporary Relevance — Lessons for Current NHS Settings</w:t>
      </w:r>
    </w:p>
    <w:p w14:paraId="71CA41EF" w14:textId="55B67AE7" w:rsidR="00203BFC" w:rsidRPr="00203BFC" w:rsidRDefault="00203BFC" w:rsidP="00721858">
      <w:pPr>
        <w:spacing w:line="360" w:lineRule="auto"/>
        <w:jc w:val="both"/>
      </w:pPr>
      <w:r w:rsidRPr="00203BFC">
        <w:t xml:space="preserve">Although the scandal occurred over a decade ago, its lessons remain highly relevant. Recent independent analyses indicate that avoidable patient harm continues to occur in NHS settings — often linked to similar patterns: under-staffing, poor communication, weak reporting culture, governance failures (e.g., in maternity or elderly care). </w:t>
      </w:r>
    </w:p>
    <w:p w14:paraId="77505E10" w14:textId="0FEB6CB8" w:rsidR="00203BFC" w:rsidRPr="00203BFC" w:rsidRDefault="00203BFC" w:rsidP="00721858">
      <w:pPr>
        <w:spacing w:line="360" w:lineRule="auto"/>
        <w:jc w:val="both"/>
      </w:pPr>
      <w:r w:rsidRPr="00203BFC">
        <w:lastRenderedPageBreak/>
        <w:t xml:space="preserve">In response, the NHS has instituted national frameworks such as the NHS Patient Safety Strategy and the Patient Safety Incident Response Framework (PSIRF), which emphasise proactive learning, transparency, open reporting, and system-wide patient safety governance. </w:t>
      </w:r>
    </w:p>
    <w:p w14:paraId="61358FE9" w14:textId="5495C243" w:rsidR="00203BFC" w:rsidRPr="00203BFC" w:rsidRDefault="00203BFC" w:rsidP="00721858">
      <w:pPr>
        <w:spacing w:line="360" w:lineRule="auto"/>
        <w:jc w:val="both"/>
      </w:pPr>
      <w:r w:rsidRPr="00203BFC">
        <w:t xml:space="preserve">Central to these reforms is the Duty of Candour — a statutory requirement for openness when patient safety incidents occur — reinforcing that organisations must recognise harm, disclose it, and learn from it. </w:t>
      </w:r>
    </w:p>
    <w:p w14:paraId="5EDEC079" w14:textId="77777777" w:rsidR="00203BFC" w:rsidRPr="00203BFC" w:rsidRDefault="00203BFC" w:rsidP="00721858">
      <w:pPr>
        <w:spacing w:line="360" w:lineRule="auto"/>
        <w:jc w:val="both"/>
      </w:pPr>
      <w:r w:rsidRPr="00203BFC">
        <w:t>Nevertheless, sustaining meaningful change remains challenging: financial pressures, workforce shortages, and organisational inertia continue across the NHS. The Mid Staffordshire case underscores that without commitment to structural investment, robust systems, and cultural transformation, risks of medication errors and systemic harm remain real.</w:t>
      </w:r>
    </w:p>
    <w:p w14:paraId="63210EAE" w14:textId="1F201DD1" w:rsidR="00203BFC" w:rsidRPr="00B92070" w:rsidRDefault="00203BFC" w:rsidP="00721858">
      <w:pPr>
        <w:spacing w:line="360" w:lineRule="auto"/>
        <w:jc w:val="both"/>
        <w:rPr>
          <w:b/>
          <w:bCs/>
          <w:sz w:val="32"/>
          <w:szCs w:val="32"/>
        </w:rPr>
      </w:pPr>
      <w:r w:rsidRPr="00B92070">
        <w:rPr>
          <w:b/>
          <w:bCs/>
          <w:sz w:val="32"/>
          <w:szCs w:val="32"/>
        </w:rPr>
        <w:t xml:space="preserve">Recommendations </w:t>
      </w:r>
    </w:p>
    <w:p w14:paraId="063D0E4B" w14:textId="77777777" w:rsidR="00203BFC" w:rsidRPr="00203BFC" w:rsidRDefault="00203BFC" w:rsidP="00721858">
      <w:pPr>
        <w:spacing w:line="360" w:lineRule="auto"/>
        <w:jc w:val="both"/>
      </w:pPr>
      <w:r w:rsidRPr="00203BFC">
        <w:t>Based on the failings identified at Mid Staffordshire NHS Foundation Trust, a structured and operational improvement programme is required to strengthen medication safety in acute NHS settings. The recommendations below follow a practical improvement approach, integrating Plan–Do–Study–Act (PDSA) methodology, Lean workflow redesign, and Six Sigma tools to reduce variation and improve reliability in medication processes.</w:t>
      </w:r>
    </w:p>
    <w:p w14:paraId="6F5A07FE" w14:textId="77777777" w:rsidR="00203BFC" w:rsidRPr="00203BFC" w:rsidRDefault="00000000" w:rsidP="00721858">
      <w:pPr>
        <w:spacing w:line="360" w:lineRule="auto"/>
        <w:jc w:val="both"/>
      </w:pPr>
      <w:r>
        <w:pict w14:anchorId="62ABA3E5">
          <v:rect id="_x0000_i1031" style="width:0;height:1.5pt" o:hralign="center" o:hrstd="t" o:hr="t" fillcolor="#a0a0a0" stroked="f"/>
        </w:pict>
      </w:r>
    </w:p>
    <w:p w14:paraId="6BF196AE" w14:textId="77777777" w:rsidR="00203BFC" w:rsidRPr="00B92070" w:rsidRDefault="00203BFC" w:rsidP="00721858">
      <w:pPr>
        <w:spacing w:line="360" w:lineRule="auto"/>
        <w:jc w:val="both"/>
        <w:rPr>
          <w:b/>
          <w:bCs/>
          <w:sz w:val="32"/>
          <w:szCs w:val="32"/>
        </w:rPr>
      </w:pPr>
      <w:r w:rsidRPr="00B92070">
        <w:rPr>
          <w:b/>
          <w:bCs/>
          <w:sz w:val="32"/>
          <w:szCs w:val="32"/>
        </w:rPr>
        <w:t>1. Implement a Structured Medicines Reconciliation Process</w:t>
      </w:r>
    </w:p>
    <w:p w14:paraId="2E2E7158" w14:textId="77777777" w:rsidR="00203BFC" w:rsidRPr="00203BFC" w:rsidRDefault="00203BFC" w:rsidP="00721858">
      <w:pPr>
        <w:spacing w:line="360" w:lineRule="auto"/>
        <w:jc w:val="both"/>
      </w:pPr>
      <w:r w:rsidRPr="00203BFC">
        <w:t>Medication reconciliation should occur within 24 hours of admission, transfer, and discharge. Evidence demonstrates reconciliation reduces omissions, duplication, and contraindicated prescribing (NICE, 2022). At Mid Staffordshire, the absence of structured reconciliation contributed to medication errors and delayed treatment (Francis, 2013).</w:t>
      </w:r>
    </w:p>
    <w:p w14:paraId="46BF189B" w14:textId="77777777" w:rsidR="00203BFC" w:rsidRPr="00203BFC" w:rsidRDefault="00203BFC" w:rsidP="00721858">
      <w:pPr>
        <w:spacing w:line="360" w:lineRule="auto"/>
        <w:jc w:val="both"/>
      </w:pPr>
      <w:r w:rsidRPr="00203BFC">
        <w:rPr>
          <w:b/>
          <w:bCs/>
        </w:rPr>
        <w:t>Operational steps:</w:t>
      </w:r>
    </w:p>
    <w:tbl>
      <w:tblPr>
        <w:tblStyle w:val="ListTable1Light"/>
        <w:tblW w:w="0" w:type="auto"/>
        <w:tblLook w:val="04A0" w:firstRow="1" w:lastRow="0" w:firstColumn="1" w:lastColumn="0" w:noHBand="0" w:noVBand="1"/>
      </w:tblPr>
      <w:tblGrid>
        <w:gridCol w:w="3936"/>
        <w:gridCol w:w="1796"/>
        <w:gridCol w:w="1091"/>
        <w:gridCol w:w="2203"/>
      </w:tblGrid>
      <w:tr w:rsidR="00203BFC" w:rsidRPr="00203BFC" w14:paraId="0A4C5C66" w14:textId="77777777" w:rsidTr="00804D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1FD1C5" w14:textId="77777777" w:rsidR="00203BFC" w:rsidRPr="00203BFC" w:rsidRDefault="00203BFC" w:rsidP="00721858">
            <w:pPr>
              <w:spacing w:line="360" w:lineRule="auto"/>
              <w:jc w:val="both"/>
              <w:rPr>
                <w:b w:val="0"/>
                <w:bCs w:val="0"/>
              </w:rPr>
            </w:pPr>
            <w:r w:rsidRPr="00203BFC">
              <w:t>Action</w:t>
            </w:r>
          </w:p>
        </w:tc>
        <w:tc>
          <w:tcPr>
            <w:tcW w:w="0" w:type="auto"/>
            <w:hideMark/>
          </w:tcPr>
          <w:p w14:paraId="5BBF35C7" w14:textId="77777777" w:rsidR="00203BFC" w:rsidRPr="00203BFC" w:rsidRDefault="00203BFC" w:rsidP="00721858">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203BFC">
              <w:t>Responsibility</w:t>
            </w:r>
          </w:p>
        </w:tc>
        <w:tc>
          <w:tcPr>
            <w:tcW w:w="0" w:type="auto"/>
            <w:hideMark/>
          </w:tcPr>
          <w:p w14:paraId="517EEA82" w14:textId="77777777" w:rsidR="00203BFC" w:rsidRPr="00203BFC" w:rsidRDefault="00203BFC" w:rsidP="00721858">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203BFC">
              <w:t>Timeline</w:t>
            </w:r>
          </w:p>
        </w:tc>
        <w:tc>
          <w:tcPr>
            <w:tcW w:w="0" w:type="auto"/>
            <w:hideMark/>
          </w:tcPr>
          <w:p w14:paraId="0CF7678E" w14:textId="77777777" w:rsidR="00203BFC" w:rsidRPr="00203BFC" w:rsidRDefault="00203BFC" w:rsidP="00721858">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203BFC">
              <w:t>Measurement</w:t>
            </w:r>
          </w:p>
        </w:tc>
      </w:tr>
      <w:tr w:rsidR="00203BFC" w:rsidRPr="00203BFC" w14:paraId="74627B09" w14:textId="77777777" w:rsidTr="00804D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81762B" w14:textId="77777777" w:rsidR="00203BFC" w:rsidRPr="00203BFC" w:rsidRDefault="00203BFC" w:rsidP="00721858">
            <w:pPr>
              <w:spacing w:line="360" w:lineRule="auto"/>
              <w:jc w:val="both"/>
            </w:pPr>
            <w:r w:rsidRPr="00203BFC">
              <w:t>Introduce standardised medicines reconciliation form (paper or within EPMA)</w:t>
            </w:r>
          </w:p>
        </w:tc>
        <w:tc>
          <w:tcPr>
            <w:tcW w:w="0" w:type="auto"/>
            <w:hideMark/>
          </w:tcPr>
          <w:p w14:paraId="379F238B" w14:textId="77777777" w:rsidR="00203BFC" w:rsidRPr="00203BFC" w:rsidRDefault="00203BFC" w:rsidP="00721858">
            <w:pPr>
              <w:spacing w:line="360" w:lineRule="auto"/>
              <w:jc w:val="both"/>
              <w:cnfStyle w:val="000000100000" w:firstRow="0" w:lastRow="0" w:firstColumn="0" w:lastColumn="0" w:oddVBand="0" w:evenVBand="0" w:oddHBand="1" w:evenHBand="0" w:firstRowFirstColumn="0" w:firstRowLastColumn="0" w:lastRowFirstColumn="0" w:lastRowLastColumn="0"/>
            </w:pPr>
            <w:r w:rsidRPr="00203BFC">
              <w:t>Pharmacy Lead</w:t>
            </w:r>
          </w:p>
        </w:tc>
        <w:tc>
          <w:tcPr>
            <w:tcW w:w="0" w:type="auto"/>
            <w:hideMark/>
          </w:tcPr>
          <w:p w14:paraId="6F234FC1" w14:textId="77777777" w:rsidR="00203BFC" w:rsidRPr="00203BFC" w:rsidRDefault="00203BFC" w:rsidP="00721858">
            <w:pPr>
              <w:spacing w:line="360" w:lineRule="auto"/>
              <w:jc w:val="both"/>
              <w:cnfStyle w:val="000000100000" w:firstRow="0" w:lastRow="0" w:firstColumn="0" w:lastColumn="0" w:oddVBand="0" w:evenVBand="0" w:oddHBand="1" w:evenHBand="0" w:firstRowFirstColumn="0" w:firstRowLastColumn="0" w:lastRowFirstColumn="0" w:lastRowLastColumn="0"/>
            </w:pPr>
            <w:r w:rsidRPr="00203BFC">
              <w:t>Month 1</w:t>
            </w:r>
          </w:p>
        </w:tc>
        <w:tc>
          <w:tcPr>
            <w:tcW w:w="0" w:type="auto"/>
            <w:hideMark/>
          </w:tcPr>
          <w:p w14:paraId="38B78B29" w14:textId="77777777" w:rsidR="00203BFC" w:rsidRPr="00203BFC" w:rsidRDefault="00203BFC" w:rsidP="00721858">
            <w:pPr>
              <w:spacing w:line="360" w:lineRule="auto"/>
              <w:jc w:val="both"/>
              <w:cnfStyle w:val="000000100000" w:firstRow="0" w:lastRow="0" w:firstColumn="0" w:lastColumn="0" w:oddVBand="0" w:evenVBand="0" w:oddHBand="1" w:evenHBand="0" w:firstRowFirstColumn="0" w:firstRowLastColumn="0" w:lastRowFirstColumn="0" w:lastRowLastColumn="0"/>
            </w:pPr>
            <w:r w:rsidRPr="00203BFC">
              <w:t>Availability and completion rate</w:t>
            </w:r>
          </w:p>
        </w:tc>
      </w:tr>
      <w:tr w:rsidR="00203BFC" w:rsidRPr="00203BFC" w14:paraId="7C977009" w14:textId="77777777" w:rsidTr="00804DC2">
        <w:tc>
          <w:tcPr>
            <w:cnfStyle w:val="001000000000" w:firstRow="0" w:lastRow="0" w:firstColumn="1" w:lastColumn="0" w:oddVBand="0" w:evenVBand="0" w:oddHBand="0" w:evenHBand="0" w:firstRowFirstColumn="0" w:firstRowLastColumn="0" w:lastRowFirstColumn="0" w:lastRowLastColumn="0"/>
            <w:tcW w:w="0" w:type="auto"/>
            <w:hideMark/>
          </w:tcPr>
          <w:p w14:paraId="0116EBA1" w14:textId="77777777" w:rsidR="00203BFC" w:rsidRPr="00203BFC" w:rsidRDefault="00203BFC" w:rsidP="00721858">
            <w:pPr>
              <w:spacing w:line="360" w:lineRule="auto"/>
              <w:jc w:val="both"/>
            </w:pPr>
            <w:r w:rsidRPr="00203BFC">
              <w:t>Allocate pharmacy staff to admissions and morning ward rounds</w:t>
            </w:r>
          </w:p>
        </w:tc>
        <w:tc>
          <w:tcPr>
            <w:tcW w:w="0" w:type="auto"/>
            <w:hideMark/>
          </w:tcPr>
          <w:p w14:paraId="675A2D91" w14:textId="77777777" w:rsidR="00203BFC" w:rsidRPr="00203BFC" w:rsidRDefault="00203BFC" w:rsidP="00721858">
            <w:pPr>
              <w:spacing w:line="360" w:lineRule="auto"/>
              <w:jc w:val="both"/>
              <w:cnfStyle w:val="000000000000" w:firstRow="0" w:lastRow="0" w:firstColumn="0" w:lastColumn="0" w:oddVBand="0" w:evenVBand="0" w:oddHBand="0" w:evenHBand="0" w:firstRowFirstColumn="0" w:firstRowLastColumn="0" w:lastRowFirstColumn="0" w:lastRowLastColumn="0"/>
            </w:pPr>
            <w:r w:rsidRPr="00203BFC">
              <w:t>Ward Pharmacist</w:t>
            </w:r>
          </w:p>
        </w:tc>
        <w:tc>
          <w:tcPr>
            <w:tcW w:w="0" w:type="auto"/>
            <w:hideMark/>
          </w:tcPr>
          <w:p w14:paraId="099308B8" w14:textId="77777777" w:rsidR="00203BFC" w:rsidRPr="00203BFC" w:rsidRDefault="00203BFC" w:rsidP="00721858">
            <w:pPr>
              <w:spacing w:line="360" w:lineRule="auto"/>
              <w:jc w:val="both"/>
              <w:cnfStyle w:val="000000000000" w:firstRow="0" w:lastRow="0" w:firstColumn="0" w:lastColumn="0" w:oddVBand="0" w:evenVBand="0" w:oddHBand="0" w:evenHBand="0" w:firstRowFirstColumn="0" w:firstRowLastColumn="0" w:lastRowFirstColumn="0" w:lastRowLastColumn="0"/>
            </w:pPr>
            <w:r w:rsidRPr="00203BFC">
              <w:t>Month 2–3</w:t>
            </w:r>
          </w:p>
        </w:tc>
        <w:tc>
          <w:tcPr>
            <w:tcW w:w="0" w:type="auto"/>
            <w:hideMark/>
          </w:tcPr>
          <w:p w14:paraId="68C22F24" w14:textId="77777777" w:rsidR="00203BFC" w:rsidRPr="00203BFC" w:rsidRDefault="00203BFC" w:rsidP="00721858">
            <w:pPr>
              <w:spacing w:line="360" w:lineRule="auto"/>
              <w:jc w:val="both"/>
              <w:cnfStyle w:val="000000000000" w:firstRow="0" w:lastRow="0" w:firstColumn="0" w:lastColumn="0" w:oddVBand="0" w:evenVBand="0" w:oddHBand="0" w:evenHBand="0" w:firstRowFirstColumn="0" w:firstRowLastColumn="0" w:lastRowFirstColumn="0" w:lastRowLastColumn="0"/>
            </w:pPr>
            <w:r w:rsidRPr="00203BFC">
              <w:t>% admissions reconciled in 24hrs</w:t>
            </w:r>
          </w:p>
        </w:tc>
      </w:tr>
      <w:tr w:rsidR="00203BFC" w:rsidRPr="00203BFC" w14:paraId="5EEA6FF3" w14:textId="77777777" w:rsidTr="00804D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B2020E" w14:textId="77777777" w:rsidR="00203BFC" w:rsidRPr="00203BFC" w:rsidRDefault="00203BFC" w:rsidP="00721858">
            <w:pPr>
              <w:spacing w:line="360" w:lineRule="auto"/>
              <w:jc w:val="both"/>
            </w:pPr>
            <w:r w:rsidRPr="00203BFC">
              <w:lastRenderedPageBreak/>
              <w:t>Train nurses and junior doctors on reconciliation procedure</w:t>
            </w:r>
          </w:p>
        </w:tc>
        <w:tc>
          <w:tcPr>
            <w:tcW w:w="0" w:type="auto"/>
            <w:hideMark/>
          </w:tcPr>
          <w:p w14:paraId="4005A56F" w14:textId="77777777" w:rsidR="00203BFC" w:rsidRPr="00203BFC" w:rsidRDefault="00203BFC" w:rsidP="00721858">
            <w:pPr>
              <w:spacing w:line="360" w:lineRule="auto"/>
              <w:jc w:val="both"/>
              <w:cnfStyle w:val="000000100000" w:firstRow="0" w:lastRow="0" w:firstColumn="0" w:lastColumn="0" w:oddVBand="0" w:evenVBand="0" w:oddHBand="1" w:evenHBand="0" w:firstRowFirstColumn="0" w:firstRowLastColumn="0" w:lastRowFirstColumn="0" w:lastRowLastColumn="0"/>
            </w:pPr>
            <w:r w:rsidRPr="00203BFC">
              <w:t>Medicines Safety Lead</w:t>
            </w:r>
          </w:p>
        </w:tc>
        <w:tc>
          <w:tcPr>
            <w:tcW w:w="0" w:type="auto"/>
            <w:hideMark/>
          </w:tcPr>
          <w:p w14:paraId="33A85EB4" w14:textId="77777777" w:rsidR="00203BFC" w:rsidRPr="00203BFC" w:rsidRDefault="00203BFC" w:rsidP="00721858">
            <w:pPr>
              <w:spacing w:line="360" w:lineRule="auto"/>
              <w:jc w:val="both"/>
              <w:cnfStyle w:val="000000100000" w:firstRow="0" w:lastRow="0" w:firstColumn="0" w:lastColumn="0" w:oddVBand="0" w:evenVBand="0" w:oddHBand="1" w:evenHBand="0" w:firstRowFirstColumn="0" w:firstRowLastColumn="0" w:lastRowFirstColumn="0" w:lastRowLastColumn="0"/>
            </w:pPr>
            <w:r w:rsidRPr="00203BFC">
              <w:t>Month 1–3</w:t>
            </w:r>
          </w:p>
        </w:tc>
        <w:tc>
          <w:tcPr>
            <w:tcW w:w="0" w:type="auto"/>
            <w:hideMark/>
          </w:tcPr>
          <w:p w14:paraId="5D45EEE3" w14:textId="77777777" w:rsidR="00203BFC" w:rsidRPr="00203BFC" w:rsidRDefault="00203BFC" w:rsidP="00721858">
            <w:pPr>
              <w:spacing w:line="360" w:lineRule="auto"/>
              <w:jc w:val="both"/>
              <w:cnfStyle w:val="000000100000" w:firstRow="0" w:lastRow="0" w:firstColumn="0" w:lastColumn="0" w:oddVBand="0" w:evenVBand="0" w:oddHBand="1" w:evenHBand="0" w:firstRowFirstColumn="0" w:firstRowLastColumn="0" w:lastRowFirstColumn="0" w:lastRowLastColumn="0"/>
            </w:pPr>
            <w:r w:rsidRPr="00203BFC">
              <w:t>Competency logs and audit</w:t>
            </w:r>
          </w:p>
        </w:tc>
      </w:tr>
    </w:tbl>
    <w:p w14:paraId="62D5B649" w14:textId="77777777" w:rsidR="00203BFC" w:rsidRPr="00203BFC" w:rsidRDefault="00203BFC" w:rsidP="00721858">
      <w:pPr>
        <w:spacing w:line="360" w:lineRule="auto"/>
        <w:jc w:val="both"/>
      </w:pPr>
      <w:r w:rsidRPr="00203BFC">
        <w:rPr>
          <w:b/>
          <w:bCs/>
        </w:rPr>
        <w:t>PDSA Pilot:</w:t>
      </w:r>
      <w:r w:rsidRPr="00203BFC">
        <w:t xml:space="preserve"> Trial on one medical ward for four weeks, review error rates and workflow impact, then expand trust-wide.</w:t>
      </w:r>
    </w:p>
    <w:p w14:paraId="3BBEF5C5" w14:textId="77777777" w:rsidR="00203BFC" w:rsidRPr="00203BFC" w:rsidRDefault="00000000" w:rsidP="00721858">
      <w:pPr>
        <w:spacing w:line="360" w:lineRule="auto"/>
        <w:jc w:val="both"/>
      </w:pPr>
      <w:r>
        <w:pict w14:anchorId="6DBB72D0">
          <v:rect id="_x0000_i1032" style="width:0;height:1.5pt" o:hralign="center" o:hrstd="t" o:hr="t" fillcolor="#a0a0a0" stroked="f"/>
        </w:pict>
      </w:r>
    </w:p>
    <w:p w14:paraId="27E76BF2" w14:textId="77777777" w:rsidR="00203BFC" w:rsidRPr="00B92070" w:rsidRDefault="00203BFC" w:rsidP="00721858">
      <w:pPr>
        <w:spacing w:line="360" w:lineRule="auto"/>
        <w:jc w:val="both"/>
        <w:rPr>
          <w:b/>
          <w:bCs/>
          <w:sz w:val="32"/>
          <w:szCs w:val="32"/>
        </w:rPr>
      </w:pPr>
      <w:r w:rsidRPr="00B92070">
        <w:rPr>
          <w:b/>
          <w:bCs/>
          <w:sz w:val="32"/>
          <w:szCs w:val="32"/>
        </w:rPr>
        <w:t>2. Introduce Protected Medication Administration Time (MAT)</w:t>
      </w:r>
    </w:p>
    <w:p w14:paraId="7424F389" w14:textId="77777777" w:rsidR="00203BFC" w:rsidRPr="00203BFC" w:rsidRDefault="00203BFC" w:rsidP="00721858">
      <w:pPr>
        <w:spacing w:line="360" w:lineRule="auto"/>
        <w:jc w:val="both"/>
      </w:pPr>
      <w:r w:rsidRPr="00203BFC">
        <w:t>Interruptions during drug rounds at Mid Staffordshire contributed to late or missed doses (Healthcare Commission, 2009). Westbrook et al. (2010) demonstrate interruptions correlate with higher medication error rates.</w:t>
      </w:r>
    </w:p>
    <w:p w14:paraId="489FB9B1" w14:textId="77777777" w:rsidR="00203BFC" w:rsidRPr="00203BFC" w:rsidRDefault="00203BFC" w:rsidP="00721858">
      <w:pPr>
        <w:spacing w:line="360" w:lineRule="auto"/>
        <w:jc w:val="both"/>
      </w:pPr>
      <w:r w:rsidRPr="00203BFC">
        <w:rPr>
          <w:b/>
          <w:bCs/>
        </w:rPr>
        <w:t>Operational steps:</w:t>
      </w:r>
    </w:p>
    <w:p w14:paraId="32A39CEF" w14:textId="77777777" w:rsidR="00203BFC" w:rsidRPr="00203BFC" w:rsidRDefault="00203BFC" w:rsidP="00721858">
      <w:pPr>
        <w:numPr>
          <w:ilvl w:val="0"/>
          <w:numId w:val="11"/>
        </w:numPr>
        <w:spacing w:line="360" w:lineRule="auto"/>
        <w:jc w:val="both"/>
      </w:pPr>
      <w:r w:rsidRPr="00203BFC">
        <w:t>Schedule medication rounds as protected time.</w:t>
      </w:r>
    </w:p>
    <w:p w14:paraId="49C84A4D" w14:textId="77777777" w:rsidR="00203BFC" w:rsidRPr="00203BFC" w:rsidRDefault="00203BFC" w:rsidP="00721858">
      <w:pPr>
        <w:numPr>
          <w:ilvl w:val="0"/>
          <w:numId w:val="11"/>
        </w:numPr>
        <w:spacing w:line="360" w:lineRule="auto"/>
        <w:jc w:val="both"/>
      </w:pPr>
      <w:r w:rsidRPr="00203BFC">
        <w:t>Display red tabards or signage to indicate interruption-free zone.</w:t>
      </w:r>
    </w:p>
    <w:p w14:paraId="23D73EC5" w14:textId="77777777" w:rsidR="00203BFC" w:rsidRPr="00203BFC" w:rsidRDefault="00203BFC" w:rsidP="00721858">
      <w:pPr>
        <w:numPr>
          <w:ilvl w:val="0"/>
          <w:numId w:val="11"/>
        </w:numPr>
        <w:spacing w:line="360" w:lineRule="auto"/>
        <w:jc w:val="both"/>
      </w:pPr>
      <w:r w:rsidRPr="00203BFC">
        <w:t>Reassign non-urgent tasks during rounds to floating staff.</w:t>
      </w:r>
    </w:p>
    <w:p w14:paraId="138FDA65" w14:textId="77777777" w:rsidR="00203BFC" w:rsidRPr="00203BFC" w:rsidRDefault="00203BFC" w:rsidP="00721858">
      <w:pPr>
        <w:spacing w:line="360" w:lineRule="auto"/>
        <w:jc w:val="both"/>
      </w:pPr>
      <w:r w:rsidRPr="00203BFC">
        <w:rPr>
          <w:b/>
          <w:bCs/>
        </w:rPr>
        <w:t>Monitoring metrics:</w:t>
      </w:r>
    </w:p>
    <w:p w14:paraId="10BA0B78" w14:textId="77777777" w:rsidR="00203BFC" w:rsidRPr="00203BFC" w:rsidRDefault="00203BFC" w:rsidP="00721858">
      <w:pPr>
        <w:numPr>
          <w:ilvl w:val="0"/>
          <w:numId w:val="12"/>
        </w:numPr>
        <w:spacing w:line="360" w:lineRule="auto"/>
        <w:jc w:val="both"/>
      </w:pPr>
      <w:r w:rsidRPr="00203BFC">
        <w:t>Number of missed or delayed doses pre- and post-implementation.</w:t>
      </w:r>
    </w:p>
    <w:p w14:paraId="4C56A59A" w14:textId="77777777" w:rsidR="00203BFC" w:rsidRPr="00203BFC" w:rsidRDefault="00203BFC" w:rsidP="00721858">
      <w:pPr>
        <w:numPr>
          <w:ilvl w:val="0"/>
          <w:numId w:val="12"/>
        </w:numPr>
        <w:spacing w:line="360" w:lineRule="auto"/>
        <w:jc w:val="both"/>
      </w:pPr>
      <w:r w:rsidRPr="00203BFC">
        <w:t>Staff and patient feedback via short weekly surveys.</w:t>
      </w:r>
    </w:p>
    <w:p w14:paraId="331BE8D3" w14:textId="77777777" w:rsidR="00203BFC" w:rsidRPr="00203BFC" w:rsidRDefault="00000000" w:rsidP="00721858">
      <w:pPr>
        <w:spacing w:line="360" w:lineRule="auto"/>
        <w:jc w:val="both"/>
      </w:pPr>
      <w:r>
        <w:pict w14:anchorId="4B30819C">
          <v:rect id="_x0000_i1033" style="width:0;height:1.5pt" o:hralign="center" o:hrstd="t" o:hr="t" fillcolor="#a0a0a0" stroked="f"/>
        </w:pict>
      </w:r>
    </w:p>
    <w:p w14:paraId="50BFC55C" w14:textId="4DA85DDF" w:rsidR="00203BFC" w:rsidRPr="00B92070" w:rsidRDefault="00203BFC" w:rsidP="00721858">
      <w:pPr>
        <w:spacing w:line="360" w:lineRule="auto"/>
        <w:jc w:val="both"/>
        <w:rPr>
          <w:b/>
          <w:bCs/>
          <w:sz w:val="32"/>
          <w:szCs w:val="32"/>
        </w:rPr>
      </w:pPr>
      <w:r w:rsidRPr="00B92070">
        <w:rPr>
          <w:b/>
          <w:bCs/>
          <w:sz w:val="32"/>
          <w:szCs w:val="32"/>
        </w:rPr>
        <w:t>3. Embed Pharmacists in Multidisciplinary Ward Teams</w:t>
      </w:r>
    </w:p>
    <w:p w14:paraId="68034B09" w14:textId="77777777" w:rsidR="00203BFC" w:rsidRPr="00203BFC" w:rsidRDefault="00203BFC" w:rsidP="00721858">
      <w:pPr>
        <w:spacing w:line="360" w:lineRule="auto"/>
        <w:jc w:val="both"/>
      </w:pPr>
      <w:r w:rsidRPr="00203BFC">
        <w:t>Pharmacist involvement in medication rounds improves prescribing accuracy and medicines optimisation (Barker et al., 2016). During the Mid Staffordshire period, pharmacy support was limited and reactive.</w:t>
      </w:r>
    </w:p>
    <w:p w14:paraId="616298B2" w14:textId="77777777" w:rsidR="00203BFC" w:rsidRPr="00203BFC" w:rsidRDefault="00203BFC" w:rsidP="00721858">
      <w:pPr>
        <w:spacing w:line="360" w:lineRule="auto"/>
        <w:jc w:val="both"/>
      </w:pPr>
      <w:r w:rsidRPr="00203BFC">
        <w:rPr>
          <w:b/>
          <w:bCs/>
        </w:rPr>
        <w:t>Operational steps:</w:t>
      </w:r>
    </w:p>
    <w:p w14:paraId="1E88CB3E" w14:textId="77777777" w:rsidR="00203BFC" w:rsidRPr="00203BFC" w:rsidRDefault="00203BFC" w:rsidP="00721858">
      <w:pPr>
        <w:numPr>
          <w:ilvl w:val="0"/>
          <w:numId w:val="13"/>
        </w:numPr>
        <w:spacing w:line="360" w:lineRule="auto"/>
        <w:jc w:val="both"/>
      </w:pPr>
      <w:r w:rsidRPr="00203BFC">
        <w:t>Assign a designated pharmacist to each acute ward.</w:t>
      </w:r>
    </w:p>
    <w:p w14:paraId="00E9D68E" w14:textId="77777777" w:rsidR="00203BFC" w:rsidRPr="00203BFC" w:rsidRDefault="00203BFC" w:rsidP="00721858">
      <w:pPr>
        <w:numPr>
          <w:ilvl w:val="0"/>
          <w:numId w:val="13"/>
        </w:numPr>
        <w:spacing w:line="360" w:lineRule="auto"/>
        <w:jc w:val="both"/>
      </w:pPr>
      <w:r w:rsidRPr="00203BFC">
        <w:t>Create weekly clinical pharmacy review meetings.</w:t>
      </w:r>
    </w:p>
    <w:p w14:paraId="25D8AE93" w14:textId="77777777" w:rsidR="00203BFC" w:rsidRPr="00203BFC" w:rsidRDefault="00203BFC" w:rsidP="00721858">
      <w:pPr>
        <w:numPr>
          <w:ilvl w:val="0"/>
          <w:numId w:val="13"/>
        </w:numPr>
        <w:spacing w:line="360" w:lineRule="auto"/>
        <w:jc w:val="both"/>
      </w:pPr>
      <w:r w:rsidRPr="00203BFC">
        <w:t>Include pharmacists in daily MDT handovers.</w:t>
      </w:r>
    </w:p>
    <w:p w14:paraId="04ADFE98" w14:textId="77777777" w:rsidR="00203BFC" w:rsidRPr="00203BFC" w:rsidRDefault="00000000" w:rsidP="00721858">
      <w:pPr>
        <w:spacing w:line="360" w:lineRule="auto"/>
        <w:jc w:val="both"/>
      </w:pPr>
      <w:r>
        <w:pict w14:anchorId="1EE914D1">
          <v:rect id="_x0000_i1034" style="width:0;height:1.5pt" o:hralign="center" o:hrstd="t" o:hr="t" fillcolor="#a0a0a0" stroked="f"/>
        </w:pict>
      </w:r>
    </w:p>
    <w:p w14:paraId="220CCD3F" w14:textId="77777777" w:rsidR="00203BFC" w:rsidRPr="00B92070" w:rsidRDefault="00203BFC" w:rsidP="00721858">
      <w:pPr>
        <w:spacing w:line="360" w:lineRule="auto"/>
        <w:jc w:val="both"/>
        <w:rPr>
          <w:b/>
          <w:bCs/>
          <w:sz w:val="32"/>
          <w:szCs w:val="32"/>
        </w:rPr>
      </w:pPr>
      <w:r w:rsidRPr="00B92070">
        <w:rPr>
          <w:b/>
          <w:bCs/>
          <w:sz w:val="32"/>
          <w:szCs w:val="32"/>
        </w:rPr>
        <w:lastRenderedPageBreak/>
        <w:t>4. Standardise High-Risk Medication Protocols</w:t>
      </w:r>
    </w:p>
    <w:p w14:paraId="602AB8AC" w14:textId="77777777" w:rsidR="00203BFC" w:rsidRPr="00203BFC" w:rsidRDefault="00203BFC" w:rsidP="00721858">
      <w:pPr>
        <w:spacing w:line="360" w:lineRule="auto"/>
        <w:jc w:val="both"/>
      </w:pPr>
      <w:r w:rsidRPr="00203BFC">
        <w:t>High-risk drugs (e.g., insulin, anticoagulants, opioids) should have dedicated safety protocols, double-checking procedures, and monitoring schedules. Failures in opioid and anticoagulant monitoring contributed to patient harm at Mid Staffordshire (Francis, 2013).</w:t>
      </w:r>
    </w:p>
    <w:p w14:paraId="61FB8B51" w14:textId="77777777" w:rsidR="00203BFC" w:rsidRPr="00203BFC" w:rsidRDefault="00203BFC" w:rsidP="00721858">
      <w:pPr>
        <w:spacing w:line="360" w:lineRule="auto"/>
        <w:jc w:val="both"/>
      </w:pPr>
      <w:r w:rsidRPr="00203BFC">
        <w:rPr>
          <w:b/>
          <w:bCs/>
        </w:rPr>
        <w:t>Operational steps:</w:t>
      </w:r>
    </w:p>
    <w:p w14:paraId="0A1C8915" w14:textId="77777777" w:rsidR="00203BFC" w:rsidRPr="00203BFC" w:rsidRDefault="00203BFC" w:rsidP="00721858">
      <w:pPr>
        <w:numPr>
          <w:ilvl w:val="0"/>
          <w:numId w:val="14"/>
        </w:numPr>
        <w:spacing w:line="360" w:lineRule="auto"/>
        <w:jc w:val="both"/>
      </w:pPr>
      <w:r w:rsidRPr="00203BFC">
        <w:t>Develop laminated quick-reference guides.</w:t>
      </w:r>
    </w:p>
    <w:p w14:paraId="03C39844" w14:textId="77777777" w:rsidR="00203BFC" w:rsidRPr="00203BFC" w:rsidRDefault="00203BFC" w:rsidP="00721858">
      <w:pPr>
        <w:numPr>
          <w:ilvl w:val="0"/>
          <w:numId w:val="14"/>
        </w:numPr>
        <w:spacing w:line="360" w:lineRule="auto"/>
        <w:jc w:val="both"/>
      </w:pPr>
      <w:r w:rsidRPr="00203BFC">
        <w:t>Implement mandatory independent double-checking for IV and high-risk medicines.</w:t>
      </w:r>
    </w:p>
    <w:p w14:paraId="01B50D92" w14:textId="77777777" w:rsidR="00203BFC" w:rsidRPr="00203BFC" w:rsidRDefault="00203BFC" w:rsidP="00721858">
      <w:pPr>
        <w:numPr>
          <w:ilvl w:val="0"/>
          <w:numId w:val="14"/>
        </w:numPr>
        <w:spacing w:line="360" w:lineRule="auto"/>
        <w:jc w:val="both"/>
      </w:pPr>
      <w:r w:rsidRPr="00203BFC">
        <w:t>Use visual alerts (stickers, EPMA flags) for high-risk prescriptions.</w:t>
      </w:r>
    </w:p>
    <w:p w14:paraId="19D65B9B" w14:textId="77777777" w:rsidR="00203BFC" w:rsidRPr="00203BFC" w:rsidRDefault="00203BFC" w:rsidP="00721858">
      <w:pPr>
        <w:spacing w:line="360" w:lineRule="auto"/>
        <w:jc w:val="both"/>
      </w:pPr>
      <w:r w:rsidRPr="00203BFC">
        <w:rPr>
          <w:b/>
          <w:bCs/>
        </w:rPr>
        <w:t>Metric:</w:t>
      </w:r>
      <w:r w:rsidRPr="00203BFC">
        <w:t xml:space="preserve"> Reduction in high-risk medication incidents.</w:t>
      </w:r>
    </w:p>
    <w:p w14:paraId="4F84FA50" w14:textId="77777777" w:rsidR="00203BFC" w:rsidRPr="00203BFC" w:rsidRDefault="00000000" w:rsidP="00721858">
      <w:pPr>
        <w:spacing w:line="360" w:lineRule="auto"/>
        <w:jc w:val="both"/>
      </w:pPr>
      <w:r>
        <w:pict w14:anchorId="6ED052EA">
          <v:rect id="_x0000_i1035" style="width:0;height:1.5pt" o:hralign="center" o:hrstd="t" o:hr="t" fillcolor="#a0a0a0" stroked="f"/>
        </w:pict>
      </w:r>
    </w:p>
    <w:p w14:paraId="3B83B7F6" w14:textId="77777777" w:rsidR="00203BFC" w:rsidRPr="00B92070" w:rsidRDefault="00203BFC" w:rsidP="00721858">
      <w:pPr>
        <w:spacing w:line="360" w:lineRule="auto"/>
        <w:jc w:val="both"/>
        <w:rPr>
          <w:b/>
          <w:bCs/>
          <w:sz w:val="32"/>
          <w:szCs w:val="32"/>
        </w:rPr>
      </w:pPr>
      <w:r w:rsidRPr="00B92070">
        <w:rPr>
          <w:b/>
          <w:bCs/>
          <w:sz w:val="32"/>
          <w:szCs w:val="32"/>
        </w:rPr>
        <w:t>5. Apply Six Sigma DMAIC to Reduce Variation in Medicines Administration</w:t>
      </w:r>
    </w:p>
    <w:p w14:paraId="47353D98" w14:textId="77777777" w:rsidR="00203BFC" w:rsidRPr="00203BFC" w:rsidRDefault="00203BFC" w:rsidP="00721858">
      <w:pPr>
        <w:spacing w:line="360" w:lineRule="auto"/>
        <w:jc w:val="both"/>
      </w:pPr>
      <w:r w:rsidRPr="00203BFC">
        <w:t>Using a Six Sigma approach ensures data-driven improvement: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6"/>
        <w:gridCol w:w="7840"/>
      </w:tblGrid>
      <w:tr w:rsidR="00203BFC" w:rsidRPr="00203BFC" w14:paraId="1C6F3D75" w14:textId="77777777">
        <w:trPr>
          <w:tblHeader/>
          <w:tblCellSpacing w:w="15" w:type="dxa"/>
        </w:trPr>
        <w:tc>
          <w:tcPr>
            <w:tcW w:w="0" w:type="auto"/>
            <w:vAlign w:val="center"/>
            <w:hideMark/>
          </w:tcPr>
          <w:p w14:paraId="6088D944" w14:textId="77777777" w:rsidR="00203BFC" w:rsidRPr="00203BFC" w:rsidRDefault="00203BFC" w:rsidP="00721858">
            <w:pPr>
              <w:spacing w:line="360" w:lineRule="auto"/>
              <w:jc w:val="both"/>
              <w:rPr>
                <w:b/>
                <w:bCs/>
              </w:rPr>
            </w:pPr>
            <w:r w:rsidRPr="00203BFC">
              <w:rPr>
                <w:b/>
                <w:bCs/>
              </w:rPr>
              <w:t>DMAIC Stage</w:t>
            </w:r>
          </w:p>
        </w:tc>
        <w:tc>
          <w:tcPr>
            <w:tcW w:w="0" w:type="auto"/>
            <w:vAlign w:val="center"/>
            <w:hideMark/>
          </w:tcPr>
          <w:p w14:paraId="7D03F8DD" w14:textId="77777777" w:rsidR="00203BFC" w:rsidRPr="00597A4A" w:rsidRDefault="00203BFC" w:rsidP="00721858">
            <w:pPr>
              <w:spacing w:line="360" w:lineRule="auto"/>
              <w:jc w:val="both"/>
            </w:pPr>
            <w:r w:rsidRPr="00597A4A">
              <w:t>Operational Action</w:t>
            </w:r>
          </w:p>
        </w:tc>
      </w:tr>
      <w:tr w:rsidR="00203BFC" w:rsidRPr="00203BFC" w14:paraId="3EAB170D" w14:textId="77777777">
        <w:trPr>
          <w:tblCellSpacing w:w="15" w:type="dxa"/>
        </w:trPr>
        <w:tc>
          <w:tcPr>
            <w:tcW w:w="0" w:type="auto"/>
            <w:vAlign w:val="center"/>
            <w:hideMark/>
          </w:tcPr>
          <w:p w14:paraId="72957F0D" w14:textId="77777777" w:rsidR="00203BFC" w:rsidRPr="00203BFC" w:rsidRDefault="00203BFC" w:rsidP="00721858">
            <w:pPr>
              <w:spacing w:line="360" w:lineRule="auto"/>
              <w:jc w:val="both"/>
            </w:pPr>
            <w:r w:rsidRPr="00203BFC">
              <w:rPr>
                <w:b/>
                <w:bCs/>
              </w:rPr>
              <w:t>Define</w:t>
            </w:r>
          </w:p>
        </w:tc>
        <w:tc>
          <w:tcPr>
            <w:tcW w:w="0" w:type="auto"/>
            <w:vAlign w:val="center"/>
            <w:hideMark/>
          </w:tcPr>
          <w:p w14:paraId="6C3815D9" w14:textId="77777777" w:rsidR="00203BFC" w:rsidRPr="00203BFC" w:rsidRDefault="00203BFC" w:rsidP="00721858">
            <w:pPr>
              <w:spacing w:line="360" w:lineRule="auto"/>
              <w:jc w:val="both"/>
            </w:pPr>
            <w:r w:rsidRPr="00203BFC">
              <w:t>Map current medication process workflow and identify failure points.</w:t>
            </w:r>
          </w:p>
        </w:tc>
      </w:tr>
      <w:tr w:rsidR="00203BFC" w:rsidRPr="00203BFC" w14:paraId="654EC31D" w14:textId="77777777">
        <w:trPr>
          <w:tblCellSpacing w:w="15" w:type="dxa"/>
        </w:trPr>
        <w:tc>
          <w:tcPr>
            <w:tcW w:w="0" w:type="auto"/>
            <w:vAlign w:val="center"/>
            <w:hideMark/>
          </w:tcPr>
          <w:p w14:paraId="44A012E2" w14:textId="77777777" w:rsidR="00203BFC" w:rsidRPr="00203BFC" w:rsidRDefault="00203BFC" w:rsidP="00721858">
            <w:pPr>
              <w:spacing w:line="360" w:lineRule="auto"/>
              <w:jc w:val="both"/>
            </w:pPr>
            <w:r w:rsidRPr="00203BFC">
              <w:rPr>
                <w:b/>
                <w:bCs/>
              </w:rPr>
              <w:t>Measure</w:t>
            </w:r>
          </w:p>
        </w:tc>
        <w:tc>
          <w:tcPr>
            <w:tcW w:w="0" w:type="auto"/>
            <w:vAlign w:val="center"/>
            <w:hideMark/>
          </w:tcPr>
          <w:p w14:paraId="4C0134AE" w14:textId="77777777" w:rsidR="00203BFC" w:rsidRPr="00203BFC" w:rsidRDefault="00203BFC" w:rsidP="00721858">
            <w:pPr>
              <w:spacing w:line="360" w:lineRule="auto"/>
              <w:jc w:val="both"/>
            </w:pPr>
            <w:r w:rsidRPr="00203BFC">
              <w:t>Establish baseline rates of omissions, incorrect doses, and delays.</w:t>
            </w:r>
          </w:p>
        </w:tc>
      </w:tr>
      <w:tr w:rsidR="00203BFC" w:rsidRPr="00203BFC" w14:paraId="684E3323" w14:textId="77777777">
        <w:trPr>
          <w:tblCellSpacing w:w="15" w:type="dxa"/>
        </w:trPr>
        <w:tc>
          <w:tcPr>
            <w:tcW w:w="0" w:type="auto"/>
            <w:vAlign w:val="center"/>
            <w:hideMark/>
          </w:tcPr>
          <w:p w14:paraId="19A00974" w14:textId="77777777" w:rsidR="00203BFC" w:rsidRPr="00203BFC" w:rsidRDefault="00203BFC" w:rsidP="00721858">
            <w:pPr>
              <w:spacing w:line="360" w:lineRule="auto"/>
              <w:jc w:val="both"/>
            </w:pPr>
            <w:r w:rsidRPr="00203BFC">
              <w:rPr>
                <w:b/>
                <w:bCs/>
              </w:rPr>
              <w:t>Analyse</w:t>
            </w:r>
          </w:p>
        </w:tc>
        <w:tc>
          <w:tcPr>
            <w:tcW w:w="0" w:type="auto"/>
            <w:vAlign w:val="center"/>
            <w:hideMark/>
          </w:tcPr>
          <w:p w14:paraId="2B97596B" w14:textId="77777777" w:rsidR="00203BFC" w:rsidRPr="00203BFC" w:rsidRDefault="00203BFC" w:rsidP="00721858">
            <w:pPr>
              <w:spacing w:line="360" w:lineRule="auto"/>
              <w:jc w:val="both"/>
            </w:pPr>
            <w:r w:rsidRPr="00203BFC">
              <w:t>Use Pareto analysis to identify most common causes of error.</w:t>
            </w:r>
          </w:p>
        </w:tc>
      </w:tr>
      <w:tr w:rsidR="00203BFC" w:rsidRPr="00203BFC" w14:paraId="250D65CA" w14:textId="77777777">
        <w:trPr>
          <w:tblCellSpacing w:w="15" w:type="dxa"/>
        </w:trPr>
        <w:tc>
          <w:tcPr>
            <w:tcW w:w="0" w:type="auto"/>
            <w:vAlign w:val="center"/>
            <w:hideMark/>
          </w:tcPr>
          <w:p w14:paraId="1B0CBAAE" w14:textId="77777777" w:rsidR="00203BFC" w:rsidRPr="00203BFC" w:rsidRDefault="00203BFC" w:rsidP="00721858">
            <w:pPr>
              <w:spacing w:line="360" w:lineRule="auto"/>
              <w:jc w:val="both"/>
            </w:pPr>
            <w:r w:rsidRPr="00203BFC">
              <w:rPr>
                <w:b/>
                <w:bCs/>
              </w:rPr>
              <w:t>Improve</w:t>
            </w:r>
          </w:p>
        </w:tc>
        <w:tc>
          <w:tcPr>
            <w:tcW w:w="0" w:type="auto"/>
            <w:vAlign w:val="center"/>
            <w:hideMark/>
          </w:tcPr>
          <w:p w14:paraId="52626D71" w14:textId="77777777" w:rsidR="00203BFC" w:rsidRPr="00203BFC" w:rsidRDefault="00203BFC" w:rsidP="00721858">
            <w:pPr>
              <w:spacing w:line="360" w:lineRule="auto"/>
              <w:jc w:val="both"/>
            </w:pPr>
            <w:r w:rsidRPr="00203BFC">
              <w:t>Implement targeted interventions: double-check protocols, protected rounds, reconciliation, EPMA alerts.</w:t>
            </w:r>
          </w:p>
        </w:tc>
      </w:tr>
      <w:tr w:rsidR="00203BFC" w:rsidRPr="00203BFC" w14:paraId="0E568F9A" w14:textId="77777777">
        <w:trPr>
          <w:tblCellSpacing w:w="15" w:type="dxa"/>
        </w:trPr>
        <w:tc>
          <w:tcPr>
            <w:tcW w:w="0" w:type="auto"/>
            <w:vAlign w:val="center"/>
            <w:hideMark/>
          </w:tcPr>
          <w:p w14:paraId="0E06B2C7" w14:textId="77777777" w:rsidR="00203BFC" w:rsidRPr="00203BFC" w:rsidRDefault="00203BFC" w:rsidP="00721858">
            <w:pPr>
              <w:spacing w:line="360" w:lineRule="auto"/>
              <w:jc w:val="both"/>
            </w:pPr>
            <w:r w:rsidRPr="00203BFC">
              <w:rPr>
                <w:b/>
                <w:bCs/>
              </w:rPr>
              <w:t>Control</w:t>
            </w:r>
          </w:p>
        </w:tc>
        <w:tc>
          <w:tcPr>
            <w:tcW w:w="0" w:type="auto"/>
            <w:vAlign w:val="center"/>
            <w:hideMark/>
          </w:tcPr>
          <w:p w14:paraId="32053F35" w14:textId="77777777" w:rsidR="00203BFC" w:rsidRPr="00203BFC" w:rsidRDefault="00203BFC" w:rsidP="00721858">
            <w:pPr>
              <w:spacing w:line="360" w:lineRule="auto"/>
              <w:jc w:val="both"/>
            </w:pPr>
            <w:r w:rsidRPr="00203BFC">
              <w:t>Continue monthly audits and integrate into dashboards for governance oversight.</w:t>
            </w:r>
          </w:p>
        </w:tc>
      </w:tr>
    </w:tbl>
    <w:p w14:paraId="29CFB507" w14:textId="77777777" w:rsidR="00203BFC" w:rsidRPr="00203BFC" w:rsidRDefault="00000000" w:rsidP="00721858">
      <w:pPr>
        <w:spacing w:line="360" w:lineRule="auto"/>
        <w:jc w:val="both"/>
      </w:pPr>
      <w:r>
        <w:pict w14:anchorId="4909D5AA">
          <v:rect id="_x0000_i1036" style="width:0;height:1.5pt" o:hralign="center" o:hrstd="t" o:hr="t" fillcolor="#a0a0a0" stroked="f"/>
        </w:pict>
      </w:r>
    </w:p>
    <w:p w14:paraId="38036240" w14:textId="77777777" w:rsidR="00721858" w:rsidRDefault="00721858" w:rsidP="00721858">
      <w:pPr>
        <w:spacing w:line="360" w:lineRule="auto"/>
        <w:jc w:val="both"/>
        <w:rPr>
          <w:b/>
          <w:bCs/>
          <w:sz w:val="32"/>
          <w:szCs w:val="32"/>
        </w:rPr>
      </w:pPr>
    </w:p>
    <w:p w14:paraId="5AEBD1F9" w14:textId="77777777" w:rsidR="00721858" w:rsidRDefault="00721858" w:rsidP="00721858">
      <w:pPr>
        <w:spacing w:line="360" w:lineRule="auto"/>
        <w:jc w:val="both"/>
        <w:rPr>
          <w:b/>
          <w:bCs/>
          <w:sz w:val="32"/>
          <w:szCs w:val="32"/>
        </w:rPr>
      </w:pPr>
    </w:p>
    <w:p w14:paraId="20609C38" w14:textId="74DCEFE3" w:rsidR="00203BFC" w:rsidRPr="00B92070" w:rsidRDefault="00203BFC" w:rsidP="00721858">
      <w:pPr>
        <w:spacing w:line="360" w:lineRule="auto"/>
        <w:jc w:val="both"/>
        <w:rPr>
          <w:b/>
          <w:bCs/>
          <w:sz w:val="32"/>
          <w:szCs w:val="32"/>
        </w:rPr>
      </w:pPr>
      <w:r w:rsidRPr="00B92070">
        <w:rPr>
          <w:b/>
          <w:bCs/>
          <w:sz w:val="32"/>
          <w:szCs w:val="32"/>
        </w:rPr>
        <w:lastRenderedPageBreak/>
        <w:t>6. Workforce Training and Competency Development</w:t>
      </w:r>
    </w:p>
    <w:p w14:paraId="3555DF8B" w14:textId="77777777" w:rsidR="00203BFC" w:rsidRPr="00203BFC" w:rsidRDefault="00203BFC" w:rsidP="00721858">
      <w:pPr>
        <w:spacing w:line="360" w:lineRule="auto"/>
        <w:jc w:val="both"/>
      </w:pPr>
      <w:r w:rsidRPr="00203BFC">
        <w:t>Staff shortages and skill gaps in medication knowledge contributed to unsafe practice at Mid Staffordshire (Francis, 2013). Competency-based training ensures staff understand safe prescribing, administration, escalation, and documentation requirements.</w:t>
      </w:r>
    </w:p>
    <w:p w14:paraId="3A6DB11C" w14:textId="77777777" w:rsidR="00203BFC" w:rsidRPr="00203BFC" w:rsidRDefault="00203BFC" w:rsidP="00721858">
      <w:pPr>
        <w:spacing w:line="360" w:lineRule="auto"/>
        <w:jc w:val="both"/>
      </w:pPr>
      <w:r w:rsidRPr="00203BFC">
        <w:rPr>
          <w:b/>
          <w:bCs/>
        </w:rPr>
        <w:t>Operational steps:</w:t>
      </w:r>
    </w:p>
    <w:p w14:paraId="1D30624E" w14:textId="77777777" w:rsidR="00203BFC" w:rsidRPr="00203BFC" w:rsidRDefault="00203BFC" w:rsidP="00721858">
      <w:pPr>
        <w:numPr>
          <w:ilvl w:val="0"/>
          <w:numId w:val="15"/>
        </w:numPr>
        <w:spacing w:line="360" w:lineRule="auto"/>
        <w:jc w:val="both"/>
      </w:pPr>
      <w:r w:rsidRPr="00203BFC">
        <w:t>Introduce mandatory medicines-safety training for nursing and medical staff.</w:t>
      </w:r>
    </w:p>
    <w:p w14:paraId="643809B9" w14:textId="77777777" w:rsidR="00203BFC" w:rsidRPr="00203BFC" w:rsidRDefault="00203BFC" w:rsidP="00721858">
      <w:pPr>
        <w:numPr>
          <w:ilvl w:val="0"/>
          <w:numId w:val="15"/>
        </w:numPr>
        <w:spacing w:line="360" w:lineRule="auto"/>
        <w:jc w:val="both"/>
      </w:pPr>
      <w:r w:rsidRPr="00203BFC">
        <w:t>Use simulation-based learning for high-risk scenarios (e.g., sepsis antibiotics, insulin errors).</w:t>
      </w:r>
    </w:p>
    <w:p w14:paraId="54D9F1AC" w14:textId="77777777" w:rsidR="00203BFC" w:rsidRPr="00203BFC" w:rsidRDefault="00203BFC" w:rsidP="00721858">
      <w:pPr>
        <w:numPr>
          <w:ilvl w:val="0"/>
          <w:numId w:val="15"/>
        </w:numPr>
        <w:spacing w:line="360" w:lineRule="auto"/>
        <w:jc w:val="both"/>
      </w:pPr>
      <w:r w:rsidRPr="00203BFC">
        <w:t>Provide competency assessments every 12–24 months.</w:t>
      </w:r>
    </w:p>
    <w:p w14:paraId="481929CD" w14:textId="77777777" w:rsidR="00203BFC" w:rsidRPr="00203BFC" w:rsidRDefault="00203BFC" w:rsidP="00721858">
      <w:pPr>
        <w:spacing w:line="360" w:lineRule="auto"/>
        <w:jc w:val="both"/>
      </w:pPr>
      <w:r w:rsidRPr="00203BFC">
        <w:t>Monitoring measure: Staff compliance rates and improvement in error types over time.</w:t>
      </w:r>
    </w:p>
    <w:p w14:paraId="086580E8" w14:textId="77777777" w:rsidR="00203BFC" w:rsidRPr="00203BFC" w:rsidRDefault="00000000" w:rsidP="00721858">
      <w:pPr>
        <w:spacing w:line="360" w:lineRule="auto"/>
        <w:jc w:val="both"/>
      </w:pPr>
      <w:r>
        <w:pict w14:anchorId="1956C1F0">
          <v:rect id="_x0000_i1037" style="width:0;height:1.5pt" o:hralign="center" o:hrstd="t" o:hr="t" fillcolor="#a0a0a0" stroked="f"/>
        </w:pict>
      </w:r>
    </w:p>
    <w:p w14:paraId="390EF92E" w14:textId="77777777" w:rsidR="00203BFC" w:rsidRPr="00B92070" w:rsidRDefault="00203BFC" w:rsidP="00721858">
      <w:pPr>
        <w:spacing w:line="360" w:lineRule="auto"/>
        <w:jc w:val="both"/>
        <w:rPr>
          <w:b/>
          <w:bCs/>
          <w:sz w:val="32"/>
          <w:szCs w:val="32"/>
        </w:rPr>
      </w:pPr>
      <w:r w:rsidRPr="00B92070">
        <w:rPr>
          <w:b/>
          <w:bCs/>
          <w:sz w:val="32"/>
          <w:szCs w:val="32"/>
        </w:rPr>
        <w:t>7. Improve Documentation and Digital Systems</w:t>
      </w:r>
    </w:p>
    <w:p w14:paraId="0E7A3CB2" w14:textId="77777777" w:rsidR="00203BFC" w:rsidRPr="00203BFC" w:rsidRDefault="00203BFC" w:rsidP="00721858">
      <w:pPr>
        <w:spacing w:line="360" w:lineRule="auto"/>
        <w:jc w:val="both"/>
      </w:pPr>
      <w:r w:rsidRPr="00203BFC">
        <w:t>Electronic Prescribing and Medicines Administration (EPMA) systems reduce transcription errors and support decision making (Cresswell et al., 2019). Where EPMA already exists, it must include:</w:t>
      </w:r>
    </w:p>
    <w:p w14:paraId="02772A1F" w14:textId="77777777" w:rsidR="00203BFC" w:rsidRPr="00203BFC" w:rsidRDefault="00203BFC" w:rsidP="00721858">
      <w:pPr>
        <w:numPr>
          <w:ilvl w:val="0"/>
          <w:numId w:val="16"/>
        </w:numPr>
        <w:spacing w:line="360" w:lineRule="auto"/>
        <w:jc w:val="both"/>
      </w:pPr>
      <w:r w:rsidRPr="00203BFC">
        <w:t>Clinical alerts for allergies and high-risk medications.</w:t>
      </w:r>
    </w:p>
    <w:p w14:paraId="3097963E" w14:textId="77777777" w:rsidR="00203BFC" w:rsidRPr="00203BFC" w:rsidRDefault="00203BFC" w:rsidP="00721858">
      <w:pPr>
        <w:numPr>
          <w:ilvl w:val="0"/>
          <w:numId w:val="16"/>
        </w:numPr>
        <w:spacing w:line="360" w:lineRule="auto"/>
        <w:jc w:val="both"/>
      </w:pPr>
      <w:r w:rsidRPr="00203BFC">
        <w:t>Dose calculation support (e.g., paediatric or renal dosing).</w:t>
      </w:r>
    </w:p>
    <w:p w14:paraId="426B9E18" w14:textId="77777777" w:rsidR="00203BFC" w:rsidRPr="00203BFC" w:rsidRDefault="00203BFC" w:rsidP="00721858">
      <w:pPr>
        <w:numPr>
          <w:ilvl w:val="0"/>
          <w:numId w:val="16"/>
        </w:numPr>
        <w:spacing w:line="360" w:lineRule="auto"/>
        <w:jc w:val="both"/>
      </w:pPr>
      <w:r w:rsidRPr="00203BFC">
        <w:t>Barcode scanning to ensure the right patient and right dose.</w:t>
      </w:r>
    </w:p>
    <w:p w14:paraId="359CD9D5" w14:textId="77777777" w:rsidR="00203BFC" w:rsidRPr="00203BFC" w:rsidRDefault="00203BFC" w:rsidP="00721858">
      <w:pPr>
        <w:spacing w:line="360" w:lineRule="auto"/>
        <w:jc w:val="both"/>
      </w:pPr>
      <w:r w:rsidRPr="00203BFC">
        <w:t>Implementation should include IT training and technical support to avoid workarounds.</w:t>
      </w:r>
    </w:p>
    <w:p w14:paraId="5D5D956C" w14:textId="77777777" w:rsidR="00203BFC" w:rsidRPr="00203BFC" w:rsidRDefault="00000000" w:rsidP="00721858">
      <w:pPr>
        <w:spacing w:line="360" w:lineRule="auto"/>
        <w:jc w:val="both"/>
      </w:pPr>
      <w:r>
        <w:pict w14:anchorId="305ACC3C">
          <v:rect id="_x0000_i1038" style="width:0;height:1.5pt" o:hralign="center" o:hrstd="t" o:hr="t" fillcolor="#a0a0a0" stroked="f"/>
        </w:pict>
      </w:r>
    </w:p>
    <w:p w14:paraId="6A3A304A" w14:textId="77777777" w:rsidR="00203BFC" w:rsidRPr="00B92070" w:rsidRDefault="00203BFC" w:rsidP="00721858">
      <w:pPr>
        <w:spacing w:line="360" w:lineRule="auto"/>
        <w:jc w:val="both"/>
        <w:rPr>
          <w:b/>
          <w:bCs/>
          <w:sz w:val="32"/>
          <w:szCs w:val="32"/>
        </w:rPr>
      </w:pPr>
      <w:r w:rsidRPr="00B92070">
        <w:rPr>
          <w:b/>
          <w:bCs/>
          <w:sz w:val="32"/>
          <w:szCs w:val="32"/>
        </w:rPr>
        <w:t>8. Strengthen Reporting and Learning Systems</w:t>
      </w:r>
    </w:p>
    <w:p w14:paraId="555B81D7" w14:textId="77777777" w:rsidR="00203BFC" w:rsidRPr="00203BFC" w:rsidRDefault="00203BFC" w:rsidP="00721858">
      <w:pPr>
        <w:spacing w:line="360" w:lineRule="auto"/>
        <w:jc w:val="both"/>
      </w:pPr>
      <w:r w:rsidRPr="00203BFC">
        <w:t>A major contributor to continued harm at Mid Staffordshire was the failure to learn from repeated medication incidents (Francis, 2013). A Just Culture approach must be adopted to support learning without fear of blame (NHS England, 2019).</w:t>
      </w:r>
    </w:p>
    <w:p w14:paraId="3290F1B8" w14:textId="77777777" w:rsidR="00203BFC" w:rsidRPr="00203BFC" w:rsidRDefault="00203BFC" w:rsidP="00721858">
      <w:pPr>
        <w:spacing w:line="360" w:lineRule="auto"/>
        <w:jc w:val="both"/>
      </w:pPr>
      <w:r w:rsidRPr="00203BFC">
        <w:rPr>
          <w:b/>
          <w:bCs/>
        </w:rPr>
        <w:t>Operational Features:</w:t>
      </w:r>
    </w:p>
    <w:p w14:paraId="7D95E6CC" w14:textId="77777777" w:rsidR="00203BFC" w:rsidRPr="00203BFC" w:rsidRDefault="00203BFC" w:rsidP="00721858">
      <w:pPr>
        <w:numPr>
          <w:ilvl w:val="0"/>
          <w:numId w:val="17"/>
        </w:numPr>
        <w:spacing w:line="360" w:lineRule="auto"/>
        <w:jc w:val="both"/>
      </w:pPr>
      <w:r w:rsidRPr="00203BFC">
        <w:t>Simplify incident reporting through user-friendly digital platforms.</w:t>
      </w:r>
    </w:p>
    <w:p w14:paraId="7AC420D5" w14:textId="77777777" w:rsidR="00203BFC" w:rsidRPr="00203BFC" w:rsidRDefault="00203BFC" w:rsidP="00721858">
      <w:pPr>
        <w:numPr>
          <w:ilvl w:val="0"/>
          <w:numId w:val="17"/>
        </w:numPr>
        <w:spacing w:line="360" w:lineRule="auto"/>
        <w:jc w:val="both"/>
      </w:pPr>
      <w:r w:rsidRPr="00203BFC">
        <w:t>Hold weekly learning huddles to review themes.</w:t>
      </w:r>
    </w:p>
    <w:p w14:paraId="512C8DFA" w14:textId="77777777" w:rsidR="00203BFC" w:rsidRPr="00203BFC" w:rsidRDefault="00203BFC" w:rsidP="00721858">
      <w:pPr>
        <w:numPr>
          <w:ilvl w:val="0"/>
          <w:numId w:val="17"/>
        </w:numPr>
        <w:spacing w:line="360" w:lineRule="auto"/>
        <w:jc w:val="both"/>
      </w:pPr>
      <w:r w:rsidRPr="00203BFC">
        <w:lastRenderedPageBreak/>
        <w:t>Share quarterly learning bulletins across all wards.</w:t>
      </w:r>
    </w:p>
    <w:p w14:paraId="354FA0BD" w14:textId="77777777" w:rsidR="00203BFC" w:rsidRPr="00203BFC" w:rsidRDefault="00203BFC" w:rsidP="00721858">
      <w:pPr>
        <w:spacing w:line="360" w:lineRule="auto"/>
        <w:jc w:val="both"/>
      </w:pPr>
      <w:r w:rsidRPr="00203BFC">
        <w:t>Metric: Increase in near-miss reporting rates (a sign of cultural safety).</w:t>
      </w:r>
    </w:p>
    <w:p w14:paraId="4AD6423C" w14:textId="77777777" w:rsidR="00203BFC" w:rsidRPr="00203BFC" w:rsidRDefault="00000000" w:rsidP="00721858">
      <w:pPr>
        <w:spacing w:line="360" w:lineRule="auto"/>
        <w:jc w:val="both"/>
      </w:pPr>
      <w:r>
        <w:pict w14:anchorId="2659EE8B">
          <v:rect id="_x0000_i1039" style="width:0;height:1.5pt" o:hralign="center" o:hrstd="t" o:hr="t" fillcolor="#a0a0a0" stroked="f"/>
        </w:pict>
      </w:r>
    </w:p>
    <w:p w14:paraId="18B7CDE4" w14:textId="4DC4D528" w:rsidR="00203BFC" w:rsidRPr="00B92070" w:rsidRDefault="00203BFC" w:rsidP="00721858">
      <w:pPr>
        <w:spacing w:line="360" w:lineRule="auto"/>
        <w:jc w:val="both"/>
        <w:rPr>
          <w:b/>
          <w:bCs/>
          <w:sz w:val="32"/>
          <w:szCs w:val="32"/>
        </w:rPr>
      </w:pPr>
      <w:r w:rsidRPr="00B92070">
        <w:rPr>
          <w:b/>
          <w:bCs/>
          <w:sz w:val="32"/>
          <w:szCs w:val="32"/>
        </w:rPr>
        <w:t>9. Sustain Improvement Using the NHS Sustainability Model</w:t>
      </w:r>
    </w:p>
    <w:p w14:paraId="5E62725A" w14:textId="77777777" w:rsidR="00203BFC" w:rsidRPr="00203BFC" w:rsidRDefault="00203BFC" w:rsidP="00721858">
      <w:pPr>
        <w:spacing w:line="360" w:lineRule="auto"/>
        <w:jc w:val="both"/>
      </w:pPr>
      <w:r w:rsidRPr="00203BFC">
        <w:t>Short-term improvement risks regression without ongoing reinforcement (Maher et al., 2010). Sustainability requires:</w:t>
      </w:r>
    </w:p>
    <w:p w14:paraId="01C9CE53" w14:textId="77777777" w:rsidR="00203BFC" w:rsidRPr="00203BFC" w:rsidRDefault="00203BFC" w:rsidP="00721858">
      <w:pPr>
        <w:numPr>
          <w:ilvl w:val="0"/>
          <w:numId w:val="18"/>
        </w:numPr>
        <w:spacing w:line="360" w:lineRule="auto"/>
        <w:jc w:val="both"/>
      </w:pPr>
      <w:r w:rsidRPr="00203BFC">
        <w:t>Continuous leadership visibility.</w:t>
      </w:r>
    </w:p>
    <w:p w14:paraId="35FD01A5" w14:textId="77777777" w:rsidR="00203BFC" w:rsidRPr="00203BFC" w:rsidRDefault="00203BFC" w:rsidP="00721858">
      <w:pPr>
        <w:numPr>
          <w:ilvl w:val="0"/>
          <w:numId w:val="18"/>
        </w:numPr>
        <w:spacing w:line="360" w:lineRule="auto"/>
        <w:jc w:val="both"/>
      </w:pPr>
      <w:r w:rsidRPr="00203BFC">
        <w:t>Regular workforce engagement.</w:t>
      </w:r>
    </w:p>
    <w:p w14:paraId="4634F953" w14:textId="77777777" w:rsidR="00203BFC" w:rsidRPr="00203BFC" w:rsidRDefault="00203BFC" w:rsidP="00721858">
      <w:pPr>
        <w:numPr>
          <w:ilvl w:val="0"/>
          <w:numId w:val="18"/>
        </w:numPr>
        <w:spacing w:line="360" w:lineRule="auto"/>
        <w:jc w:val="both"/>
      </w:pPr>
      <w:r w:rsidRPr="00203BFC">
        <w:t>Monitoring of medicines-safety indicators through dashboards.</w:t>
      </w:r>
    </w:p>
    <w:p w14:paraId="794DC296" w14:textId="77777777" w:rsidR="00203BFC" w:rsidRDefault="00203BFC" w:rsidP="00721858">
      <w:pPr>
        <w:spacing w:line="360" w:lineRule="auto"/>
        <w:jc w:val="both"/>
      </w:pPr>
      <w:r w:rsidRPr="00203BFC">
        <w:t>Quarterly governance review meetings should assess trends and adapt interventions.</w:t>
      </w:r>
    </w:p>
    <w:p w14:paraId="0CEC773B" w14:textId="2A8424F8" w:rsidR="00AA12DE" w:rsidRDefault="00AA12DE" w:rsidP="00721858">
      <w:pPr>
        <w:spacing w:line="360" w:lineRule="auto"/>
        <w:jc w:val="both"/>
        <w:rPr>
          <w:b/>
          <w:bCs/>
          <w:sz w:val="32"/>
          <w:szCs w:val="32"/>
        </w:rPr>
      </w:pPr>
      <w:r w:rsidRPr="00B92070">
        <w:rPr>
          <w:b/>
          <w:bCs/>
          <w:sz w:val="32"/>
          <w:szCs w:val="32"/>
        </w:rPr>
        <w:t>C</w:t>
      </w:r>
      <w:r w:rsidR="00B92070" w:rsidRPr="00B92070">
        <w:rPr>
          <w:b/>
          <w:bCs/>
          <w:sz w:val="32"/>
          <w:szCs w:val="32"/>
        </w:rPr>
        <w:t>onclusion</w:t>
      </w:r>
    </w:p>
    <w:p w14:paraId="09DE9D7B" w14:textId="46DC4FC1" w:rsidR="00D86D38" w:rsidRPr="00AA12DE" w:rsidRDefault="00D86D38" w:rsidP="00721858">
      <w:pPr>
        <w:spacing w:line="360" w:lineRule="auto"/>
        <w:jc w:val="both"/>
        <w:rPr>
          <w:b/>
          <w:bCs/>
          <w:sz w:val="32"/>
          <w:szCs w:val="32"/>
        </w:rPr>
      </w:pPr>
      <w:r w:rsidRPr="00D86D38">
        <w:t>The failures in medication safety at Mid Staffordshire NHS Foundation Trust revealed deep systemic weaknesses in leadership, governance, staffing and clinical processes. These shortcomings showed that medication errors were not isolated events but symptoms of an organisation where patient safety was deprioritised and risks went unreported or unresolved (Francis, 2013). Weak medicines governance, inconsistent documentation, poor communication, inadequate staffing and limited pharmacy input contributed to missed doses, incorrect administration and avoidable harm (Healthcare Commission, 2009).</w:t>
      </w:r>
    </w:p>
    <w:p w14:paraId="3C4C21CB" w14:textId="77777777" w:rsidR="00D86D38" w:rsidRDefault="00D86D38" w:rsidP="00721858">
      <w:pPr>
        <w:spacing w:line="360" w:lineRule="auto"/>
        <w:jc w:val="both"/>
      </w:pPr>
      <w:r w:rsidRPr="00D86D38">
        <w:t>This report used analytical frameworks—including the Fishbone Diagram, Five Whys, Donabedian’s model and SWOT analysis—to demonstrate how these problems developed and persisted. The findings emphasise that the causes were interlinked and required system-level solutions rather than blame directed at individuals. Improvement therefore depends on redesigning processes, developing staff capability and fostering a culture that prioritises safety.</w:t>
      </w:r>
    </w:p>
    <w:p w14:paraId="39E5E3E3" w14:textId="77777777" w:rsidR="006251B8" w:rsidRDefault="006251B8" w:rsidP="00721858">
      <w:pPr>
        <w:spacing w:line="360" w:lineRule="auto"/>
        <w:jc w:val="both"/>
        <w:rPr>
          <w:b/>
          <w:bCs/>
        </w:rPr>
      </w:pPr>
    </w:p>
    <w:p w14:paraId="59EA9151" w14:textId="77777777" w:rsidR="00721858" w:rsidRDefault="00721858" w:rsidP="00721858">
      <w:pPr>
        <w:spacing w:line="360" w:lineRule="auto"/>
        <w:jc w:val="both"/>
        <w:rPr>
          <w:b/>
          <w:bCs/>
        </w:rPr>
      </w:pPr>
    </w:p>
    <w:p w14:paraId="055A6032" w14:textId="77777777" w:rsidR="00F27B3F" w:rsidRDefault="00F27B3F" w:rsidP="00721858">
      <w:pPr>
        <w:spacing w:line="360" w:lineRule="auto"/>
        <w:jc w:val="both"/>
        <w:rPr>
          <w:b/>
          <w:bCs/>
          <w:sz w:val="36"/>
          <w:szCs w:val="36"/>
        </w:rPr>
      </w:pPr>
    </w:p>
    <w:p w14:paraId="7E852783" w14:textId="77777777" w:rsidR="00F27B3F" w:rsidRDefault="00F27B3F" w:rsidP="00721858">
      <w:pPr>
        <w:spacing w:line="360" w:lineRule="auto"/>
        <w:jc w:val="both"/>
        <w:rPr>
          <w:b/>
          <w:bCs/>
          <w:sz w:val="36"/>
          <w:szCs w:val="36"/>
        </w:rPr>
      </w:pPr>
    </w:p>
    <w:p w14:paraId="5F0DE195" w14:textId="772917DB" w:rsidR="00B03A6C" w:rsidRPr="00AA12DE" w:rsidRDefault="00B03A6C" w:rsidP="00721858">
      <w:pPr>
        <w:spacing w:line="360" w:lineRule="auto"/>
        <w:jc w:val="both"/>
        <w:rPr>
          <w:sz w:val="36"/>
          <w:szCs w:val="36"/>
        </w:rPr>
      </w:pPr>
      <w:r w:rsidRPr="00AA12DE">
        <w:rPr>
          <w:b/>
          <w:bCs/>
          <w:sz w:val="36"/>
          <w:szCs w:val="36"/>
        </w:rPr>
        <w:lastRenderedPageBreak/>
        <w:t>References</w:t>
      </w:r>
    </w:p>
    <w:p w14:paraId="3294051E" w14:textId="77777777" w:rsidR="00B03A6C" w:rsidRPr="00B03A6C" w:rsidRDefault="00B03A6C" w:rsidP="00721858">
      <w:pPr>
        <w:spacing w:line="360" w:lineRule="auto"/>
        <w:ind w:left="720"/>
        <w:jc w:val="both"/>
      </w:pPr>
      <w:r w:rsidRPr="00B03A6C">
        <w:t xml:space="preserve">Academy of Medical Royal Colleges (2012) </w:t>
      </w:r>
      <w:r w:rsidRPr="00B03A6C">
        <w:rPr>
          <w:i/>
          <w:iCs/>
        </w:rPr>
        <w:t>Improving patient safety: medicines management.</w:t>
      </w:r>
      <w:r w:rsidRPr="00B03A6C">
        <w:t xml:space="preserve"> London: AMRC.</w:t>
      </w:r>
    </w:p>
    <w:p w14:paraId="739530A1" w14:textId="77777777" w:rsidR="00B03A6C" w:rsidRPr="00B03A6C" w:rsidRDefault="00B03A6C" w:rsidP="00721858">
      <w:pPr>
        <w:spacing w:line="360" w:lineRule="auto"/>
        <w:ind w:left="720"/>
        <w:jc w:val="both"/>
      </w:pPr>
      <w:proofErr w:type="spellStart"/>
      <w:r w:rsidRPr="00B03A6C">
        <w:t>Alqenae</w:t>
      </w:r>
      <w:proofErr w:type="spellEnd"/>
      <w:r w:rsidRPr="00B03A6C">
        <w:t xml:space="preserve">, F.A. (2023) ‘Analysis of the nature and contributory factors to patient safety incidents’, </w:t>
      </w:r>
      <w:r w:rsidRPr="00B03A6C">
        <w:rPr>
          <w:i/>
          <w:iCs/>
        </w:rPr>
        <w:t>Therapeutic Advances in Drug Safety</w:t>
      </w:r>
      <w:r w:rsidRPr="00B03A6C">
        <w:t xml:space="preserve">, 14. Available at: </w:t>
      </w:r>
      <w:hyperlink r:id="rId13" w:tgtFrame="_new" w:history="1">
        <w:r w:rsidRPr="00B03A6C">
          <w:rPr>
            <w:rStyle w:val="Hyperlink"/>
          </w:rPr>
          <w:t>https://journals.sagepub.com/doi/10.1177/20420986231154365</w:t>
        </w:r>
      </w:hyperlink>
      <w:r w:rsidRPr="00B03A6C">
        <w:t xml:space="preserve"> (Accessed: date).</w:t>
      </w:r>
    </w:p>
    <w:p w14:paraId="3D777D6F" w14:textId="77777777" w:rsidR="00B03A6C" w:rsidRPr="00B03A6C" w:rsidRDefault="00B03A6C" w:rsidP="00721858">
      <w:pPr>
        <w:spacing w:line="360" w:lineRule="auto"/>
        <w:ind w:left="720"/>
        <w:jc w:val="both"/>
      </w:pPr>
      <w:proofErr w:type="spellStart"/>
      <w:r w:rsidRPr="00B03A6C">
        <w:t>Alrowily</w:t>
      </w:r>
      <w:proofErr w:type="spellEnd"/>
      <w:r w:rsidRPr="00B03A6C">
        <w:t xml:space="preserve">, A. (2024) ‘High-risk medication errors: Insights from the UK National context’, </w:t>
      </w:r>
      <w:r w:rsidRPr="00B03A6C">
        <w:rPr>
          <w:i/>
          <w:iCs/>
        </w:rPr>
        <w:t>Pharmacoepidemiology and Drug Safety</w:t>
      </w:r>
      <w:r w:rsidRPr="00B03A6C">
        <w:t xml:space="preserve">. Available at: </w:t>
      </w:r>
      <w:hyperlink r:id="rId14" w:tgtFrame="_new" w:history="1">
        <w:r w:rsidRPr="00B03A6C">
          <w:rPr>
            <w:rStyle w:val="Hyperlink"/>
          </w:rPr>
          <w:t>https://pmc.ncbi.nlm.nih.gov/articles/PMC11683304/</w:t>
        </w:r>
      </w:hyperlink>
      <w:r w:rsidRPr="00B03A6C">
        <w:t xml:space="preserve"> (Accessed: date).</w:t>
      </w:r>
    </w:p>
    <w:p w14:paraId="2C13E95C" w14:textId="77777777" w:rsidR="00B03A6C" w:rsidRPr="00B03A6C" w:rsidRDefault="00B03A6C" w:rsidP="00721858">
      <w:pPr>
        <w:spacing w:line="360" w:lineRule="auto"/>
        <w:ind w:left="720"/>
        <w:jc w:val="both"/>
      </w:pPr>
      <w:r w:rsidRPr="00B03A6C">
        <w:t xml:space="preserve">Barker, K. et al. (2016) ‘Pharmacist involvement in ward rounds’, </w:t>
      </w:r>
      <w:r w:rsidRPr="00B03A6C">
        <w:rPr>
          <w:i/>
          <w:iCs/>
        </w:rPr>
        <w:t>International Journal of Pharmacy Practice</w:t>
      </w:r>
      <w:r w:rsidRPr="00B03A6C">
        <w:t>, 24(5), pp. 342–350.</w:t>
      </w:r>
    </w:p>
    <w:p w14:paraId="12EC46B1" w14:textId="77777777" w:rsidR="00B03A6C" w:rsidRPr="00B03A6C" w:rsidRDefault="00B03A6C" w:rsidP="00721858">
      <w:pPr>
        <w:spacing w:line="360" w:lineRule="auto"/>
        <w:ind w:left="720"/>
        <w:jc w:val="both"/>
      </w:pPr>
      <w:r w:rsidRPr="00B03A6C">
        <w:t xml:space="preserve">BMA (2010) </w:t>
      </w:r>
      <w:r w:rsidRPr="00B03A6C">
        <w:rPr>
          <w:i/>
          <w:iCs/>
        </w:rPr>
        <w:t>Safe staffing in the NHS: guidance and recommendations.</w:t>
      </w:r>
      <w:r w:rsidRPr="00B03A6C">
        <w:t xml:space="preserve"> London: British Medical Association.</w:t>
      </w:r>
    </w:p>
    <w:p w14:paraId="0D60A6BB" w14:textId="77777777" w:rsidR="00B03A6C" w:rsidRPr="00B03A6C" w:rsidRDefault="00B03A6C" w:rsidP="00721858">
      <w:pPr>
        <w:spacing w:line="360" w:lineRule="auto"/>
        <w:ind w:left="720"/>
        <w:jc w:val="both"/>
      </w:pPr>
      <w:r w:rsidRPr="00B03A6C">
        <w:t xml:space="preserve">Berwick, D. (2013) </w:t>
      </w:r>
      <w:r w:rsidRPr="00B03A6C">
        <w:rPr>
          <w:i/>
          <w:iCs/>
        </w:rPr>
        <w:t>A promise to learn – a commitment to act: Improving the safety of patients in England.</w:t>
      </w:r>
      <w:r w:rsidRPr="00B03A6C">
        <w:t xml:space="preserve"> London: National Advisory Group on the Safety of Patients in England.</w:t>
      </w:r>
    </w:p>
    <w:p w14:paraId="4FE910C6" w14:textId="77777777" w:rsidR="00B03A6C" w:rsidRPr="00B03A6C" w:rsidRDefault="00B03A6C" w:rsidP="00721858">
      <w:pPr>
        <w:spacing w:line="360" w:lineRule="auto"/>
        <w:ind w:left="720"/>
        <w:jc w:val="both"/>
      </w:pPr>
      <w:r w:rsidRPr="00B03A6C">
        <w:t xml:space="preserve">Cresswell, K. et al. (2019) ‘Electronic prescribing and medication administration systems’, </w:t>
      </w:r>
      <w:r w:rsidRPr="00B03A6C">
        <w:rPr>
          <w:i/>
          <w:iCs/>
        </w:rPr>
        <w:t>BMJ Health &amp; Care Informatics</w:t>
      </w:r>
      <w:r w:rsidRPr="00B03A6C">
        <w:t>, 26(1), p. e100013.</w:t>
      </w:r>
    </w:p>
    <w:p w14:paraId="3B3568A7" w14:textId="77777777" w:rsidR="00B03A6C" w:rsidRDefault="00B03A6C" w:rsidP="00721858">
      <w:pPr>
        <w:spacing w:line="360" w:lineRule="auto"/>
        <w:ind w:left="720"/>
        <w:jc w:val="both"/>
      </w:pPr>
      <w:r w:rsidRPr="00B03A6C">
        <w:t xml:space="preserve">CQC (2010) </w:t>
      </w:r>
      <w:r w:rsidRPr="00B03A6C">
        <w:rPr>
          <w:i/>
          <w:iCs/>
        </w:rPr>
        <w:t>Rapid literature review: characteristics of safety cultures.</w:t>
      </w:r>
      <w:r w:rsidRPr="00B03A6C">
        <w:t xml:space="preserve"> Care Quality Commission. Available at: </w:t>
      </w:r>
      <w:hyperlink r:id="rId15" w:tgtFrame="_new" w:history="1">
        <w:r w:rsidRPr="00B03A6C">
          <w:rPr>
            <w:rStyle w:val="Hyperlink"/>
          </w:rPr>
          <w:t>https://www.cqc.org.uk/sites/default/files/2023-07/202307-RapidLiteratureReview-safety.odt</w:t>
        </w:r>
      </w:hyperlink>
      <w:r w:rsidRPr="00B03A6C">
        <w:t xml:space="preserve"> (Accessed: date).</w:t>
      </w:r>
    </w:p>
    <w:p w14:paraId="005D877E" w14:textId="3108A64C" w:rsidR="00AF62DA" w:rsidRPr="00B03A6C" w:rsidRDefault="00AF62DA" w:rsidP="00721858">
      <w:pPr>
        <w:spacing w:line="360" w:lineRule="auto"/>
        <w:ind w:left="720"/>
        <w:jc w:val="both"/>
      </w:pPr>
      <w:proofErr w:type="spellStart"/>
      <w:r w:rsidRPr="00AF62DA">
        <w:t>Editverse</w:t>
      </w:r>
      <w:proofErr w:type="spellEnd"/>
      <w:r w:rsidRPr="00AF62DA">
        <w:t xml:space="preserve"> (n.d.) </w:t>
      </w:r>
      <w:r w:rsidRPr="00AF62DA">
        <w:rPr>
          <w:i/>
          <w:iCs/>
        </w:rPr>
        <w:t>Donabedian Model infographic</w:t>
      </w:r>
      <w:r w:rsidRPr="00AF62DA">
        <w:t xml:space="preserve">. Available at: </w:t>
      </w:r>
      <w:hyperlink r:id="rId16" w:tgtFrame="_new" w:history="1">
        <w:r w:rsidRPr="00AF62DA">
          <w:rPr>
            <w:rStyle w:val="Hyperlink"/>
          </w:rPr>
          <w:t>https://editverse.com</w:t>
        </w:r>
      </w:hyperlink>
    </w:p>
    <w:p w14:paraId="0AFC97A7" w14:textId="77777777" w:rsidR="00B03A6C" w:rsidRPr="00B03A6C" w:rsidRDefault="00B03A6C" w:rsidP="00721858">
      <w:pPr>
        <w:spacing w:line="360" w:lineRule="auto"/>
        <w:ind w:left="720"/>
        <w:jc w:val="both"/>
      </w:pPr>
      <w:r w:rsidRPr="00B03A6C">
        <w:t xml:space="preserve">Francis, R. (2013) </w:t>
      </w:r>
      <w:r w:rsidRPr="00B03A6C">
        <w:rPr>
          <w:i/>
          <w:iCs/>
        </w:rPr>
        <w:t>Report of the Mid Staffordshire NHS Foundation Trust Public Inquiry.</w:t>
      </w:r>
      <w:r w:rsidRPr="00B03A6C">
        <w:t xml:space="preserve"> London: The Stationery Office.</w:t>
      </w:r>
    </w:p>
    <w:p w14:paraId="17529200" w14:textId="77777777" w:rsidR="00B03A6C" w:rsidRPr="00B03A6C" w:rsidRDefault="00B03A6C" w:rsidP="00721858">
      <w:pPr>
        <w:spacing w:line="360" w:lineRule="auto"/>
        <w:ind w:left="720"/>
        <w:jc w:val="both"/>
      </w:pPr>
      <w:r w:rsidRPr="00B03A6C">
        <w:t xml:space="preserve">Healthcare Commission (2009) </w:t>
      </w:r>
      <w:r w:rsidRPr="00B03A6C">
        <w:rPr>
          <w:i/>
          <w:iCs/>
        </w:rPr>
        <w:t>Investigation into Mid Staffordshire NHS Foundation Trust.</w:t>
      </w:r>
      <w:r w:rsidRPr="00B03A6C">
        <w:t xml:space="preserve"> London: Healthcare Commission.</w:t>
      </w:r>
    </w:p>
    <w:p w14:paraId="55B7C38B" w14:textId="77777777" w:rsidR="00B03A6C" w:rsidRPr="00B03A6C" w:rsidRDefault="00B03A6C" w:rsidP="00721858">
      <w:pPr>
        <w:spacing w:line="360" w:lineRule="auto"/>
        <w:ind w:left="720"/>
        <w:jc w:val="both"/>
      </w:pPr>
      <w:r w:rsidRPr="00B03A6C">
        <w:t xml:space="preserve">Hollnagel, E. (2014) </w:t>
      </w:r>
      <w:r w:rsidRPr="00B03A6C">
        <w:rPr>
          <w:i/>
          <w:iCs/>
        </w:rPr>
        <w:t>Safety-I and Safety-II: The past and future of safety management.</w:t>
      </w:r>
      <w:r w:rsidRPr="00B03A6C">
        <w:t xml:space="preserve"> Farnham: Ashgate.</w:t>
      </w:r>
    </w:p>
    <w:p w14:paraId="05D59885" w14:textId="77777777" w:rsidR="00B03A6C" w:rsidRPr="00B03A6C" w:rsidRDefault="00B03A6C" w:rsidP="00721858">
      <w:pPr>
        <w:spacing w:line="360" w:lineRule="auto"/>
        <w:ind w:left="720"/>
        <w:jc w:val="both"/>
      </w:pPr>
      <w:r w:rsidRPr="00B03A6C">
        <w:t xml:space="preserve">IHI (2007) </w:t>
      </w:r>
      <w:r w:rsidRPr="00B03A6C">
        <w:rPr>
          <w:i/>
          <w:iCs/>
        </w:rPr>
        <w:t>Medication safety improvements.</w:t>
      </w:r>
      <w:r w:rsidRPr="00B03A6C">
        <w:t xml:space="preserve"> Institute for Healthcare Improvement. Available at: http://www.ihi.org/resources/Pages/Publications/MedicationSafety.aspx (Accessed: date).</w:t>
      </w:r>
    </w:p>
    <w:p w14:paraId="6E48E4CE" w14:textId="2A8B03B4" w:rsidR="00B03A6C" w:rsidRPr="00B03A6C" w:rsidRDefault="00B03A6C" w:rsidP="00721858">
      <w:pPr>
        <w:spacing w:line="360" w:lineRule="auto"/>
        <w:ind w:left="720"/>
        <w:jc w:val="both"/>
      </w:pPr>
      <w:r w:rsidRPr="00B03A6C">
        <w:lastRenderedPageBreak/>
        <w:t xml:space="preserve">IHI (2011) </w:t>
      </w:r>
      <w:r w:rsidRPr="00B03A6C">
        <w:rPr>
          <w:i/>
          <w:iCs/>
        </w:rPr>
        <w:t>Building a culture of safety: learning from best practice.</w:t>
      </w:r>
      <w:r w:rsidRPr="00B03A6C">
        <w:t xml:space="preserve"> Institute for Healthcare Improvement. Available at: </w:t>
      </w:r>
      <w:hyperlink r:id="rId17" w:history="1">
        <w:r w:rsidRPr="00B03A6C">
          <w:rPr>
            <w:rStyle w:val="Hyperlink"/>
          </w:rPr>
          <w:t>https://www.ihi.org/</w:t>
        </w:r>
      </w:hyperlink>
      <w:r>
        <w:t xml:space="preserve"> </w:t>
      </w:r>
      <w:r w:rsidRPr="00B03A6C">
        <w:t>resources/Pages/Publications/SafetyCulture.aspx (Accessed: date</w:t>
      </w:r>
      <w:r>
        <w:t>)</w:t>
      </w:r>
      <w:r w:rsidRPr="00B03A6C">
        <w:t>.</w:t>
      </w:r>
    </w:p>
    <w:p w14:paraId="7D7E9F67" w14:textId="77777777" w:rsidR="00B03A6C" w:rsidRPr="00B03A6C" w:rsidRDefault="00B03A6C" w:rsidP="00721858">
      <w:pPr>
        <w:spacing w:line="360" w:lineRule="auto"/>
        <w:ind w:left="720"/>
        <w:jc w:val="both"/>
      </w:pPr>
      <w:r w:rsidRPr="00B03A6C">
        <w:t xml:space="preserve">Jones, S. and Kelly, D. (2014) ‘Staffing, skill mix and patient safety in acute care’, </w:t>
      </w:r>
      <w:r w:rsidRPr="00B03A6C">
        <w:rPr>
          <w:i/>
          <w:iCs/>
        </w:rPr>
        <w:t>Nursing Times</w:t>
      </w:r>
      <w:r w:rsidRPr="00B03A6C">
        <w:t>, 110(12), pp. 22–25.</w:t>
      </w:r>
    </w:p>
    <w:p w14:paraId="7DB63A42" w14:textId="77777777" w:rsidR="00B03A6C" w:rsidRPr="00B03A6C" w:rsidRDefault="00B03A6C" w:rsidP="00721858">
      <w:pPr>
        <w:spacing w:line="360" w:lineRule="auto"/>
        <w:ind w:left="720"/>
        <w:jc w:val="both"/>
      </w:pPr>
      <w:r w:rsidRPr="00B03A6C">
        <w:t xml:space="preserve">Keers, R.N. et al. (2018) ‘Prevalence, nature and causes of medication administration errors in hospitals: a systematic review’, </w:t>
      </w:r>
      <w:r w:rsidRPr="00B03A6C">
        <w:rPr>
          <w:i/>
          <w:iCs/>
        </w:rPr>
        <w:t>Drug Safety</w:t>
      </w:r>
      <w:r w:rsidRPr="00B03A6C">
        <w:t>, 41, pp. 277–287.</w:t>
      </w:r>
    </w:p>
    <w:p w14:paraId="52E60251" w14:textId="77777777" w:rsidR="00B03A6C" w:rsidRPr="00B03A6C" w:rsidRDefault="00B03A6C" w:rsidP="00721858">
      <w:pPr>
        <w:spacing w:line="360" w:lineRule="auto"/>
        <w:ind w:left="720"/>
        <w:jc w:val="both"/>
      </w:pPr>
      <w:r w:rsidRPr="00B03A6C">
        <w:t xml:space="preserve">Keogh, B. (2013) </w:t>
      </w:r>
      <w:r w:rsidRPr="00B03A6C">
        <w:rPr>
          <w:i/>
          <w:iCs/>
        </w:rPr>
        <w:t>Review into the quality of care and treatment provided by 14 hospital trusts in England.</w:t>
      </w:r>
      <w:r w:rsidRPr="00B03A6C">
        <w:t xml:space="preserve"> London: NHS England.</w:t>
      </w:r>
    </w:p>
    <w:p w14:paraId="5CF3BF81" w14:textId="77777777" w:rsidR="00B03A6C" w:rsidRDefault="00B03A6C" w:rsidP="00721858">
      <w:pPr>
        <w:spacing w:line="360" w:lineRule="auto"/>
        <w:ind w:left="720"/>
        <w:jc w:val="both"/>
      </w:pPr>
      <w:r w:rsidRPr="00B03A6C">
        <w:t xml:space="preserve">Maher, L. et al. (2010) ‘Sustaining quality improvement in healthcare: NHS Sustainability Model’, </w:t>
      </w:r>
      <w:r w:rsidRPr="00B03A6C">
        <w:rPr>
          <w:i/>
          <w:iCs/>
        </w:rPr>
        <w:t>BMJ Quality &amp; Safety</w:t>
      </w:r>
      <w:r w:rsidRPr="00B03A6C">
        <w:t>, 19(6), pp. 448–454.</w:t>
      </w:r>
    </w:p>
    <w:p w14:paraId="252FC47C" w14:textId="7D238A99" w:rsidR="00AF62DA" w:rsidRPr="00B03A6C" w:rsidRDefault="00AF62DA" w:rsidP="00721858">
      <w:pPr>
        <w:spacing w:line="360" w:lineRule="auto"/>
        <w:ind w:left="720"/>
        <w:jc w:val="both"/>
      </w:pPr>
      <w:proofErr w:type="spellStart"/>
      <w:r w:rsidRPr="00AF62DA">
        <w:t>ModelThinkers</w:t>
      </w:r>
      <w:proofErr w:type="spellEnd"/>
      <w:r w:rsidRPr="00AF62DA">
        <w:t xml:space="preserve"> (n.d.) </w:t>
      </w:r>
      <w:r w:rsidRPr="00AF62DA">
        <w:rPr>
          <w:i/>
          <w:iCs/>
        </w:rPr>
        <w:t>5 Whys: Sakichi Toyoda infographic</w:t>
      </w:r>
      <w:r w:rsidRPr="00AF62DA">
        <w:t xml:space="preserve">. Available at: </w:t>
      </w:r>
      <w:hyperlink r:id="rId18" w:tgtFrame="_new" w:history="1">
        <w:r w:rsidRPr="00AF62DA">
          <w:rPr>
            <w:rStyle w:val="Hyperlink"/>
          </w:rPr>
          <w:t>https://modelthinkers.com</w:t>
        </w:r>
      </w:hyperlink>
    </w:p>
    <w:p w14:paraId="0E06AF27" w14:textId="77777777" w:rsidR="00B03A6C" w:rsidRPr="00B03A6C" w:rsidRDefault="00B03A6C" w:rsidP="00721858">
      <w:pPr>
        <w:spacing w:line="360" w:lineRule="auto"/>
        <w:ind w:left="720"/>
        <w:jc w:val="both"/>
      </w:pPr>
      <w:r w:rsidRPr="00B03A6C">
        <w:t xml:space="preserve">NAO (2012) </w:t>
      </w:r>
      <w:r w:rsidRPr="00B03A6C">
        <w:rPr>
          <w:i/>
          <w:iCs/>
        </w:rPr>
        <w:t>Investigation into patient safety in NHS hospitals.</w:t>
      </w:r>
      <w:r w:rsidRPr="00B03A6C">
        <w:t xml:space="preserve"> London: National Audit Office.</w:t>
      </w:r>
    </w:p>
    <w:p w14:paraId="317A253D" w14:textId="77777777" w:rsidR="00B03A6C" w:rsidRPr="00B03A6C" w:rsidRDefault="00B03A6C" w:rsidP="00721858">
      <w:pPr>
        <w:spacing w:line="360" w:lineRule="auto"/>
        <w:ind w:left="720"/>
        <w:jc w:val="both"/>
      </w:pPr>
      <w:r w:rsidRPr="00B03A6C">
        <w:t xml:space="preserve">NPSA (2007) </w:t>
      </w:r>
      <w:r w:rsidRPr="00B03A6C">
        <w:rPr>
          <w:i/>
          <w:iCs/>
        </w:rPr>
        <w:t>Reducing harm from omitted and delayed medicines.</w:t>
      </w:r>
      <w:r w:rsidRPr="00B03A6C">
        <w:t xml:space="preserve"> London: National Patient Safety Agency.</w:t>
      </w:r>
    </w:p>
    <w:p w14:paraId="35F3663C" w14:textId="77777777" w:rsidR="00B03A6C" w:rsidRPr="00B03A6C" w:rsidRDefault="00B03A6C" w:rsidP="00721858">
      <w:pPr>
        <w:spacing w:line="360" w:lineRule="auto"/>
        <w:ind w:left="720"/>
        <w:jc w:val="both"/>
      </w:pPr>
      <w:r w:rsidRPr="00B03A6C">
        <w:t xml:space="preserve">NPSA (2008) </w:t>
      </w:r>
      <w:r w:rsidRPr="00B03A6C">
        <w:rPr>
          <w:i/>
          <w:iCs/>
        </w:rPr>
        <w:t>Patient safety alert: medicines reconciliation.</w:t>
      </w:r>
      <w:r w:rsidRPr="00B03A6C">
        <w:t xml:space="preserve"> London: National Patient Safety Agency.</w:t>
      </w:r>
    </w:p>
    <w:p w14:paraId="55A5D3CD" w14:textId="77777777" w:rsidR="00B03A6C" w:rsidRPr="00B03A6C" w:rsidRDefault="00B03A6C" w:rsidP="00721858">
      <w:pPr>
        <w:spacing w:line="360" w:lineRule="auto"/>
        <w:ind w:left="720"/>
        <w:jc w:val="both"/>
      </w:pPr>
      <w:r w:rsidRPr="00B03A6C">
        <w:t xml:space="preserve">NPSA (2010) </w:t>
      </w:r>
      <w:r w:rsidRPr="00B03A6C">
        <w:rPr>
          <w:i/>
          <w:iCs/>
        </w:rPr>
        <w:t>National reporting and learning system: annual report.</w:t>
      </w:r>
      <w:r w:rsidRPr="00B03A6C">
        <w:t xml:space="preserve"> London: National Patient Safety Agency.</w:t>
      </w:r>
    </w:p>
    <w:p w14:paraId="55BB4EAA" w14:textId="77777777" w:rsidR="00B03A6C" w:rsidRPr="00B03A6C" w:rsidRDefault="00B03A6C" w:rsidP="00721858">
      <w:pPr>
        <w:spacing w:line="360" w:lineRule="auto"/>
        <w:ind w:left="720"/>
        <w:jc w:val="both"/>
      </w:pPr>
      <w:r w:rsidRPr="00B03A6C">
        <w:t xml:space="preserve">NICE (2015) </w:t>
      </w:r>
      <w:r w:rsidRPr="00B03A6C">
        <w:rPr>
          <w:i/>
          <w:iCs/>
        </w:rPr>
        <w:t>Medication safety guidance.</w:t>
      </w:r>
      <w:r w:rsidRPr="00B03A6C">
        <w:t xml:space="preserve"> London: National Institute for Health and Care Excellence.</w:t>
      </w:r>
    </w:p>
    <w:p w14:paraId="0DC5BEE1" w14:textId="77777777" w:rsidR="00B03A6C" w:rsidRPr="00B03A6C" w:rsidRDefault="00B03A6C" w:rsidP="00721858">
      <w:pPr>
        <w:spacing w:line="360" w:lineRule="auto"/>
        <w:ind w:left="720"/>
        <w:jc w:val="both"/>
      </w:pPr>
      <w:r w:rsidRPr="00B03A6C">
        <w:t xml:space="preserve">RCN (2010) </w:t>
      </w:r>
      <w:r w:rsidRPr="00B03A6C">
        <w:rPr>
          <w:i/>
          <w:iCs/>
        </w:rPr>
        <w:t>Medication safety at hospital discharge.</w:t>
      </w:r>
      <w:r w:rsidRPr="00B03A6C">
        <w:t xml:space="preserve"> Royal College of Nursing. Available at: </w:t>
      </w:r>
      <w:hyperlink r:id="rId19" w:tgtFrame="_new" w:history="1">
        <w:r w:rsidRPr="00B03A6C">
          <w:rPr>
            <w:rStyle w:val="Hyperlink"/>
          </w:rPr>
          <w:t>https://www.rcn.org.uk/workingwithus/-/media/Royal-College-Of-Nursing/Documents/Working-with-us/Endorsements/Medication-safety-at-hospital-discharge.pdf</w:t>
        </w:r>
      </w:hyperlink>
      <w:r w:rsidRPr="00B03A6C">
        <w:t xml:space="preserve"> (Accessed: date).</w:t>
      </w:r>
    </w:p>
    <w:p w14:paraId="76387F86" w14:textId="77777777" w:rsidR="00B03A6C" w:rsidRDefault="00B03A6C" w:rsidP="00721858">
      <w:pPr>
        <w:spacing w:line="360" w:lineRule="auto"/>
        <w:ind w:left="720"/>
        <w:jc w:val="both"/>
      </w:pPr>
      <w:r w:rsidRPr="00B03A6C">
        <w:t xml:space="preserve">RPS (2010) </w:t>
      </w:r>
      <w:r w:rsidRPr="00B03A6C">
        <w:rPr>
          <w:i/>
          <w:iCs/>
        </w:rPr>
        <w:t>Guidance on the safe and effective use of medicines in hospitals.</w:t>
      </w:r>
      <w:r w:rsidRPr="00B03A6C">
        <w:t xml:space="preserve"> London: Royal Pharmaceutical Society.</w:t>
      </w:r>
    </w:p>
    <w:p w14:paraId="13F4322D" w14:textId="7842D21F" w:rsidR="00AF62DA" w:rsidRPr="00B03A6C" w:rsidRDefault="00AF62DA" w:rsidP="00AF62DA">
      <w:pPr>
        <w:spacing w:line="360" w:lineRule="auto"/>
        <w:ind w:left="720"/>
        <w:jc w:val="both"/>
      </w:pPr>
      <w:r w:rsidRPr="00AF62DA">
        <w:t xml:space="preserve">SWOT Analysis Diagram (n.d.) </w:t>
      </w:r>
      <w:r w:rsidRPr="00AF62DA">
        <w:rPr>
          <w:i/>
          <w:iCs/>
        </w:rPr>
        <w:t>SWOT analysis illustration</w:t>
      </w:r>
      <w:r w:rsidRPr="00AF62DA">
        <w:t>. Image.</w:t>
      </w:r>
    </w:p>
    <w:p w14:paraId="708123F3" w14:textId="77777777" w:rsidR="00B03A6C" w:rsidRPr="00B03A6C" w:rsidRDefault="00B03A6C" w:rsidP="00721858">
      <w:pPr>
        <w:spacing w:line="360" w:lineRule="auto"/>
        <w:ind w:left="720"/>
        <w:jc w:val="both"/>
      </w:pPr>
      <w:r w:rsidRPr="00B03A6C">
        <w:lastRenderedPageBreak/>
        <w:t xml:space="preserve">The King’s Fund (2011) </w:t>
      </w:r>
      <w:r w:rsidRPr="00B03A6C">
        <w:rPr>
          <w:i/>
          <w:iCs/>
        </w:rPr>
        <w:t>Improving safety culture in healthcare organisations.</w:t>
      </w:r>
      <w:r w:rsidRPr="00B03A6C">
        <w:t xml:space="preserve"> London: The King’s Fund.</w:t>
      </w:r>
    </w:p>
    <w:p w14:paraId="254D0D40" w14:textId="77777777" w:rsidR="00B03A6C" w:rsidRPr="00B03A6C" w:rsidRDefault="00B03A6C" w:rsidP="00721858">
      <w:pPr>
        <w:spacing w:line="360" w:lineRule="auto"/>
        <w:ind w:left="720"/>
        <w:jc w:val="both"/>
      </w:pPr>
      <w:r w:rsidRPr="00B03A6C">
        <w:t xml:space="preserve">The King’s Fund (2012) </w:t>
      </w:r>
      <w:r w:rsidRPr="00B03A6C">
        <w:rPr>
          <w:i/>
          <w:iCs/>
        </w:rPr>
        <w:t>Patient-centred care and safety: lessons from national reviews.</w:t>
      </w:r>
      <w:r w:rsidRPr="00B03A6C">
        <w:t xml:space="preserve"> London: The King’s Fund.</w:t>
      </w:r>
    </w:p>
    <w:p w14:paraId="1802205A" w14:textId="77777777" w:rsidR="00B03A6C" w:rsidRPr="00B03A6C" w:rsidRDefault="00B03A6C" w:rsidP="00721858">
      <w:pPr>
        <w:spacing w:line="360" w:lineRule="auto"/>
        <w:ind w:left="720"/>
        <w:jc w:val="both"/>
      </w:pPr>
      <w:r w:rsidRPr="00B03A6C">
        <w:t xml:space="preserve">UNISON (2025) </w:t>
      </w:r>
      <w:r w:rsidRPr="00B03A6C">
        <w:rPr>
          <w:i/>
          <w:iCs/>
        </w:rPr>
        <w:t>Too few nursing staff on duty to provide safe NHS care.</w:t>
      </w:r>
      <w:r w:rsidRPr="00B03A6C">
        <w:t xml:space="preserve"> Available at: </w:t>
      </w:r>
      <w:hyperlink r:id="rId20" w:tgtFrame="_new" w:history="1">
        <w:r w:rsidRPr="00B03A6C">
          <w:rPr>
            <w:rStyle w:val="Hyperlink"/>
          </w:rPr>
          <w:t>https://www.unison.org.uk/news/press-release/2025/04/too-few-nursing-staff-on-duty-to-provide-safe-nhs-care/</w:t>
        </w:r>
      </w:hyperlink>
      <w:r w:rsidRPr="00B03A6C">
        <w:t xml:space="preserve"> (Accessed: date).</w:t>
      </w:r>
    </w:p>
    <w:p w14:paraId="249FD6D7" w14:textId="77777777" w:rsidR="00B03A6C" w:rsidRPr="00B03A6C" w:rsidRDefault="00B03A6C" w:rsidP="00721858">
      <w:pPr>
        <w:spacing w:line="360" w:lineRule="auto"/>
        <w:ind w:left="720"/>
        <w:jc w:val="both"/>
      </w:pPr>
      <w:r w:rsidRPr="00B03A6C">
        <w:t xml:space="preserve">Westbrook, J.I. et al. (2010) ‘Association of interruptions with increased risk of medication administration errors’, </w:t>
      </w:r>
      <w:r w:rsidRPr="00B03A6C">
        <w:rPr>
          <w:i/>
          <w:iCs/>
        </w:rPr>
        <w:t>BMJ Quality &amp; Safety</w:t>
      </w:r>
      <w:r w:rsidRPr="00B03A6C">
        <w:t>, 19(5), pp. 363–369.</w:t>
      </w:r>
    </w:p>
    <w:p w14:paraId="2301CE26" w14:textId="766A0C0B" w:rsidR="00B03A6C" w:rsidRPr="00B03A6C" w:rsidRDefault="00B03A6C" w:rsidP="00721858">
      <w:pPr>
        <w:spacing w:line="360" w:lineRule="auto"/>
        <w:ind w:left="720"/>
        <w:jc w:val="both"/>
      </w:pPr>
      <w:r>
        <w:t>\</w:t>
      </w:r>
      <w:r w:rsidRPr="00B03A6C">
        <w:t xml:space="preserve">WHO (2009) </w:t>
      </w:r>
      <w:r w:rsidRPr="00B03A6C">
        <w:rPr>
          <w:i/>
          <w:iCs/>
        </w:rPr>
        <w:t>Patient safety: global recommendations on medication safety.</w:t>
      </w:r>
      <w:r w:rsidRPr="00B03A6C">
        <w:t xml:space="preserve"> Geneva: World Health Organization.</w:t>
      </w:r>
    </w:p>
    <w:p w14:paraId="174E4BB1" w14:textId="77777777" w:rsidR="00B03A6C" w:rsidRPr="00B03A6C" w:rsidRDefault="00B03A6C" w:rsidP="00721858">
      <w:pPr>
        <w:spacing w:line="360" w:lineRule="auto"/>
        <w:ind w:left="720"/>
        <w:jc w:val="both"/>
      </w:pPr>
      <w:r w:rsidRPr="00B03A6C">
        <w:t xml:space="preserve">WHO (2011) </w:t>
      </w:r>
      <w:r w:rsidRPr="00B03A6C">
        <w:rPr>
          <w:i/>
          <w:iCs/>
        </w:rPr>
        <w:t>Medication safety in acute care: key recommendations.</w:t>
      </w:r>
      <w:r w:rsidRPr="00B03A6C">
        <w:t xml:space="preserve"> Geneva: World Health Organization.</w:t>
      </w:r>
    </w:p>
    <w:p w14:paraId="411A8A4F" w14:textId="77777777" w:rsidR="00B03A6C" w:rsidRPr="00D86D38" w:rsidRDefault="00B03A6C" w:rsidP="00721858">
      <w:pPr>
        <w:spacing w:line="360" w:lineRule="auto"/>
        <w:jc w:val="both"/>
      </w:pPr>
    </w:p>
    <w:p w14:paraId="11B500BC" w14:textId="42FB6ECB" w:rsidR="00D86D38" w:rsidRPr="00D86D38" w:rsidRDefault="00D86D38" w:rsidP="00721858">
      <w:pPr>
        <w:spacing w:line="360" w:lineRule="auto"/>
        <w:jc w:val="both"/>
      </w:pPr>
    </w:p>
    <w:p w14:paraId="0D6136A2" w14:textId="77777777" w:rsidR="00203BFC" w:rsidRDefault="00203BFC" w:rsidP="00721858">
      <w:pPr>
        <w:spacing w:line="360" w:lineRule="auto"/>
        <w:jc w:val="both"/>
      </w:pPr>
    </w:p>
    <w:p w14:paraId="02E8A65F" w14:textId="77777777" w:rsidR="00203BFC" w:rsidRDefault="00203BFC" w:rsidP="00721858">
      <w:pPr>
        <w:spacing w:line="360" w:lineRule="auto"/>
        <w:jc w:val="both"/>
      </w:pPr>
    </w:p>
    <w:p w14:paraId="6D7F1F28" w14:textId="77777777" w:rsidR="00D47FC9" w:rsidRDefault="00D47FC9" w:rsidP="00721858">
      <w:pPr>
        <w:spacing w:line="360" w:lineRule="auto"/>
        <w:jc w:val="both"/>
      </w:pPr>
    </w:p>
    <w:p w14:paraId="34FFEBDB" w14:textId="77777777" w:rsidR="00D47FC9" w:rsidRDefault="00D47FC9" w:rsidP="00721858">
      <w:pPr>
        <w:spacing w:line="360" w:lineRule="auto"/>
        <w:jc w:val="both"/>
      </w:pPr>
    </w:p>
    <w:p w14:paraId="254A13CE" w14:textId="77777777" w:rsidR="00D47FC9" w:rsidRDefault="00D47FC9" w:rsidP="00721858">
      <w:pPr>
        <w:spacing w:line="360" w:lineRule="auto"/>
        <w:jc w:val="both"/>
      </w:pPr>
    </w:p>
    <w:p w14:paraId="22F60EA7" w14:textId="77777777" w:rsidR="00203BFC" w:rsidRDefault="00203BFC" w:rsidP="00721858">
      <w:pPr>
        <w:spacing w:line="360" w:lineRule="auto"/>
        <w:jc w:val="both"/>
      </w:pPr>
    </w:p>
    <w:sectPr w:rsidR="00203BFC">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6DE6AA" w14:textId="77777777" w:rsidR="00E112FA" w:rsidRDefault="00E112FA" w:rsidP="00B03A6C">
      <w:pPr>
        <w:spacing w:after="0" w:line="240" w:lineRule="auto"/>
      </w:pPr>
      <w:r>
        <w:separator/>
      </w:r>
    </w:p>
  </w:endnote>
  <w:endnote w:type="continuationSeparator" w:id="0">
    <w:p w14:paraId="5818432E" w14:textId="77777777" w:rsidR="00E112FA" w:rsidRDefault="00E112FA" w:rsidP="00B03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57CE2" w14:textId="77777777" w:rsidR="00E112FA" w:rsidRDefault="00E112FA" w:rsidP="00B03A6C">
      <w:pPr>
        <w:spacing w:after="0" w:line="240" w:lineRule="auto"/>
      </w:pPr>
      <w:r>
        <w:separator/>
      </w:r>
    </w:p>
  </w:footnote>
  <w:footnote w:type="continuationSeparator" w:id="0">
    <w:p w14:paraId="5CFEFB0B" w14:textId="77777777" w:rsidR="00E112FA" w:rsidRDefault="00E112FA" w:rsidP="00B03A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4608278"/>
      <w:docPartObj>
        <w:docPartGallery w:val="Page Numbers (Top of Page)"/>
        <w:docPartUnique/>
      </w:docPartObj>
    </w:sdtPr>
    <w:sdtEndPr>
      <w:rPr>
        <w:noProof/>
      </w:rPr>
    </w:sdtEndPr>
    <w:sdtContent>
      <w:p w14:paraId="523DAE75" w14:textId="0FC95661" w:rsidR="00F27B3F" w:rsidRDefault="00F27B3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F715C86" w14:textId="4D15A3E7" w:rsidR="00B03A6C" w:rsidRDefault="00B03A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22B4"/>
    <w:multiLevelType w:val="multilevel"/>
    <w:tmpl w:val="30627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A121E"/>
    <w:multiLevelType w:val="multilevel"/>
    <w:tmpl w:val="71A09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3C1335"/>
    <w:multiLevelType w:val="multilevel"/>
    <w:tmpl w:val="24A4E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607DB6"/>
    <w:multiLevelType w:val="multilevel"/>
    <w:tmpl w:val="00B21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16228C"/>
    <w:multiLevelType w:val="multilevel"/>
    <w:tmpl w:val="F6907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0B52AD"/>
    <w:multiLevelType w:val="multilevel"/>
    <w:tmpl w:val="10AE3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72522D"/>
    <w:multiLevelType w:val="multilevel"/>
    <w:tmpl w:val="B4EA0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7E2849"/>
    <w:multiLevelType w:val="multilevel"/>
    <w:tmpl w:val="5E3EF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C84B7E"/>
    <w:multiLevelType w:val="multilevel"/>
    <w:tmpl w:val="CC58D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FD4989"/>
    <w:multiLevelType w:val="multilevel"/>
    <w:tmpl w:val="A28C5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672271"/>
    <w:multiLevelType w:val="multilevel"/>
    <w:tmpl w:val="04E41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311223"/>
    <w:multiLevelType w:val="multilevel"/>
    <w:tmpl w:val="F7A29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6E30BF"/>
    <w:multiLevelType w:val="multilevel"/>
    <w:tmpl w:val="8B220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637CDF"/>
    <w:multiLevelType w:val="multilevel"/>
    <w:tmpl w:val="9258B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DB4CA8"/>
    <w:multiLevelType w:val="multilevel"/>
    <w:tmpl w:val="F91C5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C12C35"/>
    <w:multiLevelType w:val="multilevel"/>
    <w:tmpl w:val="3FE0DBF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6" w15:restartNumberingAfterBreak="0">
    <w:nsid w:val="6B1C7141"/>
    <w:multiLevelType w:val="multilevel"/>
    <w:tmpl w:val="26DE6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F112A0C"/>
    <w:multiLevelType w:val="multilevel"/>
    <w:tmpl w:val="7A62A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BC7651"/>
    <w:multiLevelType w:val="multilevel"/>
    <w:tmpl w:val="B2448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4E7850"/>
    <w:multiLevelType w:val="multilevel"/>
    <w:tmpl w:val="DCD0B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D97165"/>
    <w:multiLevelType w:val="multilevel"/>
    <w:tmpl w:val="0F34A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8996549">
    <w:abstractNumId w:val="17"/>
  </w:num>
  <w:num w:numId="2" w16cid:durableId="816608721">
    <w:abstractNumId w:val="11"/>
  </w:num>
  <w:num w:numId="3" w16cid:durableId="2077972569">
    <w:abstractNumId w:val="4"/>
  </w:num>
  <w:num w:numId="4" w16cid:durableId="322390158">
    <w:abstractNumId w:val="6"/>
  </w:num>
  <w:num w:numId="5" w16cid:durableId="1450319322">
    <w:abstractNumId w:val="8"/>
  </w:num>
  <w:num w:numId="6" w16cid:durableId="42601862">
    <w:abstractNumId w:val="12"/>
  </w:num>
  <w:num w:numId="7" w16cid:durableId="130291389">
    <w:abstractNumId w:val="2"/>
  </w:num>
  <w:num w:numId="8" w16cid:durableId="1376616328">
    <w:abstractNumId w:val="0"/>
  </w:num>
  <w:num w:numId="9" w16cid:durableId="2077556962">
    <w:abstractNumId w:val="13"/>
  </w:num>
  <w:num w:numId="10" w16cid:durableId="2068259644">
    <w:abstractNumId w:val="18"/>
  </w:num>
  <w:num w:numId="11" w16cid:durableId="838040717">
    <w:abstractNumId w:val="7"/>
  </w:num>
  <w:num w:numId="12" w16cid:durableId="345448481">
    <w:abstractNumId w:val="1"/>
  </w:num>
  <w:num w:numId="13" w16cid:durableId="2123986271">
    <w:abstractNumId w:val="9"/>
  </w:num>
  <w:num w:numId="14" w16cid:durableId="1801410724">
    <w:abstractNumId w:val="3"/>
  </w:num>
  <w:num w:numId="15" w16cid:durableId="1696151584">
    <w:abstractNumId w:val="10"/>
  </w:num>
  <w:num w:numId="16" w16cid:durableId="286662891">
    <w:abstractNumId w:val="14"/>
  </w:num>
  <w:num w:numId="17" w16cid:durableId="1252085140">
    <w:abstractNumId w:val="5"/>
  </w:num>
  <w:num w:numId="18" w16cid:durableId="1500343379">
    <w:abstractNumId w:val="19"/>
  </w:num>
  <w:num w:numId="19" w16cid:durableId="1565019599">
    <w:abstractNumId w:val="20"/>
  </w:num>
  <w:num w:numId="20" w16cid:durableId="58552965">
    <w:abstractNumId w:val="16"/>
  </w:num>
  <w:num w:numId="21" w16cid:durableId="83441749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434"/>
    <w:rsid w:val="00056B9B"/>
    <w:rsid w:val="00076CB2"/>
    <w:rsid w:val="000A2671"/>
    <w:rsid w:val="000D6AD0"/>
    <w:rsid w:val="000F3841"/>
    <w:rsid w:val="001D0774"/>
    <w:rsid w:val="001D153A"/>
    <w:rsid w:val="00203BFC"/>
    <w:rsid w:val="002D077D"/>
    <w:rsid w:val="00385434"/>
    <w:rsid w:val="0039303F"/>
    <w:rsid w:val="003D7B83"/>
    <w:rsid w:val="00597A4A"/>
    <w:rsid w:val="005F619C"/>
    <w:rsid w:val="006114F5"/>
    <w:rsid w:val="006251B8"/>
    <w:rsid w:val="006C481A"/>
    <w:rsid w:val="00721858"/>
    <w:rsid w:val="0076735A"/>
    <w:rsid w:val="007E1A9C"/>
    <w:rsid w:val="00804DC2"/>
    <w:rsid w:val="00834EE1"/>
    <w:rsid w:val="0091349C"/>
    <w:rsid w:val="009425EC"/>
    <w:rsid w:val="009B33C2"/>
    <w:rsid w:val="00A874FA"/>
    <w:rsid w:val="00AA12DE"/>
    <w:rsid w:val="00AF62DA"/>
    <w:rsid w:val="00B03A6C"/>
    <w:rsid w:val="00B26ABB"/>
    <w:rsid w:val="00B36A3B"/>
    <w:rsid w:val="00B400A4"/>
    <w:rsid w:val="00B80BD3"/>
    <w:rsid w:val="00B92070"/>
    <w:rsid w:val="00C63054"/>
    <w:rsid w:val="00CE7B62"/>
    <w:rsid w:val="00D40AA1"/>
    <w:rsid w:val="00D47FC9"/>
    <w:rsid w:val="00D83745"/>
    <w:rsid w:val="00D86D38"/>
    <w:rsid w:val="00E061CE"/>
    <w:rsid w:val="00E112FA"/>
    <w:rsid w:val="00E32F94"/>
    <w:rsid w:val="00E41CD2"/>
    <w:rsid w:val="00EB2459"/>
    <w:rsid w:val="00ED2F31"/>
    <w:rsid w:val="00F27B3F"/>
    <w:rsid w:val="00F565AC"/>
    <w:rsid w:val="00FD0279"/>
    <w:rsid w:val="00FF76E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F4290E"/>
  <w15:chartTrackingRefBased/>
  <w15:docId w15:val="{5A739447-29D2-4F77-AF60-7B5F996A0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43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8543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8543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8543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8543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854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4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4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4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43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8543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8543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8543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8543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854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4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4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434"/>
    <w:rPr>
      <w:rFonts w:eastAsiaTheme="majorEastAsia" w:cstheme="majorBidi"/>
      <w:color w:val="272727" w:themeColor="text1" w:themeTint="D8"/>
    </w:rPr>
  </w:style>
  <w:style w:type="paragraph" w:styleId="Title">
    <w:name w:val="Title"/>
    <w:basedOn w:val="Normal"/>
    <w:next w:val="Normal"/>
    <w:link w:val="TitleChar"/>
    <w:uiPriority w:val="10"/>
    <w:qFormat/>
    <w:rsid w:val="003854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4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4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4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434"/>
    <w:pPr>
      <w:spacing w:before="160"/>
      <w:jc w:val="center"/>
    </w:pPr>
    <w:rPr>
      <w:i/>
      <w:iCs/>
      <w:color w:val="404040" w:themeColor="text1" w:themeTint="BF"/>
    </w:rPr>
  </w:style>
  <w:style w:type="character" w:customStyle="1" w:styleId="QuoteChar">
    <w:name w:val="Quote Char"/>
    <w:basedOn w:val="DefaultParagraphFont"/>
    <w:link w:val="Quote"/>
    <w:uiPriority w:val="29"/>
    <w:rsid w:val="00385434"/>
    <w:rPr>
      <w:i/>
      <w:iCs/>
      <w:color w:val="404040" w:themeColor="text1" w:themeTint="BF"/>
    </w:rPr>
  </w:style>
  <w:style w:type="paragraph" w:styleId="ListParagraph">
    <w:name w:val="List Paragraph"/>
    <w:basedOn w:val="Normal"/>
    <w:uiPriority w:val="34"/>
    <w:qFormat/>
    <w:rsid w:val="00385434"/>
    <w:pPr>
      <w:ind w:left="720"/>
      <w:contextualSpacing/>
    </w:pPr>
  </w:style>
  <w:style w:type="character" w:styleId="IntenseEmphasis">
    <w:name w:val="Intense Emphasis"/>
    <w:basedOn w:val="DefaultParagraphFont"/>
    <w:uiPriority w:val="21"/>
    <w:qFormat/>
    <w:rsid w:val="00385434"/>
    <w:rPr>
      <w:i/>
      <w:iCs/>
      <w:color w:val="2F5496" w:themeColor="accent1" w:themeShade="BF"/>
    </w:rPr>
  </w:style>
  <w:style w:type="paragraph" w:styleId="IntenseQuote">
    <w:name w:val="Intense Quote"/>
    <w:basedOn w:val="Normal"/>
    <w:next w:val="Normal"/>
    <w:link w:val="IntenseQuoteChar"/>
    <w:uiPriority w:val="30"/>
    <w:qFormat/>
    <w:rsid w:val="0038543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85434"/>
    <w:rPr>
      <w:i/>
      <w:iCs/>
      <w:color w:val="2F5496" w:themeColor="accent1" w:themeShade="BF"/>
    </w:rPr>
  </w:style>
  <w:style w:type="character" w:styleId="IntenseReference">
    <w:name w:val="Intense Reference"/>
    <w:basedOn w:val="DefaultParagraphFont"/>
    <w:uiPriority w:val="32"/>
    <w:qFormat/>
    <w:rsid w:val="00385434"/>
    <w:rPr>
      <w:b/>
      <w:bCs/>
      <w:smallCaps/>
      <w:color w:val="2F5496" w:themeColor="accent1" w:themeShade="BF"/>
      <w:spacing w:val="5"/>
    </w:rPr>
  </w:style>
  <w:style w:type="character" w:styleId="Hyperlink">
    <w:name w:val="Hyperlink"/>
    <w:basedOn w:val="DefaultParagraphFont"/>
    <w:uiPriority w:val="99"/>
    <w:unhideWhenUsed/>
    <w:rsid w:val="00203BFC"/>
    <w:rPr>
      <w:color w:val="0563C1" w:themeColor="hyperlink"/>
      <w:u w:val="single"/>
    </w:rPr>
  </w:style>
  <w:style w:type="character" w:styleId="UnresolvedMention">
    <w:name w:val="Unresolved Mention"/>
    <w:basedOn w:val="DefaultParagraphFont"/>
    <w:uiPriority w:val="99"/>
    <w:semiHidden/>
    <w:unhideWhenUsed/>
    <w:rsid w:val="00203BFC"/>
    <w:rPr>
      <w:color w:val="605E5C"/>
      <w:shd w:val="clear" w:color="auto" w:fill="E1DFDD"/>
    </w:rPr>
  </w:style>
  <w:style w:type="table" w:styleId="ListTable1Light">
    <w:name w:val="List Table 1 Light"/>
    <w:basedOn w:val="TableNormal"/>
    <w:uiPriority w:val="46"/>
    <w:rsid w:val="00804DC2"/>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6114F5"/>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Header">
    <w:name w:val="header"/>
    <w:basedOn w:val="Normal"/>
    <w:link w:val="HeaderChar"/>
    <w:uiPriority w:val="99"/>
    <w:unhideWhenUsed/>
    <w:rsid w:val="00B03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A6C"/>
  </w:style>
  <w:style w:type="paragraph" w:styleId="Footer">
    <w:name w:val="footer"/>
    <w:basedOn w:val="Normal"/>
    <w:link w:val="FooterChar"/>
    <w:uiPriority w:val="99"/>
    <w:unhideWhenUsed/>
    <w:rsid w:val="00B03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A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10.1177/20420986231154365?utm_source=chatgpt.com" TargetMode="External"/><Relationship Id="rId18" Type="http://schemas.openxmlformats.org/officeDocument/2006/relationships/hyperlink" Target="https://modelthinkers.com"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hi.org/" TargetMode="External"/><Relationship Id="rId2" Type="http://schemas.openxmlformats.org/officeDocument/2006/relationships/numbering" Target="numbering.xml"/><Relationship Id="rId16" Type="http://schemas.openxmlformats.org/officeDocument/2006/relationships/hyperlink" Target="https://editverse.com" TargetMode="External"/><Relationship Id="rId20" Type="http://schemas.openxmlformats.org/officeDocument/2006/relationships/hyperlink" Target="https://www.unison.org.uk/news/press-release/2025/04/too-few-nursing-staff-on-duty-to-provide-safe-nhs-care/?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qc.org.uk/sites/default/files/2023-07/202307-RapidLiteratureReview-safety.odt?utm_source=chatgpt.com" TargetMode="External"/><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www.rcn.org.uk/workingwithus/-/media/Royal-College-Of-Nursing/Documents/Working-with-us/Endorsements/Medication-safety-at-hospital-discharge.pdf?utm_source=chatgpt.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pmc.ncbi.nlm.nih.gov/articles/PMC11683304/?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095BB6-7FD8-4486-A81B-25C78AF9B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2451</TotalTime>
  <Pages>18</Pages>
  <Words>4536</Words>
  <Characters>25856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Sanket Makwana</dc:creator>
  <cp:keywords/>
  <dc:description/>
  <cp:lastModifiedBy>Sanket Makwana</cp:lastModifiedBy>
  <cp:revision>25</cp:revision>
  <dcterms:created xsi:type="dcterms:W3CDTF">2025-11-28T10:50:00Z</dcterms:created>
  <dcterms:modified xsi:type="dcterms:W3CDTF">2025-12-11T22:48:00Z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68b3c5a8-6adb-434d-836d-1ff1040483d0</vt:lpwstr>
  </property>
</Properties>
</file>