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E1BF6F" w14:textId="77777777" w:rsidR="00AC0622" w:rsidRPr="00D0746A" w:rsidRDefault="00AC0622" w:rsidP="00D0746A">
      <w:pPr>
        <w:autoSpaceDE w:val="0"/>
        <w:autoSpaceDN w:val="0"/>
        <w:adjustRightInd w:val="0"/>
        <w:spacing w:after="160" w:line="480" w:lineRule="auto"/>
        <w:jc w:val="both"/>
        <w:rPr>
          <w:rFonts w:cstheme="minorHAnsi"/>
          <w:b/>
          <w:bCs/>
          <w:color w:val="000000"/>
        </w:rPr>
      </w:pPr>
      <w:r w:rsidRPr="00D0746A">
        <w:rPr>
          <w:rFonts w:cstheme="minorHAnsi"/>
          <w:b/>
          <w:bCs/>
          <w:color w:val="000000"/>
        </w:rPr>
        <w:t xml:space="preserve">Introduction </w:t>
      </w:r>
    </w:p>
    <w:p w14:paraId="0379D294"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Where there is a claim made by a claimant against a defendant for negligence, there are several factors which need to be proven by the claimant to bring a play successfully, one of these elements is that of causation, i.e. it is necessary in both fact and law to show that the defendant negligence caused the loss that was suffered by the claimant. The purpose of this paper is to look at the rules of causation in more detail to determine where there may be actions which would be viewed as a break in the chain of causation to such an extent that the defendant is no longer deemed to be liable for their negligence.</w:t>
      </w:r>
    </w:p>
    <w:p w14:paraId="739035A7"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Several aspects of the test of causation will be looked at starting with the core principle which is the but-for principle and then looking at two distinct areas for example where there are multiple causes or where there has been some form of intervening action either by a third party or by the claimant. Each of these sections will be looked at in turn before then drawing final conclusions as to the way that causation as an overall principle operates to impact on the liability that a defendant may otherwise have.  </w:t>
      </w:r>
    </w:p>
    <w:p w14:paraId="7E674937" w14:textId="3B1462D3" w:rsidR="00AC0622" w:rsidRPr="00D0746A" w:rsidRDefault="00E03617" w:rsidP="00D0746A">
      <w:pPr>
        <w:autoSpaceDE w:val="0"/>
        <w:autoSpaceDN w:val="0"/>
        <w:adjustRightInd w:val="0"/>
        <w:spacing w:after="160" w:line="480" w:lineRule="auto"/>
        <w:jc w:val="both"/>
        <w:rPr>
          <w:rFonts w:cstheme="minorHAnsi"/>
          <w:b/>
          <w:bCs/>
          <w:color w:val="000000"/>
        </w:rPr>
      </w:pPr>
      <w:r w:rsidRPr="00D0746A">
        <w:rPr>
          <w:rFonts w:cstheme="minorHAnsi"/>
          <w:b/>
          <w:bCs/>
          <w:color w:val="000000"/>
        </w:rPr>
        <w:t>But</w:t>
      </w:r>
      <w:r>
        <w:rPr>
          <w:rFonts w:cstheme="minorHAnsi"/>
          <w:b/>
          <w:bCs/>
          <w:color w:val="000000"/>
        </w:rPr>
        <w:t>-</w:t>
      </w:r>
      <w:r w:rsidRPr="00D0746A">
        <w:rPr>
          <w:rFonts w:cstheme="minorHAnsi"/>
          <w:b/>
          <w:bCs/>
          <w:color w:val="000000"/>
        </w:rPr>
        <w:t xml:space="preserve">For Principle </w:t>
      </w:r>
    </w:p>
    <w:p w14:paraId="5B70C56E"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It is noted at the outset that causation is effectively split into causation by fact and causing should by law. This paper predominant looks at the latter, i.e. causation by law; however, it is worth noting that there must also be causation based on the facts surrounding, referred to as the “but for” principle. When Seeking to establish the defendant’s liability, the claimant will need to show that, but for the actions of the defendant, the loss would not have been suffered (R v White, 2010). For example, in the leading case of White, the defendant had sought to poison the victim by placing poison in their drink, and although the victim died, they </w:t>
      </w:r>
      <w:r w:rsidRPr="00D0746A">
        <w:rPr>
          <w:rFonts w:cstheme="minorHAnsi"/>
          <w:color w:val="000000"/>
        </w:rPr>
        <w:lastRenderedPageBreak/>
        <w:t xml:space="preserve">actually died of a heart attack, and this would have happened in any event (Lunney and Oliphant, 2008). </w:t>
      </w:r>
    </w:p>
    <w:p w14:paraId="1052EFF2"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Similarly, in the case of Barnett (1969), an individual attended hospital with signs of stomach pains and was seen by a nurse and a doctor was spoken to over the telephone. The patient was then sent home and told to speak to his doctor in the morning; however, it later transpired that he had arsenic poisoning, and he died overnight. In this case that it was not a case of negligence on behalf of the doctrine that the individual would have died anyway, there was nothing that doctor could have done to have saved the individual. Therefore, his death was not as a result of the failure to treat the patient when he attended the hospital.</w:t>
      </w:r>
    </w:p>
    <w:p w14:paraId="58CBC85E"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The But For principle as established noted above looks at the facts and may provide for a defendant being able to escape liability if it can be shown that they did not cause the injury from a factual perspective. The section that moves on to look at the often more intricate area of causation in law, considering the two aspects of apportioning blame where there is a concurrent set of events or where there is an intervening act creating a break in the chain of causation. </w:t>
      </w:r>
    </w:p>
    <w:p w14:paraId="1CD2937F" w14:textId="77777777" w:rsidR="00AC0622" w:rsidRPr="00D0746A" w:rsidRDefault="00AC0622" w:rsidP="00D0746A">
      <w:pPr>
        <w:autoSpaceDE w:val="0"/>
        <w:autoSpaceDN w:val="0"/>
        <w:adjustRightInd w:val="0"/>
        <w:spacing w:after="160" w:line="480" w:lineRule="auto"/>
        <w:jc w:val="both"/>
        <w:rPr>
          <w:rFonts w:cstheme="minorHAnsi"/>
          <w:b/>
          <w:bCs/>
          <w:color w:val="000000"/>
        </w:rPr>
      </w:pPr>
      <w:r w:rsidRPr="00D0746A">
        <w:rPr>
          <w:rFonts w:cstheme="minorHAnsi"/>
          <w:b/>
          <w:bCs/>
          <w:color w:val="000000"/>
        </w:rPr>
        <w:t xml:space="preserve">Multiple Causes </w:t>
      </w:r>
    </w:p>
    <w:p w14:paraId="55711E57"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In many situations, it is conceivable that there have been confusions as to the actual event that caused the loss and there may be potentially multiple causes that have led to the ultimate situation being experienced by the defendant. Where multiple causes are either successive or concurrent the courts of the difficult task of determining who actually caused the damage. Several cases have been determined in an attempt to ascertain the process of the court should go through in terms of attributing liability to a defendant where there may be potentially multiple different causes to the loss (Steele, 2010).</w:t>
      </w:r>
    </w:p>
    <w:p w14:paraId="6FA5DA13" w14:textId="757A6B8E"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lastRenderedPageBreak/>
        <w:t xml:space="preserve">The case of Baker in 1970 sought to deal with this problem. In this case, the claimant had experienced a loss when he was hit by a car driven by the defendant and suffered damages to his leg. The result of this injury, he suffered pain but also had to take on a job which had less salary as a result of his reduced mobility. He had tried multiple different jobs, but he lost these jobs due to his injury there seemed to be a direct causal link between the accident that he had sustained and his losses. One of the roles which he undertook was sorting of scrap metal. During his employment here he suffered a further injury to his leg. During this role, he was one of the individuals that were present at the scrap yard when there was a robbery and when he refused to hand over the </w:t>
      </w:r>
      <w:r w:rsidR="00E03617" w:rsidRPr="00D0746A">
        <w:rPr>
          <w:rFonts w:cstheme="minorHAnsi"/>
          <w:color w:val="000000"/>
        </w:rPr>
        <w:t>money,</w:t>
      </w:r>
      <w:r w:rsidRPr="00D0746A">
        <w:rPr>
          <w:rFonts w:cstheme="minorHAnsi"/>
          <w:color w:val="000000"/>
        </w:rPr>
        <w:t xml:space="preserve"> he was shot in the leg causing him actually to lose the leg that he had the injury in. In this case, although it was rejected that this had broken the chain of causation which was overturned at Court of Appeal but ultimately held to be the case in the House of Lords and the original defendant remained liable.</w:t>
      </w:r>
    </w:p>
    <w:p w14:paraId="48AC0F60"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One of the leading cases in this regard is that of Jobling in 1982. In this case, the claimant was a butcher. He slipped at work claiming that this was due to the negligence of his employer. As a result of the injuries to his back his work capacity was reduced by approximately 50%, however following on from this he then developed a further injury which was entirely unrelated to the original fall and this rendered him unable to work at all. It was argued in this case when applying the test that had previously been established in the case of Baker that the claimant was allowed to claim for his losses and to recover the damages that he had suffered before the onset of his more extensive back condition. In this case, the judge chose to distinguish from the case in Baker as it was argued that the subsequent injury was entirely distinct from and unconnected with the initial injury and the chain of causation had been broken.</w:t>
      </w:r>
    </w:p>
    <w:p w14:paraId="0BD6B51D"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lastRenderedPageBreak/>
        <w:t>By looking at these two cases, it could be seen that there are often difficulties in deciphering precisely who should be liable for the injuries being suffered and it is argued here that in many cases the judges are making policy decisions based on what they feel is correct, or what seemingly should be correct based on the facts before them. For example, in the case of Performance Cars (1962), it was held that the same claim could not effectively be claimed twice, again indicating that the judge is often faced with policy decisions when applying the facts.</w:t>
      </w:r>
    </w:p>
    <w:p w14:paraId="46EEC7D7"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The matter is no clearer when it comes to dealing with multiple concurrent causes. Where there is a concurrent set of events, it may be much harder to identify the factual pattern as to who is liable for the damage that has been suffered by the claimant. Where this is the case, the matter of legal causation becomes even harder to establish and can fall to policy-based decisions. In particular, when considering that to establish blame on a defendant that needs to be a balance of probability that is in excess of 50% the damage was caused by the defendant, and where there are two or more individuals, it is highly unlikely that this 50% threshold can be met. Yet this does not detract from the fact that the claimant has suffered a loss and it would seem unconscionable that they would not be able to claim in the event of negligence from two people. This very issue was dealt with in the case of Bonington Castings (1956), where a claimant had contracted a disease as a result of inhaling air that was substandard whilst employed. The employer had made some efforts; however, they had failed in their statutory duty to provide an extractor fan when undertaking this type of work. It was argued here by the defendant that the omission of the extractor fan was not the reason that the individual became ill, that the dust particles would have still been present regardless of whether or not they had complied with their statutory duty. Therefore, two concurrent issues were leading to the damage that had been suffered, the dust being in the air for which </w:t>
      </w:r>
      <w:r w:rsidRPr="00D0746A">
        <w:rPr>
          <w:rFonts w:cstheme="minorHAnsi"/>
          <w:color w:val="000000"/>
        </w:rPr>
        <w:lastRenderedPageBreak/>
        <w:t xml:space="preserve">the defendant was not responsible and the failure to provide an extractor fan where the defendant was responsible. It was held here that there is no need to show the balance of probabilities that it was the dust that had not been removed by the extractor fan that had caused the problem but rather that it had materially contributed to the disease. This approach would seem to be a logical decision. When considering policy principles, it would have seemed unreasonable to allow the employer to be exonerated from liability, simply because there would have been some dust in the air anyway as this would go against the desire to make employers behave in a certain way when it comes to the health and safety of their employees. </w:t>
      </w:r>
    </w:p>
    <w:p w14:paraId="517566AF"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The more recent case of Fairchild (2002) provides further support for this argument, in this case there were multiple claimants who had contracted mesothelioma, a disease which did not become worse when the claimants were exposed to asbestos more and crucially could become embedded in the lungs and remain dormant for several years. Therefore, it would be very difficult to ascertain precisely where the damage occurred. The claimants had all been exposed to asbestos by several different employers over decades and to ascertain which employer had caused the damage would factually be impossible. It was held in this case that provided the claimants could ascertain that any of the employers had materially increased their chances of contracting this disease then they could claim the entire losses from that employer. Again, this would seem fair and reasonable and seen to be an application of public policy rather than an attempt to factually disentangle the precise point of injury (Barker, 2004).</w:t>
      </w:r>
    </w:p>
    <w:p w14:paraId="1FF130C7" w14:textId="77777777" w:rsidR="00AC0622" w:rsidRPr="00D0746A" w:rsidRDefault="00AC0622" w:rsidP="00D0746A">
      <w:pPr>
        <w:autoSpaceDE w:val="0"/>
        <w:autoSpaceDN w:val="0"/>
        <w:adjustRightInd w:val="0"/>
        <w:spacing w:after="160" w:line="480" w:lineRule="auto"/>
        <w:jc w:val="both"/>
        <w:rPr>
          <w:rFonts w:cstheme="minorHAnsi"/>
          <w:b/>
          <w:bCs/>
          <w:color w:val="000000"/>
        </w:rPr>
      </w:pPr>
      <w:r w:rsidRPr="00D0746A">
        <w:rPr>
          <w:rFonts w:cstheme="minorHAnsi"/>
          <w:b/>
          <w:bCs/>
          <w:color w:val="000000"/>
        </w:rPr>
        <w:t>Novus Actus Interveniens – 3</w:t>
      </w:r>
      <w:r w:rsidRPr="00D0746A">
        <w:rPr>
          <w:rFonts w:cstheme="minorHAnsi"/>
          <w:b/>
          <w:bCs/>
          <w:color w:val="000000"/>
          <w:vertAlign w:val="superscript"/>
        </w:rPr>
        <w:t>rd</w:t>
      </w:r>
      <w:r w:rsidRPr="00D0746A">
        <w:rPr>
          <w:rFonts w:cstheme="minorHAnsi"/>
          <w:b/>
          <w:bCs/>
          <w:color w:val="000000"/>
        </w:rPr>
        <w:t xml:space="preserve"> Party and Claimant </w:t>
      </w:r>
    </w:p>
    <w:p w14:paraId="02E8F6AC"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A further key area that emerges when it comes to ascertaining the chain of causation and crucially when this can be deemed to have been broken. The principle here is that there could </w:t>
      </w:r>
      <w:r w:rsidRPr="00D0746A">
        <w:rPr>
          <w:rFonts w:cstheme="minorHAnsi"/>
          <w:color w:val="000000"/>
        </w:rPr>
        <w:lastRenderedPageBreak/>
        <w:t>be a new intervening act which would act to break the chain of causation and would therefore mean that the original defendant was no longer liable. It could be then than you act that created a new defendant, or it could be the claimant themselves behave in a way that is such that they can deem the chain of causation to be broken. Both of these potential breaks in the chain of causation would be looked at here as they are treated differently, arguably due to policy reasons (Cane and Atiyah, 2013).</w:t>
      </w:r>
    </w:p>
    <w:p w14:paraId="3E4BD6B0"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In the case of an Intervening act by a third party, the test that would be applied by the court is whether or not the act was seen as foreseeable and if the act of the third party was foreseeable based on the situation before them then the original defendant would remain liable whereas if the actions of the third party was so obscure that they could not possibly have been foreseen by the original defendant the chain of causation would be broken. This principle was established and applied in the leading case of Dorset Yacht in 1970. In this case, the Home Office was supervising several young offenders where they were doing some work on a remote island. one evening when leaving the boys unsupervised they escaped and stole a yacht causing substantial damage it held here that the Home Office did owe a duty of care and that the harm caused by the boys by failing to supervise them was, based on the situation they were at reasonably foreseeable. Therefore, liability rested with the Home Office (Mulheron, 2016). </w:t>
      </w:r>
    </w:p>
    <w:p w14:paraId="7E77EC3D"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Certain other policy positions have been established through case law over the years with the recognition that where the third party has also acted negligently, there is a much greater chance of it being held that there has been a break in the chain of causation (Knightley, 1982). When considering this position, it has also been established by the courts that it may be </w:t>
      </w:r>
      <w:r w:rsidRPr="00D0746A">
        <w:rPr>
          <w:rFonts w:cstheme="minorHAnsi"/>
          <w:color w:val="000000"/>
        </w:rPr>
        <w:lastRenderedPageBreak/>
        <w:t xml:space="preserve">appropriate to seek to apportion losses between the various parties which again supports the idea that the courts are looking towards finding a fair approach (Webb, 2001). </w:t>
      </w:r>
    </w:p>
    <w:p w14:paraId="59AEC9E2"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Finally, the area of intervening acts from the claimant themselves has also created some concern within the courts. The fundamental test Being that where the act of the claimant was reasonable in the circumstances, there would be no break in the chain of causation. The claimant must act unreasonably. This principle was established in the leading place of McKew (1969).  In this case, an individual suffered damaged his leg as a result of the negligence of his employer but in his damaged state then attempted to climb some steps unaided. As a result of this, his leg gave way, and he suffered substantial damages. It was hell cheer that it was unreasonable for the claimant to have attempted to climb the stairs unaided knowing the state of his leg and therefore the chain had been broken. Contrast this with the case of Corr in 2008 where it was held that an individual committing suicide as a result of an accident negligently caused by the defendant was a reasonable and foreseeable consequence of the substantial danger she had suffered. These decisions once more indicate that the court is taking somewhat of a policy position and deciding what it perceives to be fair and reasonable based on the situations before the threshold of breaking the chain of causation, particularly where this is done by the claimant is particularly high.</w:t>
      </w:r>
    </w:p>
    <w:p w14:paraId="2183C855" w14:textId="77777777" w:rsidR="00AC0622" w:rsidRPr="00D0746A" w:rsidRDefault="00AC0622" w:rsidP="00D0746A">
      <w:pPr>
        <w:autoSpaceDE w:val="0"/>
        <w:autoSpaceDN w:val="0"/>
        <w:adjustRightInd w:val="0"/>
        <w:spacing w:after="160" w:line="480" w:lineRule="auto"/>
        <w:jc w:val="both"/>
        <w:rPr>
          <w:rFonts w:cstheme="minorHAnsi"/>
          <w:b/>
          <w:bCs/>
          <w:color w:val="000000"/>
        </w:rPr>
      </w:pPr>
      <w:r w:rsidRPr="00D0746A">
        <w:rPr>
          <w:rFonts w:cstheme="minorHAnsi"/>
          <w:b/>
          <w:bCs/>
          <w:color w:val="000000"/>
        </w:rPr>
        <w:t xml:space="preserve">Conclusions </w:t>
      </w:r>
    </w:p>
    <w:p w14:paraId="57A92790"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The question here sought to ascertain just how far the courts would go in being prepared to accept that the chain of causation had been broken and what rules they may apply in making this decision. It is concluded here that the courts seek to achieve a fair and policy-based decision by looking at the surrounding facts and applying these in a way that does not allow a defendant essentially a free pass just because they have been ‘lucky’. Something else has </w:t>
      </w:r>
      <w:r w:rsidRPr="00D0746A">
        <w:rPr>
          <w:rFonts w:cstheme="minorHAnsi"/>
          <w:color w:val="000000"/>
        </w:rPr>
        <w:lastRenderedPageBreak/>
        <w:t>happened either at the same time or subsequently to also result in a loss for the claimant. Equally, the courts have not allowed a claimant to make several claims for the same loss and to sort to apportion losses where this is most appropriate (Hodgson, 2016). In particular, this is seen in the area of Novus actus interveniens where the claimant has acted in a way that would potentially break the chain of causation, presenting quite a high threshold to this and being keen to ensure that the original defendant remains liable for their actions provided the claimant does not behave in a way that is unreasonable in the circumstances. It is concluded here, therefore that breaking the chain of causation is a matter of both law and fact but is underpinned by policy and fairness, at the heart of the court decisions. This approach is both correct and appropriate in balancing the needs of all parties involved in such tortious actions.</w:t>
      </w:r>
    </w:p>
    <w:p w14:paraId="0F5FB27B" w14:textId="77777777" w:rsidR="00AC0622" w:rsidRPr="00D0746A" w:rsidRDefault="00AC0622" w:rsidP="00D0746A">
      <w:pPr>
        <w:autoSpaceDE w:val="0"/>
        <w:autoSpaceDN w:val="0"/>
        <w:adjustRightInd w:val="0"/>
        <w:spacing w:after="160" w:line="480" w:lineRule="auto"/>
        <w:jc w:val="both"/>
        <w:rPr>
          <w:rFonts w:cstheme="minorHAnsi"/>
          <w:color w:val="000000"/>
        </w:rPr>
      </w:pPr>
    </w:p>
    <w:p w14:paraId="654ED320" w14:textId="6C6B84F7" w:rsidR="00AC0622" w:rsidRDefault="00AC0622" w:rsidP="00D0746A">
      <w:pPr>
        <w:autoSpaceDE w:val="0"/>
        <w:autoSpaceDN w:val="0"/>
        <w:adjustRightInd w:val="0"/>
        <w:spacing w:after="160" w:line="480" w:lineRule="auto"/>
        <w:jc w:val="both"/>
        <w:rPr>
          <w:rFonts w:cstheme="minorHAnsi"/>
          <w:color w:val="000000"/>
        </w:rPr>
      </w:pPr>
    </w:p>
    <w:p w14:paraId="73D8D90F" w14:textId="610C12DA" w:rsidR="00017287" w:rsidRDefault="00017287" w:rsidP="00D0746A">
      <w:pPr>
        <w:autoSpaceDE w:val="0"/>
        <w:autoSpaceDN w:val="0"/>
        <w:adjustRightInd w:val="0"/>
        <w:spacing w:after="160" w:line="480" w:lineRule="auto"/>
        <w:jc w:val="both"/>
        <w:rPr>
          <w:rFonts w:cstheme="minorHAnsi"/>
          <w:color w:val="000000"/>
        </w:rPr>
      </w:pPr>
    </w:p>
    <w:p w14:paraId="273C1F85" w14:textId="4892017D" w:rsidR="00017287" w:rsidRDefault="00017287" w:rsidP="00D0746A">
      <w:pPr>
        <w:autoSpaceDE w:val="0"/>
        <w:autoSpaceDN w:val="0"/>
        <w:adjustRightInd w:val="0"/>
        <w:spacing w:after="160" w:line="480" w:lineRule="auto"/>
        <w:jc w:val="both"/>
        <w:rPr>
          <w:rFonts w:cstheme="minorHAnsi"/>
          <w:color w:val="000000"/>
        </w:rPr>
      </w:pPr>
    </w:p>
    <w:p w14:paraId="244FFFE3" w14:textId="2C187B63" w:rsidR="00017287" w:rsidRDefault="00017287" w:rsidP="00D0746A">
      <w:pPr>
        <w:autoSpaceDE w:val="0"/>
        <w:autoSpaceDN w:val="0"/>
        <w:adjustRightInd w:val="0"/>
        <w:spacing w:after="160" w:line="480" w:lineRule="auto"/>
        <w:jc w:val="both"/>
        <w:rPr>
          <w:rFonts w:cstheme="minorHAnsi"/>
          <w:color w:val="000000"/>
        </w:rPr>
      </w:pPr>
    </w:p>
    <w:p w14:paraId="4242493A" w14:textId="03FFFBC2" w:rsidR="00017287" w:rsidRDefault="00017287" w:rsidP="00D0746A">
      <w:pPr>
        <w:autoSpaceDE w:val="0"/>
        <w:autoSpaceDN w:val="0"/>
        <w:adjustRightInd w:val="0"/>
        <w:spacing w:after="160" w:line="480" w:lineRule="auto"/>
        <w:jc w:val="both"/>
        <w:rPr>
          <w:rFonts w:cstheme="minorHAnsi"/>
          <w:color w:val="000000"/>
        </w:rPr>
      </w:pPr>
    </w:p>
    <w:p w14:paraId="0E69F21C" w14:textId="1179CB3B" w:rsidR="00017287" w:rsidRDefault="00017287" w:rsidP="00D0746A">
      <w:pPr>
        <w:autoSpaceDE w:val="0"/>
        <w:autoSpaceDN w:val="0"/>
        <w:adjustRightInd w:val="0"/>
        <w:spacing w:after="160" w:line="480" w:lineRule="auto"/>
        <w:jc w:val="both"/>
        <w:rPr>
          <w:rFonts w:cstheme="minorHAnsi"/>
          <w:color w:val="000000"/>
        </w:rPr>
      </w:pPr>
    </w:p>
    <w:p w14:paraId="08764C9C" w14:textId="3D65BCA9" w:rsidR="00017287" w:rsidRDefault="00017287" w:rsidP="00D0746A">
      <w:pPr>
        <w:autoSpaceDE w:val="0"/>
        <w:autoSpaceDN w:val="0"/>
        <w:adjustRightInd w:val="0"/>
        <w:spacing w:after="160" w:line="480" w:lineRule="auto"/>
        <w:jc w:val="both"/>
        <w:rPr>
          <w:rFonts w:cstheme="minorHAnsi"/>
          <w:color w:val="000000"/>
        </w:rPr>
      </w:pPr>
    </w:p>
    <w:p w14:paraId="03037DE2" w14:textId="77777777" w:rsidR="00017287" w:rsidRPr="00D0746A" w:rsidRDefault="00017287" w:rsidP="00D0746A">
      <w:pPr>
        <w:autoSpaceDE w:val="0"/>
        <w:autoSpaceDN w:val="0"/>
        <w:adjustRightInd w:val="0"/>
        <w:spacing w:after="160" w:line="480" w:lineRule="auto"/>
        <w:jc w:val="both"/>
        <w:rPr>
          <w:rFonts w:cstheme="minorHAnsi"/>
          <w:color w:val="000000"/>
        </w:rPr>
      </w:pPr>
    </w:p>
    <w:p w14:paraId="1C06668B" w14:textId="77777777" w:rsidR="00AC0622" w:rsidRPr="00D0746A" w:rsidRDefault="00AC0622" w:rsidP="00D0746A">
      <w:pPr>
        <w:autoSpaceDE w:val="0"/>
        <w:autoSpaceDN w:val="0"/>
        <w:adjustRightInd w:val="0"/>
        <w:spacing w:after="160" w:line="480" w:lineRule="auto"/>
        <w:jc w:val="both"/>
        <w:rPr>
          <w:rFonts w:cstheme="minorHAnsi"/>
          <w:color w:val="000000"/>
        </w:rPr>
      </w:pPr>
    </w:p>
    <w:p w14:paraId="3C9895E6" w14:textId="77777777" w:rsidR="00AC0622" w:rsidRPr="00D0746A" w:rsidRDefault="00AC0622" w:rsidP="00D0746A">
      <w:pPr>
        <w:autoSpaceDE w:val="0"/>
        <w:autoSpaceDN w:val="0"/>
        <w:adjustRightInd w:val="0"/>
        <w:spacing w:after="160" w:line="480" w:lineRule="auto"/>
        <w:jc w:val="both"/>
        <w:rPr>
          <w:rFonts w:cstheme="minorHAnsi"/>
          <w:color w:val="000000"/>
        </w:rPr>
      </w:pPr>
    </w:p>
    <w:p w14:paraId="44BB6342" w14:textId="77777777" w:rsidR="00AC0622" w:rsidRPr="00D0746A" w:rsidRDefault="00AC0622" w:rsidP="00D0746A">
      <w:pPr>
        <w:autoSpaceDE w:val="0"/>
        <w:autoSpaceDN w:val="0"/>
        <w:adjustRightInd w:val="0"/>
        <w:spacing w:after="160" w:line="480" w:lineRule="auto"/>
        <w:jc w:val="both"/>
        <w:rPr>
          <w:rFonts w:cstheme="minorHAnsi"/>
          <w:b/>
          <w:bCs/>
          <w:color w:val="000000"/>
        </w:rPr>
      </w:pPr>
      <w:r w:rsidRPr="00D0746A">
        <w:rPr>
          <w:rFonts w:cstheme="minorHAnsi"/>
          <w:b/>
          <w:bCs/>
          <w:color w:val="000000"/>
        </w:rPr>
        <w:lastRenderedPageBreak/>
        <w:t xml:space="preserve">References </w:t>
      </w:r>
    </w:p>
    <w:p w14:paraId="63DBB87C"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Baker v Willoughby [1970] AC 467</w:t>
      </w:r>
    </w:p>
    <w:p w14:paraId="7F416142"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Barker v Saint Gobain Pipelines [2004] EWCA Civ 545 Court of Apeal</w:t>
      </w:r>
    </w:p>
    <w:p w14:paraId="0A3D169E"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Barnett v Chelsea &amp; Kensington Hospital [1969] 1 QB 428</w:t>
      </w:r>
    </w:p>
    <w:p w14:paraId="649965C4"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Bonington Castings Ltd v Wardlaw [1956] AC 613</w:t>
      </w:r>
    </w:p>
    <w:p w14:paraId="6BE1FD26"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Cane, P. and Atiyah, P.S., 2013. </w:t>
      </w:r>
      <w:r w:rsidRPr="00D0746A">
        <w:rPr>
          <w:rFonts w:cstheme="minorHAnsi"/>
          <w:i/>
          <w:iCs/>
          <w:color w:val="000000"/>
        </w:rPr>
        <w:t>Atiyah's accidents, compensation and the law</w:t>
      </w:r>
      <w:r w:rsidRPr="00D0746A">
        <w:rPr>
          <w:rFonts w:cstheme="minorHAnsi"/>
          <w:color w:val="000000"/>
        </w:rPr>
        <w:t>. Cambridge University Press.</w:t>
      </w:r>
    </w:p>
    <w:p w14:paraId="57B978B0"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Corr v IBC Vehicles Ltd [2008] UKHL 13</w:t>
      </w:r>
    </w:p>
    <w:p w14:paraId="0157E8B5"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Fairchild v Glenhaven [2002] 3 WLR 89</w:t>
      </w:r>
    </w:p>
    <w:p w14:paraId="24872965"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Hodgson, D., 2016. </w:t>
      </w:r>
      <w:r w:rsidRPr="00D0746A">
        <w:rPr>
          <w:rFonts w:cstheme="minorHAnsi"/>
          <w:i/>
          <w:iCs/>
          <w:color w:val="000000"/>
        </w:rPr>
        <w:t>The law of intervening causation</w:t>
      </w:r>
      <w:r w:rsidRPr="00D0746A">
        <w:rPr>
          <w:rFonts w:cstheme="minorHAnsi"/>
          <w:color w:val="000000"/>
        </w:rPr>
        <w:t>. Routledge.</w:t>
      </w:r>
    </w:p>
    <w:p w14:paraId="704BBFA9"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Home Office v Dorset Yacht Co Ltd [1970] AC 1004</w:t>
      </w:r>
    </w:p>
    <w:p w14:paraId="2504B609"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Jobling v Associated Dairies [1982] AC 794</w:t>
      </w:r>
    </w:p>
    <w:p w14:paraId="40C84E43"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Knightley v Johns &amp; Ors [1982] 1 WLR 349</w:t>
      </w:r>
    </w:p>
    <w:p w14:paraId="5F6F35C2"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Lunney, M. and Oliphant, K., 2008. </w:t>
      </w:r>
      <w:r w:rsidRPr="00D0746A">
        <w:rPr>
          <w:rFonts w:cstheme="minorHAnsi"/>
          <w:i/>
          <w:iCs/>
          <w:color w:val="000000"/>
        </w:rPr>
        <w:t>Tort law: text and materials.</w:t>
      </w:r>
      <w:r w:rsidRPr="00D0746A">
        <w:rPr>
          <w:rFonts w:cstheme="minorHAnsi"/>
          <w:color w:val="000000"/>
        </w:rPr>
        <w:t xml:space="preserve"> Oxford University Press.</w:t>
      </w:r>
    </w:p>
    <w:p w14:paraId="486E3003"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Mulheron, R., 2016. </w:t>
      </w:r>
      <w:r w:rsidRPr="00D0746A">
        <w:rPr>
          <w:rFonts w:cstheme="minorHAnsi"/>
          <w:i/>
          <w:iCs/>
          <w:color w:val="000000"/>
        </w:rPr>
        <w:t>Principles of tort law</w:t>
      </w:r>
      <w:r w:rsidRPr="00D0746A">
        <w:rPr>
          <w:rFonts w:cstheme="minorHAnsi"/>
          <w:color w:val="000000"/>
        </w:rPr>
        <w:t>. Cambridge University Press.</w:t>
      </w:r>
    </w:p>
    <w:p w14:paraId="4634C971"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 xml:space="preserve">R v White [1910] 2 KB 124 </w:t>
      </w:r>
    </w:p>
    <w:p w14:paraId="7220D288" w14:textId="77777777" w:rsidR="00AC0622" w:rsidRPr="00D0746A" w:rsidRDefault="00AC0622" w:rsidP="00D0746A">
      <w:pPr>
        <w:autoSpaceDE w:val="0"/>
        <w:autoSpaceDN w:val="0"/>
        <w:adjustRightInd w:val="0"/>
        <w:spacing w:after="160" w:line="480" w:lineRule="auto"/>
        <w:jc w:val="both"/>
        <w:rPr>
          <w:rFonts w:cstheme="minorHAnsi"/>
          <w:color w:val="000000"/>
        </w:rPr>
      </w:pPr>
      <w:r w:rsidRPr="00D0746A">
        <w:rPr>
          <w:rFonts w:cstheme="minorHAnsi"/>
          <w:color w:val="000000"/>
        </w:rPr>
        <w:t>Steele, J., 2010. </w:t>
      </w:r>
      <w:r w:rsidRPr="00D0746A">
        <w:rPr>
          <w:rFonts w:cstheme="minorHAnsi"/>
          <w:i/>
          <w:iCs/>
          <w:color w:val="000000"/>
        </w:rPr>
        <w:t>Tort Law: Text, cases, and materials</w:t>
      </w:r>
      <w:r w:rsidRPr="00D0746A">
        <w:rPr>
          <w:rFonts w:cstheme="minorHAnsi"/>
          <w:color w:val="000000"/>
        </w:rPr>
        <w:t>. Oxford University Press.</w:t>
      </w:r>
    </w:p>
    <w:p w14:paraId="7D65B24C" w14:textId="7039AD7B" w:rsidR="004F24FD" w:rsidRPr="00D0746A" w:rsidRDefault="00AC0622" w:rsidP="00D0746A">
      <w:pPr>
        <w:spacing w:line="480" w:lineRule="auto"/>
        <w:rPr>
          <w:rFonts w:cstheme="minorHAnsi"/>
        </w:rPr>
      </w:pPr>
      <w:r w:rsidRPr="00D0746A">
        <w:rPr>
          <w:rFonts w:cstheme="minorHAnsi"/>
          <w:color w:val="000000"/>
        </w:rPr>
        <w:t>Webb v Barclays Bank Plc and Portsmouth Hospitals NHS Trust [2001] Lloyd's Rep Med 500</w:t>
      </w:r>
    </w:p>
    <w:sectPr w:rsidR="004F24FD" w:rsidRPr="00D0746A" w:rsidSect="007A5E7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22"/>
    <w:rsid w:val="00017287"/>
    <w:rsid w:val="004F24FD"/>
    <w:rsid w:val="007A5E7E"/>
    <w:rsid w:val="00AC0622"/>
    <w:rsid w:val="00B72EBA"/>
    <w:rsid w:val="00D0746A"/>
    <w:rsid w:val="00E03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F6F691"/>
  <w15:chartTrackingRefBased/>
  <w15:docId w15:val="{9FDC7980-9219-1745-9718-5DB71E08F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2325</Words>
  <Characters>13254</Characters>
  <Application>Microsoft Office Word</Application>
  <DocSecurity>0</DocSecurity>
  <Lines>110</Lines>
  <Paragraphs>31</Paragraphs>
  <ScaleCrop>false</ScaleCrop>
  <Company/>
  <LinksUpToDate>false</LinksUpToDate>
  <CharactersWithSpaces>15548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Tasnim</dc:creator>
  <cp:keywords/>
  <dc:description/>
  <cp:lastModifiedBy>Naima Tasnim</cp:lastModifiedBy>
  <cp:revision>5</cp:revision>
  <dcterms:created xsi:type="dcterms:W3CDTF">2020-11-06T15:56:00Z</dcterms:created>
  <dcterms:modified xsi:type="dcterms:W3CDTF">2020-11-06T16:04:00Z</dcterms:modified>
</cp:coreProperties>
</file>