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8B8562" w14:textId="77777777" w:rsidR="00A350B5" w:rsidRPr="00A350B5" w:rsidRDefault="00A350B5" w:rsidP="00A350B5">
      <w:pPr>
        <w:spacing w:line="360" w:lineRule="auto"/>
        <w:jc w:val="center"/>
        <w:rPr>
          <w:rFonts w:ascii="Calibri" w:eastAsia="Times New Roman" w:hAnsi="Calibri" w:cs="Calibri"/>
          <w:lang w:eastAsia="en-GB"/>
        </w:rPr>
      </w:pPr>
      <w:r w:rsidRPr="00A350B5">
        <w:rPr>
          <w:rFonts w:ascii="Arial" w:eastAsia="Times New Roman" w:hAnsi="Arial" w:cs="Arial"/>
          <w:sz w:val="24"/>
          <w:szCs w:val="24"/>
          <w:u w:val="single"/>
          <w:lang w:eastAsia="en-GB"/>
        </w:rPr>
        <w:t>Environmental and Biological Influences on Behaviour.</w:t>
      </w:r>
    </w:p>
    <w:p w14:paraId="5288BC65" w14:textId="36802610" w:rsidR="00A350B5" w:rsidRPr="00A350B5" w:rsidRDefault="00A350B5" w:rsidP="00A350B5">
      <w:pPr>
        <w:spacing w:line="360" w:lineRule="auto"/>
        <w:rPr>
          <w:rFonts w:ascii="Calibri" w:eastAsia="Times New Roman" w:hAnsi="Calibri" w:cs="Calibri"/>
          <w:lang w:eastAsia="en-GB"/>
        </w:rPr>
      </w:pPr>
      <w:r w:rsidRPr="00A350B5">
        <w:rPr>
          <w:rFonts w:ascii="Arial" w:eastAsia="Times New Roman" w:hAnsi="Arial" w:cs="Arial"/>
          <w:sz w:val="24"/>
          <w:szCs w:val="24"/>
          <w:lang w:eastAsia="en-GB"/>
        </w:rPr>
        <w:t>The 'Nature'</w:t>
      </w:r>
      <w:r w:rsidR="000C4812">
        <w:rPr>
          <w:rFonts w:ascii="Arial" w:eastAsia="Times New Roman" w:hAnsi="Arial" w:cs="Arial"/>
          <w:sz w:val="24"/>
          <w:szCs w:val="24"/>
          <w:lang w:eastAsia="en-GB"/>
        </w:rPr>
        <w:t xml:space="preserve"> (Biological)</w:t>
      </w:r>
      <w:r w:rsidRPr="00A350B5">
        <w:rPr>
          <w:rFonts w:ascii="Arial" w:eastAsia="Times New Roman" w:hAnsi="Arial" w:cs="Arial"/>
          <w:sz w:val="24"/>
          <w:szCs w:val="24"/>
          <w:lang w:eastAsia="en-GB"/>
        </w:rPr>
        <w:t xml:space="preserve"> side of the debate involves scientific approaches such as studying genetics to establish whether it influences behaviour. Whereas the 'Nurture' </w:t>
      </w:r>
      <w:r w:rsidR="000C4812">
        <w:rPr>
          <w:rFonts w:ascii="Arial" w:eastAsia="Times New Roman" w:hAnsi="Arial" w:cs="Arial"/>
          <w:sz w:val="24"/>
          <w:szCs w:val="24"/>
          <w:lang w:eastAsia="en-GB"/>
        </w:rPr>
        <w:t xml:space="preserve">(Environmental) </w:t>
      </w:r>
      <w:r w:rsidRPr="00A350B5">
        <w:rPr>
          <w:rFonts w:ascii="Arial" w:eastAsia="Times New Roman" w:hAnsi="Arial" w:cs="Arial"/>
          <w:sz w:val="24"/>
          <w:szCs w:val="24"/>
          <w:lang w:eastAsia="en-GB"/>
        </w:rPr>
        <w:t>side of the debate explains how our environment can affect our behaviour. This essay will discuss the early work of Darwin to establish whether certain behaviours are a consequence of evolution, for example, ‘Human Mate Preference’. Along with twin and child development studies, which demonstrate gene and environment influence very well. The early discovery of ‘brain localisation’ fuelled research in early neurobiology and in turn, has given a great understanding of why certain behaviours happen due to brain injury, Phineas Gage is a good example of this. The work of Bandura and other Behaviourists have been ground-breaking in studying behaviour, do we learn behaviours or do certain genes impact behaviours?</w:t>
      </w:r>
    </w:p>
    <w:p w14:paraId="62B04695" w14:textId="77777777" w:rsidR="00A350B5" w:rsidRPr="00A350B5" w:rsidRDefault="00A350B5" w:rsidP="00A350B5">
      <w:pPr>
        <w:spacing w:line="360" w:lineRule="auto"/>
        <w:rPr>
          <w:rFonts w:ascii="Calibri" w:eastAsia="Times New Roman" w:hAnsi="Calibri" w:cs="Calibri"/>
          <w:lang w:eastAsia="en-GB"/>
        </w:rPr>
      </w:pPr>
      <w:r w:rsidRPr="00A350B5">
        <w:rPr>
          <w:rFonts w:ascii="Arial" w:eastAsia="Times New Roman" w:hAnsi="Arial" w:cs="Arial"/>
          <w:color w:val="202124"/>
          <w:sz w:val="24"/>
          <w:szCs w:val="24"/>
          <w:lang w:eastAsia="en-GB"/>
        </w:rPr>
        <w:t xml:space="preserve">A man named Phineas Gage suffered an injury to his skull which supposedly caused damage to his frontal cortex. There are many different theories around Phineas Gage, however, his instance was subject for research on localisation of brain function (Ratiu et al., 2004). This instance had a major influence on neurology in early psychology, Gage’s personality difference after sustaining the injury gave evidence that the brain has different areas devoted to different functions (Kieran O'Driscoll &amp; John Paul Leach, 1998). Biologists are now aware that the frontal lobe is responsible for social cognition, language, and reasoning (Kieran O'Driscoll &amp; John Paul Leach, 1998). </w:t>
      </w:r>
    </w:p>
    <w:p w14:paraId="1F909E71" w14:textId="77777777" w:rsidR="00A350B5" w:rsidRPr="00A350B5" w:rsidRDefault="00A350B5" w:rsidP="00A350B5">
      <w:pPr>
        <w:spacing w:line="360" w:lineRule="auto"/>
        <w:rPr>
          <w:rFonts w:ascii="Calibri" w:eastAsia="Times New Roman" w:hAnsi="Calibri" w:cs="Calibri"/>
          <w:lang w:eastAsia="en-GB"/>
        </w:rPr>
      </w:pPr>
      <w:r w:rsidRPr="00A350B5">
        <w:rPr>
          <w:rFonts w:ascii="Arial" w:eastAsia="Times New Roman" w:hAnsi="Arial" w:cs="Arial"/>
          <w:sz w:val="24"/>
          <w:szCs w:val="24"/>
          <w:lang w:eastAsia="en-GB"/>
        </w:rPr>
        <w:t>Darwin (1859) explained evolution by proposing the theory of ‘Natural Selection’. This explained that species need to have adaptive traits which are suited to their environment</w:t>
      </w:r>
      <w:r w:rsidRPr="00A350B5">
        <w:rPr>
          <w:rFonts w:ascii="Arial" w:eastAsia="Times New Roman" w:hAnsi="Arial" w:cs="Arial"/>
          <w:color w:val="011010"/>
          <w:sz w:val="24"/>
          <w:szCs w:val="24"/>
          <w:lang w:eastAsia="en-GB"/>
        </w:rPr>
        <w:t xml:space="preserve"> to survive and create offspring (West et al., 2007). </w:t>
      </w:r>
    </w:p>
    <w:p w14:paraId="0A1B2680" w14:textId="77777777" w:rsidR="00A350B5" w:rsidRPr="00A350B5" w:rsidRDefault="00A350B5" w:rsidP="00A350B5">
      <w:pPr>
        <w:spacing w:line="360" w:lineRule="auto"/>
        <w:rPr>
          <w:rFonts w:ascii="Calibri" w:eastAsia="Times New Roman" w:hAnsi="Calibri" w:cs="Calibri"/>
          <w:lang w:eastAsia="en-GB"/>
        </w:rPr>
      </w:pPr>
      <w:r w:rsidRPr="00A350B5">
        <w:rPr>
          <w:rFonts w:ascii="Arial" w:eastAsia="Times New Roman" w:hAnsi="Arial" w:cs="Arial"/>
          <w:color w:val="011010"/>
          <w:sz w:val="24"/>
          <w:szCs w:val="24"/>
          <w:lang w:eastAsia="en-GB"/>
        </w:rPr>
        <w:t>Based on Darwin’s theory, there have been other studies to show how humans are a subject of evolution. Darwin (1859) provided a concept of ‘sexual selection’. This demonstrated that a male or female will choose the best mate to be successful in reproduction (Jones, et al, 2009).</w:t>
      </w:r>
    </w:p>
    <w:p w14:paraId="4EA0C0FC" w14:textId="77777777" w:rsidR="00A350B5" w:rsidRPr="00A350B5" w:rsidRDefault="00A350B5" w:rsidP="00A350B5">
      <w:pPr>
        <w:spacing w:line="360" w:lineRule="auto"/>
        <w:rPr>
          <w:rFonts w:ascii="Calibri" w:eastAsia="Times New Roman" w:hAnsi="Calibri" w:cs="Calibri"/>
          <w:lang w:eastAsia="en-GB"/>
        </w:rPr>
      </w:pPr>
      <w:r w:rsidRPr="00A350B5">
        <w:rPr>
          <w:rFonts w:ascii="Arial" w:eastAsia="Times New Roman" w:hAnsi="Arial" w:cs="Arial"/>
          <w:color w:val="000000"/>
          <w:sz w:val="24"/>
          <w:szCs w:val="24"/>
          <w:lang w:eastAsia="en-GB"/>
        </w:rPr>
        <w:t xml:space="preserve">To gain scientific insight into human mate preference, a case study was carried out by Swami &amp; Furnham (2008), their study concluded that Males are generally attracted to a female’s waist to hip ratio, an ‘hourglass’ figure is generally preferred across different cultures. Swami &amp; Furnham (2008) also looked at weight preference, </w:t>
      </w:r>
      <w:r w:rsidRPr="00A350B5">
        <w:rPr>
          <w:rFonts w:ascii="Arial" w:eastAsia="Times New Roman" w:hAnsi="Arial" w:cs="Arial"/>
          <w:color w:val="000000"/>
          <w:sz w:val="24"/>
          <w:szCs w:val="24"/>
          <w:lang w:eastAsia="en-GB"/>
        </w:rPr>
        <w:lastRenderedPageBreak/>
        <w:t xml:space="preserve">this concluded that in well-developed society’s males generally preferred lighter females. Whereas in developing society’s, where food is less accessible, males preferred heavier females. From an evolutionary perspective, this study supports Darwin’s theory of ‘natural selection’ as heavier females indicate to males that the female has good access to food or wealth, giving the male a good chance of survival, and can provide a stable home for offspring (Swami &amp; Furnham (2008). </w:t>
      </w:r>
    </w:p>
    <w:p w14:paraId="08185E24" w14:textId="77777777" w:rsidR="00A350B5" w:rsidRPr="00A350B5" w:rsidRDefault="00A350B5" w:rsidP="00A350B5">
      <w:pPr>
        <w:spacing w:line="360" w:lineRule="auto"/>
        <w:rPr>
          <w:rFonts w:ascii="Calibri" w:eastAsia="Times New Roman" w:hAnsi="Calibri" w:cs="Calibri"/>
          <w:lang w:eastAsia="en-GB"/>
        </w:rPr>
      </w:pPr>
      <w:r w:rsidRPr="00A350B5">
        <w:rPr>
          <w:rFonts w:ascii="Arial" w:eastAsia="Times New Roman" w:hAnsi="Arial" w:cs="Arial"/>
          <w:color w:val="011010"/>
          <w:sz w:val="24"/>
          <w:szCs w:val="24"/>
          <w:lang w:eastAsia="en-GB"/>
        </w:rPr>
        <w:t xml:space="preserve">Another study demonstrated human mate preference. This was conducted by </w:t>
      </w:r>
      <w:r w:rsidRPr="00A350B5">
        <w:rPr>
          <w:rFonts w:ascii="Arial" w:eastAsia="Times New Roman" w:hAnsi="Arial" w:cs="Arial"/>
          <w:sz w:val="24"/>
          <w:szCs w:val="24"/>
          <w:lang w:eastAsia="en-GB"/>
        </w:rPr>
        <w:t xml:space="preserve">Shackelford et al (2005), They performed this study on roughly 5,000 females and 4,500 males. The participants were from a range of different cultures, the ages of the participants examined averaged from 17-30 years old. The study concluded that females generally seek financial stability, dependability, and education. Whereas males generally seek good looks, stable home for children and a healthy partner (Shackelford et al., 2005). </w:t>
      </w:r>
    </w:p>
    <w:p w14:paraId="29E02F58" w14:textId="77777777" w:rsidR="00A350B5" w:rsidRPr="00A350B5" w:rsidRDefault="00A350B5" w:rsidP="00A350B5">
      <w:pPr>
        <w:spacing w:line="360" w:lineRule="auto"/>
        <w:rPr>
          <w:rFonts w:ascii="Calibri" w:eastAsia="Times New Roman" w:hAnsi="Calibri" w:cs="Calibri"/>
          <w:lang w:eastAsia="en-GB"/>
        </w:rPr>
      </w:pPr>
      <w:r w:rsidRPr="00A350B5">
        <w:rPr>
          <w:rFonts w:ascii="Arial" w:eastAsia="Times New Roman" w:hAnsi="Arial" w:cs="Arial"/>
          <w:sz w:val="24"/>
          <w:szCs w:val="24"/>
          <w:lang w:eastAsia="en-GB"/>
        </w:rPr>
        <w:t>This study has shown behaviours in men and woman which underpin Darwin’s theory of natural selection (Geary et al., 2004). Both sexes seek out the best partner to reproduce and give themselves and their offspring the best chance of survival (Geary et al., 2004).</w:t>
      </w:r>
    </w:p>
    <w:p w14:paraId="18851983" w14:textId="77777777" w:rsidR="00A350B5" w:rsidRPr="00A350B5" w:rsidRDefault="00A350B5" w:rsidP="00A350B5">
      <w:pPr>
        <w:spacing w:line="360" w:lineRule="auto"/>
        <w:rPr>
          <w:rFonts w:ascii="Calibri" w:eastAsia="Times New Roman" w:hAnsi="Calibri" w:cs="Calibri"/>
          <w:lang w:eastAsia="en-GB"/>
        </w:rPr>
      </w:pPr>
      <w:r w:rsidRPr="00A350B5">
        <w:rPr>
          <w:rFonts w:ascii="Arial" w:eastAsia="Times New Roman" w:hAnsi="Arial" w:cs="Arial"/>
          <w:sz w:val="24"/>
          <w:szCs w:val="24"/>
          <w:lang w:eastAsia="en-GB"/>
        </w:rPr>
        <w:t>Survival could be a good example of why individuals share the common fear of snakes or spiders (Mineka &amp; Öhman, 2002). Individuals can learn a fear if they have been in a situation which has made them feel threatened or as if they are in danger (Mineka &amp; Öhman, 2002). However, 'Biological preparedness' allows individuals to fear certain animals or situations and therefore enables a person or animal to avoid certain situations that may pose a threat. Thus, giving a better chance of survival</w:t>
      </w:r>
      <w:r w:rsidRPr="00A350B5">
        <w:rPr>
          <w:rFonts w:ascii="Arial" w:eastAsia="Times New Roman" w:hAnsi="Arial" w:cs="Arial"/>
          <w:lang w:eastAsia="en-GB"/>
        </w:rPr>
        <w:t xml:space="preserve"> </w:t>
      </w:r>
      <w:r w:rsidRPr="00A350B5">
        <w:rPr>
          <w:rFonts w:ascii="Arial" w:eastAsia="Times New Roman" w:hAnsi="Arial" w:cs="Arial"/>
          <w:sz w:val="24"/>
          <w:szCs w:val="24"/>
          <w:lang w:eastAsia="en-GB"/>
        </w:rPr>
        <w:t>(Seligman, 2016).</w:t>
      </w:r>
    </w:p>
    <w:p w14:paraId="45308890" w14:textId="77777777" w:rsidR="00A350B5" w:rsidRPr="00A350B5" w:rsidRDefault="00A350B5" w:rsidP="00A350B5">
      <w:pPr>
        <w:spacing w:line="360" w:lineRule="auto"/>
        <w:rPr>
          <w:rFonts w:ascii="Calibri" w:eastAsia="Times New Roman" w:hAnsi="Calibri" w:cs="Calibri"/>
          <w:lang w:eastAsia="en-GB"/>
        </w:rPr>
      </w:pPr>
      <w:r w:rsidRPr="00A350B5">
        <w:rPr>
          <w:rFonts w:ascii="Arial" w:eastAsia="Times New Roman" w:hAnsi="Arial" w:cs="Arial"/>
          <w:sz w:val="24"/>
          <w:szCs w:val="24"/>
          <w:lang w:eastAsia="en-GB"/>
        </w:rPr>
        <w:t xml:space="preserve">Sigmund Freud (1905) accepted Darwin’s theory of evolution and often cited Darwin’s work, (Marcaggi &amp; Guénolé, 2018). Freud (1901) developed a controversial theory to illustrate childhood development. Freud (1905) expressed that children go through five psychosexual stages of development and all five stages are centred around the libido (Freud, 1901). The five stages consisted of the oral stage, anal stage, phallic stage, latent period, and genital stage. </w:t>
      </w:r>
    </w:p>
    <w:p w14:paraId="71F3CB36" w14:textId="77777777" w:rsidR="00A350B5" w:rsidRPr="00A350B5" w:rsidRDefault="00A350B5" w:rsidP="00A350B5">
      <w:pPr>
        <w:spacing w:line="360" w:lineRule="auto"/>
        <w:rPr>
          <w:rFonts w:ascii="Calibri" w:eastAsia="Times New Roman" w:hAnsi="Calibri" w:cs="Calibri"/>
          <w:lang w:eastAsia="en-GB"/>
        </w:rPr>
      </w:pPr>
      <w:r w:rsidRPr="00A350B5">
        <w:rPr>
          <w:rFonts w:ascii="Arial" w:eastAsia="Times New Roman" w:hAnsi="Arial" w:cs="Arial"/>
          <w:sz w:val="24"/>
          <w:szCs w:val="24"/>
          <w:lang w:eastAsia="en-GB"/>
        </w:rPr>
        <w:t xml:space="preserve">The oral stage refers to feeding or sucking behaviours </w:t>
      </w:r>
      <w:r w:rsidRPr="00A350B5">
        <w:rPr>
          <w:rFonts w:ascii="Arial" w:eastAsia="Times New Roman" w:hAnsi="Arial" w:cs="Arial"/>
          <w:color w:val="212529"/>
          <w:sz w:val="24"/>
          <w:szCs w:val="24"/>
          <w:lang w:eastAsia="en-GB"/>
        </w:rPr>
        <w:t>for example, a child will cry for milk and then suckle to obtain it (</w:t>
      </w:r>
      <w:r w:rsidRPr="00A350B5">
        <w:rPr>
          <w:rFonts w:ascii="Arial" w:eastAsia="Times New Roman" w:hAnsi="Arial" w:cs="Arial"/>
          <w:sz w:val="24"/>
          <w:szCs w:val="24"/>
          <w:lang w:eastAsia="en-GB"/>
        </w:rPr>
        <w:t xml:space="preserve">Rajamanickam, 2004). At the anal stage, the child </w:t>
      </w:r>
      <w:r w:rsidRPr="00A350B5">
        <w:rPr>
          <w:rFonts w:ascii="Arial" w:eastAsia="Times New Roman" w:hAnsi="Arial" w:cs="Arial"/>
          <w:sz w:val="24"/>
          <w:szCs w:val="24"/>
          <w:lang w:eastAsia="en-GB"/>
        </w:rPr>
        <w:lastRenderedPageBreak/>
        <w:t xml:space="preserve">is learning how to control bowel and bladder movements. Freud (1901) expressed that success of this stage is dependent on how the child’s caregiver reacts if the child is praised and rewarded it shall then feel capable and feel a sense of accomplishment (Freud, 1901). At the phallic stage, the child discovers their genitals and can establish a difference between males and females. (Freud, 1901). At the latent stage, Freud believed that libido is repressed but still present, instead, it is used in other forms, such as socialising and developing relationships (Freud, 1901).  </w:t>
      </w:r>
    </w:p>
    <w:p w14:paraId="30C7BAB9" w14:textId="77777777" w:rsidR="00A350B5" w:rsidRPr="00A350B5" w:rsidRDefault="00A350B5" w:rsidP="00A350B5">
      <w:pPr>
        <w:spacing w:line="360" w:lineRule="auto"/>
        <w:rPr>
          <w:rFonts w:ascii="Calibri" w:eastAsia="Times New Roman" w:hAnsi="Calibri" w:cs="Calibri"/>
          <w:lang w:eastAsia="en-GB"/>
        </w:rPr>
      </w:pPr>
      <w:r w:rsidRPr="00A350B5">
        <w:rPr>
          <w:rFonts w:ascii="Arial" w:eastAsia="Times New Roman" w:hAnsi="Arial" w:cs="Arial"/>
          <w:sz w:val="24"/>
          <w:szCs w:val="24"/>
          <w:lang w:eastAsia="en-GB"/>
        </w:rPr>
        <w:t>Once an individual has surpassed the previous psychosexual stages, they reach the genital stage. The adult personality is now fully formed, and the individual’s libido is now active again as a consequence of puberty (Freud, 1901). Adults now can have healthy relationships as all psychosexual stages are well balanced (Freud, 1901). However, Freud believed that suppressed problems or issues which have occurred at any stage of development could arise again throughout adulthood (Freud,1901).</w:t>
      </w:r>
    </w:p>
    <w:p w14:paraId="79531874" w14:textId="77777777" w:rsidR="00A350B5" w:rsidRPr="00A350B5" w:rsidRDefault="00A350B5" w:rsidP="00A350B5">
      <w:pPr>
        <w:spacing w:line="360" w:lineRule="auto"/>
        <w:rPr>
          <w:rFonts w:ascii="Calibri" w:eastAsia="Times New Roman" w:hAnsi="Calibri" w:cs="Calibri"/>
          <w:lang w:eastAsia="en-GB"/>
        </w:rPr>
      </w:pPr>
      <w:r w:rsidRPr="00A350B5">
        <w:rPr>
          <w:rFonts w:ascii="Arial" w:eastAsia="Times New Roman" w:hAnsi="Arial" w:cs="Arial"/>
          <w:sz w:val="24"/>
          <w:szCs w:val="24"/>
          <w:lang w:eastAsia="en-GB"/>
        </w:rPr>
        <w:t>Freud has faced criticism for his work; however, he was one of the first to initiate a theory around child development. His psychosexual theory highlights the importance of the early stages in a child’s life, which has influenced other studies and research into child development (Bernice Andrews &amp; Chris R Brewin, 2000).</w:t>
      </w:r>
    </w:p>
    <w:p w14:paraId="03DE24C3" w14:textId="77777777" w:rsidR="00A350B5" w:rsidRPr="00A350B5" w:rsidRDefault="00A350B5" w:rsidP="00A350B5">
      <w:pPr>
        <w:spacing w:line="360" w:lineRule="auto"/>
        <w:rPr>
          <w:rFonts w:ascii="Calibri" w:eastAsia="Times New Roman" w:hAnsi="Calibri" w:cs="Calibri"/>
          <w:lang w:eastAsia="en-GB"/>
        </w:rPr>
      </w:pPr>
      <w:r w:rsidRPr="00A350B5">
        <w:rPr>
          <w:rFonts w:ascii="Arial" w:eastAsia="Times New Roman" w:hAnsi="Arial" w:cs="Arial"/>
          <w:color w:val="202124"/>
          <w:sz w:val="24"/>
          <w:szCs w:val="24"/>
          <w:lang w:eastAsia="en-GB"/>
        </w:rPr>
        <w:t xml:space="preserve">The ‘sensitive’ or ‘critical period’ can be seen as the period in an infant’s life where they develop attachment and rely solely upon their caregiver (Nelson et al, 2019). One study looked at how child deprivation in this period can affect child development. The study examined the effects that orphaned or neglected children have faced (Nelson et al., 2019). </w:t>
      </w:r>
    </w:p>
    <w:p w14:paraId="7C3501D0" w14:textId="77777777" w:rsidR="00A350B5" w:rsidRPr="00A350B5" w:rsidRDefault="00A350B5" w:rsidP="00A350B5">
      <w:pPr>
        <w:spacing w:line="360" w:lineRule="auto"/>
        <w:rPr>
          <w:rFonts w:ascii="Calibri" w:eastAsia="Times New Roman" w:hAnsi="Calibri" w:cs="Calibri"/>
          <w:lang w:eastAsia="en-GB"/>
        </w:rPr>
      </w:pPr>
      <w:r w:rsidRPr="00A350B5">
        <w:rPr>
          <w:rFonts w:ascii="Arial" w:eastAsia="Times New Roman" w:hAnsi="Arial" w:cs="Arial"/>
          <w:color w:val="202124"/>
          <w:sz w:val="24"/>
          <w:szCs w:val="24"/>
          <w:lang w:eastAsia="en-GB"/>
        </w:rPr>
        <w:t xml:space="preserve">The study found that children that had spent longer in institutions before being adopted would generally have lower IQ’s and struggled to adapt to behaviours (Nelson et al., 2019). Goldfarb (1943) found that children that previously lived in institutions struggled to develop deep emotional relationships with their adoptive parents (Nelson et al., 2019). </w:t>
      </w:r>
    </w:p>
    <w:p w14:paraId="18937284" w14:textId="77777777" w:rsidR="00A350B5" w:rsidRPr="00A350B5" w:rsidRDefault="00A350B5" w:rsidP="00A350B5">
      <w:pPr>
        <w:spacing w:line="360" w:lineRule="auto"/>
        <w:rPr>
          <w:rFonts w:ascii="Calibri" w:eastAsia="Times New Roman" w:hAnsi="Calibri" w:cs="Calibri"/>
          <w:lang w:eastAsia="en-GB"/>
        </w:rPr>
      </w:pPr>
      <w:r w:rsidRPr="00A350B5">
        <w:rPr>
          <w:rFonts w:ascii="Arial" w:eastAsia="Times New Roman" w:hAnsi="Arial" w:cs="Arial"/>
          <w:color w:val="202124"/>
          <w:sz w:val="24"/>
          <w:szCs w:val="24"/>
          <w:lang w:eastAsia="en-GB"/>
        </w:rPr>
        <w:t>Psychiatric deficits were also found in children reared in institutions, the children demonstrated behaviours of social abnormalities, aggression, and hyperactivity (Nelson et al., 2019). Children raised in institutions may also face health implications later in life, one finding showed that the telomere length within the children were reduced which could be a result of psychological stress (Drury et al., 2011).</w:t>
      </w:r>
    </w:p>
    <w:p w14:paraId="6B9CDF6F" w14:textId="77777777" w:rsidR="00A350B5" w:rsidRPr="00A350B5" w:rsidRDefault="00A350B5" w:rsidP="00A350B5">
      <w:pPr>
        <w:spacing w:line="360" w:lineRule="auto"/>
        <w:rPr>
          <w:rFonts w:ascii="Calibri" w:eastAsia="Times New Roman" w:hAnsi="Calibri" w:cs="Calibri"/>
          <w:lang w:eastAsia="en-GB"/>
        </w:rPr>
      </w:pPr>
      <w:r w:rsidRPr="00A350B5">
        <w:rPr>
          <w:rFonts w:ascii="Arial" w:eastAsia="Times New Roman" w:hAnsi="Arial" w:cs="Arial"/>
          <w:color w:val="202124"/>
          <w:sz w:val="24"/>
          <w:szCs w:val="24"/>
          <w:lang w:eastAsia="en-GB"/>
        </w:rPr>
        <w:lastRenderedPageBreak/>
        <w:t xml:space="preserve">There are also many case studies involving twins within psychology. Twin studies give a good insight into whether genes or the environment affect behavioural traits, health, or heritability (Sahu &amp; Prasuna, 2016). </w:t>
      </w:r>
    </w:p>
    <w:p w14:paraId="7C3488FA" w14:textId="77777777" w:rsidR="00A350B5" w:rsidRPr="00A350B5" w:rsidRDefault="00A350B5" w:rsidP="00A350B5">
      <w:pPr>
        <w:spacing w:line="360" w:lineRule="auto"/>
        <w:rPr>
          <w:rFonts w:ascii="Calibri" w:eastAsia="Times New Roman" w:hAnsi="Calibri" w:cs="Calibri"/>
          <w:lang w:eastAsia="en-GB"/>
        </w:rPr>
      </w:pPr>
      <w:r w:rsidRPr="00A350B5">
        <w:rPr>
          <w:rFonts w:ascii="Arial" w:eastAsia="Times New Roman" w:hAnsi="Arial" w:cs="Arial"/>
          <w:color w:val="202124"/>
          <w:sz w:val="24"/>
          <w:szCs w:val="24"/>
          <w:lang w:eastAsia="en-GB"/>
        </w:rPr>
        <w:t xml:space="preserve">Monozygotic (Identical) twins can explain environmental influence because they both share the same genetics and are usually of the same sex, Monozygotic twins often share similar traits and behaviour. Differences within Monozygotic twins can be due to environmental factors such as order of delivery, perinatal or injury (Segal, 1990). </w:t>
      </w:r>
    </w:p>
    <w:p w14:paraId="0677CF24" w14:textId="77777777" w:rsidR="00A350B5" w:rsidRPr="00A350B5" w:rsidRDefault="00A350B5" w:rsidP="00A350B5">
      <w:pPr>
        <w:spacing w:line="360" w:lineRule="auto"/>
        <w:rPr>
          <w:rFonts w:ascii="Calibri" w:eastAsia="Times New Roman" w:hAnsi="Calibri" w:cs="Calibri"/>
          <w:lang w:eastAsia="en-GB"/>
        </w:rPr>
      </w:pPr>
      <w:r w:rsidRPr="00A350B5">
        <w:rPr>
          <w:rFonts w:ascii="Arial" w:eastAsia="Times New Roman" w:hAnsi="Arial" w:cs="Arial"/>
          <w:color w:val="202124"/>
          <w:sz w:val="24"/>
          <w:szCs w:val="24"/>
          <w:lang w:eastAsia="en-GB"/>
        </w:rPr>
        <w:t>Dizygotic (Fraternal) twins only share half of their genes, which is the same as ordinary siblings. Psychologists are interested in studying Dizygotic twins as this can establish whether traits within Dizygotic twins are a result of genes or environmental factors (Guo, 2016).</w:t>
      </w:r>
    </w:p>
    <w:p w14:paraId="3D525658" w14:textId="77777777" w:rsidR="00A350B5" w:rsidRPr="00A350B5" w:rsidRDefault="00A350B5" w:rsidP="00A350B5">
      <w:pPr>
        <w:spacing w:line="360" w:lineRule="auto"/>
        <w:rPr>
          <w:rFonts w:ascii="Calibri" w:eastAsia="Times New Roman" w:hAnsi="Calibri" w:cs="Calibri"/>
          <w:lang w:eastAsia="en-GB"/>
        </w:rPr>
      </w:pPr>
      <w:r w:rsidRPr="00A350B5">
        <w:rPr>
          <w:rFonts w:ascii="Arial" w:eastAsia="Times New Roman" w:hAnsi="Arial" w:cs="Arial"/>
          <w:color w:val="202124"/>
          <w:sz w:val="24"/>
          <w:szCs w:val="24"/>
          <w:lang w:eastAsia="en-GB"/>
        </w:rPr>
        <w:t xml:space="preserve">Twin studies give a good example of how genes determine behaviour (Guo, 2016). Bouchard et al (1990) studied 100 sets of twins and triplets that were reared apart. Participants completed medical tests, their life history was also examined, and IQ tests were carried out (Bouchard et al, 1990). The study concluded that Monozygotic twins reared apart shared a similar IQ despite having different access to education. Monozygotic twins also shared very similar behavioural traits and values, despite being reared apart (Bouchard et al, 1990). </w:t>
      </w:r>
    </w:p>
    <w:p w14:paraId="1AC745A3" w14:textId="77777777" w:rsidR="00A350B5" w:rsidRPr="00A350B5" w:rsidRDefault="00A350B5" w:rsidP="00A350B5">
      <w:pPr>
        <w:spacing w:line="360" w:lineRule="auto"/>
        <w:rPr>
          <w:rFonts w:ascii="Calibri" w:eastAsia="Times New Roman" w:hAnsi="Calibri" w:cs="Calibri"/>
          <w:lang w:eastAsia="en-GB"/>
        </w:rPr>
      </w:pPr>
      <w:r w:rsidRPr="00A350B5">
        <w:rPr>
          <w:rFonts w:ascii="Arial" w:eastAsia="Times New Roman" w:hAnsi="Arial" w:cs="Arial"/>
          <w:color w:val="202124"/>
          <w:sz w:val="24"/>
          <w:szCs w:val="24"/>
          <w:lang w:eastAsia="en-GB"/>
        </w:rPr>
        <w:t>Other twin studies have given evidence of schizophrenia in families (Narayan et al., 2015). If one Monozygotic twin has Schizophrenia the chances of the other twin having Schizophrenia is 30-40%. And 5-10% within Dizygotic twins (Kringlen, 2000).</w:t>
      </w:r>
    </w:p>
    <w:p w14:paraId="69C7459F" w14:textId="77777777" w:rsidR="00A350B5" w:rsidRPr="00A350B5" w:rsidRDefault="00A350B5" w:rsidP="00A350B5">
      <w:pPr>
        <w:spacing w:line="360" w:lineRule="auto"/>
        <w:rPr>
          <w:rFonts w:ascii="Calibri" w:eastAsia="Times New Roman" w:hAnsi="Calibri" w:cs="Calibri"/>
          <w:lang w:eastAsia="en-GB"/>
        </w:rPr>
      </w:pPr>
      <w:r w:rsidRPr="00A350B5">
        <w:rPr>
          <w:rFonts w:ascii="Arial" w:eastAsia="Times New Roman" w:hAnsi="Arial" w:cs="Arial"/>
          <w:color w:val="202124"/>
          <w:sz w:val="24"/>
          <w:szCs w:val="24"/>
          <w:lang w:eastAsia="en-GB"/>
        </w:rPr>
        <w:t>Family and twin studies have been an extremely valuable source of information within psychology. However, studies have faced criticism, for example, the studies have mostly involved twins that have been reared within the same environment (Winerman, 2004).</w:t>
      </w:r>
    </w:p>
    <w:p w14:paraId="1CC6C293" w14:textId="77777777" w:rsidR="00A350B5" w:rsidRPr="00A350B5" w:rsidRDefault="00A350B5" w:rsidP="00A350B5">
      <w:pPr>
        <w:spacing w:line="360" w:lineRule="auto"/>
        <w:rPr>
          <w:rFonts w:ascii="Calibri" w:eastAsia="Times New Roman" w:hAnsi="Calibri" w:cs="Calibri"/>
          <w:lang w:eastAsia="en-GB"/>
        </w:rPr>
      </w:pPr>
      <w:r w:rsidRPr="00A350B5">
        <w:rPr>
          <w:rFonts w:ascii="Arial" w:eastAsia="Times New Roman" w:hAnsi="Arial" w:cs="Arial"/>
          <w:sz w:val="24"/>
          <w:szCs w:val="24"/>
          <w:lang w:eastAsia="en-GB"/>
        </w:rPr>
        <w:t>Behaviourists believe that behaviour is a consequence of an individual’s environment. Psychology should only be the study of behaviour, as behaviour can be observed, whereas the mind cannot (Watson, 1913). By observing behaviour through experiments and case studies, behaviourists can measure behaviour scientifically (Watson, 1913).</w:t>
      </w:r>
    </w:p>
    <w:p w14:paraId="102344C4" w14:textId="77777777" w:rsidR="00A350B5" w:rsidRPr="00A350B5" w:rsidRDefault="00A350B5" w:rsidP="00A350B5">
      <w:pPr>
        <w:spacing w:line="360" w:lineRule="auto"/>
        <w:rPr>
          <w:rFonts w:ascii="Calibri" w:eastAsia="Times New Roman" w:hAnsi="Calibri" w:cs="Calibri"/>
          <w:lang w:eastAsia="en-GB"/>
        </w:rPr>
      </w:pPr>
      <w:r w:rsidRPr="00A350B5">
        <w:rPr>
          <w:rFonts w:ascii="Arial" w:eastAsia="Times New Roman" w:hAnsi="Arial" w:cs="Arial"/>
          <w:sz w:val="24"/>
          <w:szCs w:val="24"/>
          <w:lang w:eastAsia="en-GB"/>
        </w:rPr>
        <w:lastRenderedPageBreak/>
        <w:t xml:space="preserve">Watson and Raynor (1920) Wanted to test out whether fears and phobias are ‘learnt’ (Harris, 1979). Therefore, they created a classical conditioning experiment which involved a small infant ‘’Albert B’’, more commonly known as ‘’Little Albert’’ (Harris, 1979). Watson and Raynor presented Albert with various stimuli such as a white rat (Harris, 1979). Initially, Albert did not show fear of the rat. However, Watson and Raynor paired the stimuli with a loud bang several times, this caused Albert distress (Harris, 1979). Albert developed a phobia of the white rat even when the loud bang was not present (Harris, 1979). Albert then began to show fear of stimuli with similar characteristics to the white rat. Behaviourists called this ‘generalisation’ (Watson &amp; Raynor 1920). </w:t>
      </w:r>
    </w:p>
    <w:p w14:paraId="3411D1FE" w14:textId="77777777" w:rsidR="00A350B5" w:rsidRPr="00A350B5" w:rsidRDefault="00A350B5" w:rsidP="00A350B5">
      <w:pPr>
        <w:spacing w:line="360" w:lineRule="auto"/>
        <w:rPr>
          <w:rFonts w:ascii="Calibri" w:eastAsia="Times New Roman" w:hAnsi="Calibri" w:cs="Calibri"/>
          <w:lang w:eastAsia="en-GB"/>
        </w:rPr>
      </w:pPr>
      <w:r w:rsidRPr="00A350B5">
        <w:rPr>
          <w:rFonts w:ascii="Arial" w:eastAsia="Times New Roman" w:hAnsi="Arial" w:cs="Arial"/>
          <w:sz w:val="24"/>
          <w:szCs w:val="24"/>
          <w:lang w:eastAsia="en-GB"/>
        </w:rPr>
        <w:t>Skinner (1948) believed that classical conditioning is too linear to explain human behaviour, Skinner was concerned with how consequences affect behaviour (Blackman, 1974).</w:t>
      </w:r>
      <w:r w:rsidRPr="00A350B5">
        <w:rPr>
          <w:rFonts w:ascii="Arial" w:eastAsia="Times New Roman" w:hAnsi="Arial" w:cs="Arial"/>
          <w:lang w:eastAsia="en-GB"/>
        </w:rPr>
        <w:t xml:space="preserve"> </w:t>
      </w:r>
      <w:r w:rsidRPr="00A350B5">
        <w:rPr>
          <w:rFonts w:ascii="Arial" w:eastAsia="Times New Roman" w:hAnsi="Arial" w:cs="Arial"/>
          <w:sz w:val="24"/>
          <w:szCs w:val="24"/>
          <w:lang w:eastAsia="en-GB"/>
        </w:rPr>
        <w:t xml:space="preserve">Skinners theory consists of three concepts, Neutral operands, reinforcers, and punishers. Skinner created a range of studies to illustrate this (Skinner, 1948). Skinner conducted experiments with animals such as rats and pigeons, He would place these in a chamber, or more commonly known as the ‘Skinner Box’ (Skinner, 1948). For example, Skinner would place the pigeon or rat in the skinner box the animal learnt that when it pressed the leaver it would be rewarded with food, Skinner regarded this as ‘Positive Reinforcement’ (Skinner, 1948). </w:t>
      </w:r>
    </w:p>
    <w:p w14:paraId="2AB1DF5B" w14:textId="77777777" w:rsidR="00A350B5" w:rsidRPr="00A350B5" w:rsidRDefault="00A350B5" w:rsidP="00A350B5">
      <w:pPr>
        <w:spacing w:line="360" w:lineRule="auto"/>
        <w:rPr>
          <w:rFonts w:ascii="Calibri" w:eastAsia="Times New Roman" w:hAnsi="Calibri" w:cs="Calibri"/>
          <w:lang w:eastAsia="en-GB"/>
        </w:rPr>
      </w:pPr>
      <w:r w:rsidRPr="00A350B5">
        <w:rPr>
          <w:rFonts w:ascii="Arial" w:eastAsia="Times New Roman" w:hAnsi="Arial" w:cs="Arial"/>
          <w:sz w:val="24"/>
          <w:szCs w:val="24"/>
          <w:lang w:eastAsia="en-GB"/>
        </w:rPr>
        <w:t xml:space="preserve">‘Negative Reinforcement’ refers to the removal of something unpleasant to have desired behaviour. For example, Skinner would send electric shocks to the rat until the rat would press the leaver (Skinner, 1948). Skinner also expressed that punishment alone weakens unwanted behaviour (Skinner, 1948).  </w:t>
      </w:r>
    </w:p>
    <w:p w14:paraId="04D276FC" w14:textId="77777777" w:rsidR="00A350B5" w:rsidRPr="00A350B5" w:rsidRDefault="00A350B5" w:rsidP="00A350B5">
      <w:pPr>
        <w:spacing w:line="360" w:lineRule="auto"/>
        <w:rPr>
          <w:rFonts w:ascii="Calibri" w:eastAsia="Times New Roman" w:hAnsi="Calibri" w:cs="Calibri"/>
          <w:lang w:eastAsia="en-GB"/>
        </w:rPr>
      </w:pPr>
      <w:r w:rsidRPr="00A350B5">
        <w:rPr>
          <w:rFonts w:ascii="Arial" w:eastAsia="Times New Roman" w:hAnsi="Arial" w:cs="Arial"/>
          <w:sz w:val="24"/>
          <w:szCs w:val="24"/>
          <w:lang w:eastAsia="en-GB"/>
        </w:rPr>
        <w:t xml:space="preserve">Bandura’s (1961) Social learning theory consisted of the ‘Bobo Doll Experiment’ to illustrate how children observe and learn certain behaviours from an adult figure. The experiment gave good insight into ‘learnt aggression’ in particular (Graham &amp; Arshad-Ayaz, 2016). Bandura (1961) tested 36 boys and 36 girls, the children were pre-tested to see how aggressive their behaviour was, the children were then placed into separate groups according to their level aggression. </w:t>
      </w:r>
    </w:p>
    <w:p w14:paraId="192B5B9E" w14:textId="77777777" w:rsidR="00A350B5" w:rsidRPr="00A350B5" w:rsidRDefault="00A350B5" w:rsidP="00A350B5">
      <w:pPr>
        <w:spacing w:line="360" w:lineRule="auto"/>
        <w:rPr>
          <w:rFonts w:ascii="Calibri" w:eastAsia="Times New Roman" w:hAnsi="Calibri" w:cs="Calibri"/>
          <w:lang w:eastAsia="en-GB"/>
        </w:rPr>
      </w:pPr>
      <w:r w:rsidRPr="00A350B5">
        <w:rPr>
          <w:rFonts w:ascii="Arial" w:eastAsia="Times New Roman" w:hAnsi="Arial" w:cs="Arial"/>
          <w:sz w:val="24"/>
          <w:szCs w:val="24"/>
          <w:lang w:eastAsia="en-GB"/>
        </w:rPr>
        <w:t xml:space="preserve">The groups were exposed to several different behaviours, an adult male or female punching and kicking the ‘Bobo doll’ (Bandura, 1961). The results showed that boys </w:t>
      </w:r>
      <w:r w:rsidRPr="00A350B5">
        <w:rPr>
          <w:rFonts w:ascii="Arial" w:eastAsia="Times New Roman" w:hAnsi="Arial" w:cs="Arial"/>
          <w:sz w:val="24"/>
          <w:szCs w:val="24"/>
          <w:lang w:eastAsia="en-GB"/>
        </w:rPr>
        <w:lastRenderedPageBreak/>
        <w:t>were more likely to copy the aggressive behaviour when a male acted aggressively towards the Bobo doll (Bandura, 1961). Boys were also more likely to be physically aggressive compared to girls. However, both male and female showed similar verbal aggression (Bandura, 1961). The study concluded that children do imitate adult behaviour and that there is also a possibility that when children observe aggressive behaviour shown by an adult, they may feel it is acceptable (Bandura, 1961).</w:t>
      </w:r>
    </w:p>
    <w:p w14:paraId="2F668D79" w14:textId="77777777" w:rsidR="00A350B5" w:rsidRPr="00A350B5" w:rsidRDefault="00A350B5" w:rsidP="00A350B5">
      <w:pPr>
        <w:spacing w:line="360" w:lineRule="auto"/>
        <w:rPr>
          <w:rFonts w:ascii="Calibri" w:eastAsia="Times New Roman" w:hAnsi="Calibri" w:cs="Calibri"/>
          <w:lang w:eastAsia="en-GB"/>
        </w:rPr>
      </w:pPr>
      <w:r w:rsidRPr="00A350B5">
        <w:rPr>
          <w:rFonts w:ascii="Arial" w:eastAsia="Times New Roman" w:hAnsi="Arial" w:cs="Arial"/>
          <w:sz w:val="24"/>
          <w:szCs w:val="24"/>
          <w:lang w:eastAsia="en-GB"/>
        </w:rPr>
        <w:t>Following on from this, Bandura conducted another study which displayed adults being punished for bad behaviour, this study demonstrated that children are less likely to copy behaviour when they are aware that punishment is a consequence (Bandura, 1965)</w:t>
      </w:r>
    </w:p>
    <w:p w14:paraId="0C4E22F7" w14:textId="77777777" w:rsidR="00A350B5" w:rsidRPr="00A350B5" w:rsidRDefault="00A350B5" w:rsidP="00A350B5">
      <w:pPr>
        <w:spacing w:line="360" w:lineRule="auto"/>
        <w:rPr>
          <w:rFonts w:ascii="Calibri" w:eastAsia="Times New Roman" w:hAnsi="Calibri" w:cs="Calibri"/>
          <w:lang w:eastAsia="en-GB"/>
        </w:rPr>
      </w:pPr>
      <w:r w:rsidRPr="00A350B5">
        <w:rPr>
          <w:rFonts w:ascii="Arial" w:eastAsia="Times New Roman" w:hAnsi="Arial" w:cs="Arial"/>
          <w:sz w:val="24"/>
          <w:szCs w:val="24"/>
          <w:lang w:eastAsia="en-GB"/>
        </w:rPr>
        <w:t xml:space="preserve">However, there are some studies to suggest that ‘aggression’ can be a consequence of biological factors. A study conducted by Gabb et al (1991) looked at levels of testosterone in prison inmates. The study showed that males who had committed more violent crimes had higher levels of testosterone (Gabb et al, 1991). Theilgaard, (1983) looked at chromosomes and behaviour in one study. Males within prisons and mental institutions were more likely to have the XYY chromosome, associated with aggression and anti-social behaviour (Theilgaard, 1983). Some statistics have shown that around only 1 in 1000 males hold this gene, whereas 15 in 1000 prison inmates hold this gene, could this give evidence that the XYY chromosome is associated with aggression? (Theilgaard, 1983). </w:t>
      </w:r>
    </w:p>
    <w:p w14:paraId="2CA02690" w14:textId="77777777" w:rsidR="00A350B5" w:rsidRPr="00A350B5" w:rsidRDefault="00A350B5" w:rsidP="00A350B5">
      <w:pPr>
        <w:spacing w:line="360" w:lineRule="auto"/>
        <w:rPr>
          <w:rFonts w:ascii="Calibri" w:eastAsia="Times New Roman" w:hAnsi="Calibri" w:cs="Calibri"/>
          <w:lang w:eastAsia="en-GB"/>
        </w:rPr>
      </w:pPr>
      <w:r w:rsidRPr="00A350B5">
        <w:rPr>
          <w:rFonts w:ascii="Arial" w:eastAsia="Times New Roman" w:hAnsi="Arial" w:cs="Arial"/>
          <w:sz w:val="24"/>
          <w:szCs w:val="24"/>
          <w:lang w:eastAsia="en-GB"/>
        </w:rPr>
        <w:t xml:space="preserve">Many studies around the nature vs nurture debate suggest that personality and behaviour is a result of either the environment or biology. Epigenetics demonstrates that environmental factors affect genes. Epigenetic research shows environmental factors affect the activity of an individual’s genome, without changing the sequence of DNA (González-Pardo &amp; Pérez Álvarez, 2013). One example of epigenetics is ‘Passive Gene-Environment interaction’ children inherit their parents’ genes and are born into environments which correlate with their parents' genotype. As a result of this, a child’s intelligence and temperament are affected (Lemery-Chalfant et al., 2013). </w:t>
      </w:r>
    </w:p>
    <w:p w14:paraId="16F42B12" w14:textId="77777777" w:rsidR="00A350B5" w:rsidRPr="00A350B5" w:rsidRDefault="00A350B5" w:rsidP="00A350B5">
      <w:pPr>
        <w:spacing w:line="360" w:lineRule="auto"/>
        <w:rPr>
          <w:rFonts w:ascii="Calibri" w:eastAsia="Times New Roman" w:hAnsi="Calibri" w:cs="Calibri"/>
          <w:lang w:eastAsia="en-GB"/>
        </w:rPr>
      </w:pPr>
      <w:r w:rsidRPr="00A350B5">
        <w:rPr>
          <w:rFonts w:ascii="Arial" w:eastAsia="Times New Roman" w:hAnsi="Arial" w:cs="Arial"/>
          <w:sz w:val="24"/>
          <w:szCs w:val="24"/>
          <w:lang w:eastAsia="en-GB"/>
        </w:rPr>
        <w:t xml:space="preserve">To conclude, The Biological approach and Environmental approach both have numerous supporting evidence surrounding studies and theories. Child development and twin studies seem to support the Biological approach well. Darwin’s theory of </w:t>
      </w:r>
      <w:r w:rsidRPr="00A350B5">
        <w:rPr>
          <w:rFonts w:ascii="Arial" w:eastAsia="Times New Roman" w:hAnsi="Arial" w:cs="Arial"/>
          <w:sz w:val="24"/>
          <w:szCs w:val="24"/>
          <w:lang w:eastAsia="en-GB"/>
        </w:rPr>
        <w:lastRenderedPageBreak/>
        <w:t xml:space="preserve">evolution also supports ideas around behaviour that perhaps cannot be explained otherwise. Behaviourists explained behaviour in a ground-breaking way through case studies. However, their explanations for behaviour may be too linear. Bandura's bobo doll experiment explained that children imitate behaviour. however, studies from a biological perspective conclude the evidence for genetic influence around aggressive human behaviour. </w:t>
      </w:r>
    </w:p>
    <w:p w14:paraId="30251354" w14:textId="77777777" w:rsidR="00A350B5" w:rsidRPr="00A350B5" w:rsidRDefault="00A350B5" w:rsidP="00A350B5">
      <w:pPr>
        <w:spacing w:line="360" w:lineRule="auto"/>
        <w:rPr>
          <w:rFonts w:ascii="Calibri" w:eastAsia="Times New Roman" w:hAnsi="Calibri" w:cs="Calibri"/>
          <w:lang w:eastAsia="en-GB"/>
        </w:rPr>
      </w:pPr>
      <w:r w:rsidRPr="00A350B5">
        <w:rPr>
          <w:rFonts w:ascii="Arial" w:eastAsia="Times New Roman" w:hAnsi="Arial" w:cs="Arial"/>
          <w:sz w:val="24"/>
          <w:szCs w:val="24"/>
          <w:lang w:eastAsia="en-GB"/>
        </w:rPr>
        <w:t xml:space="preserve">The emerging new research around ‘Epigenetics’ could possibly explain the nature/nurture debate in a more complex way. </w:t>
      </w:r>
    </w:p>
    <w:p w14:paraId="0EFE7121" w14:textId="77777777" w:rsidR="001C7CDE" w:rsidRDefault="001C7CDE" w:rsidP="00D26F10">
      <w:pPr>
        <w:spacing w:line="360" w:lineRule="auto"/>
        <w:rPr>
          <w:rFonts w:ascii="Arial" w:hAnsi="Arial" w:cs="Arial"/>
          <w:sz w:val="24"/>
          <w:szCs w:val="24"/>
        </w:rPr>
      </w:pPr>
    </w:p>
    <w:p w14:paraId="23BE187A" w14:textId="3B931AAF" w:rsidR="005579C3" w:rsidRDefault="005579C3" w:rsidP="00C96139">
      <w:pPr>
        <w:spacing w:line="360" w:lineRule="auto"/>
        <w:rPr>
          <w:rFonts w:ascii="Arial" w:hAnsi="Arial" w:cs="Arial"/>
          <w:sz w:val="24"/>
          <w:szCs w:val="24"/>
        </w:rPr>
      </w:pPr>
    </w:p>
    <w:p w14:paraId="0BAC4B0B" w14:textId="3198A32B" w:rsidR="00B3088C" w:rsidRDefault="00B3088C" w:rsidP="00C96139">
      <w:pPr>
        <w:spacing w:line="360" w:lineRule="auto"/>
        <w:rPr>
          <w:rFonts w:ascii="Arial" w:hAnsi="Arial" w:cs="Arial"/>
          <w:sz w:val="24"/>
          <w:szCs w:val="24"/>
        </w:rPr>
      </w:pPr>
    </w:p>
    <w:p w14:paraId="4C916EFA" w14:textId="77777777" w:rsidR="003425FE" w:rsidRDefault="003425FE" w:rsidP="00C96139">
      <w:pPr>
        <w:spacing w:line="360" w:lineRule="auto"/>
        <w:rPr>
          <w:rFonts w:ascii="Arial" w:hAnsi="Arial" w:cs="Arial"/>
          <w:sz w:val="24"/>
          <w:szCs w:val="24"/>
        </w:rPr>
      </w:pPr>
    </w:p>
    <w:p w14:paraId="2B2D0386" w14:textId="77777777" w:rsidR="00196C3F" w:rsidRDefault="00196C3F" w:rsidP="00C96139">
      <w:pPr>
        <w:spacing w:line="360" w:lineRule="auto"/>
        <w:rPr>
          <w:rFonts w:ascii="Arial" w:hAnsi="Arial" w:cs="Arial"/>
          <w:sz w:val="24"/>
          <w:szCs w:val="24"/>
        </w:rPr>
      </w:pPr>
    </w:p>
    <w:p w14:paraId="7E532B04" w14:textId="77777777" w:rsidR="00E74AA5" w:rsidRDefault="00E74AA5" w:rsidP="00C96139">
      <w:pPr>
        <w:spacing w:line="360" w:lineRule="auto"/>
        <w:rPr>
          <w:rFonts w:ascii="Arial" w:hAnsi="Arial" w:cs="Arial"/>
          <w:sz w:val="24"/>
          <w:szCs w:val="24"/>
        </w:rPr>
      </w:pPr>
    </w:p>
    <w:p w14:paraId="39B3FAA0" w14:textId="46FFF294" w:rsidR="00ED5D0D" w:rsidRDefault="00ED5D0D" w:rsidP="00ED5D0D">
      <w:pPr>
        <w:pStyle w:val="NormalWeb"/>
        <w:spacing w:before="0" w:beforeAutospacing="0" w:after="165" w:afterAutospacing="0"/>
        <w:rPr>
          <w:rFonts w:ascii="Arial" w:hAnsi="Arial" w:cs="Arial"/>
          <w:color w:val="121212"/>
        </w:rPr>
      </w:pPr>
    </w:p>
    <w:p w14:paraId="1EE61306" w14:textId="3865B55C" w:rsidR="00ED5D0D" w:rsidRDefault="00ED5D0D" w:rsidP="00ED5D0D">
      <w:pPr>
        <w:pStyle w:val="NormalWeb"/>
        <w:spacing w:before="0" w:beforeAutospacing="0" w:after="165" w:afterAutospacing="0"/>
        <w:rPr>
          <w:rFonts w:ascii="Arial" w:hAnsi="Arial" w:cs="Arial"/>
          <w:color w:val="121212"/>
        </w:rPr>
      </w:pPr>
    </w:p>
    <w:p w14:paraId="533A70FE" w14:textId="77777777" w:rsidR="00ED5D0D" w:rsidRPr="00C96139" w:rsidRDefault="00ED5D0D" w:rsidP="00C96139">
      <w:pPr>
        <w:spacing w:line="360" w:lineRule="auto"/>
        <w:rPr>
          <w:rFonts w:ascii="Arial" w:hAnsi="Arial" w:cs="Arial"/>
          <w:sz w:val="24"/>
          <w:szCs w:val="24"/>
        </w:rPr>
      </w:pPr>
    </w:p>
    <w:p w14:paraId="1DD14C24" w14:textId="77777777" w:rsidR="00AB7178" w:rsidRDefault="00AB7178" w:rsidP="00701D70">
      <w:pPr>
        <w:spacing w:line="360" w:lineRule="auto"/>
        <w:rPr>
          <w:rFonts w:ascii="Arial" w:hAnsi="Arial" w:cs="Arial"/>
          <w:sz w:val="24"/>
          <w:szCs w:val="24"/>
        </w:rPr>
      </w:pPr>
    </w:p>
    <w:p w14:paraId="2EB4D780" w14:textId="77777777" w:rsidR="00764171" w:rsidRDefault="00764171" w:rsidP="00701D70">
      <w:pPr>
        <w:spacing w:line="360" w:lineRule="auto"/>
        <w:rPr>
          <w:rFonts w:ascii="Arial" w:hAnsi="Arial" w:cs="Arial"/>
          <w:sz w:val="24"/>
          <w:szCs w:val="24"/>
        </w:rPr>
      </w:pPr>
    </w:p>
    <w:p w14:paraId="37EFA15D" w14:textId="77777777" w:rsidR="00DC3FAF" w:rsidRDefault="00DC3FAF" w:rsidP="00DC3FAF">
      <w:pPr>
        <w:spacing w:line="360" w:lineRule="auto"/>
        <w:rPr>
          <w:rFonts w:ascii="Arial" w:hAnsi="Arial" w:cs="Arial"/>
          <w:color w:val="202124"/>
          <w:sz w:val="24"/>
          <w:szCs w:val="24"/>
          <w:shd w:val="clear" w:color="auto" w:fill="FFFFFF"/>
        </w:rPr>
      </w:pPr>
    </w:p>
    <w:p w14:paraId="2193E93A" w14:textId="77777777" w:rsidR="005F1AD5" w:rsidRDefault="005F1AD5" w:rsidP="006A41C2">
      <w:pPr>
        <w:spacing w:line="360" w:lineRule="auto"/>
        <w:jc w:val="center"/>
        <w:rPr>
          <w:rFonts w:ascii="Arial" w:hAnsi="Arial" w:cs="Arial"/>
          <w:color w:val="222222"/>
          <w:sz w:val="24"/>
          <w:szCs w:val="24"/>
          <w:u w:val="single"/>
          <w:shd w:val="clear" w:color="auto" w:fill="FFFFFF"/>
        </w:rPr>
      </w:pPr>
    </w:p>
    <w:p w14:paraId="0B35B45D" w14:textId="77777777" w:rsidR="005F1AD5" w:rsidRDefault="005F1AD5" w:rsidP="006A41C2">
      <w:pPr>
        <w:spacing w:line="360" w:lineRule="auto"/>
        <w:jc w:val="center"/>
        <w:rPr>
          <w:rFonts w:ascii="Arial" w:hAnsi="Arial" w:cs="Arial"/>
          <w:color w:val="222222"/>
          <w:sz w:val="24"/>
          <w:szCs w:val="24"/>
          <w:u w:val="single"/>
          <w:shd w:val="clear" w:color="auto" w:fill="FFFFFF"/>
        </w:rPr>
      </w:pPr>
    </w:p>
    <w:p w14:paraId="2809FB3F" w14:textId="77777777" w:rsidR="005F1AD5" w:rsidRDefault="005F1AD5" w:rsidP="006A41C2">
      <w:pPr>
        <w:spacing w:line="360" w:lineRule="auto"/>
        <w:jc w:val="center"/>
        <w:rPr>
          <w:rFonts w:ascii="Arial" w:hAnsi="Arial" w:cs="Arial"/>
          <w:color w:val="222222"/>
          <w:sz w:val="24"/>
          <w:szCs w:val="24"/>
          <w:u w:val="single"/>
          <w:shd w:val="clear" w:color="auto" w:fill="FFFFFF"/>
        </w:rPr>
      </w:pPr>
    </w:p>
    <w:p w14:paraId="4FDC3A5C" w14:textId="77777777" w:rsidR="005F1AD5" w:rsidRDefault="005F1AD5" w:rsidP="006A41C2">
      <w:pPr>
        <w:spacing w:line="360" w:lineRule="auto"/>
        <w:jc w:val="center"/>
        <w:rPr>
          <w:rFonts w:ascii="Arial" w:hAnsi="Arial" w:cs="Arial"/>
          <w:color w:val="222222"/>
          <w:sz w:val="24"/>
          <w:szCs w:val="24"/>
          <w:u w:val="single"/>
          <w:shd w:val="clear" w:color="auto" w:fill="FFFFFF"/>
        </w:rPr>
      </w:pPr>
    </w:p>
    <w:p w14:paraId="7A4CAA84" w14:textId="77777777" w:rsidR="005F1AD5" w:rsidRDefault="005F1AD5" w:rsidP="006A41C2">
      <w:pPr>
        <w:spacing w:line="360" w:lineRule="auto"/>
        <w:jc w:val="center"/>
        <w:rPr>
          <w:rFonts w:ascii="Arial" w:hAnsi="Arial" w:cs="Arial"/>
          <w:color w:val="222222"/>
          <w:sz w:val="24"/>
          <w:szCs w:val="24"/>
          <w:u w:val="single"/>
          <w:shd w:val="clear" w:color="auto" w:fill="FFFFFF"/>
        </w:rPr>
      </w:pPr>
    </w:p>
    <w:p w14:paraId="4739EAE7" w14:textId="77777777" w:rsidR="005F1AD5" w:rsidRDefault="005F1AD5" w:rsidP="006A41C2">
      <w:pPr>
        <w:spacing w:line="360" w:lineRule="auto"/>
        <w:jc w:val="center"/>
        <w:rPr>
          <w:rFonts w:ascii="Arial" w:hAnsi="Arial" w:cs="Arial"/>
          <w:color w:val="222222"/>
          <w:sz w:val="24"/>
          <w:szCs w:val="24"/>
          <w:u w:val="single"/>
          <w:shd w:val="clear" w:color="auto" w:fill="FFFFFF"/>
        </w:rPr>
      </w:pPr>
    </w:p>
    <w:p w14:paraId="611DF5AC" w14:textId="6A367BD8" w:rsidR="006A41C2" w:rsidRPr="00B12387" w:rsidRDefault="006A41C2" w:rsidP="006A41C2">
      <w:pPr>
        <w:spacing w:line="360" w:lineRule="auto"/>
        <w:jc w:val="center"/>
        <w:rPr>
          <w:rFonts w:ascii="Arial" w:hAnsi="Arial" w:cs="Arial"/>
          <w:color w:val="222222"/>
          <w:sz w:val="24"/>
          <w:szCs w:val="24"/>
          <w:u w:val="single"/>
          <w:shd w:val="clear" w:color="auto" w:fill="FFFFFF"/>
        </w:rPr>
      </w:pPr>
      <w:r w:rsidRPr="00B12387">
        <w:rPr>
          <w:rFonts w:ascii="Arial" w:hAnsi="Arial" w:cs="Arial"/>
          <w:color w:val="222222"/>
          <w:sz w:val="24"/>
          <w:szCs w:val="24"/>
          <w:u w:val="single"/>
          <w:shd w:val="clear" w:color="auto" w:fill="FFFFFF"/>
        </w:rPr>
        <w:lastRenderedPageBreak/>
        <w:t>References</w:t>
      </w:r>
      <w:r w:rsidRPr="00B12387">
        <w:rPr>
          <w:rFonts w:ascii="Arial" w:hAnsi="Arial" w:cs="Arial"/>
          <w:vanish/>
          <w:color w:val="222222"/>
          <w:sz w:val="24"/>
          <w:szCs w:val="24"/>
          <w:shd w:val="clear" w:color="auto" w:fill="FFFFFF"/>
        </w:rPr>
        <w:t>Top of FormBottom of Form</w:t>
      </w:r>
    </w:p>
    <w:p w14:paraId="5566AF2F" w14:textId="77777777" w:rsidR="006A41C2" w:rsidRPr="00B12387" w:rsidRDefault="006A41C2" w:rsidP="006A41C2">
      <w:pPr>
        <w:spacing w:line="360" w:lineRule="auto"/>
        <w:rPr>
          <w:rFonts w:ascii="Arial" w:hAnsi="Arial" w:cs="Arial"/>
          <w:vanish/>
          <w:color w:val="222222"/>
          <w:sz w:val="24"/>
          <w:szCs w:val="24"/>
          <w:shd w:val="clear" w:color="auto" w:fill="FFFFFF"/>
        </w:rPr>
      </w:pPr>
    </w:p>
    <w:p w14:paraId="5F5B86E6" w14:textId="77777777" w:rsidR="006A41C2" w:rsidRPr="00B12387" w:rsidRDefault="006A41C2" w:rsidP="006A41C2">
      <w:pPr>
        <w:spacing w:line="360" w:lineRule="auto"/>
        <w:jc w:val="center"/>
        <w:rPr>
          <w:rFonts w:ascii="Arial" w:hAnsi="Arial" w:cs="Arial"/>
          <w:vanish/>
          <w:color w:val="222222"/>
          <w:sz w:val="24"/>
          <w:szCs w:val="24"/>
          <w:shd w:val="clear" w:color="auto" w:fill="FFFFFF"/>
        </w:rPr>
      </w:pPr>
      <w:r w:rsidRPr="00B12387">
        <w:rPr>
          <w:rFonts w:ascii="Arial" w:hAnsi="Arial" w:cs="Arial"/>
          <w:vanish/>
          <w:color w:val="222222"/>
          <w:sz w:val="24"/>
          <w:szCs w:val="24"/>
          <w:shd w:val="clear" w:color="auto" w:fill="FFFFFF"/>
        </w:rPr>
        <w:t>Top of Form</w:t>
      </w:r>
    </w:p>
    <w:p w14:paraId="555303D0" w14:textId="77777777" w:rsidR="006A41C2" w:rsidRPr="00B12387" w:rsidRDefault="006A41C2" w:rsidP="006A41C2">
      <w:pPr>
        <w:spacing w:line="360" w:lineRule="auto"/>
        <w:jc w:val="center"/>
        <w:rPr>
          <w:rFonts w:ascii="Arial" w:hAnsi="Arial" w:cs="Arial"/>
          <w:vanish/>
          <w:color w:val="222222"/>
          <w:sz w:val="24"/>
          <w:szCs w:val="24"/>
          <w:shd w:val="clear" w:color="auto" w:fill="FFFFFF"/>
        </w:rPr>
      </w:pPr>
      <w:r w:rsidRPr="00B12387">
        <w:rPr>
          <w:rFonts w:ascii="Arial" w:hAnsi="Arial" w:cs="Arial"/>
          <w:vanish/>
          <w:color w:val="222222"/>
          <w:sz w:val="24"/>
          <w:szCs w:val="24"/>
          <w:shd w:val="clear" w:color="auto" w:fill="FFFFFF"/>
        </w:rPr>
        <w:t>Bottom of Form</w:t>
      </w:r>
    </w:p>
    <w:p w14:paraId="6CC62FBB" w14:textId="77777777" w:rsidR="006A41C2" w:rsidRPr="00B12387" w:rsidRDefault="006A41C2" w:rsidP="006A41C2">
      <w:pPr>
        <w:spacing w:line="360" w:lineRule="auto"/>
        <w:jc w:val="center"/>
        <w:rPr>
          <w:rFonts w:ascii="Arial" w:hAnsi="Arial" w:cs="Arial"/>
          <w:vanish/>
          <w:color w:val="222222"/>
          <w:sz w:val="24"/>
          <w:szCs w:val="24"/>
          <w:shd w:val="clear" w:color="auto" w:fill="FFFFFF"/>
        </w:rPr>
      </w:pPr>
    </w:p>
    <w:p w14:paraId="0A220BBA" w14:textId="77777777" w:rsidR="006A41C2" w:rsidRPr="00B12387" w:rsidRDefault="006A41C2" w:rsidP="006A41C2">
      <w:pPr>
        <w:spacing w:line="360" w:lineRule="auto"/>
        <w:jc w:val="center"/>
        <w:rPr>
          <w:rFonts w:ascii="Arial" w:hAnsi="Arial" w:cs="Arial"/>
          <w:vanish/>
          <w:color w:val="222222"/>
          <w:sz w:val="24"/>
          <w:szCs w:val="24"/>
          <w:shd w:val="clear" w:color="auto" w:fill="FFFFFF"/>
        </w:rPr>
      </w:pPr>
      <w:r w:rsidRPr="00B12387">
        <w:rPr>
          <w:rFonts w:ascii="Arial" w:hAnsi="Arial" w:cs="Arial"/>
          <w:vanish/>
          <w:color w:val="222222"/>
          <w:sz w:val="24"/>
          <w:szCs w:val="24"/>
          <w:shd w:val="clear" w:color="auto" w:fill="FFFFFF"/>
        </w:rPr>
        <w:t>Bottom of Form</w:t>
      </w:r>
    </w:p>
    <w:p w14:paraId="57289C89"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(Mate Choice and Sexual Selection: What Have We Learned Since Darwin?--Adam G. Jones and Nicholas L. Ratterman. 2009)</w:t>
      </w:r>
    </w:p>
    <w:p w14:paraId="4C0A15ED"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Bandura, A., Ross, D., &amp; Ross, S. A. (1961). Transmission of aggression through imitation of aggressive models. </w:t>
      </w:r>
      <w:r w:rsidRPr="00B12387">
        <w:rPr>
          <w:rFonts w:ascii="Arial" w:hAnsi="Arial" w:cs="Arial"/>
          <w:i/>
          <w:iCs/>
          <w:color w:val="222222"/>
          <w:sz w:val="24"/>
          <w:szCs w:val="24"/>
          <w:shd w:val="clear" w:color="auto" w:fill="FFFFFF"/>
        </w:rPr>
        <w:t>The Journal of Abnormal and Social Psychology</w:t>
      </w:r>
      <w:r w:rsidRPr="00B12387">
        <w:rPr>
          <w:rFonts w:ascii="Arial" w:hAnsi="Arial" w:cs="Arial"/>
          <w:color w:val="222222"/>
          <w:sz w:val="24"/>
          <w:szCs w:val="24"/>
          <w:shd w:val="clear" w:color="auto" w:fill="FFFFFF"/>
        </w:rPr>
        <w:t>, </w:t>
      </w:r>
      <w:r w:rsidRPr="00B12387">
        <w:rPr>
          <w:rFonts w:ascii="Arial" w:hAnsi="Arial" w:cs="Arial"/>
          <w:i/>
          <w:iCs/>
          <w:color w:val="222222"/>
          <w:sz w:val="24"/>
          <w:szCs w:val="24"/>
          <w:shd w:val="clear" w:color="auto" w:fill="FFFFFF"/>
        </w:rPr>
        <w:t>63</w:t>
      </w:r>
      <w:r w:rsidRPr="00B12387">
        <w:rPr>
          <w:rFonts w:ascii="Arial" w:hAnsi="Arial" w:cs="Arial"/>
          <w:color w:val="222222"/>
          <w:sz w:val="24"/>
          <w:szCs w:val="24"/>
          <w:shd w:val="clear" w:color="auto" w:fill="FFFFFF"/>
        </w:rPr>
        <w:t>(3), 575.</w:t>
      </w:r>
    </w:p>
    <w:p w14:paraId="39F7FCFD"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Bouchard, T., Lykken, D., McGue, M., Segal, N., &amp; Tellegen, A. (1990). Sources of human psychological differences: the Minnesota Study of Twins Reared Apart.</w:t>
      </w:r>
      <w:r w:rsidRPr="00B12387">
        <w:rPr>
          <w:rFonts w:ascii="Arial" w:hAnsi="Arial" w:cs="Arial"/>
          <w:i/>
          <w:iCs/>
          <w:color w:val="222222"/>
          <w:sz w:val="24"/>
          <w:szCs w:val="24"/>
          <w:shd w:val="clear" w:color="auto" w:fill="FFFFFF"/>
        </w:rPr>
        <w:t> Science (American Association for the Advancement of Science), 250</w:t>
      </w:r>
      <w:r w:rsidRPr="00B12387">
        <w:rPr>
          <w:rFonts w:ascii="Arial" w:hAnsi="Arial" w:cs="Arial"/>
          <w:color w:val="222222"/>
          <w:sz w:val="24"/>
          <w:szCs w:val="24"/>
          <w:shd w:val="clear" w:color="auto" w:fill="FFFFFF"/>
        </w:rPr>
        <w:t>(4978), 223-228. 10.1126/science.2218526</w:t>
      </w:r>
    </w:p>
    <w:p w14:paraId="79B15238"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 xml:space="preserve">Darwin, C. H. A. R. L. E. S. (1859). The Origin of Species by means of Natural Selection (John Murray, London). </w:t>
      </w:r>
    </w:p>
    <w:p w14:paraId="22AC2628"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EGAL, N. L. (1990). The Importance of Twin Studies for Individual Differences Research.</w:t>
      </w:r>
      <w:r w:rsidRPr="00B12387">
        <w:rPr>
          <w:rFonts w:ascii="Arial" w:hAnsi="Arial" w:cs="Arial"/>
          <w:i/>
          <w:iCs/>
          <w:color w:val="222222"/>
          <w:sz w:val="24"/>
          <w:szCs w:val="24"/>
          <w:shd w:val="clear" w:color="auto" w:fill="FFFFFF"/>
        </w:rPr>
        <w:t> Journal of Counseling and Development, 68</w:t>
      </w:r>
      <w:r w:rsidRPr="00B12387">
        <w:rPr>
          <w:rFonts w:ascii="Arial" w:hAnsi="Arial" w:cs="Arial"/>
          <w:color w:val="222222"/>
          <w:sz w:val="24"/>
          <w:szCs w:val="24"/>
          <w:shd w:val="clear" w:color="auto" w:fill="FFFFFF"/>
        </w:rPr>
        <w:t>(6), 612-622. 10.1002/j.1556-6676.1990.tb01425.x</w:t>
      </w:r>
      <w:r w:rsidRPr="00B12387">
        <w:rPr>
          <w:rFonts w:ascii="Arial" w:hAnsi="Arial" w:cs="Arial"/>
          <w:vanish/>
          <w:color w:val="222222"/>
          <w:sz w:val="24"/>
          <w:szCs w:val="24"/>
          <w:shd w:val="clear" w:color="auto" w:fill="FFFFFF"/>
        </w:rPr>
        <w:t>Bottom of Form</w:t>
      </w:r>
    </w:p>
    <w:p w14:paraId="41409117"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Geary, D. C., Vigil, J., &amp; Byrd</w:t>
      </w:r>
      <w:r w:rsidRPr="00B12387">
        <w:rPr>
          <w:rFonts w:ascii="Cambria Math" w:hAnsi="Cambria Math" w:cs="Cambria Math"/>
          <w:color w:val="222222"/>
          <w:sz w:val="24"/>
          <w:szCs w:val="24"/>
          <w:shd w:val="clear" w:color="auto" w:fill="FFFFFF"/>
        </w:rPr>
        <w:t>‐</w:t>
      </w:r>
      <w:r w:rsidRPr="00B12387">
        <w:rPr>
          <w:rFonts w:ascii="Arial" w:hAnsi="Arial" w:cs="Arial"/>
          <w:color w:val="222222"/>
          <w:sz w:val="24"/>
          <w:szCs w:val="24"/>
          <w:shd w:val="clear" w:color="auto" w:fill="FFFFFF"/>
        </w:rPr>
        <w:t>Craven, J. (2004). Evolution of human mate choice. The Journal of Sex Research, 41(1), 27-42. 10.1080/00224490409552211</w:t>
      </w:r>
    </w:p>
    <w:p w14:paraId="650B00E9"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Graham, P., &amp; Arshad-Ayaz, A. (2016). Learned Unsustainability: Bandura’s Bobo Doll Revisited.</w:t>
      </w:r>
      <w:r w:rsidRPr="00B12387">
        <w:rPr>
          <w:rFonts w:ascii="Arial" w:hAnsi="Arial" w:cs="Arial"/>
          <w:i/>
          <w:iCs/>
          <w:color w:val="222222"/>
          <w:sz w:val="24"/>
          <w:szCs w:val="24"/>
          <w:shd w:val="clear" w:color="auto" w:fill="FFFFFF"/>
        </w:rPr>
        <w:t> Journal of Education for Sustainable Development, 10</w:t>
      </w:r>
      <w:r w:rsidRPr="00B12387">
        <w:rPr>
          <w:rFonts w:ascii="Arial" w:hAnsi="Arial" w:cs="Arial"/>
          <w:color w:val="222222"/>
          <w:sz w:val="24"/>
          <w:szCs w:val="24"/>
          <w:shd w:val="clear" w:color="auto" w:fill="FFFFFF"/>
        </w:rPr>
        <w:t>(2), 262-273. 10.1177/0973408216650954</w:t>
      </w:r>
    </w:p>
    <w:p w14:paraId="722ED783"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Guo, G. (2016). Twin Studies: What Can They Tell us About Nature and Nurture?</w:t>
      </w:r>
      <w:r w:rsidRPr="00B12387">
        <w:rPr>
          <w:rFonts w:ascii="Arial" w:hAnsi="Arial" w:cs="Arial"/>
          <w:i/>
          <w:iCs/>
          <w:color w:val="222222"/>
          <w:sz w:val="24"/>
          <w:szCs w:val="24"/>
          <w:shd w:val="clear" w:color="auto" w:fill="FFFFFF"/>
        </w:rPr>
        <w:t> Contexts (Berkeley, Calif.), 4</w:t>
      </w:r>
      <w:r w:rsidRPr="00B12387">
        <w:rPr>
          <w:rFonts w:ascii="Arial" w:hAnsi="Arial" w:cs="Arial"/>
          <w:color w:val="222222"/>
          <w:sz w:val="24"/>
          <w:szCs w:val="24"/>
          <w:shd w:val="clear" w:color="auto" w:fill="FFFFFF"/>
        </w:rPr>
        <w:t>(3), 43-47. 10.1525/ctx.2005.4.3.43</w:t>
      </w:r>
    </w:p>
    <w:p w14:paraId="0A0EB9E0"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Lantz SE, Ray S. Freud Developmental Theory. [Updated 2020 May 10]. In: StatPearls [Internet]. Treasure Island (FL): StatPearls Publishing; 202.</w:t>
      </w:r>
    </w:p>
    <w:p w14:paraId="71FD6E75"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Mineka, S., &amp; Öhman, A. (2002). Phobias and preparedness: the selective, automatic, and encapsulated nature of fear. Biological Psychiatry (1969), 52(10), 927-937. 10.1016/s0006-3223(02)01669-4</w:t>
      </w:r>
    </w:p>
    <w:p w14:paraId="22838587" w14:textId="77777777" w:rsidR="006A41C2" w:rsidRPr="00B12387" w:rsidRDefault="006A41C2" w:rsidP="006A41C2">
      <w:pPr>
        <w:spacing w:line="360" w:lineRule="auto"/>
        <w:jc w:val="center"/>
        <w:rPr>
          <w:rFonts w:ascii="Arial" w:hAnsi="Arial" w:cs="Arial"/>
          <w:sz w:val="24"/>
          <w:szCs w:val="24"/>
          <w:u w:val="single"/>
        </w:rPr>
      </w:pPr>
      <w:r w:rsidRPr="00B12387">
        <w:rPr>
          <w:rFonts w:ascii="Arial" w:hAnsi="Arial" w:cs="Arial"/>
          <w:sz w:val="24"/>
          <w:szCs w:val="24"/>
        </w:rPr>
        <w:t>Petrides, M. (1994). Frontal lobes and behaviour. </w:t>
      </w:r>
      <w:r w:rsidRPr="00B12387">
        <w:rPr>
          <w:rFonts w:ascii="Arial" w:hAnsi="Arial" w:cs="Arial"/>
          <w:i/>
          <w:iCs/>
          <w:sz w:val="24"/>
          <w:szCs w:val="24"/>
        </w:rPr>
        <w:t>Current opinion in neurobiology</w:t>
      </w:r>
      <w:r w:rsidRPr="00B12387">
        <w:rPr>
          <w:rFonts w:ascii="Arial" w:hAnsi="Arial" w:cs="Arial"/>
          <w:sz w:val="24"/>
          <w:szCs w:val="24"/>
        </w:rPr>
        <w:t>, </w:t>
      </w:r>
      <w:r w:rsidRPr="00B12387">
        <w:rPr>
          <w:rFonts w:ascii="Arial" w:hAnsi="Arial" w:cs="Arial"/>
          <w:i/>
          <w:iCs/>
          <w:sz w:val="24"/>
          <w:szCs w:val="24"/>
        </w:rPr>
        <w:t>4</w:t>
      </w:r>
      <w:r w:rsidRPr="00B12387">
        <w:rPr>
          <w:rFonts w:ascii="Arial" w:hAnsi="Arial" w:cs="Arial"/>
          <w:sz w:val="24"/>
          <w:szCs w:val="24"/>
        </w:rPr>
        <w:t>(2), 207-211</w:t>
      </w:r>
      <w:r w:rsidRPr="00B12387">
        <w:rPr>
          <w:rFonts w:ascii="Arial" w:hAnsi="Arial" w:cs="Arial"/>
          <w:sz w:val="24"/>
          <w:szCs w:val="24"/>
          <w:u w:val="single"/>
        </w:rPr>
        <w:t>.</w:t>
      </w:r>
    </w:p>
    <w:p w14:paraId="2AA64BCF"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lastRenderedPageBreak/>
        <w:t>Mineka, S., &amp; Öhman, A. (2002). Phobias and preparedness: the selective, automatic, and encapsulated nature of fear.</w:t>
      </w:r>
      <w:r w:rsidRPr="00B12387">
        <w:rPr>
          <w:rFonts w:ascii="Arial" w:hAnsi="Arial" w:cs="Arial"/>
          <w:i/>
          <w:iCs/>
          <w:color w:val="222222"/>
          <w:sz w:val="24"/>
          <w:szCs w:val="24"/>
          <w:shd w:val="clear" w:color="auto" w:fill="FFFFFF"/>
        </w:rPr>
        <w:t> Biological Psychiatry (1969), 52</w:t>
      </w:r>
      <w:r w:rsidRPr="00B12387">
        <w:rPr>
          <w:rFonts w:ascii="Arial" w:hAnsi="Arial" w:cs="Arial"/>
          <w:color w:val="222222"/>
          <w:sz w:val="24"/>
          <w:szCs w:val="24"/>
          <w:shd w:val="clear" w:color="auto" w:fill="FFFFFF"/>
        </w:rPr>
        <w:t>(10), 927-937. 10.1016/s0006-3223(02)01669-4</w:t>
      </w:r>
    </w:p>
    <w:p w14:paraId="48B70DC7"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Rajamanickam, M. (2004). </w:t>
      </w:r>
      <w:r w:rsidRPr="00B12387">
        <w:rPr>
          <w:rFonts w:ascii="Arial" w:hAnsi="Arial" w:cs="Arial"/>
          <w:i/>
          <w:iCs/>
          <w:color w:val="222222"/>
          <w:sz w:val="24"/>
          <w:szCs w:val="24"/>
          <w:shd w:val="clear" w:color="auto" w:fill="FFFFFF"/>
        </w:rPr>
        <w:t>Experimental Psychology With Advanced Experiments (in 2 Vols.)</w:t>
      </w:r>
      <w:r w:rsidRPr="00B12387">
        <w:rPr>
          <w:rFonts w:ascii="Arial" w:hAnsi="Arial" w:cs="Arial"/>
          <w:color w:val="222222"/>
          <w:sz w:val="24"/>
          <w:szCs w:val="24"/>
          <w:shd w:val="clear" w:color="auto" w:fill="FFFFFF"/>
        </w:rPr>
        <w:t>. Concept Publishing Company.</w:t>
      </w:r>
    </w:p>
    <w:p w14:paraId="3198735F"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Sahu, M., &amp; Prasuna, J. (2016). Twin studies: A unique epidemiological tool.</w:t>
      </w:r>
      <w:r w:rsidRPr="00B12387">
        <w:rPr>
          <w:rFonts w:ascii="Arial" w:hAnsi="Arial" w:cs="Arial"/>
          <w:i/>
          <w:iCs/>
          <w:color w:val="222222"/>
          <w:sz w:val="24"/>
          <w:szCs w:val="24"/>
          <w:shd w:val="clear" w:color="auto" w:fill="FFFFFF"/>
        </w:rPr>
        <w:t> Indian Journal of Community Medicine, 41</w:t>
      </w:r>
      <w:r w:rsidRPr="00B12387">
        <w:rPr>
          <w:rFonts w:ascii="Arial" w:hAnsi="Arial" w:cs="Arial"/>
          <w:color w:val="222222"/>
          <w:sz w:val="24"/>
          <w:szCs w:val="24"/>
          <w:shd w:val="clear" w:color="auto" w:fill="FFFFFF"/>
        </w:rPr>
        <w:t>(3), 177-182. 10.4103/0970-0218.183593</w:t>
      </w:r>
    </w:p>
    <w:p w14:paraId="408EC274"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Seligman, M. E. P. (2016). Phobias and Preparedness – Republished Article. Behavior Therapy, 47(5), 577-584. 10.1016/j.beth.2016.08.006</w:t>
      </w:r>
    </w:p>
    <w:p w14:paraId="3FC6A5CC"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Shackelford, T. K., Schmitt, D. P., &amp; Buss, D. M. (2005). Universal dimensions of human mate preferences. Personality and Individual Differences, 39(2), 447-458. 10.1016/j.paid.2005.01.023</w:t>
      </w:r>
    </w:p>
    <w:p w14:paraId="42D34BCA"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Stangor, C., &amp; Walinga, J. (2014). </w:t>
      </w:r>
      <w:r w:rsidRPr="00B12387">
        <w:rPr>
          <w:rFonts w:ascii="Arial" w:hAnsi="Arial" w:cs="Arial"/>
          <w:i/>
          <w:iCs/>
          <w:color w:val="222222"/>
          <w:sz w:val="24"/>
          <w:szCs w:val="24"/>
          <w:shd w:val="clear" w:color="auto" w:fill="FFFFFF"/>
        </w:rPr>
        <w:t>Introduction to psychology - 1st Canadian edition</w:t>
      </w:r>
      <w:r w:rsidRPr="00B12387">
        <w:rPr>
          <w:rFonts w:ascii="Arial" w:hAnsi="Arial" w:cs="Arial"/>
          <w:color w:val="222222"/>
          <w:sz w:val="24"/>
          <w:szCs w:val="24"/>
          <w:shd w:val="clear" w:color="auto" w:fill="FFFFFF"/>
        </w:rPr>
        <w:t>. BCcampus.</w:t>
      </w:r>
    </w:p>
    <w:p w14:paraId="3F0F6591"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Stevenson, D. B. (1996). Freud’s psychosexual stages of development. Brown University. Web: http://www. victorianweb. org/science/freud/develop. html adresinden, 10, 2011.</w:t>
      </w:r>
    </w:p>
    <w:p w14:paraId="4CB835B4"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Swami, V., &amp; Furnham, A. (2008). </w:t>
      </w:r>
      <w:r w:rsidRPr="00B12387">
        <w:rPr>
          <w:rFonts w:ascii="Arial" w:hAnsi="Arial" w:cs="Arial"/>
          <w:i/>
          <w:iCs/>
          <w:color w:val="222222"/>
          <w:sz w:val="24"/>
          <w:szCs w:val="24"/>
          <w:shd w:val="clear" w:color="auto" w:fill="FFFFFF"/>
        </w:rPr>
        <w:t>The psychology of physical attraction</w:t>
      </w:r>
      <w:r w:rsidRPr="00B12387">
        <w:rPr>
          <w:rFonts w:ascii="Arial" w:hAnsi="Arial" w:cs="Arial"/>
          <w:color w:val="222222"/>
          <w:sz w:val="24"/>
          <w:szCs w:val="24"/>
          <w:shd w:val="clear" w:color="auto" w:fill="FFFFFF"/>
        </w:rPr>
        <w:t> (1. publ. ed.). Routledge</w:t>
      </w:r>
      <w:r w:rsidRPr="00B12387">
        <w:rPr>
          <w:rFonts w:ascii="Arial" w:hAnsi="Arial" w:cs="Arial"/>
          <w:vanish/>
          <w:color w:val="222222"/>
          <w:sz w:val="24"/>
          <w:szCs w:val="24"/>
          <w:shd w:val="clear" w:color="auto" w:fill="FFFFFF"/>
        </w:rPr>
        <w:t>Top of Form</w:t>
      </w:r>
    </w:p>
    <w:p w14:paraId="51F125E9"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Watson, J. B. (1913). Psychology as the behaviorist views it. </w:t>
      </w:r>
      <w:r w:rsidRPr="00B12387">
        <w:rPr>
          <w:rFonts w:ascii="Arial" w:hAnsi="Arial" w:cs="Arial"/>
          <w:i/>
          <w:iCs/>
          <w:color w:val="222222"/>
          <w:sz w:val="24"/>
          <w:szCs w:val="24"/>
          <w:shd w:val="clear" w:color="auto" w:fill="FFFFFF"/>
        </w:rPr>
        <w:t>Psychological review</w:t>
      </w:r>
      <w:r w:rsidRPr="00B12387">
        <w:rPr>
          <w:rFonts w:ascii="Arial" w:hAnsi="Arial" w:cs="Arial"/>
          <w:color w:val="222222"/>
          <w:sz w:val="24"/>
          <w:szCs w:val="24"/>
          <w:shd w:val="clear" w:color="auto" w:fill="FFFFFF"/>
        </w:rPr>
        <w:t>, </w:t>
      </w:r>
      <w:r w:rsidRPr="00B12387">
        <w:rPr>
          <w:rFonts w:ascii="Arial" w:hAnsi="Arial" w:cs="Arial"/>
          <w:i/>
          <w:iCs/>
          <w:color w:val="222222"/>
          <w:sz w:val="24"/>
          <w:szCs w:val="24"/>
          <w:shd w:val="clear" w:color="auto" w:fill="FFFFFF"/>
        </w:rPr>
        <w:t>20</w:t>
      </w:r>
      <w:r w:rsidRPr="00B12387">
        <w:rPr>
          <w:rFonts w:ascii="Arial" w:hAnsi="Arial" w:cs="Arial"/>
          <w:color w:val="222222"/>
          <w:sz w:val="24"/>
          <w:szCs w:val="24"/>
          <w:shd w:val="clear" w:color="auto" w:fill="FFFFFF"/>
        </w:rPr>
        <w:t>(2), 158.</w:t>
      </w:r>
    </w:p>
    <w:p w14:paraId="2B484E96"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Watson, J. B. 1. (1913). </w:t>
      </w:r>
      <w:r w:rsidRPr="00B12387">
        <w:rPr>
          <w:rFonts w:ascii="Arial" w:hAnsi="Arial" w:cs="Arial"/>
          <w:i/>
          <w:iCs/>
          <w:color w:val="222222"/>
          <w:sz w:val="24"/>
          <w:szCs w:val="24"/>
          <w:shd w:val="clear" w:color="auto" w:fill="FFFFFF"/>
        </w:rPr>
        <w:t>Psychology as the behaviorist views it</w:t>
      </w:r>
      <w:r w:rsidRPr="00B12387">
        <w:rPr>
          <w:rFonts w:ascii="Arial" w:hAnsi="Arial" w:cs="Arial"/>
          <w:color w:val="222222"/>
          <w:sz w:val="24"/>
          <w:szCs w:val="24"/>
          <w:shd w:val="clear" w:color="auto" w:fill="FFFFFF"/>
        </w:rPr>
        <w:t>. Bobbs-Merrill, 19 -.</w:t>
      </w:r>
    </w:p>
    <w:p w14:paraId="0FFB9C66"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Watson, J. B., &amp; Rayner, R. (1920). Conditioned emotional reactions. </w:t>
      </w:r>
      <w:r w:rsidRPr="00B12387">
        <w:rPr>
          <w:rFonts w:ascii="Arial" w:hAnsi="Arial" w:cs="Arial"/>
          <w:i/>
          <w:iCs/>
          <w:color w:val="222222"/>
          <w:sz w:val="24"/>
          <w:szCs w:val="24"/>
          <w:shd w:val="clear" w:color="auto" w:fill="FFFFFF"/>
        </w:rPr>
        <w:t>Journal of experimental psychology</w:t>
      </w:r>
      <w:r w:rsidRPr="00B12387">
        <w:rPr>
          <w:rFonts w:ascii="Arial" w:hAnsi="Arial" w:cs="Arial"/>
          <w:color w:val="222222"/>
          <w:sz w:val="24"/>
          <w:szCs w:val="24"/>
          <w:shd w:val="clear" w:color="auto" w:fill="FFFFFF"/>
        </w:rPr>
        <w:t>, </w:t>
      </w:r>
      <w:r w:rsidRPr="00B12387">
        <w:rPr>
          <w:rFonts w:ascii="Arial" w:hAnsi="Arial" w:cs="Arial"/>
          <w:i/>
          <w:iCs/>
          <w:color w:val="222222"/>
          <w:sz w:val="24"/>
          <w:szCs w:val="24"/>
          <w:shd w:val="clear" w:color="auto" w:fill="FFFFFF"/>
        </w:rPr>
        <w:t>3</w:t>
      </w:r>
      <w:r w:rsidRPr="00B12387">
        <w:rPr>
          <w:rFonts w:ascii="Arial" w:hAnsi="Arial" w:cs="Arial"/>
          <w:color w:val="222222"/>
          <w:sz w:val="24"/>
          <w:szCs w:val="24"/>
          <w:shd w:val="clear" w:color="auto" w:fill="FFFFFF"/>
        </w:rPr>
        <w:t>(1), 1.</w:t>
      </w:r>
    </w:p>
    <w:p w14:paraId="42ABA89B"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West, S. A., Griffin, A. S., &amp; Gardner, A. (2007). Evolutionary Explanations for Cooperation. Current Biology, 17(16), R661-R672. 10.1016/j.cub.2007.06.004</w:t>
      </w:r>
    </w:p>
    <w:p w14:paraId="4E701AF3"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Narayan, C. L., Shikha, D., &amp; Shekhar, S. (2015). Schizophrenia in identical twins.</w:t>
      </w:r>
      <w:r w:rsidRPr="00B12387">
        <w:rPr>
          <w:rFonts w:ascii="Arial" w:hAnsi="Arial" w:cs="Arial"/>
          <w:i/>
          <w:iCs/>
          <w:color w:val="222222"/>
          <w:sz w:val="24"/>
          <w:szCs w:val="24"/>
          <w:shd w:val="clear" w:color="auto" w:fill="FFFFFF"/>
        </w:rPr>
        <w:t> Indian Journal of Psychiatry, 57</w:t>
      </w:r>
      <w:r w:rsidRPr="00B12387">
        <w:rPr>
          <w:rFonts w:ascii="Arial" w:hAnsi="Arial" w:cs="Arial"/>
          <w:color w:val="222222"/>
          <w:sz w:val="24"/>
          <w:szCs w:val="24"/>
          <w:shd w:val="clear" w:color="auto" w:fill="FFFFFF"/>
        </w:rPr>
        <w:t xml:space="preserve">(3), 323-324. 10.4103/0019-5545.166635  </w:t>
      </w:r>
    </w:p>
    <w:p w14:paraId="3DC6B18C" w14:textId="77777777" w:rsidR="006A41C2" w:rsidRPr="00B12387" w:rsidRDefault="006A41C2" w:rsidP="006A41C2">
      <w:pPr>
        <w:spacing w:line="360" w:lineRule="auto"/>
        <w:jc w:val="center"/>
        <w:rPr>
          <w:rFonts w:ascii="Arial" w:hAnsi="Arial" w:cs="Arial"/>
          <w:color w:val="222222"/>
          <w:sz w:val="24"/>
          <w:szCs w:val="24"/>
          <w:shd w:val="clear" w:color="auto" w:fill="FFFFFF"/>
        </w:rPr>
      </w:pPr>
    </w:p>
    <w:p w14:paraId="0A961676"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lastRenderedPageBreak/>
        <w:t>Kringlen, E. (2000). Twin studies in schizophrenia with special emphasis on concordance figures.</w:t>
      </w:r>
      <w:r w:rsidRPr="00B12387">
        <w:rPr>
          <w:rFonts w:ascii="Arial" w:hAnsi="Arial" w:cs="Arial"/>
          <w:i/>
          <w:iCs/>
          <w:color w:val="222222"/>
          <w:sz w:val="24"/>
          <w:szCs w:val="24"/>
          <w:shd w:val="clear" w:color="auto" w:fill="FFFFFF"/>
        </w:rPr>
        <w:t> American Journal of Medical Genetics, 97</w:t>
      </w:r>
      <w:r w:rsidRPr="00B12387">
        <w:rPr>
          <w:rFonts w:ascii="Arial" w:hAnsi="Arial" w:cs="Arial"/>
          <w:color w:val="222222"/>
          <w:sz w:val="24"/>
          <w:szCs w:val="24"/>
          <w:shd w:val="clear" w:color="auto" w:fill="FFFFFF"/>
        </w:rPr>
        <w:t>(1), 4-11. 10.1002/(SICI)1096-8628(200021)97:1&lt;4::AID-AJMG2&gt;3.0.CO;2-J</w:t>
      </w:r>
    </w:p>
    <w:p w14:paraId="3AE87519"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Goldfarb, W. (1943). The effects of early institutional care on adolescent personality. The Journal of experimental education, 12(2), 106-129.</w:t>
      </w:r>
    </w:p>
    <w:p w14:paraId="02E11DD2"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Bernice Andrews, &amp; Chris R Brewin. (2000). What did Freud get right?</w:t>
      </w:r>
      <w:r w:rsidRPr="00B12387">
        <w:rPr>
          <w:rFonts w:ascii="Arial" w:hAnsi="Arial" w:cs="Arial"/>
          <w:i/>
          <w:iCs/>
          <w:color w:val="222222"/>
          <w:sz w:val="24"/>
          <w:szCs w:val="24"/>
          <w:shd w:val="clear" w:color="auto" w:fill="FFFFFF"/>
        </w:rPr>
        <w:t> Psychologist (London, England : 1988), 13</w:t>
      </w:r>
      <w:r w:rsidRPr="00B12387">
        <w:rPr>
          <w:rFonts w:ascii="Arial" w:hAnsi="Arial" w:cs="Arial"/>
          <w:color w:val="222222"/>
          <w:sz w:val="24"/>
          <w:szCs w:val="24"/>
          <w:shd w:val="clear" w:color="auto" w:fill="FFFFFF"/>
        </w:rPr>
        <w:t>(12), 605. </w:t>
      </w:r>
      <w:hyperlink r:id="rId4" w:tgtFrame="_blank" w:history="1">
        <w:r w:rsidRPr="00B12387">
          <w:rPr>
            <w:rStyle w:val="Hyperlink"/>
            <w:rFonts w:ascii="Arial" w:hAnsi="Arial" w:cs="Arial"/>
            <w:sz w:val="24"/>
            <w:szCs w:val="24"/>
            <w:shd w:val="clear" w:color="auto" w:fill="FFFFFF"/>
          </w:rPr>
          <w:t>https://search.proquest.com/docview/211810350</w:t>
        </w:r>
      </w:hyperlink>
    </w:p>
    <w:p w14:paraId="1141BDAF"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Kieran O'Driscoll, &amp; John Paul Leach. (1998). "No Longer Gage": An Iron Bar through the Head: Early Observations of Personality Change after Injury to the Prefrontal Cortex.</w:t>
      </w:r>
      <w:r w:rsidRPr="00B12387">
        <w:rPr>
          <w:rFonts w:ascii="Arial" w:hAnsi="Arial" w:cs="Arial"/>
          <w:i/>
          <w:iCs/>
          <w:color w:val="222222"/>
          <w:sz w:val="24"/>
          <w:szCs w:val="24"/>
          <w:shd w:val="clear" w:color="auto" w:fill="FFFFFF"/>
        </w:rPr>
        <w:t> BMJ: British Medical Journal, 317</w:t>
      </w:r>
      <w:r w:rsidRPr="00B12387">
        <w:rPr>
          <w:rFonts w:ascii="Arial" w:hAnsi="Arial" w:cs="Arial"/>
          <w:color w:val="222222"/>
          <w:sz w:val="24"/>
          <w:szCs w:val="24"/>
          <w:shd w:val="clear" w:color="auto" w:fill="FFFFFF"/>
        </w:rPr>
        <w:t>(7174), 1673-1674. </w:t>
      </w:r>
      <w:hyperlink r:id="rId5" w:tgtFrame="_blank" w:history="1">
        <w:r w:rsidRPr="00B12387">
          <w:rPr>
            <w:rStyle w:val="Hyperlink"/>
            <w:rFonts w:ascii="Arial" w:hAnsi="Arial" w:cs="Arial"/>
            <w:sz w:val="24"/>
            <w:szCs w:val="24"/>
            <w:shd w:val="clear" w:color="auto" w:fill="FFFFFF"/>
          </w:rPr>
          <w:t>https://www.jstor.org/stable/25181342</w:t>
        </w:r>
      </w:hyperlink>
    </w:p>
    <w:p w14:paraId="2216A57D"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Winerman, L. (2004). A second look at twin studies. </w:t>
      </w:r>
      <w:r w:rsidRPr="00B12387">
        <w:rPr>
          <w:rFonts w:ascii="Arial" w:hAnsi="Arial" w:cs="Arial"/>
          <w:i/>
          <w:iCs/>
          <w:color w:val="222222"/>
          <w:sz w:val="24"/>
          <w:szCs w:val="24"/>
          <w:shd w:val="clear" w:color="auto" w:fill="FFFFFF"/>
        </w:rPr>
        <w:t>Monitor on Psychology</w:t>
      </w:r>
      <w:r w:rsidRPr="00B12387">
        <w:rPr>
          <w:rFonts w:ascii="Arial" w:hAnsi="Arial" w:cs="Arial"/>
          <w:color w:val="222222"/>
          <w:sz w:val="24"/>
          <w:szCs w:val="24"/>
          <w:shd w:val="clear" w:color="auto" w:fill="FFFFFF"/>
        </w:rPr>
        <w:t>, </w:t>
      </w:r>
      <w:r w:rsidRPr="00B12387">
        <w:rPr>
          <w:rFonts w:ascii="Arial" w:hAnsi="Arial" w:cs="Arial"/>
          <w:i/>
          <w:iCs/>
          <w:color w:val="222222"/>
          <w:sz w:val="24"/>
          <w:szCs w:val="24"/>
          <w:shd w:val="clear" w:color="auto" w:fill="FFFFFF"/>
        </w:rPr>
        <w:t>35</w:t>
      </w:r>
      <w:r w:rsidRPr="00B12387">
        <w:rPr>
          <w:rFonts w:ascii="Arial" w:hAnsi="Arial" w:cs="Arial"/>
          <w:color w:val="222222"/>
          <w:sz w:val="24"/>
          <w:szCs w:val="24"/>
          <w:shd w:val="clear" w:color="auto" w:fill="FFFFFF"/>
        </w:rPr>
        <w:t>(4), 46.</w:t>
      </w:r>
      <w:r w:rsidRPr="00B12387">
        <w:rPr>
          <w:rFonts w:ascii="Arial" w:hAnsi="Arial" w:cs="Arial"/>
          <w:vanish/>
          <w:color w:val="222222"/>
          <w:sz w:val="24"/>
          <w:szCs w:val="24"/>
          <w:shd w:val="clear" w:color="auto" w:fill="FFFFFF"/>
        </w:rPr>
        <w:t xml:space="preserve"> Top of Form</w:t>
      </w:r>
    </w:p>
    <w:p w14:paraId="59D77EC1"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Bandura, A. (1965). Influence of models' reinforcement contingencies on the acquisition of imitative responses.</w:t>
      </w:r>
      <w:r w:rsidRPr="00B12387">
        <w:rPr>
          <w:rFonts w:ascii="Arial" w:hAnsi="Arial" w:cs="Arial"/>
          <w:i/>
          <w:iCs/>
          <w:color w:val="222222"/>
          <w:sz w:val="24"/>
          <w:szCs w:val="24"/>
          <w:shd w:val="clear" w:color="auto" w:fill="FFFFFF"/>
        </w:rPr>
        <w:t> Journal of Personality and Social Psychology, 1</w:t>
      </w:r>
      <w:r w:rsidRPr="00B12387">
        <w:rPr>
          <w:rFonts w:ascii="Arial" w:hAnsi="Arial" w:cs="Arial"/>
          <w:color w:val="222222"/>
          <w:sz w:val="24"/>
          <w:szCs w:val="24"/>
          <w:shd w:val="clear" w:color="auto" w:fill="FFFFFF"/>
        </w:rPr>
        <w:t>(6), 589-595. 10.1037/h0022070</w:t>
      </w:r>
    </w:p>
    <w:p w14:paraId="3B26A3DB"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135B05">
        <w:rPr>
          <w:rFonts w:ascii="Arial" w:hAnsi="Arial" w:cs="Arial"/>
          <w:color w:val="222222"/>
          <w:sz w:val="24"/>
          <w:szCs w:val="24"/>
          <w:shd w:val="clear" w:color="auto" w:fill="FFFFFF"/>
        </w:rPr>
        <w:t>Blackman, D. (1974). </w:t>
      </w:r>
      <w:r w:rsidRPr="00135B05">
        <w:rPr>
          <w:rFonts w:ascii="Arial" w:hAnsi="Arial" w:cs="Arial"/>
          <w:i/>
          <w:iCs/>
          <w:color w:val="222222"/>
          <w:sz w:val="24"/>
          <w:szCs w:val="24"/>
          <w:shd w:val="clear" w:color="auto" w:fill="FFFFFF"/>
        </w:rPr>
        <w:t>Operant Conditioning</w:t>
      </w:r>
      <w:r w:rsidRPr="00135B05">
        <w:rPr>
          <w:rFonts w:ascii="Arial" w:hAnsi="Arial" w:cs="Arial"/>
          <w:color w:val="222222"/>
          <w:sz w:val="24"/>
          <w:szCs w:val="24"/>
          <w:shd w:val="clear" w:color="auto" w:fill="FFFFFF"/>
        </w:rPr>
        <w:t> (1st ed.). Routledge. 10.4324/9781315083735</w:t>
      </w:r>
    </w:p>
    <w:tbl>
      <w:tblPr>
        <w:tblW w:w="6564" w:type="dxa"/>
        <w:shd w:val="clear" w:color="auto" w:fill="FFFFFF"/>
        <w:tblCellMar>
          <w:left w:w="0" w:type="dxa"/>
          <w:right w:w="0" w:type="dxa"/>
        </w:tblCellMar>
        <w:tblLook w:val="04A0" w:firstRow="1" w:lastRow="0" w:firstColumn="1" w:lastColumn="0" w:noHBand="0" w:noVBand="1"/>
      </w:tblPr>
      <w:tblGrid>
        <w:gridCol w:w="6564"/>
      </w:tblGrid>
      <w:tr w:rsidR="006A41C2" w:rsidRPr="00187CAB" w14:paraId="55358693" w14:textId="77777777" w:rsidTr="00053CB0">
        <w:tc>
          <w:tcPr>
            <w:tcW w:w="0" w:type="auto"/>
            <w:shd w:val="clear" w:color="auto" w:fill="FFFFFF"/>
            <w:vAlign w:val="center"/>
            <w:hideMark/>
          </w:tcPr>
          <w:p w14:paraId="5468D80E" w14:textId="77777777" w:rsidR="006A41C2" w:rsidRPr="00187CAB" w:rsidRDefault="006A41C2" w:rsidP="00053CB0">
            <w:pPr>
              <w:spacing w:line="360" w:lineRule="auto"/>
              <w:jc w:val="center"/>
              <w:rPr>
                <w:rFonts w:ascii="Arial" w:hAnsi="Arial" w:cs="Arial"/>
                <w:color w:val="222222"/>
                <w:sz w:val="24"/>
                <w:szCs w:val="24"/>
                <w:shd w:val="clear" w:color="auto" w:fill="FFFFFF"/>
              </w:rPr>
            </w:pPr>
          </w:p>
        </w:tc>
      </w:tr>
    </w:tbl>
    <w:p w14:paraId="0178880D" w14:textId="77777777" w:rsidR="006A41C2" w:rsidRPr="00B12387" w:rsidRDefault="006A41C2" w:rsidP="006A41C2">
      <w:pPr>
        <w:spacing w:line="360" w:lineRule="auto"/>
        <w:jc w:val="center"/>
        <w:rPr>
          <w:rFonts w:ascii="Arial" w:hAnsi="Arial" w:cs="Arial"/>
          <w:color w:val="222222"/>
          <w:sz w:val="24"/>
          <w:szCs w:val="24"/>
          <w:shd w:val="clear" w:color="auto" w:fill="FFFFFF"/>
        </w:rPr>
      </w:pPr>
      <w:r w:rsidRPr="00B12387">
        <w:rPr>
          <w:rFonts w:ascii="Arial" w:hAnsi="Arial" w:cs="Arial"/>
          <w:color w:val="222222"/>
          <w:sz w:val="24"/>
          <w:szCs w:val="24"/>
          <w:shd w:val="clear" w:color="auto" w:fill="FFFFFF"/>
        </w:rPr>
        <w:t xml:space="preserve">Dabbs, J. M., Jurkovic, G. J., &amp; Frady, R. L. (1991). </w:t>
      </w:r>
      <w:r w:rsidRPr="00B12387">
        <w:rPr>
          <w:rFonts w:ascii="Arial" w:hAnsi="Arial" w:cs="Arial"/>
          <w:i/>
          <w:iCs/>
          <w:color w:val="222222"/>
          <w:sz w:val="24"/>
          <w:szCs w:val="24"/>
          <w:shd w:val="clear" w:color="auto" w:fill="FFFFFF"/>
        </w:rPr>
        <w:t xml:space="preserve">Salivary testosterone and cortisol among late adolescent male offenders. </w:t>
      </w:r>
      <w:r w:rsidRPr="00B12387">
        <w:rPr>
          <w:rFonts w:ascii="Arial" w:hAnsi="Arial" w:cs="Arial"/>
          <w:color w:val="222222"/>
          <w:sz w:val="24"/>
          <w:szCs w:val="24"/>
          <w:shd w:val="clear" w:color="auto" w:fill="FFFFFF"/>
        </w:rPr>
        <w:t>Journal of abnormal child psychology, 19(4), 469-478.</w:t>
      </w:r>
    </w:p>
    <w:p w14:paraId="08081B9D" w14:textId="77777777" w:rsidR="006A41C2" w:rsidRPr="00B72746" w:rsidRDefault="006A41C2" w:rsidP="006A41C2">
      <w:pPr>
        <w:spacing w:line="360" w:lineRule="auto"/>
        <w:jc w:val="center"/>
        <w:rPr>
          <w:rFonts w:ascii="Arial" w:hAnsi="Arial" w:cs="Arial"/>
          <w:color w:val="222222"/>
          <w:sz w:val="24"/>
          <w:szCs w:val="24"/>
          <w:shd w:val="clear" w:color="auto" w:fill="FFFFFF"/>
        </w:rPr>
      </w:pPr>
      <w:r w:rsidRPr="00B72746">
        <w:rPr>
          <w:rFonts w:ascii="Arial" w:hAnsi="Arial" w:cs="Arial"/>
          <w:color w:val="222222"/>
          <w:sz w:val="24"/>
          <w:szCs w:val="24"/>
          <w:shd w:val="clear" w:color="auto" w:fill="FFFFFF"/>
        </w:rPr>
        <w:t>Theilgaard, A. (1983). Aggression and the XYY personality.</w:t>
      </w:r>
      <w:r w:rsidRPr="00B72746">
        <w:rPr>
          <w:rFonts w:ascii="Arial" w:hAnsi="Arial" w:cs="Arial"/>
          <w:i/>
          <w:iCs/>
          <w:color w:val="222222"/>
          <w:sz w:val="24"/>
          <w:szCs w:val="24"/>
          <w:shd w:val="clear" w:color="auto" w:fill="FFFFFF"/>
        </w:rPr>
        <w:t> International Journal of Law and Psychiatry, 6</w:t>
      </w:r>
      <w:r w:rsidRPr="00B72746">
        <w:rPr>
          <w:rFonts w:ascii="Arial" w:hAnsi="Arial" w:cs="Arial"/>
          <w:color w:val="222222"/>
          <w:sz w:val="24"/>
          <w:szCs w:val="24"/>
          <w:shd w:val="clear" w:color="auto" w:fill="FFFFFF"/>
        </w:rPr>
        <w:t>(3), 413-421. 10.1016/0160-2527(83)90028-6</w:t>
      </w:r>
    </w:p>
    <w:p w14:paraId="3A18150D" w14:textId="77777777" w:rsidR="006A41C2" w:rsidRPr="003D7572" w:rsidRDefault="006A41C2" w:rsidP="006A41C2">
      <w:pPr>
        <w:spacing w:line="360" w:lineRule="auto"/>
        <w:jc w:val="center"/>
        <w:rPr>
          <w:rFonts w:ascii="Arial" w:hAnsi="Arial" w:cs="Arial"/>
          <w:color w:val="222222"/>
          <w:sz w:val="24"/>
          <w:szCs w:val="24"/>
          <w:shd w:val="clear" w:color="auto" w:fill="FFFFFF"/>
        </w:rPr>
      </w:pPr>
      <w:r w:rsidRPr="003D7572">
        <w:rPr>
          <w:rFonts w:ascii="Arial" w:hAnsi="Arial" w:cs="Arial"/>
          <w:color w:val="222222"/>
          <w:sz w:val="24"/>
          <w:szCs w:val="24"/>
          <w:shd w:val="clear" w:color="auto" w:fill="FFFFFF"/>
        </w:rPr>
        <w:t>Lemery-Chalfant, K., Kao, K., Swann, G., &amp; Goldsmith, H. H. (2013). Childhood temperament: Passive gene–environment correlation, gene–environment interaction, and the hidden importance of the family environment.</w:t>
      </w:r>
      <w:r w:rsidRPr="003D7572">
        <w:rPr>
          <w:rFonts w:ascii="Arial" w:hAnsi="Arial" w:cs="Arial"/>
          <w:i/>
          <w:iCs/>
          <w:color w:val="222222"/>
          <w:sz w:val="24"/>
          <w:szCs w:val="24"/>
          <w:shd w:val="clear" w:color="auto" w:fill="FFFFFF"/>
        </w:rPr>
        <w:t> Development and Psychopathology, 25</w:t>
      </w:r>
      <w:r w:rsidRPr="003D7572">
        <w:rPr>
          <w:rFonts w:ascii="Arial" w:hAnsi="Arial" w:cs="Arial"/>
          <w:color w:val="222222"/>
          <w:sz w:val="24"/>
          <w:szCs w:val="24"/>
          <w:shd w:val="clear" w:color="auto" w:fill="FFFFFF"/>
        </w:rPr>
        <w:t>(1), 51-63. 10.1017/S0954579412000892</w:t>
      </w:r>
    </w:p>
    <w:p w14:paraId="46585E56" w14:textId="77777777" w:rsidR="00130891" w:rsidRPr="00130891" w:rsidRDefault="00130891" w:rsidP="00DC3FAF">
      <w:pPr>
        <w:rPr>
          <w:rFonts w:ascii="Arial" w:hAnsi="Arial" w:cs="Arial"/>
          <w:sz w:val="24"/>
          <w:szCs w:val="24"/>
          <w:u w:val="single"/>
        </w:rPr>
      </w:pPr>
    </w:p>
    <w:sectPr w:rsidR="00130891" w:rsidRPr="001308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891"/>
    <w:rsid w:val="00001EC0"/>
    <w:rsid w:val="000156B9"/>
    <w:rsid w:val="00020A41"/>
    <w:rsid w:val="00020D87"/>
    <w:rsid w:val="00022371"/>
    <w:rsid w:val="0002442B"/>
    <w:rsid w:val="000372A9"/>
    <w:rsid w:val="000401C1"/>
    <w:rsid w:val="00041FC0"/>
    <w:rsid w:val="000422B5"/>
    <w:rsid w:val="00060F9A"/>
    <w:rsid w:val="0008104E"/>
    <w:rsid w:val="0008587C"/>
    <w:rsid w:val="000904E1"/>
    <w:rsid w:val="000A6EF6"/>
    <w:rsid w:val="000A7F9B"/>
    <w:rsid w:val="000B3CF8"/>
    <w:rsid w:val="000C4812"/>
    <w:rsid w:val="000D62B3"/>
    <w:rsid w:val="000F1190"/>
    <w:rsid w:val="00106E9B"/>
    <w:rsid w:val="00123760"/>
    <w:rsid w:val="00123870"/>
    <w:rsid w:val="00130891"/>
    <w:rsid w:val="00141D43"/>
    <w:rsid w:val="00142DFC"/>
    <w:rsid w:val="00142E3C"/>
    <w:rsid w:val="00154107"/>
    <w:rsid w:val="00154265"/>
    <w:rsid w:val="00157290"/>
    <w:rsid w:val="001708A1"/>
    <w:rsid w:val="001716FD"/>
    <w:rsid w:val="00176089"/>
    <w:rsid w:val="00182082"/>
    <w:rsid w:val="00183809"/>
    <w:rsid w:val="001950E0"/>
    <w:rsid w:val="00196C3F"/>
    <w:rsid w:val="001A44BC"/>
    <w:rsid w:val="001B1B2A"/>
    <w:rsid w:val="001B6FA1"/>
    <w:rsid w:val="001C032D"/>
    <w:rsid w:val="001C39C9"/>
    <w:rsid w:val="001C7CDE"/>
    <w:rsid w:val="001D296F"/>
    <w:rsid w:val="001D7740"/>
    <w:rsid w:val="001E0E9B"/>
    <w:rsid w:val="001E49CB"/>
    <w:rsid w:val="001F1A7D"/>
    <w:rsid w:val="001F54CE"/>
    <w:rsid w:val="0020138F"/>
    <w:rsid w:val="00201A78"/>
    <w:rsid w:val="00203770"/>
    <w:rsid w:val="00215765"/>
    <w:rsid w:val="002206E1"/>
    <w:rsid w:val="002403FE"/>
    <w:rsid w:val="0025192B"/>
    <w:rsid w:val="00254DDC"/>
    <w:rsid w:val="0026568C"/>
    <w:rsid w:val="002822BE"/>
    <w:rsid w:val="0029135E"/>
    <w:rsid w:val="0029445C"/>
    <w:rsid w:val="00295F2C"/>
    <w:rsid w:val="002A2698"/>
    <w:rsid w:val="002A5C74"/>
    <w:rsid w:val="002B0C4A"/>
    <w:rsid w:val="002B1BEC"/>
    <w:rsid w:val="002B5CDB"/>
    <w:rsid w:val="002E5293"/>
    <w:rsid w:val="002E6616"/>
    <w:rsid w:val="002F06D7"/>
    <w:rsid w:val="002F23B0"/>
    <w:rsid w:val="002F58FC"/>
    <w:rsid w:val="002F775B"/>
    <w:rsid w:val="00307C62"/>
    <w:rsid w:val="00311127"/>
    <w:rsid w:val="00311FE9"/>
    <w:rsid w:val="003131A9"/>
    <w:rsid w:val="00316635"/>
    <w:rsid w:val="00316CD1"/>
    <w:rsid w:val="00321D30"/>
    <w:rsid w:val="003250BA"/>
    <w:rsid w:val="00326CA4"/>
    <w:rsid w:val="00334B16"/>
    <w:rsid w:val="00342442"/>
    <w:rsid w:val="003425FE"/>
    <w:rsid w:val="00356B18"/>
    <w:rsid w:val="00357003"/>
    <w:rsid w:val="00362134"/>
    <w:rsid w:val="00364F4A"/>
    <w:rsid w:val="00377567"/>
    <w:rsid w:val="00381B5F"/>
    <w:rsid w:val="003845EF"/>
    <w:rsid w:val="00391EE8"/>
    <w:rsid w:val="003A153E"/>
    <w:rsid w:val="003B4932"/>
    <w:rsid w:val="003C58B2"/>
    <w:rsid w:val="003C72FE"/>
    <w:rsid w:val="003D0E01"/>
    <w:rsid w:val="003D1037"/>
    <w:rsid w:val="003E3D9B"/>
    <w:rsid w:val="003F0BA0"/>
    <w:rsid w:val="003F344B"/>
    <w:rsid w:val="00402C8C"/>
    <w:rsid w:val="00407F96"/>
    <w:rsid w:val="00414B5D"/>
    <w:rsid w:val="00415361"/>
    <w:rsid w:val="00423E31"/>
    <w:rsid w:val="004362EF"/>
    <w:rsid w:val="004502B9"/>
    <w:rsid w:val="004530EA"/>
    <w:rsid w:val="00457C04"/>
    <w:rsid w:val="0046504D"/>
    <w:rsid w:val="00466F5F"/>
    <w:rsid w:val="00471A52"/>
    <w:rsid w:val="00483830"/>
    <w:rsid w:val="004867A5"/>
    <w:rsid w:val="004918C0"/>
    <w:rsid w:val="004955D5"/>
    <w:rsid w:val="00496BB9"/>
    <w:rsid w:val="004A7B74"/>
    <w:rsid w:val="004B3614"/>
    <w:rsid w:val="004B61AA"/>
    <w:rsid w:val="004C5BF0"/>
    <w:rsid w:val="004D33A1"/>
    <w:rsid w:val="004F199F"/>
    <w:rsid w:val="004F3DF4"/>
    <w:rsid w:val="00505B75"/>
    <w:rsid w:val="00506898"/>
    <w:rsid w:val="0050701E"/>
    <w:rsid w:val="0051659A"/>
    <w:rsid w:val="00520710"/>
    <w:rsid w:val="005240BB"/>
    <w:rsid w:val="00533FE7"/>
    <w:rsid w:val="00547DA2"/>
    <w:rsid w:val="005506BB"/>
    <w:rsid w:val="005579C3"/>
    <w:rsid w:val="005645CF"/>
    <w:rsid w:val="005672B5"/>
    <w:rsid w:val="0057253C"/>
    <w:rsid w:val="0057299B"/>
    <w:rsid w:val="0058059A"/>
    <w:rsid w:val="00581050"/>
    <w:rsid w:val="00586EBA"/>
    <w:rsid w:val="00587629"/>
    <w:rsid w:val="005A27F7"/>
    <w:rsid w:val="005C144C"/>
    <w:rsid w:val="005E0799"/>
    <w:rsid w:val="005E5013"/>
    <w:rsid w:val="005F1AD5"/>
    <w:rsid w:val="00602A3F"/>
    <w:rsid w:val="00605772"/>
    <w:rsid w:val="00613523"/>
    <w:rsid w:val="00623D38"/>
    <w:rsid w:val="0063070A"/>
    <w:rsid w:val="006321A7"/>
    <w:rsid w:val="0063427E"/>
    <w:rsid w:val="00636808"/>
    <w:rsid w:val="00661E20"/>
    <w:rsid w:val="00664FAE"/>
    <w:rsid w:val="006669DC"/>
    <w:rsid w:val="006710BC"/>
    <w:rsid w:val="006725E6"/>
    <w:rsid w:val="00672C04"/>
    <w:rsid w:val="00683676"/>
    <w:rsid w:val="0068699B"/>
    <w:rsid w:val="00691C22"/>
    <w:rsid w:val="006A1D73"/>
    <w:rsid w:val="006A41C2"/>
    <w:rsid w:val="006A72E6"/>
    <w:rsid w:val="006C3DDE"/>
    <w:rsid w:val="006C7D9E"/>
    <w:rsid w:val="006D231C"/>
    <w:rsid w:val="006D4A4D"/>
    <w:rsid w:val="006E4546"/>
    <w:rsid w:val="006E458A"/>
    <w:rsid w:val="006E600C"/>
    <w:rsid w:val="006E6081"/>
    <w:rsid w:val="006F0328"/>
    <w:rsid w:val="006F3273"/>
    <w:rsid w:val="006F4A32"/>
    <w:rsid w:val="00701D70"/>
    <w:rsid w:val="00717F84"/>
    <w:rsid w:val="00725932"/>
    <w:rsid w:val="00726997"/>
    <w:rsid w:val="00731783"/>
    <w:rsid w:val="007413E8"/>
    <w:rsid w:val="00744A68"/>
    <w:rsid w:val="0075554E"/>
    <w:rsid w:val="00764171"/>
    <w:rsid w:val="0077362D"/>
    <w:rsid w:val="007A59A4"/>
    <w:rsid w:val="007A7760"/>
    <w:rsid w:val="007B26CD"/>
    <w:rsid w:val="007C5005"/>
    <w:rsid w:val="007D3100"/>
    <w:rsid w:val="007D4EEC"/>
    <w:rsid w:val="007F1D11"/>
    <w:rsid w:val="007F3D0C"/>
    <w:rsid w:val="007F4EDC"/>
    <w:rsid w:val="008006E2"/>
    <w:rsid w:val="0080700D"/>
    <w:rsid w:val="00815F66"/>
    <w:rsid w:val="00822709"/>
    <w:rsid w:val="008516C0"/>
    <w:rsid w:val="00870527"/>
    <w:rsid w:val="00890BF5"/>
    <w:rsid w:val="008A01C8"/>
    <w:rsid w:val="008B1D42"/>
    <w:rsid w:val="008C248C"/>
    <w:rsid w:val="008D401A"/>
    <w:rsid w:val="008E07A0"/>
    <w:rsid w:val="008E4FE3"/>
    <w:rsid w:val="0090065E"/>
    <w:rsid w:val="009167BD"/>
    <w:rsid w:val="00932A1D"/>
    <w:rsid w:val="00954E5D"/>
    <w:rsid w:val="00956F65"/>
    <w:rsid w:val="0097516F"/>
    <w:rsid w:val="0098116E"/>
    <w:rsid w:val="00984428"/>
    <w:rsid w:val="00985481"/>
    <w:rsid w:val="00990D62"/>
    <w:rsid w:val="00994850"/>
    <w:rsid w:val="00994BEF"/>
    <w:rsid w:val="00996362"/>
    <w:rsid w:val="009A758A"/>
    <w:rsid w:val="009B013C"/>
    <w:rsid w:val="009B5BCB"/>
    <w:rsid w:val="009B75C1"/>
    <w:rsid w:val="009C0A88"/>
    <w:rsid w:val="009C790C"/>
    <w:rsid w:val="009D4207"/>
    <w:rsid w:val="009E16BF"/>
    <w:rsid w:val="009E4300"/>
    <w:rsid w:val="009E7BCD"/>
    <w:rsid w:val="00A10F50"/>
    <w:rsid w:val="00A10FB6"/>
    <w:rsid w:val="00A223CB"/>
    <w:rsid w:val="00A22BE3"/>
    <w:rsid w:val="00A27E90"/>
    <w:rsid w:val="00A316B3"/>
    <w:rsid w:val="00A350B5"/>
    <w:rsid w:val="00A40BB6"/>
    <w:rsid w:val="00A420B7"/>
    <w:rsid w:val="00A4359C"/>
    <w:rsid w:val="00A46C77"/>
    <w:rsid w:val="00A50651"/>
    <w:rsid w:val="00A51C17"/>
    <w:rsid w:val="00A51D21"/>
    <w:rsid w:val="00A571D5"/>
    <w:rsid w:val="00A60361"/>
    <w:rsid w:val="00A637E0"/>
    <w:rsid w:val="00A71558"/>
    <w:rsid w:val="00A84C28"/>
    <w:rsid w:val="00A969F2"/>
    <w:rsid w:val="00AB7178"/>
    <w:rsid w:val="00AC3FEA"/>
    <w:rsid w:val="00AC4FC1"/>
    <w:rsid w:val="00AC550B"/>
    <w:rsid w:val="00AC6E97"/>
    <w:rsid w:val="00AD41BD"/>
    <w:rsid w:val="00AE1F39"/>
    <w:rsid w:val="00AE7DF3"/>
    <w:rsid w:val="00AF7986"/>
    <w:rsid w:val="00B00147"/>
    <w:rsid w:val="00B0125C"/>
    <w:rsid w:val="00B0139C"/>
    <w:rsid w:val="00B03DB2"/>
    <w:rsid w:val="00B0416F"/>
    <w:rsid w:val="00B06CBD"/>
    <w:rsid w:val="00B06D00"/>
    <w:rsid w:val="00B14AF8"/>
    <w:rsid w:val="00B162B8"/>
    <w:rsid w:val="00B179E3"/>
    <w:rsid w:val="00B3088C"/>
    <w:rsid w:val="00B358CB"/>
    <w:rsid w:val="00B43483"/>
    <w:rsid w:val="00B52449"/>
    <w:rsid w:val="00B53F85"/>
    <w:rsid w:val="00B63AC4"/>
    <w:rsid w:val="00B63ED4"/>
    <w:rsid w:val="00B64A56"/>
    <w:rsid w:val="00B70DFC"/>
    <w:rsid w:val="00B77FB9"/>
    <w:rsid w:val="00B8063B"/>
    <w:rsid w:val="00B80707"/>
    <w:rsid w:val="00B81CBB"/>
    <w:rsid w:val="00B82A2E"/>
    <w:rsid w:val="00B8672E"/>
    <w:rsid w:val="00B903AE"/>
    <w:rsid w:val="00BA1EB2"/>
    <w:rsid w:val="00BA27FD"/>
    <w:rsid w:val="00BA7BB4"/>
    <w:rsid w:val="00BB0BCE"/>
    <w:rsid w:val="00BB1219"/>
    <w:rsid w:val="00BB18D6"/>
    <w:rsid w:val="00BB26AB"/>
    <w:rsid w:val="00BC6FAF"/>
    <w:rsid w:val="00BC77E9"/>
    <w:rsid w:val="00BD036C"/>
    <w:rsid w:val="00BD1A98"/>
    <w:rsid w:val="00BD3B1B"/>
    <w:rsid w:val="00BD43EA"/>
    <w:rsid w:val="00BD6D63"/>
    <w:rsid w:val="00BD7B98"/>
    <w:rsid w:val="00BE68C0"/>
    <w:rsid w:val="00BF3824"/>
    <w:rsid w:val="00BF5363"/>
    <w:rsid w:val="00BF56E5"/>
    <w:rsid w:val="00C01BD2"/>
    <w:rsid w:val="00C17E47"/>
    <w:rsid w:val="00C22541"/>
    <w:rsid w:val="00C3335E"/>
    <w:rsid w:val="00C3426D"/>
    <w:rsid w:val="00C41C1E"/>
    <w:rsid w:val="00C46C38"/>
    <w:rsid w:val="00C47256"/>
    <w:rsid w:val="00C47835"/>
    <w:rsid w:val="00C5467E"/>
    <w:rsid w:val="00C551BD"/>
    <w:rsid w:val="00C609E8"/>
    <w:rsid w:val="00C62115"/>
    <w:rsid w:val="00C6646F"/>
    <w:rsid w:val="00C72F63"/>
    <w:rsid w:val="00C829C0"/>
    <w:rsid w:val="00C832BC"/>
    <w:rsid w:val="00C90823"/>
    <w:rsid w:val="00C96139"/>
    <w:rsid w:val="00C97E96"/>
    <w:rsid w:val="00C97EE2"/>
    <w:rsid w:val="00CD69D1"/>
    <w:rsid w:val="00CE0874"/>
    <w:rsid w:val="00CE595E"/>
    <w:rsid w:val="00CF34D5"/>
    <w:rsid w:val="00CF5DBD"/>
    <w:rsid w:val="00D01C56"/>
    <w:rsid w:val="00D1191F"/>
    <w:rsid w:val="00D127FB"/>
    <w:rsid w:val="00D21FAF"/>
    <w:rsid w:val="00D26F10"/>
    <w:rsid w:val="00D32BBD"/>
    <w:rsid w:val="00D3404E"/>
    <w:rsid w:val="00D435BF"/>
    <w:rsid w:val="00D4643C"/>
    <w:rsid w:val="00D500B8"/>
    <w:rsid w:val="00D512E3"/>
    <w:rsid w:val="00D70C27"/>
    <w:rsid w:val="00D8629F"/>
    <w:rsid w:val="00D8645A"/>
    <w:rsid w:val="00D92ED4"/>
    <w:rsid w:val="00D97C50"/>
    <w:rsid w:val="00DA5C12"/>
    <w:rsid w:val="00DC3FAF"/>
    <w:rsid w:val="00DE3F35"/>
    <w:rsid w:val="00DF296C"/>
    <w:rsid w:val="00DF51DE"/>
    <w:rsid w:val="00E00181"/>
    <w:rsid w:val="00E102A9"/>
    <w:rsid w:val="00E1621B"/>
    <w:rsid w:val="00E21BF2"/>
    <w:rsid w:val="00E24F94"/>
    <w:rsid w:val="00E269D3"/>
    <w:rsid w:val="00E27B9A"/>
    <w:rsid w:val="00E3312B"/>
    <w:rsid w:val="00E33811"/>
    <w:rsid w:val="00E40984"/>
    <w:rsid w:val="00E42732"/>
    <w:rsid w:val="00E44971"/>
    <w:rsid w:val="00E46EFE"/>
    <w:rsid w:val="00E53D8B"/>
    <w:rsid w:val="00E5691A"/>
    <w:rsid w:val="00E70F48"/>
    <w:rsid w:val="00E74AA5"/>
    <w:rsid w:val="00E74F51"/>
    <w:rsid w:val="00E82C92"/>
    <w:rsid w:val="00E84424"/>
    <w:rsid w:val="00E85FA0"/>
    <w:rsid w:val="00E97196"/>
    <w:rsid w:val="00E978DF"/>
    <w:rsid w:val="00EA1705"/>
    <w:rsid w:val="00EA6347"/>
    <w:rsid w:val="00EA73CD"/>
    <w:rsid w:val="00EB2EB4"/>
    <w:rsid w:val="00EC6295"/>
    <w:rsid w:val="00ED5D0D"/>
    <w:rsid w:val="00EE765C"/>
    <w:rsid w:val="00F018D5"/>
    <w:rsid w:val="00F06B9C"/>
    <w:rsid w:val="00F11893"/>
    <w:rsid w:val="00F12F28"/>
    <w:rsid w:val="00F175D0"/>
    <w:rsid w:val="00F31C56"/>
    <w:rsid w:val="00F35FD2"/>
    <w:rsid w:val="00F47CAF"/>
    <w:rsid w:val="00F51B94"/>
    <w:rsid w:val="00F52ACA"/>
    <w:rsid w:val="00F97CDB"/>
    <w:rsid w:val="00FA406F"/>
    <w:rsid w:val="00FA76D7"/>
    <w:rsid w:val="00FB5EC6"/>
    <w:rsid w:val="00FC7BBB"/>
    <w:rsid w:val="00FE2A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05EDE"/>
  <w15:chartTrackingRefBased/>
  <w15:docId w15:val="{E9D7500B-F670-4F3C-94A6-D7E05D777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342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D5D0D"/>
    <w:rPr>
      <w:b/>
      <w:bCs/>
    </w:rPr>
  </w:style>
  <w:style w:type="character" w:styleId="Hyperlink">
    <w:name w:val="Hyperlink"/>
    <w:basedOn w:val="DefaultParagraphFont"/>
    <w:uiPriority w:val="99"/>
    <w:unhideWhenUsed/>
    <w:rsid w:val="006A41C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2912350">
      <w:bodyDiv w:val="1"/>
      <w:marLeft w:val="0"/>
      <w:marRight w:val="0"/>
      <w:marTop w:val="0"/>
      <w:marBottom w:val="0"/>
      <w:divBdr>
        <w:top w:val="none" w:sz="0" w:space="0" w:color="auto"/>
        <w:left w:val="none" w:sz="0" w:space="0" w:color="auto"/>
        <w:bottom w:val="none" w:sz="0" w:space="0" w:color="auto"/>
        <w:right w:val="none" w:sz="0" w:space="0" w:color="auto"/>
      </w:divBdr>
    </w:div>
    <w:div w:id="1258750410">
      <w:bodyDiv w:val="1"/>
      <w:marLeft w:val="0"/>
      <w:marRight w:val="0"/>
      <w:marTop w:val="0"/>
      <w:marBottom w:val="0"/>
      <w:divBdr>
        <w:top w:val="none" w:sz="0" w:space="0" w:color="auto"/>
        <w:left w:val="none" w:sz="0" w:space="0" w:color="auto"/>
        <w:bottom w:val="none" w:sz="0" w:space="0" w:color="auto"/>
        <w:right w:val="none" w:sz="0" w:space="0" w:color="auto"/>
      </w:divBdr>
    </w:div>
    <w:div w:id="1778477972">
      <w:bodyDiv w:val="1"/>
      <w:marLeft w:val="0"/>
      <w:marRight w:val="0"/>
      <w:marTop w:val="0"/>
      <w:marBottom w:val="0"/>
      <w:divBdr>
        <w:top w:val="none" w:sz="0" w:space="0" w:color="auto"/>
        <w:left w:val="none" w:sz="0" w:space="0" w:color="auto"/>
        <w:bottom w:val="none" w:sz="0" w:space="0" w:color="auto"/>
        <w:right w:val="none" w:sz="0" w:space="0" w:color="auto"/>
      </w:divBdr>
    </w:div>
    <w:div w:id="2100983872">
      <w:bodyDiv w:val="1"/>
      <w:marLeft w:val="0"/>
      <w:marRight w:val="0"/>
      <w:marTop w:val="0"/>
      <w:marBottom w:val="0"/>
      <w:divBdr>
        <w:top w:val="none" w:sz="0" w:space="0" w:color="auto"/>
        <w:left w:val="none" w:sz="0" w:space="0" w:color="auto"/>
        <w:bottom w:val="none" w:sz="0" w:space="0" w:color="auto"/>
        <w:right w:val="none" w:sz="0" w:space="0" w:color="auto"/>
      </w:divBdr>
    </w:div>
    <w:div w:id="2126540507">
      <w:bodyDiv w:val="1"/>
      <w:marLeft w:val="0"/>
      <w:marRight w:val="0"/>
      <w:marTop w:val="0"/>
      <w:marBottom w:val="0"/>
      <w:divBdr>
        <w:top w:val="none" w:sz="0" w:space="0" w:color="auto"/>
        <w:left w:val="none" w:sz="0" w:space="0" w:color="auto"/>
        <w:bottom w:val="none" w:sz="0" w:space="0" w:color="auto"/>
        <w:right w:val="none" w:sz="0" w:space="0" w:color="auto"/>
      </w:divBdr>
      <w:divsChild>
        <w:div w:id="1822699883">
          <w:blockQuote w:val="1"/>
          <w:marLeft w:val="0"/>
          <w:marRight w:val="0"/>
          <w:marTop w:val="0"/>
          <w:marBottom w:val="330"/>
          <w:divBdr>
            <w:top w:val="none" w:sz="0" w:space="0" w:color="auto"/>
            <w:left w:val="single" w:sz="36" w:space="17" w:color="EEEEEE"/>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jstor.org/stable/25181342" TargetMode="External"/><Relationship Id="rId4" Type="http://schemas.openxmlformats.org/officeDocument/2006/relationships/hyperlink" Target="https://search.proquest.com/docview/2118103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1230</TotalTime>
  <Pages>10</Pages>
  <Words>3073</Words>
  <Characters>17518</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connie griffiths</dc:creator>
  <cp:keywords/>
  <dc:description/>
  <cp:lastModifiedBy>connie griffiths</cp:lastModifiedBy>
  <cp:revision>251</cp:revision>
  <dcterms:created xsi:type="dcterms:W3CDTF">2020-12-03T22:31:00Z</dcterms:created>
  <dcterms:modified xsi:type="dcterms:W3CDTF">2020-12-04T20:30:00Z</dcterms:modified>
</cp:coreProperties>
</file>