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B4A1416">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jc w:val="center"/>
        <w:rPr>
          <w:rFonts w:hint="default" w:ascii="Times New Roman Regular" w:hAnsi="Times New Roman Regular" w:cs="Times New Roman Regular"/>
          <w:b/>
          <w:bCs/>
          <w:sz w:val="28"/>
          <w:szCs w:val="28"/>
          <w:highlight w:val="none"/>
          <w:lang w:val="en-US"/>
        </w:rPr>
      </w:pPr>
      <w:r>
        <w:rPr>
          <w:rFonts w:ascii="Times New Roman" w:hAnsi="Times New Roman" w:cs="Times New Roman"/>
          <w:szCs w:val="24"/>
        </w:rPr>
        <w:drawing>
          <wp:inline distT="0" distB="0" distL="0" distR="0">
            <wp:extent cx="1761490" cy="1066165"/>
            <wp:effectExtent l="0" t="0" r="16510" b="635"/>
            <wp:docPr id="11069916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991662" name="图片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1791949" cy="1084746"/>
                    </a:xfrm>
                    <a:prstGeom prst="rect">
                      <a:avLst/>
                    </a:prstGeom>
                    <a:noFill/>
                    <a:ln>
                      <a:noFill/>
                    </a:ln>
                  </pic:spPr>
                </pic:pic>
              </a:graphicData>
            </a:graphic>
          </wp:inline>
        </w:drawing>
      </w:r>
    </w:p>
    <w:p w14:paraId="18705D8C">
      <w:pPr>
        <w:pStyle w:val="2"/>
        <w:bidi w:val="0"/>
        <w:jc w:val="center"/>
        <w:rPr>
          <w:rFonts w:hint="default" w:ascii="Times New Roman Bold" w:hAnsi="Times New Roman Bold" w:cs="Times New Roman Bold"/>
          <w:b/>
          <w:bCs/>
          <w:sz w:val="32"/>
          <w:szCs w:val="32"/>
          <w:lang w:val="en-US" w:eastAsia="zh-CN"/>
        </w:rPr>
      </w:pPr>
      <w:r>
        <w:rPr>
          <w:rFonts w:hint="default" w:ascii="Times New Roman Bold" w:hAnsi="Times New Roman Bold" w:cs="Times New Roman Bold"/>
          <w:b/>
          <w:bCs/>
          <w:sz w:val="32"/>
          <w:szCs w:val="32"/>
          <w:lang w:val="en-US" w:eastAsia="zh-CN"/>
        </w:rPr>
        <w:t>INTERNATIONAL BUSINESS COMMUNICATION</w:t>
      </w:r>
    </w:p>
    <w:p w14:paraId="431D2A1E">
      <w:pPr>
        <w:jc w:val="both"/>
        <w:rPr>
          <w:rFonts w:hint="default" w:ascii="Times New Roman Regular" w:hAnsi="Times New Roman Regular" w:cs="Times New Roman Regular"/>
          <w:b/>
          <w:bCs/>
          <w:sz w:val="32"/>
          <w:szCs w:val="32"/>
          <w:lang w:val="en-US" w:eastAsia="zh-CN"/>
        </w:rPr>
      </w:pPr>
    </w:p>
    <w:p w14:paraId="3F3CCA0D">
      <w:pPr>
        <w:jc w:val="center"/>
        <w:rPr>
          <w:rFonts w:hint="default" w:ascii="Times New Roman Regular" w:hAnsi="Times New Roman Regular" w:cs="Times New Roman Regular"/>
          <w:b/>
          <w:bCs/>
          <w:sz w:val="32"/>
          <w:szCs w:val="32"/>
          <w:lang w:val="en-US" w:eastAsia="zh-CN"/>
        </w:rPr>
      </w:pPr>
    </w:p>
    <w:p w14:paraId="18DDB421">
      <w:pPr>
        <w:jc w:val="center"/>
        <w:rPr>
          <w:rFonts w:hint="default" w:ascii="Times New Roman Regular" w:hAnsi="Times New Roman Regular" w:cs="Times New Roman Regular"/>
          <w:b/>
          <w:bCs/>
          <w:sz w:val="32"/>
          <w:szCs w:val="32"/>
          <w:lang w:val="en-US" w:eastAsia="zh-CN"/>
        </w:rPr>
      </w:pPr>
      <w:r>
        <w:rPr>
          <w:rFonts w:hint="default" w:ascii="Times New Roman Regular" w:hAnsi="Times New Roman Regular" w:cs="Times New Roman Regular"/>
          <w:b/>
          <w:bCs/>
          <w:sz w:val="32"/>
          <w:szCs w:val="32"/>
          <w:lang w:val="en-US" w:eastAsia="zh-CN"/>
        </w:rPr>
        <w:t>Student name: Kaiyi Yan</w:t>
      </w:r>
    </w:p>
    <w:p w14:paraId="292BCB31">
      <w:pPr>
        <w:jc w:val="center"/>
        <w:rPr>
          <w:rFonts w:hint="default" w:ascii="Times New Roman Regular" w:hAnsi="Times New Roman Regular" w:cs="Times New Roman Regular"/>
          <w:b/>
          <w:bCs/>
          <w:sz w:val="32"/>
          <w:szCs w:val="32"/>
          <w:lang w:val="en-US" w:eastAsia="zh-CN"/>
        </w:rPr>
      </w:pPr>
      <w:r>
        <w:rPr>
          <w:rFonts w:hint="default" w:ascii="Times New Roman Regular" w:hAnsi="Times New Roman Regular" w:cs="Times New Roman Regular"/>
          <w:b/>
          <w:bCs/>
          <w:sz w:val="32"/>
          <w:szCs w:val="32"/>
          <w:lang w:val="en-US" w:eastAsia="zh-CN"/>
        </w:rPr>
        <w:t>Student ID number:2405907</w:t>
      </w:r>
    </w:p>
    <w:p w14:paraId="5376A912">
      <w:pPr>
        <w:jc w:val="center"/>
        <w:rPr>
          <w:rFonts w:hint="default" w:ascii="Times New Roman Regular" w:hAnsi="Times New Roman Regular" w:cs="Times New Roman Regular"/>
          <w:b/>
          <w:bCs/>
          <w:sz w:val="32"/>
          <w:szCs w:val="32"/>
          <w:lang w:val="en-US" w:eastAsia="zh-CN"/>
        </w:rPr>
      </w:pPr>
      <w:r>
        <w:rPr>
          <w:rFonts w:hint="default" w:ascii="Times New Roman Regular" w:hAnsi="Times New Roman Regular" w:cs="Times New Roman Regular"/>
          <w:b/>
          <w:bCs/>
          <w:sz w:val="32"/>
          <w:szCs w:val="32"/>
          <w:lang w:val="en-US" w:eastAsia="zh-CN"/>
        </w:rPr>
        <w:t>Lecturer：Arpu Kumar</w:t>
      </w:r>
    </w:p>
    <w:p w14:paraId="36615DAA">
      <w:pPr>
        <w:jc w:val="center"/>
        <w:rPr>
          <w:rFonts w:hint="default" w:ascii="Times New Roman Regular" w:hAnsi="Times New Roman Regular" w:cs="Times New Roman Regular"/>
          <w:b/>
          <w:bCs/>
          <w:sz w:val="32"/>
          <w:szCs w:val="32"/>
          <w:lang w:val="en-US" w:eastAsia="zh-CN"/>
        </w:rPr>
      </w:pPr>
      <w:r>
        <w:rPr>
          <w:rFonts w:hint="default" w:ascii="Times New Roman Regular" w:hAnsi="Times New Roman Regular" w:cs="Times New Roman Regular"/>
          <w:b/>
          <w:bCs/>
          <w:sz w:val="32"/>
          <w:szCs w:val="32"/>
          <w:lang w:val="en-US" w:eastAsia="zh-CN"/>
        </w:rPr>
        <w:t>Module code：BMBM6021</w:t>
      </w:r>
    </w:p>
    <w:p w14:paraId="5D564204">
      <w:pPr>
        <w:jc w:val="center"/>
        <w:rPr>
          <w:rFonts w:hint="default" w:ascii="Times New Roman Bold" w:hAnsi="Times New Roman Bold" w:cs="Times New Roman Bold"/>
          <w:b/>
          <w:bCs/>
          <w:sz w:val="32"/>
          <w:szCs w:val="32"/>
          <w:lang w:val="en-US" w:eastAsia="zh-CN"/>
        </w:rPr>
      </w:pPr>
      <w:r>
        <w:rPr>
          <w:rFonts w:hint="default" w:ascii="Times New Roman Regular" w:hAnsi="Times New Roman Regular" w:cs="Times New Roman Regular"/>
          <w:b/>
          <w:bCs/>
          <w:sz w:val="32"/>
          <w:szCs w:val="32"/>
          <w:lang w:val="en-US" w:eastAsia="zh-CN"/>
        </w:rPr>
        <w:t>Word count：2671 words</w:t>
      </w:r>
    </w:p>
    <w:p w14:paraId="55D2933B">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lang w:val="en-US"/>
        </w:rPr>
      </w:pPr>
    </w:p>
    <w:p w14:paraId="2B849714">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lang w:val="en-US"/>
        </w:rPr>
      </w:pPr>
    </w:p>
    <w:p w14:paraId="3661BD16">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lang w:val="en-US"/>
        </w:rPr>
      </w:pPr>
    </w:p>
    <w:p w14:paraId="20DF4080">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lang w:val="en-US"/>
        </w:rPr>
      </w:pPr>
    </w:p>
    <w:p w14:paraId="2B338D0C">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lang w:val="en-US"/>
        </w:rPr>
      </w:pPr>
    </w:p>
    <w:p w14:paraId="2B21AB02">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lang w:val="en-US"/>
        </w:rPr>
      </w:pPr>
    </w:p>
    <w:p w14:paraId="06EA84E1">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lang w:val="en-US"/>
        </w:rPr>
      </w:pPr>
    </w:p>
    <w:p w14:paraId="5619D9B8">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lang w:val="en-US"/>
        </w:rPr>
      </w:pPr>
    </w:p>
    <w:p w14:paraId="491EC893">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outlineLvl w:val="0"/>
        <w:rPr>
          <w:rFonts w:hint="default" w:ascii="Times New Roman Bold" w:hAnsi="Times New Roman Bold" w:cs="Times New Roman Bold"/>
          <w:b/>
          <w:bCs/>
          <w:sz w:val="32"/>
          <w:szCs w:val="32"/>
          <w:highlight w:val="none"/>
          <w:lang w:val="en-US"/>
        </w:rPr>
      </w:pPr>
      <w:bookmarkStart w:id="0" w:name="_Toc675421122"/>
      <w:r>
        <w:rPr>
          <w:rFonts w:hint="default" w:ascii="Times New Roman Bold" w:hAnsi="Times New Roman Bold" w:cs="Times New Roman Bold"/>
          <w:b/>
          <w:bCs/>
          <w:sz w:val="32"/>
          <w:szCs w:val="32"/>
          <w:highlight w:val="none"/>
          <w:lang w:val="en-US"/>
        </w:rPr>
        <w:t>Executive Summary</w:t>
      </w:r>
      <w:bookmarkEnd w:id="0"/>
    </w:p>
    <w:p w14:paraId="12678517">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This report presents the findings and recommendations of our organization, which specializes in guiding businesses on global expansion. We were engaged by a large clothes retail group aiming to develop global partnerships and expand its business into Asia. The report critically evaluates the importance of cross-cultural communication and the challenges associated with relationship building in international business communication (IBC).</w:t>
      </w:r>
    </w:p>
    <w:p w14:paraId="3BC14370">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Our main findings highlight the critical role of cross-cultural communication in understanding the cultural characteristics of target markets and accurately grasping consumer needs. This understanding enables businesses to formulate effective product, marketing, and customer service strategies tailored to local markets. Cross-cultural communication also promotes trust and cooperation between enterprises and partners, laying a solid foundation for business expansion.</w:t>
      </w:r>
    </w:p>
    <w:p w14:paraId="5718BF4D">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The report emphasizes the skills and competencies required for successful IBC, including cultural awareness, language proficiency, interpersonal skills, negotiation skills, and digital communication skills. Cultural awareness involves recognizing and respecting diverse cultural norms, values, and communication styles. Language proficiency is essential to overcome barriers in international business interactions, with English serving as the global business language. Interpersonal skills are crucial for networking and establishing trust, while negotiation skills require understanding cultural approaches to negotiation. Digital communication skills involve familiarity with popular tools in specific Asian markets.</w:t>
      </w:r>
    </w:p>
    <w:p w14:paraId="2B7E4ACE">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The report explores communication styles, distinguishing between high-context and low-context cultures. High-context cultures rely on implicit messages and nonverbal cues, while low-context cultures prefer explicit, direct communication. Understanding these differences is crucial for adapting communication styles to different cultural contexts.</w:t>
      </w:r>
    </w:p>
    <w:p w14:paraId="2C9368AC">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The report also discusses the potential impact of failed IBC relationships, highlighting issues such as cultural misunderstandings, lack of trust, and poor communication. To mitigate these risks, the report proposes an approach to developing the necessary skills, including training on cultural differences, communication norms, and business practices in Asia.</w:t>
      </w:r>
    </w:p>
    <w:p w14:paraId="6BB3CA8D">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p>
    <w:p w14:paraId="2812DCC6">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p>
    <w:p w14:paraId="6141E382">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p>
    <w:p w14:paraId="22BC2BCC">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p>
    <w:p w14:paraId="732739F3">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p>
    <w:p w14:paraId="0A57239D">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p>
    <w:p w14:paraId="257BC35A">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p>
    <w:p w14:paraId="6F479EBC">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p>
    <w:p w14:paraId="24F05A76">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p>
    <w:sdt>
      <w:sdtPr>
        <w:rPr>
          <w:rFonts w:ascii="宋体" w:hAnsi="宋体" w:eastAsia="宋体" w:cstheme="minorBidi"/>
          <w:sz w:val="21"/>
          <w:szCs w:val="22"/>
          <w:lang w:val="en-GB" w:eastAsia="zh-CN" w:bidi="ar-SA"/>
        </w:rPr>
        <w:id w:val="939451390"/>
        <w15:color w:val="DBDBDB"/>
        <w:docPartObj>
          <w:docPartGallery w:val="Table of Contents"/>
          <w:docPartUnique/>
        </w:docPartObj>
      </w:sdtPr>
      <w:sdtEndPr>
        <w:rPr>
          <w:rFonts w:hint="default" w:ascii="Times New Roman Regular" w:hAnsi="Times New Roman Regular" w:cs="Times New Roman Regular" w:eastAsiaTheme="minorEastAsia"/>
          <w:bCs/>
          <w:sz w:val="22"/>
          <w:szCs w:val="28"/>
          <w:highlight w:val="none"/>
          <w:lang w:val="en-GB" w:eastAsia="zh-CN" w:bidi="ar-SA"/>
        </w:rPr>
      </w:sdtEndPr>
      <w:sdtContent>
        <w:p w14:paraId="7682FCA9">
          <w:pPr>
            <w:spacing w:before="0" w:beforeLines="0" w:after="0" w:afterLines="0" w:line="240" w:lineRule="auto"/>
            <w:ind w:left="0" w:leftChars="0" w:right="0" w:rightChars="0" w:firstLine="0" w:firstLineChars="0"/>
            <w:jc w:val="center"/>
          </w:pPr>
          <w:r>
            <w:rPr>
              <w:rFonts w:hint="default" w:ascii="Times New Roman Bold" w:hAnsi="Times New Roman Bold" w:eastAsia="宋体" w:cs="Times New Roman Bold"/>
              <w:b/>
              <w:bCs/>
              <w:sz w:val="32"/>
              <w:szCs w:val="32"/>
              <w:lang w:val="en-US" w:eastAsia="zh-CN" w:bidi="ar-SA"/>
            </w:rPr>
            <w:t>contents</w:t>
          </w:r>
          <w:r>
            <w:rPr>
              <w:rFonts w:hint="default" w:ascii="Times New Roman Regular" w:hAnsi="Times New Roman Regular" w:cs="Times New Roman Regular"/>
              <w:b/>
              <w:bCs/>
              <w:sz w:val="28"/>
              <w:szCs w:val="28"/>
              <w:highlight w:val="none"/>
            </w:rPr>
            <w:fldChar w:fldCharType="begin"/>
          </w:r>
          <w:r>
            <w:rPr>
              <w:rFonts w:hint="default" w:ascii="Times New Roman Regular" w:hAnsi="Times New Roman Regular" w:cs="Times New Roman Regular"/>
              <w:b/>
              <w:bCs/>
              <w:sz w:val="28"/>
              <w:szCs w:val="28"/>
              <w:highlight w:val="none"/>
            </w:rPr>
            <w:instrText xml:space="preserve">TOC \o "1-3" \h \u </w:instrText>
          </w:r>
          <w:r>
            <w:rPr>
              <w:rFonts w:hint="default" w:ascii="Times New Roman Regular" w:hAnsi="Times New Roman Regular" w:cs="Times New Roman Regular"/>
              <w:b/>
              <w:bCs/>
              <w:sz w:val="28"/>
              <w:szCs w:val="28"/>
              <w:highlight w:val="none"/>
            </w:rPr>
            <w:fldChar w:fldCharType="separate"/>
          </w:r>
        </w:p>
        <w:p w14:paraId="26B2B279">
          <w:pPr>
            <w:pStyle w:val="6"/>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_Toc204239412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szCs w:val="32"/>
              <w:lang w:val="en-US"/>
            </w:rPr>
            <w:t xml:space="preserve">1.0 </w:t>
          </w:r>
          <w:r>
            <w:rPr>
              <w:rFonts w:hint="default" w:ascii="Times New Roman Bold" w:hAnsi="Times New Roman Bold" w:cs="Times New Roman Bold"/>
              <w:bCs/>
              <w:szCs w:val="32"/>
            </w:rPr>
            <w:t>Introduction</w:t>
          </w:r>
          <w:r>
            <w:tab/>
          </w:r>
          <w:r>
            <w:fldChar w:fldCharType="begin"/>
          </w:r>
          <w:r>
            <w:instrText xml:space="preserve"> PAGEREF _Toc204239412 \h </w:instrText>
          </w:r>
          <w:r>
            <w:fldChar w:fldCharType="separate"/>
          </w:r>
          <w:r>
            <w:t>5</w:t>
          </w:r>
          <w:r>
            <w:fldChar w:fldCharType="end"/>
          </w:r>
          <w:r>
            <w:rPr>
              <w:rFonts w:hint="default" w:ascii="Times New Roman Regular" w:hAnsi="Times New Roman Regular" w:cs="Times New Roman Regular"/>
              <w:bCs/>
              <w:szCs w:val="28"/>
              <w:highlight w:val="none"/>
            </w:rPr>
            <w:fldChar w:fldCharType="end"/>
          </w:r>
        </w:p>
        <w:p w14:paraId="0F4948DE">
          <w:pPr>
            <w:pStyle w:val="6"/>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_Toc972929578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szCs w:val="32"/>
            </w:rPr>
            <w:t>2.0 Main Findings</w:t>
          </w:r>
          <w:r>
            <w:tab/>
          </w:r>
          <w:r>
            <w:fldChar w:fldCharType="begin"/>
          </w:r>
          <w:r>
            <w:instrText xml:space="preserve"> PAGEREF _Toc972929578 \h </w:instrText>
          </w:r>
          <w:r>
            <w:fldChar w:fldCharType="separate"/>
          </w:r>
          <w:r>
            <w:t>5</w:t>
          </w:r>
          <w:r>
            <w:fldChar w:fldCharType="end"/>
          </w:r>
          <w:r>
            <w:rPr>
              <w:rFonts w:hint="default" w:ascii="Times New Roman Regular" w:hAnsi="Times New Roman Regular" w:cs="Times New Roman Regular"/>
              <w:bCs/>
              <w:szCs w:val="28"/>
              <w:highlight w:val="none"/>
            </w:rPr>
            <w:fldChar w:fldCharType="end"/>
          </w:r>
        </w:p>
        <w:p w14:paraId="42511403">
          <w:pPr>
            <w:pStyle w:val="7"/>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_Toc1086929188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val="0"/>
              <w:szCs w:val="32"/>
            </w:rPr>
            <w:t>2.1 International Business Communication</w:t>
          </w:r>
          <w:r>
            <w:tab/>
          </w:r>
          <w:r>
            <w:fldChar w:fldCharType="begin"/>
          </w:r>
          <w:r>
            <w:instrText xml:space="preserve"> PAGEREF _Toc1086929188 \h </w:instrText>
          </w:r>
          <w:r>
            <w:fldChar w:fldCharType="separate"/>
          </w:r>
          <w:r>
            <w:t>6</w:t>
          </w:r>
          <w:r>
            <w:fldChar w:fldCharType="end"/>
          </w:r>
          <w:r>
            <w:rPr>
              <w:rFonts w:hint="default" w:ascii="Times New Roman Regular" w:hAnsi="Times New Roman Regular" w:cs="Times New Roman Regular"/>
              <w:bCs/>
              <w:szCs w:val="28"/>
              <w:highlight w:val="none"/>
            </w:rPr>
            <w:fldChar w:fldCharType="end"/>
          </w:r>
        </w:p>
        <w:p w14:paraId="48747921">
          <w:pPr>
            <w:pStyle w:val="7"/>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_Toc1522961334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val="0"/>
              <w:szCs w:val="32"/>
            </w:rPr>
            <w:t>2.2 Skills Requirements</w:t>
          </w:r>
          <w:r>
            <w:tab/>
          </w:r>
          <w:r>
            <w:fldChar w:fldCharType="begin"/>
          </w:r>
          <w:r>
            <w:instrText xml:space="preserve"> PAGEREF _Toc1522961334 \h </w:instrText>
          </w:r>
          <w:r>
            <w:fldChar w:fldCharType="separate"/>
          </w:r>
          <w:r>
            <w:t>7</w:t>
          </w:r>
          <w:r>
            <w:fldChar w:fldCharType="end"/>
          </w:r>
          <w:r>
            <w:rPr>
              <w:rFonts w:hint="default" w:ascii="Times New Roman Regular" w:hAnsi="Times New Roman Regular" w:cs="Times New Roman Regular"/>
              <w:bCs/>
              <w:szCs w:val="28"/>
              <w:highlight w:val="none"/>
            </w:rPr>
            <w:fldChar w:fldCharType="end"/>
          </w: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_Toc553551945 </w:instrText>
          </w:r>
          <w:r>
            <w:rPr>
              <w:rFonts w:hint="default" w:ascii="Times New Roman Regular" w:hAnsi="Times New Roman Regular" w:cs="Times New Roman Regular"/>
              <w:bCs/>
              <w:szCs w:val="28"/>
              <w:highlight w:val="none"/>
            </w:rPr>
            <w:fldChar w:fldCharType="separate"/>
          </w:r>
          <w:r>
            <w:rPr>
              <w:rFonts w:hint="default" w:ascii="Times New Roman Regular" w:hAnsi="Times New Roman Regular" w:cs="Times New Roman Regular"/>
              <w:bCs/>
              <w:szCs w:val="28"/>
              <w:highlight w:val="none"/>
            </w:rPr>
            <w:fldChar w:fldCharType="end"/>
          </w:r>
        </w:p>
        <w:p w14:paraId="6D742FAC">
          <w:pPr>
            <w:pStyle w:val="7"/>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_Toc648380811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val="0"/>
              <w:szCs w:val="32"/>
            </w:rPr>
            <w:t>2.3</w:t>
          </w:r>
          <w:r>
            <w:rPr>
              <w:rFonts w:hint="default" w:ascii="Times New Roman Bold" w:hAnsi="Times New Roman Bold" w:cs="Times New Roman Bold"/>
              <w:bCs w:val="0"/>
              <w:szCs w:val="32"/>
              <w:lang w:val="en-US"/>
            </w:rPr>
            <w:t xml:space="preserve"> </w:t>
          </w:r>
          <w:r>
            <w:rPr>
              <w:rFonts w:hint="default" w:ascii="Times New Roman Bold" w:hAnsi="Times New Roman Bold" w:cs="Times New Roman Bold"/>
              <w:bCs w:val="0"/>
              <w:szCs w:val="32"/>
            </w:rPr>
            <w:t>Methods of Communication</w:t>
          </w:r>
          <w:r>
            <w:tab/>
          </w:r>
          <w:r>
            <w:fldChar w:fldCharType="begin"/>
          </w:r>
          <w:r>
            <w:instrText xml:space="preserve"> PAGEREF _Toc648380811 \h </w:instrText>
          </w:r>
          <w:r>
            <w:fldChar w:fldCharType="separate"/>
          </w:r>
          <w:r>
            <w:t>9</w:t>
          </w:r>
          <w:r>
            <w:fldChar w:fldCharType="end"/>
          </w:r>
          <w:r>
            <w:rPr>
              <w:rFonts w:hint="default" w:ascii="Times New Roman Regular" w:hAnsi="Times New Roman Regular" w:cs="Times New Roman Regular"/>
              <w:bCs/>
              <w:szCs w:val="28"/>
              <w:highlight w:val="none"/>
            </w:rPr>
            <w:fldChar w:fldCharType="end"/>
          </w:r>
        </w:p>
        <w:p w14:paraId="2CB8EA66">
          <w:pPr>
            <w:pStyle w:val="7"/>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_Toc1004265599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rPr>
            <w:t>2.3.1 - Halls High Low Context</w:t>
          </w:r>
          <w:r>
            <w:tab/>
          </w:r>
          <w:r>
            <w:fldChar w:fldCharType="begin"/>
          </w:r>
          <w:r>
            <w:instrText xml:space="preserve"> PAGEREF _Toc1004265599 \h </w:instrText>
          </w:r>
          <w:r>
            <w:fldChar w:fldCharType="separate"/>
          </w:r>
          <w:r>
            <w:t>9</w:t>
          </w:r>
          <w:r>
            <w:fldChar w:fldCharType="end"/>
          </w:r>
          <w:r>
            <w:rPr>
              <w:rFonts w:hint="default" w:ascii="Times New Roman Regular" w:hAnsi="Times New Roman Regular" w:cs="Times New Roman Regular"/>
              <w:bCs/>
              <w:szCs w:val="28"/>
              <w:highlight w:val="none"/>
            </w:rPr>
            <w:fldChar w:fldCharType="end"/>
          </w:r>
        </w:p>
        <w:p w14:paraId="7EC06A84">
          <w:pPr>
            <w:pStyle w:val="7"/>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_Toc1617940620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val="0"/>
              <w:szCs w:val="32"/>
            </w:rPr>
            <w:t>2.4 Effective Communication</w:t>
          </w:r>
          <w:r>
            <w:tab/>
          </w:r>
          <w:r>
            <w:fldChar w:fldCharType="begin"/>
          </w:r>
          <w:r>
            <w:instrText xml:space="preserve"> PAGEREF _Toc1617940620 \h </w:instrText>
          </w:r>
          <w:r>
            <w:fldChar w:fldCharType="separate"/>
          </w:r>
          <w:r>
            <w:t>10</w:t>
          </w:r>
          <w:r>
            <w:fldChar w:fldCharType="end"/>
          </w:r>
          <w:r>
            <w:rPr>
              <w:rFonts w:hint="default" w:ascii="Times New Roman Regular" w:hAnsi="Times New Roman Regular" w:cs="Times New Roman Regular"/>
              <w:bCs/>
              <w:szCs w:val="28"/>
              <w:highlight w:val="none"/>
            </w:rPr>
            <w:fldChar w:fldCharType="end"/>
          </w:r>
        </w:p>
        <w:p w14:paraId="0B705BFC">
          <w:pPr>
            <w:pStyle w:val="7"/>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_Toc1290062026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val="0"/>
              <w:szCs w:val="32"/>
            </w:rPr>
            <w:t>2.5 International Culture</w:t>
          </w:r>
          <w:r>
            <w:tab/>
          </w:r>
          <w:r>
            <w:fldChar w:fldCharType="begin"/>
          </w:r>
          <w:r>
            <w:instrText xml:space="preserve"> PAGEREF _Toc1290062026 \h </w:instrText>
          </w:r>
          <w:r>
            <w:fldChar w:fldCharType="separate"/>
          </w:r>
          <w:r>
            <w:t>11</w:t>
          </w:r>
          <w:r>
            <w:fldChar w:fldCharType="end"/>
          </w:r>
          <w:r>
            <w:rPr>
              <w:rFonts w:hint="default" w:ascii="Times New Roman Regular" w:hAnsi="Times New Roman Regular" w:cs="Times New Roman Regular"/>
              <w:bCs/>
              <w:szCs w:val="28"/>
              <w:highlight w:val="none"/>
            </w:rPr>
            <w:fldChar w:fldCharType="end"/>
          </w:r>
        </w:p>
        <w:p w14:paraId="42478373">
          <w:pPr>
            <w:pStyle w:val="5"/>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_Toc1077570870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rPr>
            <w:t>2.5.1 Trompenaars' 7 Dimensions to Culture</w:t>
          </w:r>
          <w:r>
            <w:tab/>
          </w:r>
          <w:r>
            <w:fldChar w:fldCharType="begin"/>
          </w:r>
          <w:r>
            <w:instrText xml:space="preserve"> PAGEREF _Toc1077570870 \h </w:instrText>
          </w:r>
          <w:r>
            <w:fldChar w:fldCharType="separate"/>
          </w:r>
          <w:r>
            <w:t>12</w:t>
          </w:r>
          <w:r>
            <w:fldChar w:fldCharType="end"/>
          </w:r>
          <w:r>
            <w:rPr>
              <w:rFonts w:hint="default" w:ascii="Times New Roman Regular" w:hAnsi="Times New Roman Regular" w:cs="Times New Roman Regular"/>
              <w:bCs/>
              <w:szCs w:val="28"/>
              <w:highlight w:val="none"/>
            </w:rPr>
            <w:fldChar w:fldCharType="end"/>
          </w:r>
        </w:p>
        <w:p w14:paraId="6E6A5B58">
          <w:pPr>
            <w:pStyle w:val="7"/>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_Toc1733679294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val="0"/>
              <w:szCs w:val="32"/>
              <w:lang w:val="en-US" w:eastAsia="zh-CN"/>
            </w:rPr>
            <w:t>2.6 The Importance of Building Relationships</w:t>
          </w:r>
          <w:r>
            <w:tab/>
          </w:r>
          <w:r>
            <w:fldChar w:fldCharType="begin"/>
          </w:r>
          <w:r>
            <w:instrText xml:space="preserve"> PAGEREF _Toc1733679294 \h </w:instrText>
          </w:r>
          <w:r>
            <w:fldChar w:fldCharType="separate"/>
          </w:r>
          <w:r>
            <w:t>15</w:t>
          </w:r>
          <w:r>
            <w:fldChar w:fldCharType="end"/>
          </w:r>
          <w:r>
            <w:rPr>
              <w:rFonts w:hint="default" w:ascii="Times New Roman Regular" w:hAnsi="Times New Roman Regular" w:cs="Times New Roman Regular"/>
              <w:bCs/>
              <w:szCs w:val="28"/>
              <w:highlight w:val="none"/>
            </w:rPr>
            <w:fldChar w:fldCharType="end"/>
          </w:r>
        </w:p>
        <w:p w14:paraId="4333D1DE">
          <w:pPr>
            <w:pStyle w:val="7"/>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_Toc889771762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val="0"/>
              <w:szCs w:val="32"/>
              <w:lang w:val="en-US" w:eastAsia="zh-CN"/>
            </w:rPr>
            <w:t>2.7 How to build Trust</w:t>
          </w:r>
          <w:r>
            <w:tab/>
          </w:r>
          <w:r>
            <w:fldChar w:fldCharType="begin"/>
          </w:r>
          <w:r>
            <w:instrText xml:space="preserve"> PAGEREF _Toc889771762 \h </w:instrText>
          </w:r>
          <w:r>
            <w:fldChar w:fldCharType="separate"/>
          </w:r>
          <w:r>
            <w:t>15</w:t>
          </w:r>
          <w:r>
            <w:fldChar w:fldCharType="end"/>
          </w:r>
          <w:r>
            <w:rPr>
              <w:rFonts w:hint="default" w:ascii="Times New Roman Regular" w:hAnsi="Times New Roman Regular" w:cs="Times New Roman Regular"/>
              <w:bCs/>
              <w:szCs w:val="28"/>
              <w:highlight w:val="none"/>
            </w:rPr>
            <w:fldChar w:fldCharType="end"/>
          </w:r>
        </w:p>
        <w:p w14:paraId="79BE9DF7">
          <w:pPr>
            <w:pStyle w:val="7"/>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_Toc1465369873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val="0"/>
              <w:szCs w:val="32"/>
              <w:lang w:val="en-US" w:eastAsia="zh-CN"/>
            </w:rPr>
            <w:t>2.8 Failed Relationships</w:t>
          </w:r>
          <w:r>
            <w:tab/>
          </w:r>
          <w:r>
            <w:fldChar w:fldCharType="begin"/>
          </w:r>
          <w:r>
            <w:instrText xml:space="preserve"> PAGEREF _Toc1465369873 \h </w:instrText>
          </w:r>
          <w:r>
            <w:fldChar w:fldCharType="separate"/>
          </w:r>
          <w:r>
            <w:t>16</w:t>
          </w:r>
          <w:r>
            <w:fldChar w:fldCharType="end"/>
          </w:r>
          <w:r>
            <w:rPr>
              <w:rFonts w:hint="default" w:ascii="Times New Roman Regular" w:hAnsi="Times New Roman Regular" w:cs="Times New Roman Regular"/>
              <w:bCs/>
              <w:szCs w:val="28"/>
              <w:highlight w:val="none"/>
            </w:rPr>
            <w:fldChar w:fldCharType="end"/>
          </w:r>
        </w:p>
        <w:p w14:paraId="53CB742C">
          <w:pPr>
            <w:pStyle w:val="6"/>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_Toc1128991715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szCs w:val="32"/>
              <w:lang w:val="en-US" w:eastAsia="zh-CN"/>
            </w:rPr>
            <w:t>3.0 Conclusions</w:t>
          </w:r>
          <w:r>
            <w:tab/>
          </w:r>
          <w:r>
            <w:fldChar w:fldCharType="begin"/>
          </w:r>
          <w:r>
            <w:instrText xml:space="preserve"> PAGEREF _Toc1128991715 \h </w:instrText>
          </w:r>
          <w:r>
            <w:fldChar w:fldCharType="separate"/>
          </w:r>
          <w:r>
            <w:t>17</w:t>
          </w:r>
          <w:r>
            <w:fldChar w:fldCharType="end"/>
          </w:r>
          <w:r>
            <w:rPr>
              <w:rFonts w:hint="default" w:ascii="Times New Roman Regular" w:hAnsi="Times New Roman Regular" w:cs="Times New Roman Regular"/>
              <w:bCs/>
              <w:szCs w:val="28"/>
              <w:highlight w:val="none"/>
            </w:rPr>
            <w:fldChar w:fldCharType="end"/>
          </w:r>
        </w:p>
        <w:p w14:paraId="1EF58B69">
          <w:pPr>
            <w:pStyle w:val="6"/>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_Toc1945732760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szCs w:val="32"/>
              <w:lang w:val="en-US" w:eastAsia="zh-CN"/>
            </w:rPr>
            <w:t>4.0 Recommendations</w:t>
          </w:r>
          <w:r>
            <w:tab/>
          </w:r>
          <w:r>
            <w:fldChar w:fldCharType="begin"/>
          </w:r>
          <w:r>
            <w:instrText xml:space="preserve"> PAGEREF _Toc1945732760 \h </w:instrText>
          </w:r>
          <w:r>
            <w:fldChar w:fldCharType="separate"/>
          </w:r>
          <w:r>
            <w:t>17</w:t>
          </w:r>
          <w:r>
            <w:fldChar w:fldCharType="end"/>
          </w:r>
          <w:r>
            <w:rPr>
              <w:rFonts w:hint="default" w:ascii="Times New Roman Regular" w:hAnsi="Times New Roman Regular" w:cs="Times New Roman Regular"/>
              <w:bCs/>
              <w:szCs w:val="28"/>
              <w:highlight w:val="none"/>
            </w:rPr>
            <w:fldChar w:fldCharType="end"/>
          </w:r>
        </w:p>
        <w:p w14:paraId="128644CA">
          <w:pPr>
            <w:pStyle w:val="6"/>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_Toc49520804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szCs w:val="32"/>
              <w:lang w:val="en-US"/>
            </w:rPr>
            <w:t>5.0 References</w:t>
          </w:r>
          <w:r>
            <w:tab/>
          </w:r>
          <w:r>
            <w:fldChar w:fldCharType="begin"/>
          </w:r>
          <w:r>
            <w:instrText xml:space="preserve"> PAGEREF _Toc49520804 \h </w:instrText>
          </w:r>
          <w:r>
            <w:fldChar w:fldCharType="separate"/>
          </w:r>
          <w:r>
            <w:t>20</w:t>
          </w:r>
          <w:r>
            <w:fldChar w:fldCharType="end"/>
          </w:r>
          <w:r>
            <w:rPr>
              <w:rFonts w:hint="default" w:ascii="Times New Roman Regular" w:hAnsi="Times New Roman Regular" w:cs="Times New Roman Regular"/>
              <w:bCs/>
              <w:szCs w:val="28"/>
              <w:highlight w:val="none"/>
            </w:rPr>
            <w:fldChar w:fldCharType="end"/>
          </w:r>
        </w:p>
        <w:p w14:paraId="18A1EC2F">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eastAsiaTheme="minorEastAsia"/>
              <w:bCs/>
              <w:sz w:val="22"/>
              <w:szCs w:val="28"/>
              <w:highlight w:val="none"/>
              <w:lang w:val="en-GB" w:eastAsia="zh-CN" w:bidi="ar-SA"/>
            </w:rPr>
          </w:pPr>
          <w:r>
            <w:rPr>
              <w:rFonts w:hint="default" w:ascii="Times New Roman Regular" w:hAnsi="Times New Roman Regular" w:cs="Times New Roman Regular"/>
              <w:bCs/>
              <w:szCs w:val="28"/>
              <w:highlight w:val="none"/>
            </w:rPr>
            <w:fldChar w:fldCharType="end"/>
          </w:r>
        </w:p>
      </w:sdtContent>
    </w:sdt>
    <w:p w14:paraId="7E83C94E">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eastAsiaTheme="minorEastAsia"/>
          <w:bCs/>
          <w:sz w:val="22"/>
          <w:szCs w:val="28"/>
          <w:highlight w:val="none"/>
          <w:lang w:val="en-GB" w:eastAsia="zh-CN" w:bidi="ar-SA"/>
        </w:rPr>
      </w:pPr>
    </w:p>
    <w:p w14:paraId="2634B112">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rPr>
      </w:pPr>
    </w:p>
    <w:p w14:paraId="5DE2AD85">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rPr>
      </w:pPr>
    </w:p>
    <w:p w14:paraId="218F1872">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rPr>
      </w:pPr>
    </w:p>
    <w:p w14:paraId="1741A8CB">
      <w:pPr>
        <w:pStyle w:val="13"/>
        <w:numPr>
          <w:ilvl w:val="0"/>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rPr>
      </w:pPr>
    </w:p>
    <w:p w14:paraId="2DFFE0BC">
      <w:pPr>
        <w:pStyle w:val="14"/>
        <w:bidi w:val="0"/>
        <w:rPr>
          <w:rFonts w:hint="default"/>
        </w:rPr>
      </w:pPr>
    </w:p>
    <w:p w14:paraId="27C6EA34">
      <w:pPr>
        <w:pStyle w:val="2"/>
        <w:bidi w:val="0"/>
        <w:rPr>
          <w:rFonts w:hint="default" w:ascii="Times New Roman Bold" w:hAnsi="Times New Roman Bold" w:cs="Times New Roman Bold"/>
          <w:b/>
          <w:bCs/>
          <w:sz w:val="32"/>
          <w:szCs w:val="32"/>
        </w:rPr>
      </w:pPr>
      <w:bookmarkStart w:id="1" w:name="_Toc204239412"/>
      <w:r>
        <w:rPr>
          <w:rFonts w:hint="default" w:ascii="Times New Roman Bold" w:hAnsi="Times New Roman Bold" w:cs="Times New Roman Bold"/>
          <w:b/>
          <w:bCs/>
          <w:sz w:val="32"/>
          <w:szCs w:val="32"/>
          <w:lang w:val="en-US"/>
        </w:rPr>
        <w:t xml:space="preserve">1.0 </w:t>
      </w:r>
      <w:r>
        <w:rPr>
          <w:rFonts w:hint="default" w:ascii="Times New Roman Bold" w:hAnsi="Times New Roman Bold" w:cs="Times New Roman Bold"/>
          <w:b/>
          <w:bCs/>
          <w:sz w:val="32"/>
          <w:szCs w:val="32"/>
        </w:rPr>
        <w:t>Introduction</w:t>
      </w:r>
      <w:bookmarkEnd w:id="1"/>
    </w:p>
    <w:p w14:paraId="59C2E3D2">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rPr>
      </w:pPr>
      <w:r>
        <w:rPr>
          <w:rFonts w:hint="default" w:ascii="Times New Roman Regular" w:hAnsi="Times New Roman Regular" w:cs="Times New Roman Regular"/>
          <w:sz w:val="28"/>
          <w:szCs w:val="28"/>
          <w:highlight w:val="none"/>
        </w:rPr>
        <w:t>This report presents the findings and recommendations of our organization, which specializes in guiding businesses on global expansion.  We have been engaged by a large clothes retail group aiming to develop global partnerships and expand its business into Asia.  The focus of this report is to critically evaluate and discuss the importance of cross-cultural communication and the challenges associated with relationship building in international business communication (IBC).  The report will also illustrate the skills and competencies required for successful IBC, with a particular emphasis on building relationships.  Additionally, we will explore the potential impact of failed IBC relationships and propose an approach to developing the necessary skills.</w:t>
      </w:r>
    </w:p>
    <w:p w14:paraId="4953C181">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rPr>
      </w:pPr>
    </w:p>
    <w:p w14:paraId="242B6FEC">
      <w:pPr>
        <w:pStyle w:val="2"/>
        <w:bidi w:val="0"/>
        <w:rPr>
          <w:rFonts w:hint="default" w:ascii="Times New Roman Bold" w:hAnsi="Times New Roman Bold" w:cs="Times New Roman Bold"/>
          <w:b/>
          <w:bCs/>
          <w:sz w:val="32"/>
          <w:szCs w:val="32"/>
        </w:rPr>
      </w:pPr>
      <w:bookmarkStart w:id="2" w:name="_Toc972929578"/>
      <w:r>
        <w:rPr>
          <w:rFonts w:hint="default" w:ascii="Times New Roman Bold" w:hAnsi="Times New Roman Bold" w:cs="Times New Roman Bold"/>
          <w:b/>
          <w:bCs/>
          <w:sz w:val="32"/>
          <w:szCs w:val="32"/>
        </w:rPr>
        <w:t>2.0 Main Findings</w:t>
      </w:r>
      <w:bookmarkEnd w:id="2"/>
    </w:p>
    <w:p w14:paraId="35FAA01C">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rPr>
      </w:pPr>
      <w:r>
        <w:rPr>
          <w:rFonts w:hint="default" w:ascii="Times New Roman Regular" w:hAnsi="Times New Roman Regular" w:cs="Times New Roman Regular"/>
          <w:sz w:val="28"/>
          <w:szCs w:val="28"/>
          <w:highlight w:val="none"/>
        </w:rPr>
        <w:t>Cross-cultural communication helps enterprises to have a deep understanding of the cultural characteristics of the target market and accurately grasp the needs of consumers, so as to formulate product strategies, marketing strategies and customer service strategies that meet the characteristics of the market. At the same time, cross-cultural communication can also promote trust and cooperation between enterprises and partners, laying a solid foundation for business expansion.</w:t>
      </w:r>
    </w:p>
    <w:p w14:paraId="0197B044">
      <w:pPr>
        <w:pStyle w:val="3"/>
        <w:bidi w:val="0"/>
        <w:outlineLvl w:val="0"/>
        <w:rPr>
          <w:rFonts w:hint="default" w:ascii="Times New Roman Bold" w:hAnsi="Times New Roman Bold" w:cs="Times New Roman Bold"/>
          <w:b/>
          <w:bCs w:val="0"/>
          <w:sz w:val="32"/>
          <w:szCs w:val="32"/>
        </w:rPr>
      </w:pPr>
      <w:bookmarkStart w:id="3" w:name="_Toc1086929188"/>
      <w:r>
        <w:rPr>
          <w:rFonts w:hint="default" w:ascii="Times New Roman Bold" w:hAnsi="Times New Roman Bold" w:cs="Times New Roman Bold"/>
          <w:b/>
          <w:bCs w:val="0"/>
          <w:sz w:val="32"/>
          <w:szCs w:val="32"/>
        </w:rPr>
        <w:t>2.1 International Business Communication</w:t>
      </w:r>
      <w:bookmarkEnd w:id="3"/>
    </w:p>
    <w:p w14:paraId="06A2FC5F">
      <w:pPr>
        <w:pStyle w:val="8"/>
        <w:keepNext w:val="0"/>
        <w:keepLines w:val="0"/>
        <w:widowControl/>
        <w:suppressLineNumbers w:val="0"/>
        <w:pBdr>
          <w:top w:val="none" w:color="auto" w:sz="0" w:space="0"/>
          <w:left w:val="none" w:color="auto" w:sz="0" w:space="0"/>
          <w:bottom w:val="none" w:color="auto" w:sz="0" w:space="0"/>
          <w:right w:val="none" w:color="auto" w:sz="0" w:space="0"/>
          <w:between w:val="none" w:color="auto" w:sz="0" w:space="0"/>
        </w:pBdr>
        <w:spacing w:before="0" w:beforeAutospacing="0" w:after="240" w:afterAutospacing="0"/>
        <w:ind w:left="0" w:right="0"/>
        <w:jc w:val="left"/>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International Business Communication (IBC) refers to the exchange of information and ideas across national boundaries in a business context. It encompasses various forms of communication, including verbal, non-verbal, written, and digital interactions, all tailored to diverse cultural backgrounds and languages. Understanding IBC is crucial for organizations operating in a global marketplace, as effective communication can significantly influence business success.</w:t>
      </w:r>
    </w:p>
    <w:p w14:paraId="74ACE96E">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eastAsia="helvetica" w:cs="Times New Roman Regular"/>
          <w:kern w:val="0"/>
          <w:sz w:val="28"/>
          <w:szCs w:val="28"/>
          <w:highlight w:val="none"/>
          <w:lang w:val="en-US" w:eastAsia="zh-CN" w:bidi="ar"/>
        </w:rPr>
        <w:t>Irawati, J (2024) showed that l</w:t>
      </w:r>
      <w:r>
        <w:rPr>
          <w:rFonts w:hint="default" w:ascii="Times New Roman Regular" w:hAnsi="Times New Roman Regular" w:cs="Times New Roman Regular"/>
          <w:b w:val="0"/>
          <w:bCs w:val="0"/>
          <w:sz w:val="28"/>
          <w:szCs w:val="28"/>
          <w:highlight w:val="none"/>
        </w:rPr>
        <w:t>anguage plays a pivotal role in international business interactions. Effective language management can enhance relationships, improve negotiation outcomes, and facilitate smoother transactions.Martinaj, F.G</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 xml:space="preserve"> 2023)</w:t>
      </w:r>
      <w:r>
        <w:rPr>
          <w:rFonts w:hint="default" w:ascii="Times New Roman Regular" w:hAnsi="Times New Roman Regular" w:cs="Times New Roman Regular"/>
          <w:b w:val="0"/>
          <w:bCs w:val="0"/>
          <w:sz w:val="28"/>
          <w:szCs w:val="28"/>
          <w:highlight w:val="none"/>
          <w:lang w:val="en-US"/>
        </w:rPr>
        <w:t xml:space="preserve">pointed out </w:t>
      </w:r>
      <w:r>
        <w:rPr>
          <w:rFonts w:hint="default" w:ascii="Times New Roman Regular" w:hAnsi="Times New Roman Regular" w:cs="Times New Roman Regular"/>
          <w:b w:val="0"/>
          <w:bCs w:val="0"/>
          <w:sz w:val="28"/>
          <w:szCs w:val="28"/>
          <w:highlight w:val="none"/>
          <w:lang w:val="en-US" w:eastAsia="zh-CN"/>
        </w:rPr>
        <w:t>English is recognized as the international language of business, serving as a common medium for communication and mutual understanding in commercial endeavors. Acquiring foreign languages and employing language management strategies facilitate cross-cultural exchanges, business expansion, and career advancement.</w:t>
      </w:r>
    </w:p>
    <w:p w14:paraId="41A765E3">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bookmarkStart w:id="20" w:name="_GoBack"/>
      <w:bookmarkEnd w:id="20"/>
      <w:r>
        <w:rPr>
          <w:rFonts w:hint="default" w:ascii="Times New Roman Regular" w:hAnsi="Times New Roman Regular" w:cs="Times New Roman Regular"/>
          <w:b w:val="0"/>
          <w:bCs w:val="0"/>
          <w:sz w:val="28"/>
          <w:szCs w:val="28"/>
          <w:highlight w:val="none"/>
          <w:lang w:val="en-US"/>
        </w:rPr>
        <w:t>Rachel Shalini( 2023b</w:t>
      </w:r>
      <w:r>
        <w:rPr>
          <w:rFonts w:hint="default" w:ascii="Times New Roman Regular" w:hAnsi="Times New Roman Regular" w:cs="Times New Roman Regular"/>
          <w:b w:val="0"/>
          <w:bCs w:val="0"/>
          <w:sz w:val="28"/>
          <w:szCs w:val="28"/>
          <w:highlight w:val="none"/>
          <w:lang w:val="en-US" w:eastAsia="zh-CN"/>
        </w:rPr>
        <w:t xml:space="preserve"> ) pointed out c</w:t>
      </w:r>
      <w:r>
        <w:rPr>
          <w:rFonts w:hint="default" w:ascii="Times New Roman Regular" w:hAnsi="Times New Roman Regular" w:cs="Times New Roman Regular"/>
          <w:b w:val="0"/>
          <w:bCs w:val="0"/>
          <w:sz w:val="28"/>
          <w:szCs w:val="28"/>
          <w:highlight w:val="none"/>
          <w:lang w:val="en-US"/>
        </w:rPr>
        <w:t>ultural communication poses unique challenges due to differences in cultural norms, values, and communication styles. Organizations must be aware of these cultural factors to avoid misunderstandings and foster effective collaboration. For instance, high-context cultures may rely more on implicit communication, while low-context cultures favor directness. Companies that successfully address these differences can enhance their competitive edge by building stronger international relationships.</w:t>
      </w:r>
    </w:p>
    <w:p w14:paraId="3DBD531B">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p>
    <w:p w14:paraId="154D7607">
      <w:pPr>
        <w:pStyle w:val="3"/>
        <w:bidi w:val="0"/>
        <w:outlineLvl w:val="0"/>
        <w:rPr>
          <w:rFonts w:hint="default" w:ascii="Times New Roman Bold" w:hAnsi="Times New Roman Bold" w:cs="Times New Roman Bold"/>
          <w:b/>
          <w:bCs w:val="0"/>
          <w:sz w:val="32"/>
          <w:szCs w:val="32"/>
        </w:rPr>
      </w:pPr>
      <w:bookmarkStart w:id="4" w:name="_Toc1522961334"/>
      <w:r>
        <w:rPr>
          <w:rFonts w:hint="default" w:ascii="Times New Roman Bold" w:hAnsi="Times New Roman Bold" w:cs="Times New Roman Bold"/>
          <w:b/>
          <w:bCs w:val="0"/>
          <w:sz w:val="32"/>
          <w:szCs w:val="32"/>
        </w:rPr>
        <w:t>2.2 Skills Requirements</w:t>
      </w:r>
      <w:bookmarkEnd w:id="4"/>
    </w:p>
    <w:p w14:paraId="7A0F1309">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Expanding a business to Asia requires a nuanced understanding of international business communication skills. Here are the key skill requirements:</w:t>
      </w:r>
    </w:p>
    <w:p w14:paraId="2517E2B5">
      <w:pPr>
        <w:pBdr>
          <w:top w:val="none" w:color="auto" w:sz="0" w:space="0"/>
          <w:left w:val="none" w:color="auto" w:sz="0" w:space="0"/>
          <w:bottom w:val="none" w:color="auto" w:sz="0" w:space="0"/>
          <w:right w:val="none" w:color="auto" w:sz="0" w:space="0"/>
          <w:between w:val="none" w:color="auto" w:sz="0" w:space="0"/>
        </w:pBdr>
        <w:outlineLvl w:val="1"/>
        <w:rPr>
          <w:rFonts w:hint="default" w:ascii="Times New Roman Regular" w:hAnsi="Times New Roman Regular" w:cs="Times New Roman Regular"/>
          <w:b w:val="0"/>
          <w:bCs w:val="0"/>
          <w:sz w:val="28"/>
          <w:szCs w:val="28"/>
          <w:highlight w:val="none"/>
        </w:rPr>
      </w:pPr>
      <w:bookmarkStart w:id="5" w:name="_Toc1420554415"/>
      <w:bookmarkStart w:id="6" w:name="_Toc553551945"/>
      <w:r>
        <w:rPr>
          <w:rFonts w:hint="default" w:ascii="Times New Roman Regular" w:hAnsi="Times New Roman Regular" w:cs="Times New Roman Regular"/>
          <w:b w:val="0"/>
          <w:bCs w:val="0"/>
          <w:sz w:val="28"/>
          <w:szCs w:val="28"/>
          <w:highlight w:val="none"/>
        </w:rPr>
        <w:t>Cultural Awareness</w:t>
      </w:r>
      <w:bookmarkEnd w:id="5"/>
      <w:bookmarkEnd w:id="6"/>
    </w:p>
    <w:p w14:paraId="0F732A49">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Recognizing and respecting diverse cultural norms, values, and communication styles is crucial.Jeyalakshmi, G. and Chandrasekar, K</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2022)</w:t>
      </w:r>
      <w:r>
        <w:rPr>
          <w:rFonts w:hint="default" w:ascii="Times New Roman Regular" w:hAnsi="Times New Roman Regular" w:cs="Times New Roman Regular"/>
          <w:b w:val="0"/>
          <w:bCs w:val="0"/>
          <w:sz w:val="28"/>
          <w:szCs w:val="28"/>
          <w:highlight w:val="none"/>
          <w:lang w:val="en-US"/>
        </w:rPr>
        <w:t xml:space="preserve"> showed that b</w:t>
      </w:r>
      <w:r>
        <w:rPr>
          <w:rFonts w:hint="default" w:ascii="Times New Roman Regular" w:hAnsi="Times New Roman Regular" w:cs="Times New Roman Regular"/>
          <w:b w:val="0"/>
          <w:bCs w:val="0"/>
          <w:sz w:val="28"/>
          <w:szCs w:val="28"/>
          <w:highlight w:val="none"/>
        </w:rPr>
        <w:t xml:space="preserve">eing flexible in communication approaches to accommodate local customs and practices. The findings show that a culturally varied workforce enhances competitive advantage when managed appropriately. </w:t>
      </w:r>
    </w:p>
    <w:p w14:paraId="61F9BA97">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Language Proficiency</w:t>
      </w:r>
    </w:p>
    <w:p w14:paraId="33C7DE24">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Kumar, P</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2023)</w:t>
      </w:r>
      <w:r>
        <w:rPr>
          <w:rFonts w:hint="default" w:ascii="Times New Roman Regular" w:hAnsi="Times New Roman Regular" w:cs="Times New Roman Regular"/>
          <w:b w:val="0"/>
          <w:bCs w:val="0"/>
          <w:sz w:val="28"/>
          <w:szCs w:val="28"/>
          <w:highlight w:val="none"/>
          <w:lang w:val="en-US"/>
        </w:rPr>
        <w:t>pointed out i</w:t>
      </w:r>
      <w:r>
        <w:rPr>
          <w:rFonts w:hint="default" w:ascii="Times New Roman Regular" w:hAnsi="Times New Roman Regular" w:cs="Times New Roman Regular"/>
          <w:b w:val="0"/>
          <w:bCs w:val="0"/>
          <w:sz w:val="28"/>
          <w:szCs w:val="28"/>
          <w:highlight w:val="none"/>
        </w:rPr>
        <w:t xml:space="preserve">n today’s interconnected global economy, effective communication is critical for successful international business ventures. However, language barriers pose significant challenges to effective international business communication. </w:t>
      </w:r>
    </w:p>
    <w:p w14:paraId="23221057">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p>
    <w:p w14:paraId="4F8BD8AF">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Interpersonal Skills</w:t>
      </w:r>
    </w:p>
    <w:p w14:paraId="5508D022">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Lima, L.F. and Quevedo Silva, F</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2020)</w:t>
      </w:r>
      <w:r>
        <w:rPr>
          <w:rFonts w:hint="default" w:ascii="Times New Roman Regular" w:hAnsi="Times New Roman Regular" w:cs="Times New Roman Regular"/>
          <w:b w:val="0"/>
          <w:bCs w:val="0"/>
          <w:sz w:val="28"/>
          <w:szCs w:val="28"/>
          <w:highlight w:val="none"/>
          <w:lang w:val="en-US"/>
        </w:rPr>
        <w:t xml:space="preserve"> showed s</w:t>
      </w:r>
      <w:r>
        <w:rPr>
          <w:rFonts w:hint="default" w:ascii="Times New Roman Regular" w:hAnsi="Times New Roman Regular" w:cs="Times New Roman Regular"/>
          <w:b w:val="0"/>
          <w:bCs w:val="0"/>
          <w:sz w:val="28"/>
          <w:szCs w:val="28"/>
          <w:highlight w:val="none"/>
        </w:rPr>
        <w:t>trong interpersonal skills are essential for networking and establishing trust with local partners and genuine interest in others’ perspectives fosters better communication. The results show a positive and significant relationship between emotional intelligence and the project manager's interpersonal skills and between skills and the success at project management.</w:t>
      </w:r>
    </w:p>
    <w:p w14:paraId="65A1B9ED">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Negotiation Skills</w:t>
      </w:r>
    </w:p>
    <w:p w14:paraId="629E0EC0">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Different cultures have varying approaches to negotiation; being aware of these can lead to more successful outcomes.Huang, H</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2023)</w:t>
      </w:r>
      <w:r>
        <w:rPr>
          <w:rFonts w:hint="default" w:ascii="Times New Roman Regular" w:hAnsi="Times New Roman Regular" w:cs="Times New Roman Regular"/>
          <w:b w:val="0"/>
          <w:bCs w:val="0"/>
          <w:sz w:val="28"/>
          <w:szCs w:val="28"/>
          <w:highlight w:val="none"/>
          <w:lang w:val="en-US"/>
        </w:rPr>
        <w:t xml:space="preserve"> showed n</w:t>
      </w:r>
      <w:r>
        <w:rPr>
          <w:rFonts w:hint="default" w:ascii="Times New Roman Regular" w:hAnsi="Times New Roman Regular" w:cs="Times New Roman Regular"/>
          <w:b w:val="0"/>
          <w:bCs w:val="0"/>
          <w:sz w:val="28"/>
          <w:szCs w:val="28"/>
          <w:highlight w:val="none"/>
        </w:rPr>
        <w:t xml:space="preserve">egotiations in Asia may take longer; being patient and persistent is important. </w:t>
      </w:r>
      <w:r>
        <w:rPr>
          <w:rFonts w:hint="default" w:ascii="Times New Roman Regular" w:hAnsi="Times New Roman Regular" w:cs="Times New Roman Regular"/>
          <w:b w:val="0"/>
          <w:bCs w:val="0"/>
          <w:sz w:val="28"/>
          <w:szCs w:val="28"/>
          <w:highlight w:val="none"/>
          <w:lang w:val="en-US"/>
        </w:rPr>
        <w:t>N</w:t>
      </w:r>
      <w:r>
        <w:rPr>
          <w:rFonts w:hint="default" w:ascii="Times New Roman Regular" w:hAnsi="Times New Roman Regular" w:cs="Times New Roman Regular"/>
          <w:b w:val="0"/>
          <w:bCs w:val="0"/>
          <w:sz w:val="28"/>
          <w:szCs w:val="28"/>
          <w:highlight w:val="none"/>
        </w:rPr>
        <w:t>egotiation is a relatively complex negotiation process, not only to clarify and safeguard their own rights and interests, but also to consider the economic interests of the other side.</w:t>
      </w:r>
    </w:p>
    <w:p w14:paraId="0CB8A8D7">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Digital Communication Skills</w:t>
      </w:r>
    </w:p>
    <w:p w14:paraId="789C204D">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 xml:space="preserve">E.F. Serdyukova, M.L. Shapovalova and O.V. Goncharova </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2024)</w:t>
      </w:r>
      <w:r>
        <w:rPr>
          <w:rFonts w:hint="default" w:ascii="Times New Roman Regular" w:hAnsi="Times New Roman Regular" w:cs="Times New Roman Regular"/>
          <w:b w:val="0"/>
          <w:bCs w:val="0"/>
          <w:sz w:val="28"/>
          <w:szCs w:val="28"/>
          <w:highlight w:val="none"/>
          <w:lang w:val="en-US"/>
        </w:rPr>
        <w:t>showed f</w:t>
      </w:r>
      <w:r>
        <w:rPr>
          <w:rFonts w:hint="default" w:ascii="Times New Roman Regular" w:hAnsi="Times New Roman Regular" w:cs="Times New Roman Regular"/>
          <w:b w:val="0"/>
          <w:bCs w:val="0"/>
          <w:sz w:val="28"/>
          <w:szCs w:val="28"/>
          <w:highlight w:val="none"/>
        </w:rPr>
        <w:t xml:space="preserve">amiliarity with digital communication tools that are popular in specific Asian markets (e.g., WeChat in China) is the nuances of virtual meetings, including time zone differences and formalities. </w:t>
      </w:r>
      <w:r>
        <w:rPr>
          <w:rFonts w:hint="default" w:ascii="Times New Roman Regular" w:hAnsi="Times New Roman Regular" w:cs="Times New Roman Regular"/>
          <w:b w:val="0"/>
          <w:bCs w:val="0"/>
          <w:sz w:val="28"/>
          <w:szCs w:val="28"/>
          <w:highlight w:val="none"/>
          <w:lang w:val="en-US"/>
        </w:rPr>
        <w:t>T</w:t>
      </w:r>
      <w:r>
        <w:rPr>
          <w:rFonts w:hint="default" w:ascii="Times New Roman Regular" w:hAnsi="Times New Roman Regular" w:cs="Times New Roman Regular"/>
          <w:b w:val="0"/>
          <w:bCs w:val="0"/>
          <w:sz w:val="28"/>
          <w:szCs w:val="28"/>
          <w:highlight w:val="none"/>
        </w:rPr>
        <w:t xml:space="preserve">he increasingly dense presence of artificial intelligence systems in the education system and the role it can play in the development of successful communication skills. </w:t>
      </w:r>
    </w:p>
    <w:p w14:paraId="6DDC393E">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p>
    <w:p w14:paraId="4D006CEA">
      <w:pPr>
        <w:pStyle w:val="3"/>
        <w:bidi w:val="0"/>
        <w:outlineLvl w:val="0"/>
        <w:rPr>
          <w:rFonts w:hint="default" w:ascii="Times New Roman Bold" w:hAnsi="Times New Roman Bold" w:cs="Times New Roman Bold"/>
          <w:b/>
          <w:bCs w:val="0"/>
          <w:sz w:val="32"/>
          <w:szCs w:val="32"/>
        </w:rPr>
      </w:pPr>
      <w:bookmarkStart w:id="7" w:name="_Toc648380811"/>
      <w:r>
        <w:rPr>
          <w:rFonts w:hint="default" w:ascii="Times New Roman Bold" w:hAnsi="Times New Roman Bold" w:cs="Times New Roman Bold"/>
          <w:b/>
          <w:bCs w:val="0"/>
          <w:sz w:val="32"/>
          <w:szCs w:val="32"/>
        </w:rPr>
        <w:t>2.3</w:t>
      </w:r>
      <w:r>
        <w:rPr>
          <w:rFonts w:hint="default" w:ascii="Times New Roman Bold" w:hAnsi="Times New Roman Bold" w:cs="Times New Roman Bold"/>
          <w:b/>
          <w:bCs w:val="0"/>
          <w:sz w:val="32"/>
          <w:szCs w:val="32"/>
          <w:lang w:val="en-US"/>
        </w:rPr>
        <w:t xml:space="preserve"> </w:t>
      </w:r>
      <w:r>
        <w:rPr>
          <w:rFonts w:hint="default" w:ascii="Times New Roman Bold" w:hAnsi="Times New Roman Bold" w:cs="Times New Roman Bold"/>
          <w:b/>
          <w:bCs w:val="0"/>
          <w:sz w:val="32"/>
          <w:szCs w:val="32"/>
        </w:rPr>
        <w:t>Methods of Communication</w:t>
      </w:r>
      <w:bookmarkEnd w:id="7"/>
    </w:p>
    <w:p w14:paraId="12913869">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rPr>
      </w:pPr>
      <w:r>
        <w:rPr>
          <w:rFonts w:hint="default" w:ascii="Times New Roman Regular" w:hAnsi="Times New Roman Regular" w:cs="Times New Roman Regular"/>
          <w:sz w:val="28"/>
          <w:szCs w:val="28"/>
          <w:highlight w:val="none"/>
        </w:rPr>
        <w:t xml:space="preserve">P.Lindsay </w:t>
      </w:r>
      <w:r>
        <w:rPr>
          <w:rFonts w:hint="default" w:ascii="Times New Roman Regular" w:hAnsi="Times New Roman Regular" w:cs="Times New Roman Regular"/>
          <w:sz w:val="28"/>
          <w:szCs w:val="28"/>
          <w:highlight w:val="none"/>
          <w:lang w:val="en-US"/>
        </w:rPr>
        <w:t>(</w:t>
      </w:r>
      <w:r>
        <w:rPr>
          <w:rFonts w:hint="default" w:ascii="Times New Roman Regular" w:hAnsi="Times New Roman Regular" w:cs="Times New Roman Regular"/>
          <w:sz w:val="28"/>
          <w:szCs w:val="28"/>
          <w:highlight w:val="none"/>
        </w:rPr>
        <w:t>2020)</w:t>
      </w:r>
      <w:r>
        <w:rPr>
          <w:rFonts w:hint="default" w:ascii="Times New Roman Regular" w:hAnsi="Times New Roman Regular" w:cs="Times New Roman Regular"/>
          <w:sz w:val="28"/>
          <w:szCs w:val="28"/>
          <w:highlight w:val="none"/>
          <w:lang w:val="en-US"/>
        </w:rPr>
        <w:t xml:space="preserve"> showed c</w:t>
      </w:r>
      <w:r>
        <w:rPr>
          <w:rFonts w:hint="default" w:ascii="Times New Roman Regular" w:hAnsi="Times New Roman Regular" w:cs="Times New Roman Regular"/>
          <w:sz w:val="28"/>
          <w:szCs w:val="28"/>
          <w:highlight w:val="none"/>
        </w:rPr>
        <w:t>ommunication styles are divided into high-context communication styles and low-context communication styles.</w:t>
      </w:r>
    </w:p>
    <w:p w14:paraId="19DF5CAF">
      <w:pPr>
        <w:pStyle w:val="4"/>
        <w:bidi w:val="0"/>
        <w:outlineLvl w:val="1"/>
        <w:rPr>
          <w:rFonts w:hint="default" w:ascii="Times New Roman Bold" w:hAnsi="Times New Roman Bold" w:cs="Times New Roman Bold"/>
          <w:b/>
          <w:bCs/>
        </w:rPr>
      </w:pPr>
      <w:bookmarkStart w:id="8" w:name="_Toc1004265599"/>
      <w:r>
        <w:rPr>
          <w:rFonts w:hint="default" w:ascii="Times New Roman Bold" w:hAnsi="Times New Roman Bold" w:cs="Times New Roman Bold"/>
          <w:b/>
          <w:bCs/>
        </w:rPr>
        <w:t>2.3.1 - Halls High Low Context</w:t>
      </w:r>
      <w:bookmarkEnd w:id="8"/>
    </w:p>
    <w:p w14:paraId="28CC1963">
      <w:pPr>
        <w:keepNext w:val="0"/>
        <w:keepLines w:val="0"/>
        <w:widowControl/>
        <w:suppressLineNumbers w:val="0"/>
        <w:jc w:val="left"/>
        <w:rPr>
          <w:rFonts w:hint="default" w:ascii="Times New Roman Regular" w:hAnsi="Times New Roman Regular" w:cs="Times New Roman Regular"/>
          <w:b w:val="0"/>
          <w:bCs w:val="0"/>
          <w:color w:val="auto"/>
          <w:sz w:val="28"/>
          <w:szCs w:val="28"/>
          <w:highlight w:val="none"/>
          <w:lang w:val="en-US"/>
        </w:rPr>
      </w:pPr>
      <w:r>
        <w:rPr>
          <w:rFonts w:hint="default" w:ascii="Times New Roman Regular" w:hAnsi="Times New Roman Regular" w:eastAsia="Helvetica Neue" w:cs="Times New Roman Regular"/>
          <w:i w:val="0"/>
          <w:iCs w:val="0"/>
          <w:caps w:val="0"/>
          <w:color w:val="auto"/>
          <w:spacing w:val="0"/>
          <w:kern w:val="0"/>
          <w:sz w:val="28"/>
          <w:szCs w:val="28"/>
          <w:u w:val="none"/>
          <w:lang w:val="en-US" w:eastAsia="zh-CN" w:bidi="ar"/>
        </w:rPr>
        <w:t>Edward Hall's theory of high- and low-context communication offers a structured approach to comprehending cultural variations in communication.</w:t>
      </w:r>
      <w:r>
        <w:rPr>
          <w:rFonts w:hint="default" w:ascii="Times New Roman Regular" w:hAnsi="Times New Roman Regular" w:cs="Times New Roman Regular"/>
          <w:b w:val="0"/>
          <w:bCs w:val="0"/>
          <w:color w:val="auto"/>
          <w:sz w:val="28"/>
          <w:szCs w:val="28"/>
          <w:highlight w:val="none"/>
        </w:rPr>
        <w:t>Vlad-George Tirila, Alain Demairé and Ryan, C</w:t>
      </w:r>
      <w:r>
        <w:rPr>
          <w:rFonts w:hint="default" w:ascii="Times New Roman Regular" w:hAnsi="Times New Roman Regular" w:cs="Times New Roman Regular"/>
          <w:b w:val="0"/>
          <w:bCs w:val="0"/>
          <w:color w:val="auto"/>
          <w:sz w:val="28"/>
          <w:szCs w:val="28"/>
          <w:highlight w:val="none"/>
          <w:lang w:val="en-US"/>
        </w:rPr>
        <w:t>(</w:t>
      </w:r>
      <w:r>
        <w:rPr>
          <w:rFonts w:hint="default" w:ascii="Times New Roman Regular" w:hAnsi="Times New Roman Regular" w:cs="Times New Roman Regular"/>
          <w:b w:val="0"/>
          <w:bCs w:val="0"/>
          <w:color w:val="auto"/>
          <w:sz w:val="28"/>
          <w:szCs w:val="28"/>
          <w:highlight w:val="none"/>
        </w:rPr>
        <w:t>2023)</w:t>
      </w:r>
      <w:r>
        <w:rPr>
          <w:rFonts w:hint="default" w:ascii="Times New Roman Regular" w:hAnsi="Times New Roman Regular" w:cs="Times New Roman Regular"/>
          <w:b w:val="0"/>
          <w:bCs w:val="0"/>
          <w:color w:val="auto"/>
          <w:sz w:val="28"/>
          <w:szCs w:val="28"/>
          <w:highlight w:val="none"/>
          <w:lang w:val="en-US"/>
        </w:rPr>
        <w:t xml:space="preserve"> pointed out </w:t>
      </w:r>
      <w:r>
        <w:rPr>
          <w:rFonts w:hint="default" w:ascii="Times New Roman Regular" w:hAnsi="Times New Roman Regular" w:cs="Times New Roman Regular"/>
          <w:b w:val="0"/>
          <w:bCs w:val="0"/>
          <w:color w:val="auto"/>
          <w:sz w:val="28"/>
          <w:szCs w:val="28"/>
          <w:highlight w:val="none"/>
          <w:lang w:val="en-US" w:eastAsia="zh-CN"/>
        </w:rPr>
        <w:t>High-context cultures heavily rely on implicit messages and nonverbal cues, whereas low-context cultures favor explicit and direct communication. Grasping these distinctions is vital for adjusting communication styles to align with various cultural settings.</w:t>
      </w:r>
    </w:p>
    <w:p w14:paraId="0BE4CAA3">
      <w:pPr>
        <w:keepNext w:val="0"/>
        <w:keepLines w:val="0"/>
        <w:widowControl/>
        <w:suppressLineNumbers w:val="0"/>
        <w:jc w:val="left"/>
        <w:rPr>
          <w:rFonts w:hint="default" w:ascii="Times New Roman Regular" w:hAnsi="Times New Roman Regular" w:cs="Times New Roman Regular"/>
          <w:b w:val="0"/>
          <w:bCs w:val="0"/>
          <w:sz w:val="28"/>
          <w:szCs w:val="28"/>
          <w:highlight w:val="none"/>
        </w:rPr>
      </w:pPr>
    </w:p>
    <w:p w14:paraId="551B0409">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Kaynak, E., Kara, A. and Maksüdünov, A</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2022)</w:t>
      </w:r>
      <w:r>
        <w:rPr>
          <w:rFonts w:hint="default" w:ascii="Times New Roman Regular" w:hAnsi="Times New Roman Regular" w:cs="Times New Roman Regular"/>
          <w:b w:val="0"/>
          <w:bCs w:val="0"/>
          <w:sz w:val="28"/>
          <w:szCs w:val="28"/>
          <w:highlight w:val="none"/>
          <w:lang w:val="en-US"/>
        </w:rPr>
        <w:t xml:space="preserve"> showed that </w:t>
      </w:r>
      <w:r>
        <w:rPr>
          <w:rFonts w:hint="eastAsia" w:ascii="Times New Roman Regular" w:hAnsi="Times New Roman Regular" w:cs="Times New Roman Regular"/>
          <w:b w:val="0"/>
          <w:bCs w:val="0"/>
          <w:sz w:val="28"/>
          <w:szCs w:val="28"/>
          <w:highlight w:val="none"/>
          <w:lang w:val="en-US" w:eastAsia="zh-CN"/>
        </w:rPr>
        <w:t>i</w:t>
      </w:r>
      <w:r>
        <w:rPr>
          <w:rFonts w:hint="default" w:ascii="Times New Roman Regular" w:hAnsi="Times New Roman Regular" w:cs="Times New Roman Regular"/>
          <w:b w:val="0"/>
          <w:bCs w:val="0"/>
          <w:sz w:val="28"/>
          <w:szCs w:val="28"/>
          <w:highlight w:val="none"/>
          <w:lang w:val="en-US"/>
        </w:rPr>
        <w:t>n high-context cultures, the conveyance of information primarily hinges on non-verbal cues, shared backgrounds, mutual experiences, and societal norms. Language expression tends to be concise, with meaning embedded in the context and background, requiring the listener to infer it accordingly.</w:t>
      </w:r>
      <w:r>
        <w:rPr>
          <w:rFonts w:hint="default" w:ascii="Times New Roman Regular" w:hAnsi="Times New Roman Regular" w:cs="Times New Roman Regular"/>
          <w:b w:val="0"/>
          <w:bCs w:val="0"/>
          <w:sz w:val="28"/>
          <w:szCs w:val="28"/>
          <w:highlight w:val="none"/>
        </w:rPr>
        <w:t>Fujiwara, K. and Takemura, K</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2023)</w:t>
      </w:r>
      <w:r>
        <w:rPr>
          <w:rFonts w:hint="default" w:ascii="Times New Roman Regular" w:hAnsi="Times New Roman Regular" w:cs="Times New Roman Regular"/>
          <w:b w:val="0"/>
          <w:bCs w:val="0"/>
          <w:sz w:val="28"/>
          <w:szCs w:val="28"/>
          <w:highlight w:val="none"/>
          <w:lang w:val="en-US"/>
        </w:rPr>
        <w:t xml:space="preserve"> showed </w:t>
      </w:r>
      <w:r>
        <w:rPr>
          <w:rFonts w:hint="eastAsia" w:ascii="Times New Roman Regular" w:hAnsi="Times New Roman Regular" w:cs="Times New Roman Regular"/>
          <w:b w:val="0"/>
          <w:bCs w:val="0"/>
          <w:sz w:val="28"/>
          <w:szCs w:val="28"/>
          <w:highlight w:val="none"/>
          <w:lang w:val="en-US" w:eastAsia="zh-CN"/>
        </w:rPr>
        <w:t>i</w:t>
      </w:r>
      <w:r>
        <w:rPr>
          <w:rFonts w:hint="default" w:ascii="Times New Roman Regular" w:hAnsi="Times New Roman Regular" w:cs="Times New Roman Regular"/>
          <w:b w:val="0"/>
          <w:bCs w:val="0"/>
          <w:sz w:val="28"/>
          <w:szCs w:val="28"/>
          <w:highlight w:val="none"/>
          <w:lang w:val="en-US"/>
        </w:rPr>
        <w:t>n low-context cultures, individuals tend to rely more on explicit and precise linguistic expressions for conveying information. During communication, meaning is imparted straightforwardly and depends less on non-verbal elements.</w:t>
      </w:r>
    </w:p>
    <w:p w14:paraId="565D7D0B">
      <w:pPr>
        <w:keepNext w:val="0"/>
        <w:keepLines w:val="0"/>
        <w:widowControl/>
        <w:suppressLineNumbers w:val="0"/>
        <w:pBdr>
          <w:top w:val="none" w:color="auto" w:sz="0" w:space="0"/>
          <w:left w:val="none" w:color="auto" w:sz="0" w:space="0"/>
          <w:bottom w:val="none" w:color="auto" w:sz="0" w:space="0"/>
          <w:right w:val="none" w:color="auto" w:sz="0" w:space="0"/>
          <w:between w:val="none" w:color="auto" w:sz="0" w:space="0"/>
        </w:pBdr>
        <w:jc w:val="left"/>
        <w:rPr>
          <w:rFonts w:hint="default" w:ascii="Times New Roman Regular" w:hAnsi="Times New Roman Regular" w:eastAsia="宋体" w:cs="Times New Roman Regular"/>
          <w:i w:val="0"/>
          <w:iCs w:val="0"/>
          <w:caps w:val="0"/>
          <w:color w:val="000000"/>
          <w:spacing w:val="0"/>
          <w:kern w:val="0"/>
          <w:sz w:val="28"/>
          <w:szCs w:val="28"/>
          <w:highlight w:val="none"/>
          <w:u w:val="none"/>
          <w:shd w:val="clear" w:fill="FFFFFF"/>
          <w:lang w:val="en-US" w:eastAsia="zh-CN" w:bidi="ar"/>
        </w:rPr>
      </w:pPr>
      <w:r>
        <w:rPr>
          <w:rFonts w:hint="default" w:ascii="Times New Roman Regular" w:hAnsi="Times New Roman Regular" w:cs="Times New Roman Regular"/>
          <w:b w:val="0"/>
          <w:bCs w:val="0"/>
          <w:sz w:val="28"/>
          <w:szCs w:val="28"/>
          <w:highlight w:val="none"/>
        </w:rPr>
        <w:t xml:space="preserve">It should be noted that the division of high-low context culture is not absolute. </w:t>
      </w:r>
      <w:r>
        <w:rPr>
          <w:rFonts w:hint="default" w:ascii="Times New Roman Regular" w:hAnsi="Times New Roman Regular" w:eastAsia="宋体" w:cs="Times New Roman Regular"/>
          <w:i w:val="0"/>
          <w:iCs w:val="0"/>
          <w:caps w:val="0"/>
          <w:color w:val="000000"/>
          <w:spacing w:val="0"/>
          <w:kern w:val="0"/>
          <w:sz w:val="28"/>
          <w:szCs w:val="28"/>
          <w:highlight w:val="none"/>
          <w:u w:val="none"/>
          <w:shd w:val="clear" w:fill="FFFFFF"/>
          <w:lang w:val="en-US" w:eastAsia="zh-CN" w:bidi="ar"/>
        </w:rPr>
        <w:t>Yang, X., Hou, J. and Arth, Z.W(2021) showed while there are variations in the extent of context dependence among cultures, there may also exist intermediate cases.</w:t>
      </w:r>
    </w:p>
    <w:p w14:paraId="7A481F2E">
      <w:pPr>
        <w:pStyle w:val="3"/>
        <w:bidi w:val="0"/>
        <w:outlineLvl w:val="0"/>
        <w:rPr>
          <w:rFonts w:hint="default" w:ascii="Times New Roman Bold" w:hAnsi="Times New Roman Bold" w:cs="Times New Roman Bold"/>
          <w:b/>
          <w:bCs w:val="0"/>
          <w:sz w:val="32"/>
          <w:szCs w:val="32"/>
        </w:rPr>
      </w:pPr>
      <w:bookmarkStart w:id="9" w:name="_Toc1617940620"/>
      <w:r>
        <w:rPr>
          <w:rFonts w:hint="default" w:ascii="Times New Roman Bold" w:hAnsi="Times New Roman Bold" w:cs="Times New Roman Bold"/>
          <w:b/>
          <w:bCs w:val="0"/>
          <w:sz w:val="32"/>
          <w:szCs w:val="32"/>
        </w:rPr>
        <w:t>2.4 Effective Communication</w:t>
      </w:r>
      <w:bookmarkEnd w:id="9"/>
    </w:p>
    <w:p w14:paraId="1D2544F0">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rPr>
      </w:pPr>
      <w:r>
        <w:rPr>
          <w:rFonts w:hint="default" w:ascii="Times New Roman Regular" w:hAnsi="Times New Roman Regular" w:cs="Times New Roman Regular"/>
          <w:sz w:val="28"/>
          <w:szCs w:val="28"/>
          <w:highlight w:val="none"/>
        </w:rPr>
        <w:t>Stefanova, D.P., Vasilev, V.P. and Efremovski, I.P</w:t>
      </w:r>
      <w:r>
        <w:rPr>
          <w:rFonts w:hint="default" w:ascii="Times New Roman Regular" w:hAnsi="Times New Roman Regular" w:cs="Times New Roman Regular"/>
          <w:sz w:val="28"/>
          <w:szCs w:val="28"/>
          <w:highlight w:val="none"/>
          <w:lang w:val="en-US"/>
        </w:rPr>
        <w:t>(</w:t>
      </w:r>
      <w:r>
        <w:rPr>
          <w:rFonts w:hint="default" w:ascii="Times New Roman Regular" w:hAnsi="Times New Roman Regular" w:cs="Times New Roman Regular"/>
          <w:sz w:val="28"/>
          <w:szCs w:val="28"/>
          <w:highlight w:val="none"/>
        </w:rPr>
        <w:t>2023)</w:t>
      </w:r>
      <w:r>
        <w:rPr>
          <w:rFonts w:hint="default" w:ascii="Times New Roman Regular" w:hAnsi="Times New Roman Regular" w:cs="Times New Roman Regular"/>
          <w:sz w:val="28"/>
          <w:szCs w:val="28"/>
          <w:highlight w:val="none"/>
          <w:lang w:val="en-US"/>
        </w:rPr>
        <w:t xml:space="preserve"> showed e</w:t>
      </w:r>
      <w:r>
        <w:rPr>
          <w:rFonts w:hint="default" w:ascii="Times New Roman Regular" w:hAnsi="Times New Roman Regular" w:cs="Times New Roman Regular"/>
          <w:sz w:val="28"/>
          <w:szCs w:val="28"/>
          <w:highlight w:val="none"/>
        </w:rPr>
        <w:t>ffective communication involves clear, concise, and culturally appropriate messaging</w:t>
      </w:r>
      <w:r>
        <w:rPr>
          <w:rFonts w:hint="default" w:ascii="Times New Roman Regular" w:hAnsi="Times New Roman Regular" w:cs="Times New Roman Regular"/>
          <w:sz w:val="28"/>
          <w:szCs w:val="28"/>
          <w:highlight w:val="none"/>
          <w:lang w:val="en-US"/>
        </w:rPr>
        <w:t xml:space="preserve"> .</w:t>
      </w:r>
      <w:r>
        <w:rPr>
          <w:rFonts w:hint="default" w:ascii="Times New Roman Regular" w:hAnsi="Times New Roman Regular" w:cs="Times New Roman Regular"/>
          <w:sz w:val="28"/>
          <w:szCs w:val="28"/>
          <w:highlight w:val="none"/>
        </w:rPr>
        <w:t>This requires a deep understanding of the target culture's communication norms, including preferred channels (e.g., face-to-face, email, phone), tone, and language.</w:t>
      </w:r>
    </w:p>
    <w:p w14:paraId="10FD06E6">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rPr>
      </w:pPr>
      <w:r>
        <w:rPr>
          <w:rFonts w:hint="default" w:ascii="Times New Roman Regular" w:hAnsi="Times New Roman Regular" w:cs="Times New Roman Regular"/>
          <w:sz w:val="28"/>
          <w:szCs w:val="28"/>
          <w:highlight w:val="none"/>
        </w:rPr>
        <w:t>Osman, M., Malladi Revathi Devi, Ali, D. and Ali, A</w:t>
      </w:r>
      <w:r>
        <w:rPr>
          <w:rFonts w:hint="default" w:ascii="Times New Roman Regular" w:hAnsi="Times New Roman Regular" w:cs="Times New Roman Regular"/>
          <w:sz w:val="28"/>
          <w:szCs w:val="28"/>
          <w:highlight w:val="none"/>
          <w:lang w:val="en-US"/>
        </w:rPr>
        <w:t>(</w:t>
      </w:r>
      <w:r>
        <w:rPr>
          <w:rFonts w:hint="default" w:ascii="Times New Roman Regular" w:hAnsi="Times New Roman Regular" w:cs="Times New Roman Regular"/>
          <w:sz w:val="28"/>
          <w:szCs w:val="28"/>
          <w:highlight w:val="none"/>
        </w:rPr>
        <w:t>2023)</w:t>
      </w:r>
      <w:r>
        <w:rPr>
          <w:rFonts w:hint="default" w:ascii="Times New Roman Regular" w:hAnsi="Times New Roman Regular" w:cs="Times New Roman Regular"/>
          <w:sz w:val="28"/>
          <w:szCs w:val="28"/>
          <w:highlight w:val="none"/>
          <w:lang w:val="en-US"/>
        </w:rPr>
        <w:t xml:space="preserve"> showed e</w:t>
      </w:r>
      <w:r>
        <w:rPr>
          <w:rFonts w:hint="default" w:ascii="Times New Roman Regular" w:hAnsi="Times New Roman Regular" w:cs="Times New Roman Regular"/>
          <w:sz w:val="28"/>
          <w:szCs w:val="28"/>
          <w:highlight w:val="none"/>
        </w:rPr>
        <w:t>ffective international business communication includes language learning, encouraging language courses to help more effectively collaborate and communicate internationally</w:t>
      </w:r>
      <w:r>
        <w:rPr>
          <w:rFonts w:hint="default" w:ascii="Times New Roman Regular" w:hAnsi="Times New Roman Regular" w:cs="Times New Roman Regular"/>
          <w:sz w:val="28"/>
          <w:szCs w:val="28"/>
          <w:highlight w:val="none"/>
          <w:lang w:val="en-US"/>
        </w:rPr>
        <w:t xml:space="preserve"> </w:t>
      </w:r>
      <w:r>
        <w:rPr>
          <w:rFonts w:hint="default" w:ascii="Times New Roman Regular" w:hAnsi="Times New Roman Regular" w:cs="Times New Roman Regular"/>
          <w:sz w:val="28"/>
          <w:szCs w:val="28"/>
          <w:highlight w:val="none"/>
        </w:rPr>
        <w:t xml:space="preserve">.Market research can also be conducted, conducting a thorough study of the cultural norms, values and business etiquette of the countries contacted. Thill, J.V </w:t>
      </w:r>
      <w:r>
        <w:rPr>
          <w:rFonts w:hint="default" w:ascii="Times New Roman Regular" w:hAnsi="Times New Roman Regular" w:cs="Times New Roman Regular"/>
          <w:sz w:val="28"/>
          <w:szCs w:val="28"/>
          <w:highlight w:val="none"/>
          <w:lang w:val="en-US"/>
        </w:rPr>
        <w:t>(</w:t>
      </w:r>
      <w:r>
        <w:rPr>
          <w:rFonts w:hint="default" w:ascii="Times New Roman Regular" w:hAnsi="Times New Roman Regular" w:cs="Times New Roman Regular"/>
          <w:sz w:val="28"/>
          <w:szCs w:val="28"/>
          <w:highlight w:val="none"/>
        </w:rPr>
        <w:t>2024)</w:t>
      </w:r>
      <w:r>
        <w:rPr>
          <w:rFonts w:hint="default" w:ascii="Times New Roman Regular" w:hAnsi="Times New Roman Regular" w:cs="Times New Roman Regular"/>
          <w:sz w:val="28"/>
          <w:szCs w:val="28"/>
          <w:highlight w:val="none"/>
          <w:lang w:val="en-US"/>
        </w:rPr>
        <w:t xml:space="preserve"> showed t</w:t>
      </w:r>
      <w:r>
        <w:rPr>
          <w:rFonts w:hint="default" w:ascii="Times New Roman Regular" w:hAnsi="Times New Roman Regular" w:cs="Times New Roman Regular"/>
          <w:sz w:val="28"/>
          <w:szCs w:val="28"/>
          <w:highlight w:val="none"/>
        </w:rPr>
        <w:t>his includes learning about local customs, festivals and social behavior.</w:t>
      </w:r>
    </w:p>
    <w:p w14:paraId="5F0EFAC9">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rPr>
      </w:pPr>
    </w:p>
    <w:p w14:paraId="30AC63E8">
      <w:pPr>
        <w:pStyle w:val="3"/>
        <w:bidi w:val="0"/>
        <w:outlineLvl w:val="0"/>
        <w:rPr>
          <w:rFonts w:hint="default" w:ascii="Times New Roman Bold" w:hAnsi="Times New Roman Bold" w:cs="Times New Roman Bold"/>
          <w:b/>
          <w:bCs w:val="0"/>
          <w:sz w:val="32"/>
          <w:szCs w:val="32"/>
        </w:rPr>
      </w:pPr>
      <w:bookmarkStart w:id="10" w:name="_Toc1290062026"/>
      <w:r>
        <w:rPr>
          <w:rFonts w:hint="default" w:ascii="Times New Roman Bold" w:hAnsi="Times New Roman Bold" w:cs="Times New Roman Bold"/>
          <w:b/>
          <w:bCs w:val="0"/>
          <w:sz w:val="32"/>
          <w:szCs w:val="32"/>
        </w:rPr>
        <w:t>2.5 International Culture</w:t>
      </w:r>
      <w:bookmarkEnd w:id="10"/>
    </w:p>
    <w:p w14:paraId="78E66E9B">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rPr>
        <w:t>Aripin, Z., Fitrianti, N.G. and Fatmasari, R.R</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2023)</w:t>
      </w:r>
      <w:r>
        <w:rPr>
          <w:rFonts w:hint="default" w:ascii="Times New Roman Regular" w:hAnsi="Times New Roman Regular" w:cs="Times New Roman Regular"/>
          <w:b w:val="0"/>
          <w:bCs w:val="0"/>
          <w:sz w:val="28"/>
          <w:szCs w:val="28"/>
          <w:highlight w:val="none"/>
          <w:lang w:val="en-US"/>
        </w:rPr>
        <w:t xml:space="preserve"> showed culture is a intricate and diverse notion that embraces the common beliefs, values, norms, traditions, and material creations of a specific group or society. It molds the perception of the world and the interactions among individuals belonging to that group.</w:t>
      </w:r>
    </w:p>
    <w:p w14:paraId="19C29ACB">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Pratama, R(2023)</w:t>
      </w:r>
      <w:r>
        <w:rPr>
          <w:rFonts w:hint="default" w:ascii="Times New Roman Regular" w:hAnsi="Times New Roman Regular" w:cs="Times New Roman Regular"/>
          <w:b w:val="0"/>
          <w:bCs w:val="0"/>
          <w:sz w:val="28"/>
          <w:szCs w:val="28"/>
          <w:highlight w:val="none"/>
          <w:lang w:val="en-US" w:eastAsia="zh-CN"/>
        </w:rPr>
        <w:t xml:space="preserve"> pointed out in</w:t>
      </w:r>
      <w:r>
        <w:rPr>
          <w:rFonts w:hint="default" w:ascii="Times New Roman Regular" w:hAnsi="Times New Roman Regular" w:cs="Times New Roman Regular"/>
          <w:b w:val="0"/>
          <w:bCs w:val="0"/>
          <w:sz w:val="28"/>
          <w:szCs w:val="28"/>
          <w:highlight w:val="none"/>
        </w:rPr>
        <w:t>n the realm of inter-state diplomacy, proficiency in the English language is crucial.  This proficiency also plays a significant role in promoting a nation's culture, which is essential for establishing and enhancing diplomatic relations with other countries.  The strategic use of cultural elements for diplomatic objectives is known as cultural diplomacy.  In this context, culture serves as a key factor in capturing the interest of potential partner nations.</w:t>
      </w:r>
    </w:p>
    <w:p w14:paraId="3BD595F9">
      <w:pPr>
        <w:pStyle w:val="4"/>
        <w:bidi w:val="0"/>
        <w:rPr>
          <w:rFonts w:hint="default" w:ascii="Times New Roman Bold" w:hAnsi="Times New Roman Bold" w:cs="Times New Roman Bold"/>
          <w:b/>
          <w:bCs/>
        </w:rPr>
      </w:pPr>
      <w:bookmarkStart w:id="11" w:name="_Toc1077570870"/>
      <w:r>
        <w:rPr>
          <w:rFonts w:hint="default" w:ascii="Times New Roman Bold" w:hAnsi="Times New Roman Bold" w:cs="Times New Roman Bold"/>
          <w:b/>
          <w:bCs/>
        </w:rPr>
        <w:t>2.5.1 Trompenaars' 7 Dimensions to Culture</w:t>
      </w:r>
      <w:bookmarkEnd w:id="11"/>
    </w:p>
    <w:p w14:paraId="221E0B98">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Woolliams, P. and Fons Trompenaars (2024)</w:t>
      </w:r>
      <w:r>
        <w:rPr>
          <w:rFonts w:hint="default" w:ascii="Times New Roman Regular" w:hAnsi="Times New Roman Regular" w:cs="Times New Roman Regular"/>
          <w:b w:val="0"/>
          <w:bCs w:val="0"/>
          <w:sz w:val="28"/>
          <w:szCs w:val="28"/>
          <w:highlight w:val="none"/>
          <w:lang w:val="en-US"/>
        </w:rPr>
        <w:t xml:space="preserve"> pointed out </w:t>
      </w:r>
      <w:r>
        <w:rPr>
          <w:rFonts w:hint="default" w:ascii="Times New Roman Regular" w:hAnsi="Times New Roman Regular" w:cs="Times New Roman Regular"/>
          <w:b w:val="0"/>
          <w:bCs w:val="0"/>
          <w:sz w:val="28"/>
          <w:szCs w:val="28"/>
          <w:highlight w:val="none"/>
        </w:rPr>
        <w:t>Trompenaars' model of cultural dimensions provides a framework for understanding how cultural differences influence behavior and communication in international business. Developed by Fons Trompenaars and Charles Hampden-Turner, this model identifies seven dimensions of culture that can impact interactions and organizational practices. Here are the seven dimensions:</w:t>
      </w:r>
    </w:p>
    <w:p w14:paraId="3727263E">
      <w:pPr>
        <w:pBdr>
          <w:top w:val="none" w:color="auto" w:sz="0" w:space="0"/>
          <w:left w:val="none" w:color="auto" w:sz="0" w:space="0"/>
          <w:bottom w:val="none" w:color="auto" w:sz="0" w:space="0"/>
          <w:right w:val="none" w:color="auto" w:sz="0" w:space="0"/>
          <w:between w:val="none" w:color="auto" w:sz="0" w:space="0"/>
        </w:pBdr>
        <w:outlineLvl w:val="1"/>
        <w:rPr>
          <w:rFonts w:hint="default" w:ascii="Times New Roman Regular" w:hAnsi="Times New Roman Regular" w:cs="Times New Roman Regular"/>
          <w:b/>
          <w:bCs/>
          <w:sz w:val="28"/>
          <w:szCs w:val="28"/>
          <w:highlight w:val="none"/>
        </w:rPr>
      </w:pPr>
      <w:bookmarkStart w:id="12" w:name="_Toc1004016939"/>
      <w:bookmarkStart w:id="13" w:name="_Toc1810707494"/>
      <w:r>
        <w:rPr>
          <w:rFonts w:hint="default" w:ascii="Times New Roman Regular" w:hAnsi="Times New Roman Regular" w:cs="Times New Roman Regular"/>
          <w:b/>
          <w:bCs/>
          <w:sz w:val="28"/>
          <w:szCs w:val="28"/>
          <w:highlight w:val="none"/>
        </w:rPr>
        <w:t>Universalism vs. Particularism</w:t>
      </w:r>
      <w:bookmarkEnd w:id="12"/>
      <w:bookmarkEnd w:id="13"/>
    </w:p>
    <w:p w14:paraId="0BE0E38B">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 xml:space="preserve">Pirlog, A </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2021)</w:t>
      </w:r>
      <w:r>
        <w:rPr>
          <w:rFonts w:hint="default" w:ascii="Times New Roman Regular" w:hAnsi="Times New Roman Regular" w:cs="Times New Roman Regular"/>
          <w:b w:val="0"/>
          <w:bCs w:val="0"/>
          <w:sz w:val="28"/>
          <w:szCs w:val="28"/>
          <w:highlight w:val="none"/>
          <w:lang w:val="en-US"/>
        </w:rPr>
        <w:t xml:space="preserve"> showed t</w:t>
      </w:r>
      <w:r>
        <w:rPr>
          <w:rFonts w:hint="default" w:ascii="Times New Roman Regular" w:hAnsi="Times New Roman Regular" w:cs="Times New Roman Regular"/>
          <w:b w:val="0"/>
          <w:bCs w:val="0"/>
          <w:sz w:val="28"/>
          <w:szCs w:val="28"/>
          <w:highlight w:val="none"/>
        </w:rPr>
        <w:t>his dimension examines whether rules and laws are applied universally or if they are adapted to specific circumstances</w:t>
      </w:r>
      <w:r>
        <w:rPr>
          <w:rFonts w:hint="default" w:ascii="Times New Roman Regular" w:hAnsi="Times New Roman Regular" w:cs="Times New Roman Regular"/>
          <w:b w:val="0"/>
          <w:bCs w:val="0"/>
          <w:sz w:val="28"/>
          <w:szCs w:val="28"/>
          <w:highlight w:val="none"/>
          <w:lang w:val="en-US"/>
        </w:rPr>
        <w:t xml:space="preserve"> </w:t>
      </w:r>
      <w:r>
        <w:rPr>
          <w:rFonts w:hint="default" w:ascii="Times New Roman Regular" w:hAnsi="Times New Roman Regular" w:cs="Times New Roman Regular"/>
          <w:b w:val="0"/>
          <w:bCs w:val="0"/>
          <w:sz w:val="28"/>
          <w:szCs w:val="28"/>
          <w:highlight w:val="none"/>
        </w:rPr>
        <w:t>. Cultures that prioritize universalism believe in applying rules consistently, regardless of context (e.g., the United States, Germany).Cultures that lean towards particularism emphasize relationships and context, allowing for exceptions based on individual circumstances (e.g., China, Russia).</w:t>
      </w:r>
    </w:p>
    <w:p w14:paraId="32B7C486">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bCs/>
          <w:sz w:val="28"/>
          <w:szCs w:val="28"/>
          <w:highlight w:val="none"/>
        </w:rPr>
      </w:pPr>
      <w:r>
        <w:rPr>
          <w:rFonts w:hint="default" w:ascii="Times New Roman Regular" w:hAnsi="Times New Roman Regular" w:cs="Times New Roman Regular"/>
          <w:b w:val="0"/>
          <w:bCs w:val="0"/>
          <w:sz w:val="28"/>
          <w:szCs w:val="28"/>
          <w:highlight w:val="none"/>
        </w:rPr>
        <w:t>I</w:t>
      </w:r>
      <w:r>
        <w:rPr>
          <w:rFonts w:hint="default" w:ascii="Times New Roman Regular" w:hAnsi="Times New Roman Regular" w:cs="Times New Roman Regular"/>
          <w:b/>
          <w:bCs/>
          <w:sz w:val="28"/>
          <w:szCs w:val="28"/>
          <w:highlight w:val="none"/>
        </w:rPr>
        <w:t>ndividualism vs. Communitarianism</w:t>
      </w:r>
    </w:p>
    <w:p w14:paraId="0B4820E3">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rPr>
        <w:t>Bosworth, S. and Snower, D(2019)</w:t>
      </w:r>
      <w:r>
        <w:rPr>
          <w:rFonts w:hint="default" w:ascii="Times New Roman Regular" w:hAnsi="Times New Roman Regular" w:cs="Times New Roman Regular"/>
          <w:b w:val="0"/>
          <w:bCs w:val="0"/>
          <w:sz w:val="28"/>
          <w:szCs w:val="28"/>
          <w:highlight w:val="none"/>
          <w:lang w:val="en-US"/>
        </w:rPr>
        <w:t xml:space="preserve"> pointed out t</w:t>
      </w:r>
      <w:r>
        <w:rPr>
          <w:rFonts w:hint="default" w:ascii="Times New Roman Regular" w:hAnsi="Times New Roman Regular" w:cs="Times New Roman Regular"/>
          <w:b w:val="0"/>
          <w:bCs w:val="0"/>
          <w:sz w:val="28"/>
          <w:szCs w:val="28"/>
          <w:highlight w:val="none"/>
        </w:rPr>
        <w:t>his dimension assesses whether individuals prioritize personal goals or the goals of the group.Cultures that value individualism emphasize personal achievements and rights. In contrast, communitarian cultures focus on group harmony and collective well-being</w:t>
      </w:r>
      <w:r>
        <w:rPr>
          <w:rFonts w:hint="default" w:ascii="Times New Roman Regular" w:hAnsi="Times New Roman Regular" w:cs="Times New Roman Regular"/>
          <w:b w:val="0"/>
          <w:bCs w:val="0"/>
          <w:sz w:val="28"/>
          <w:szCs w:val="28"/>
          <w:highlight w:val="none"/>
          <w:lang w:val="en-US"/>
        </w:rPr>
        <w:t>.</w:t>
      </w:r>
    </w:p>
    <w:p w14:paraId="06D8A762">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bCs/>
          <w:sz w:val="28"/>
          <w:szCs w:val="28"/>
          <w:highlight w:val="none"/>
        </w:rPr>
      </w:pPr>
      <w:r>
        <w:rPr>
          <w:rFonts w:hint="default" w:ascii="Times New Roman Regular" w:hAnsi="Times New Roman Regular" w:cs="Times New Roman Regular"/>
          <w:b/>
          <w:bCs/>
          <w:sz w:val="28"/>
          <w:szCs w:val="28"/>
          <w:highlight w:val="none"/>
        </w:rPr>
        <w:t>Neutral vs. Affective</w:t>
      </w:r>
    </w:p>
    <w:p w14:paraId="1C061E6C">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rPr>
        <w:t>Yulia Shkurko (2023)</w:t>
      </w:r>
      <w:r>
        <w:rPr>
          <w:rFonts w:hint="default" w:ascii="Times New Roman Regular" w:hAnsi="Times New Roman Regular" w:cs="Times New Roman Regular"/>
          <w:b w:val="0"/>
          <w:bCs w:val="0"/>
          <w:sz w:val="28"/>
          <w:szCs w:val="28"/>
          <w:highlight w:val="none"/>
          <w:lang w:val="en-US" w:eastAsia="zh-CN"/>
        </w:rPr>
        <w:t xml:space="preserve"> pointed out t</w:t>
      </w:r>
      <w:r>
        <w:rPr>
          <w:rFonts w:hint="default" w:ascii="Times New Roman Regular" w:hAnsi="Times New Roman Regular" w:cs="Times New Roman Regular"/>
          <w:b w:val="0"/>
          <w:bCs w:val="0"/>
          <w:sz w:val="28"/>
          <w:szCs w:val="28"/>
          <w:highlight w:val="none"/>
        </w:rPr>
        <w:t>his dimension explores how emotions are expressed in communication.Neutral cultures tend to control emotional expression and maintain a calm demeanor .Affective cultures encourage emotional expression and openness in communication</w:t>
      </w:r>
      <w:r>
        <w:rPr>
          <w:rFonts w:hint="default" w:ascii="Times New Roman Regular" w:hAnsi="Times New Roman Regular" w:cs="Times New Roman Regular"/>
          <w:b w:val="0"/>
          <w:bCs w:val="0"/>
          <w:sz w:val="28"/>
          <w:szCs w:val="28"/>
          <w:highlight w:val="none"/>
          <w:lang w:val="en-US"/>
        </w:rPr>
        <w:t>.</w:t>
      </w:r>
    </w:p>
    <w:p w14:paraId="221EE070">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bCs/>
          <w:sz w:val="28"/>
          <w:szCs w:val="28"/>
          <w:highlight w:val="none"/>
          <w:lang w:val="en-US"/>
        </w:rPr>
      </w:pPr>
      <w:r>
        <w:rPr>
          <w:rFonts w:hint="default" w:ascii="Times New Roman Regular" w:hAnsi="Times New Roman Regular" w:cs="Times New Roman Regular"/>
          <w:b/>
          <w:bCs/>
          <w:sz w:val="28"/>
          <w:szCs w:val="28"/>
          <w:highlight w:val="none"/>
          <w:lang w:val="en-US"/>
        </w:rPr>
        <w:t>Specific vs. Diffuse</w:t>
      </w:r>
    </w:p>
    <w:p w14:paraId="55985FCD">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This dimension looks at how individuals engage with others in different contexts.Anis, M., Amr, H., Samahey, M., Tawfik, N., Monir, D., Fathy, H. and Israa Lewaa (2024) showed specific cultures maintain a clear separation between personal and professional lives, focusing on specific tasks.Diffuse cultures blend personal and professional relationships, where social interactions can impact business .</w:t>
      </w:r>
    </w:p>
    <w:p w14:paraId="2A69CCF5">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bCs/>
          <w:sz w:val="28"/>
          <w:szCs w:val="28"/>
          <w:highlight w:val="none"/>
          <w:lang w:val="en-US"/>
        </w:rPr>
      </w:pPr>
      <w:r>
        <w:rPr>
          <w:rFonts w:hint="default" w:ascii="Times New Roman Regular" w:hAnsi="Times New Roman Regular" w:cs="Times New Roman Regular"/>
          <w:b/>
          <w:bCs/>
          <w:sz w:val="28"/>
          <w:szCs w:val="28"/>
          <w:highlight w:val="none"/>
          <w:lang w:val="en-US"/>
        </w:rPr>
        <w:t>Achievement vs. Ascription</w:t>
      </w:r>
    </w:p>
    <w:p w14:paraId="117541E4">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This dimension examines how status is assigned within a culture. Achievement-oriented cultures assign status based on individual accomplishments and performance .Wei, S(2024) showed ascription-oriented cultures grant status based on age, gender, or social connections .</w:t>
      </w:r>
    </w:p>
    <w:p w14:paraId="22340496">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bCs/>
          <w:sz w:val="28"/>
          <w:szCs w:val="28"/>
          <w:highlight w:val="none"/>
          <w:lang w:val="en-US"/>
        </w:rPr>
      </w:pPr>
      <w:r>
        <w:rPr>
          <w:rFonts w:hint="default" w:ascii="Times New Roman Regular" w:hAnsi="Times New Roman Regular" w:cs="Times New Roman Regular"/>
          <w:b/>
          <w:bCs/>
          <w:sz w:val="28"/>
          <w:szCs w:val="28"/>
          <w:highlight w:val="none"/>
          <w:lang w:val="en-US"/>
        </w:rPr>
        <w:t>Time Orientation</w:t>
      </w:r>
    </w:p>
    <w:p w14:paraId="2048EAD7">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Merk, V(2003) showed this dimension assesses how cultures perceive time and its importance in planning and execution.Cultures with a sequential time orientation view time linearly, valuing punctuality and planning . Synchronous cultures see time as flexible and may prioritize relationships over strict schedules .</w:t>
      </w:r>
    </w:p>
    <w:p w14:paraId="41AF054D">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bCs/>
          <w:sz w:val="28"/>
          <w:szCs w:val="28"/>
          <w:highlight w:val="none"/>
          <w:lang w:val="en-US"/>
        </w:rPr>
      </w:pPr>
      <w:r>
        <w:rPr>
          <w:rFonts w:hint="default" w:ascii="Times New Roman Regular" w:hAnsi="Times New Roman Regular" w:cs="Times New Roman Regular"/>
          <w:b/>
          <w:bCs/>
          <w:sz w:val="28"/>
          <w:szCs w:val="28"/>
          <w:highlight w:val="none"/>
          <w:lang w:val="en-US"/>
        </w:rPr>
        <w:t>Environment Control</w:t>
      </w:r>
    </w:p>
    <w:p w14:paraId="53875E1E">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Business across Cultures(2004) pointed out this dimension explores how cultures perceive their relationship with nature and their ability to control it.Inner-directed cultures believe in controlling their environment through human effort .Outer-directed cultures accept environmental influences and adapt accordingly .</w:t>
      </w:r>
    </w:p>
    <w:p w14:paraId="1EB3F05A">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In order to effectively utilize the Trompenaars dimension in decision-making, the cultural dimension related to the region in which the company operates can be evaluated. Or implement cross-cultural training programs for employees to enhance their understanding of different cultural perspectives. It is also possible to involve local consultants or experts who can gain insight into cultural practices and preferences. Local team feedback channels can also be established to continuously improve the decision-making process based on cultural insights.</w:t>
      </w:r>
    </w:p>
    <w:p w14:paraId="6C14DEAE">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p>
    <w:p w14:paraId="02DC2A3B">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p>
    <w:p w14:paraId="0BBE828E">
      <w:pPr>
        <w:pStyle w:val="3"/>
        <w:bidi w:val="0"/>
        <w:rPr>
          <w:rFonts w:hint="default" w:ascii="Times New Roman Bold" w:hAnsi="Times New Roman Bold" w:cs="Times New Roman Bold"/>
          <w:b/>
          <w:bCs w:val="0"/>
          <w:sz w:val="32"/>
          <w:szCs w:val="32"/>
        </w:rPr>
      </w:pPr>
      <w:bookmarkStart w:id="14" w:name="_Toc1733679294"/>
      <w:r>
        <w:rPr>
          <w:rFonts w:hint="default" w:ascii="Times New Roman Bold" w:hAnsi="Times New Roman Bold" w:cs="Times New Roman Bold"/>
          <w:b/>
          <w:bCs w:val="0"/>
          <w:sz w:val="32"/>
          <w:szCs w:val="32"/>
          <w:lang w:val="en-US" w:eastAsia="zh-CN"/>
        </w:rPr>
        <w:t>2.6 The Importance of Building Relationships</w:t>
      </w:r>
      <w:bookmarkEnd w:id="14"/>
    </w:p>
    <w:p w14:paraId="09DC7392">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Zhu, Y., Nel, P. and Bhat, R</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2021)</w:t>
      </w:r>
      <w:r>
        <w:rPr>
          <w:rFonts w:hint="default" w:ascii="Times New Roman Regular" w:hAnsi="Times New Roman Regular" w:cs="Times New Roman Regular"/>
          <w:b w:val="0"/>
          <w:bCs w:val="0"/>
          <w:sz w:val="28"/>
          <w:szCs w:val="28"/>
          <w:highlight w:val="none"/>
          <w:lang w:val="en-US"/>
        </w:rPr>
        <w:t xml:space="preserve"> showed b</w:t>
      </w:r>
      <w:r>
        <w:rPr>
          <w:rFonts w:hint="default" w:ascii="Times New Roman Regular" w:hAnsi="Times New Roman Regular" w:cs="Times New Roman Regular"/>
          <w:b w:val="0"/>
          <w:bCs w:val="0"/>
          <w:sz w:val="28"/>
          <w:szCs w:val="28"/>
          <w:highlight w:val="none"/>
        </w:rPr>
        <w:t>uilding strong relationships is crucial for successful international business</w:t>
      </w:r>
      <w:r>
        <w:rPr>
          <w:rFonts w:hint="default" w:ascii="Times New Roman Regular" w:hAnsi="Times New Roman Regular" w:cs="Times New Roman Regular"/>
          <w:b w:val="0"/>
          <w:bCs w:val="0"/>
          <w:sz w:val="28"/>
          <w:szCs w:val="28"/>
          <w:highlight w:val="none"/>
          <w:lang w:val="en-US"/>
        </w:rPr>
        <w:t xml:space="preserve"> </w:t>
      </w:r>
      <w:r>
        <w:rPr>
          <w:rFonts w:hint="default" w:ascii="Times New Roman Regular" w:hAnsi="Times New Roman Regular" w:cs="Times New Roman Regular"/>
          <w:b w:val="0"/>
          <w:bCs w:val="0"/>
          <w:sz w:val="28"/>
          <w:szCs w:val="28"/>
          <w:highlight w:val="none"/>
        </w:rPr>
        <w:t>. It can build strong relationships with international colleagues and promote cooperation and understanding across cultural borders. It helps guide differences in communication styles and work practices, leading to more effective teamwork and project trust it can build through personal contacts can lead to more favorable results in political negotiations and support initiatives.</w:t>
      </w:r>
    </w:p>
    <w:p w14:paraId="26BCB852">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p>
    <w:p w14:paraId="09FE3BF4">
      <w:pPr>
        <w:pStyle w:val="3"/>
        <w:bidi w:val="0"/>
        <w:outlineLvl w:val="0"/>
        <w:rPr>
          <w:rFonts w:hint="default" w:ascii="Times New Roman Bold" w:hAnsi="Times New Roman Bold" w:cs="Times New Roman Bold"/>
          <w:b/>
          <w:bCs w:val="0"/>
          <w:sz w:val="32"/>
          <w:szCs w:val="32"/>
          <w:lang w:val="en-US" w:eastAsia="zh-CN"/>
        </w:rPr>
      </w:pPr>
      <w:bookmarkStart w:id="15" w:name="_Toc889771762"/>
      <w:r>
        <w:rPr>
          <w:rFonts w:hint="default" w:ascii="Times New Roman Bold" w:hAnsi="Times New Roman Bold" w:cs="Times New Roman Bold"/>
          <w:b/>
          <w:bCs w:val="0"/>
          <w:sz w:val="32"/>
          <w:szCs w:val="32"/>
          <w:lang w:val="en-US" w:eastAsia="zh-CN"/>
        </w:rPr>
        <w:t>2.7 How to build Trust</w:t>
      </w:r>
      <w:bookmarkEnd w:id="15"/>
    </w:p>
    <w:p w14:paraId="251DE45F">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eastAsia="zh-CN"/>
        </w:rPr>
      </w:pPr>
      <w:r>
        <w:rPr>
          <w:rFonts w:hint="default" w:ascii="Times New Roman Regular" w:hAnsi="Times New Roman Regular" w:cs="Times New Roman Regular"/>
          <w:b w:val="0"/>
          <w:bCs w:val="0"/>
          <w:sz w:val="28"/>
          <w:szCs w:val="28"/>
          <w:highlight w:val="none"/>
          <w:lang w:val="en-US" w:eastAsia="zh-CN"/>
        </w:rPr>
        <w:t>Busch, M. and Herzig, C(2024) showed invest time in learning about the cultural norms, values, and communication styles of your international partners . This understanding helps tailor your approach to align with their expectations.Be willing to adjust your communication style based on the cultural context, whether it involves being more formal or informal, direct or indirect.</w:t>
      </w:r>
    </w:p>
    <w:p w14:paraId="165B777D">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eastAsia="zh-CN"/>
        </w:rPr>
      </w:pPr>
      <w:r>
        <w:rPr>
          <w:rFonts w:hint="default" w:ascii="Times New Roman Regular" w:hAnsi="Times New Roman Regular" w:cs="Times New Roman Regular"/>
          <w:b w:val="0"/>
          <w:bCs w:val="0"/>
          <w:sz w:val="28"/>
          <w:szCs w:val="28"/>
          <w:highlight w:val="none"/>
          <w:lang w:val="en-US" w:eastAsia="zh-CN"/>
        </w:rPr>
        <w:t>Use clear and straightforward language to avoid misunderstandings. Avoid jargon or idiomatic expressions that may not translate well across cultures.Be open about your intentions, goals, and any potential challenges. Transparency fosters credibility and reassures partners that you are honest and straightforward.</w:t>
      </w:r>
    </w:p>
    <w:p w14:paraId="6ED1166E">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eastAsia="zh-CN"/>
        </w:rPr>
      </w:pPr>
      <w:r>
        <w:rPr>
          <w:rFonts w:hint="default" w:ascii="Times New Roman Regular" w:hAnsi="Times New Roman Regular" w:cs="Times New Roman Regular"/>
          <w:b w:val="0"/>
          <w:bCs w:val="0"/>
          <w:sz w:val="28"/>
          <w:szCs w:val="28"/>
          <w:highlight w:val="none"/>
          <w:lang w:val="en-US" w:eastAsia="zh-CN"/>
        </w:rPr>
        <w:t>YE, Y. and YAN, N. (2024) pointed out take the time to build personal connections with international partners. Engage in informal conversations, share experiences, and show genuine interest in their culture.Whenever possible, prioritize face-to-face meetings or video calls over emails or phone calls. Personal interactions help establish rapport and trust.</w:t>
      </w:r>
    </w:p>
    <w:p w14:paraId="22356D10">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eastAsia="zh-CN"/>
        </w:rPr>
      </w:pPr>
      <w:r>
        <w:rPr>
          <w:rFonts w:hint="default" w:ascii="Times New Roman Regular" w:hAnsi="Times New Roman Regular" w:cs="Times New Roman Regular"/>
          <w:b w:val="0"/>
          <w:bCs w:val="0"/>
          <w:sz w:val="28"/>
          <w:szCs w:val="28"/>
          <w:highlight w:val="none"/>
          <w:lang w:val="en-US" w:eastAsia="zh-CN"/>
        </w:rPr>
        <w:t>Demonstrate respect for cultural differences by acknowledging and valuing diverse perspectives and practices.Show understanding of the challenges your international partners may face. Empathetic communication fosters a supportive environment.</w:t>
      </w:r>
    </w:p>
    <w:p w14:paraId="2CB366A3">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eastAsia="zh-CN"/>
        </w:rPr>
      </w:pPr>
    </w:p>
    <w:p w14:paraId="706655F6">
      <w:pPr>
        <w:pStyle w:val="3"/>
        <w:bidi w:val="0"/>
        <w:outlineLvl w:val="0"/>
        <w:rPr>
          <w:rFonts w:hint="default" w:ascii="Times New Roman Bold" w:hAnsi="Times New Roman Bold" w:cs="Times New Roman Bold"/>
          <w:b/>
          <w:bCs w:val="0"/>
          <w:sz w:val="32"/>
          <w:szCs w:val="32"/>
          <w:lang w:val="en-US" w:eastAsia="zh-CN"/>
        </w:rPr>
      </w:pPr>
      <w:bookmarkStart w:id="16" w:name="_Toc1465369873"/>
      <w:r>
        <w:rPr>
          <w:rFonts w:hint="default" w:ascii="Times New Roman Bold" w:hAnsi="Times New Roman Bold" w:cs="Times New Roman Bold"/>
          <w:b/>
          <w:bCs w:val="0"/>
          <w:sz w:val="32"/>
          <w:szCs w:val="32"/>
          <w:lang w:val="en-US" w:eastAsia="zh-CN"/>
        </w:rPr>
        <w:t>2.8 Failed Relationships</w:t>
      </w:r>
      <w:bookmarkEnd w:id="16"/>
    </w:p>
    <w:p w14:paraId="22DC81AA">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 xml:space="preserve">Água, P., Frias, A., Correia, A. and Simões-Marques, M. </w:t>
      </w:r>
      <w:r>
        <w:rPr>
          <w:rFonts w:hint="eastAsia" w:ascii="Times New Roman Regular" w:hAnsi="Times New Roman Regular" w:cs="Times New Roman Regular"/>
          <w:b w:val="0"/>
          <w:bCs w:val="0"/>
          <w:sz w:val="28"/>
          <w:szCs w:val="28"/>
          <w:highlight w:val="none"/>
          <w:lang w:eastAsia="zh-CN"/>
        </w:rPr>
        <w:t>（</w:t>
      </w:r>
      <w:r>
        <w:rPr>
          <w:rFonts w:hint="default" w:ascii="Times New Roman Regular" w:hAnsi="Times New Roman Regular" w:cs="Times New Roman Regular"/>
          <w:b w:val="0"/>
          <w:bCs w:val="0"/>
          <w:sz w:val="28"/>
          <w:szCs w:val="28"/>
          <w:highlight w:val="none"/>
        </w:rPr>
        <w:t>2023)</w:t>
      </w:r>
      <w:r>
        <w:rPr>
          <w:rFonts w:hint="default" w:ascii="Times New Roman Regular" w:hAnsi="Times New Roman Regular" w:cs="Times New Roman Regular"/>
          <w:b w:val="0"/>
          <w:bCs w:val="0"/>
          <w:sz w:val="28"/>
          <w:szCs w:val="28"/>
          <w:highlight w:val="none"/>
          <w:lang w:val="en-US"/>
        </w:rPr>
        <w:t xml:space="preserve"> showed C</w:t>
      </w:r>
      <w:r>
        <w:rPr>
          <w:rFonts w:hint="default" w:ascii="Times New Roman Regular" w:hAnsi="Times New Roman Regular" w:cs="Times New Roman Regular"/>
          <w:b w:val="0"/>
          <w:bCs w:val="0"/>
          <w:sz w:val="28"/>
          <w:szCs w:val="28"/>
          <w:highlight w:val="none"/>
        </w:rPr>
        <w:t>ultural Misunderstandings</w:t>
      </w:r>
      <w:r>
        <w:rPr>
          <w:rFonts w:hint="default" w:ascii="Times New Roman Regular" w:hAnsi="Times New Roman Regular" w:cs="Times New Roman Regular"/>
          <w:b w:val="0"/>
          <w:bCs w:val="0"/>
          <w:sz w:val="28"/>
          <w:szCs w:val="28"/>
          <w:highlight w:val="none"/>
          <w:lang w:val="en-US"/>
        </w:rPr>
        <w:t>, d</w:t>
      </w:r>
      <w:r>
        <w:rPr>
          <w:rFonts w:hint="default" w:ascii="Times New Roman Regular" w:hAnsi="Times New Roman Regular" w:cs="Times New Roman Regular"/>
          <w:b w:val="0"/>
          <w:bCs w:val="0"/>
          <w:sz w:val="28"/>
          <w:szCs w:val="28"/>
          <w:highlight w:val="none"/>
        </w:rPr>
        <w:t>ifferences in cultural norms and practices can lead to miscommunication and conflict</w:t>
      </w:r>
      <w:r>
        <w:rPr>
          <w:rFonts w:hint="default" w:ascii="Times New Roman Regular" w:hAnsi="Times New Roman Regular" w:cs="Times New Roman Regular"/>
          <w:b w:val="0"/>
          <w:bCs w:val="0"/>
          <w:sz w:val="28"/>
          <w:szCs w:val="28"/>
          <w:highlight w:val="none"/>
          <w:lang w:val="en-US"/>
        </w:rPr>
        <w:t xml:space="preserve"> .</w:t>
      </w:r>
      <w:r>
        <w:rPr>
          <w:rFonts w:hint="default" w:ascii="Times New Roman Regular" w:hAnsi="Times New Roman Regular" w:cs="Times New Roman Regular"/>
          <w:b w:val="0"/>
          <w:bCs w:val="0"/>
          <w:sz w:val="28"/>
          <w:szCs w:val="28"/>
          <w:highlight w:val="none"/>
        </w:rPr>
        <w:t>For example, varying attitudes towards time, hierarchy, and negotiation styles can create friction between partners from different backgrounds.</w:t>
      </w:r>
    </w:p>
    <w:p w14:paraId="37823B1A">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Lack of Trust</w:t>
      </w:r>
      <w:r>
        <w:rPr>
          <w:rFonts w:hint="default" w:ascii="Times New Roman Regular" w:hAnsi="Times New Roman Regular" w:cs="Times New Roman Regular"/>
          <w:b w:val="0"/>
          <w:bCs w:val="0"/>
          <w:sz w:val="28"/>
          <w:szCs w:val="28"/>
          <w:highlight w:val="none"/>
          <w:lang w:val="en-US"/>
        </w:rPr>
        <w:t>, t</w:t>
      </w:r>
      <w:r>
        <w:rPr>
          <w:rFonts w:hint="default" w:ascii="Times New Roman Regular" w:hAnsi="Times New Roman Regular" w:cs="Times New Roman Regular"/>
          <w:b w:val="0"/>
          <w:bCs w:val="0"/>
          <w:sz w:val="28"/>
          <w:szCs w:val="28"/>
          <w:highlight w:val="none"/>
        </w:rPr>
        <w:t>rust is essential in any business relationship. In international contexts, factors such as inconsistent communication, perceived dishonesty, or failure to meet commitments can erode trust and lead to relationship breakdowns.</w:t>
      </w:r>
    </w:p>
    <w:p w14:paraId="22996005">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Daryoosh Hayati and Sinha, S</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2024)</w:t>
      </w:r>
      <w:r>
        <w:rPr>
          <w:rFonts w:hint="eastAsia" w:ascii="Times New Roman Regular" w:hAnsi="Times New Roman Regular" w:cs="Times New Roman Regular"/>
          <w:b w:val="0"/>
          <w:bCs w:val="0"/>
          <w:sz w:val="28"/>
          <w:szCs w:val="28"/>
          <w:highlight w:val="none"/>
          <w:lang w:val="en-US" w:eastAsia="zh-CN"/>
        </w:rPr>
        <w:t xml:space="preserve"> showed</w:t>
      </w:r>
      <w:r>
        <w:rPr>
          <w:rFonts w:hint="default" w:ascii="Times New Roman Regular" w:hAnsi="Times New Roman Regular" w:cs="Times New Roman Regular"/>
          <w:b w:val="0"/>
          <w:bCs w:val="0"/>
          <w:sz w:val="28"/>
          <w:szCs w:val="28"/>
          <w:highlight w:val="none"/>
          <w:lang w:val="en-US" w:eastAsia="zh-CN"/>
        </w:rPr>
        <w:t xml:space="preserve"> </w:t>
      </w:r>
      <w:r>
        <w:rPr>
          <w:rFonts w:hint="default" w:ascii="Times New Roman Regular" w:hAnsi="Times New Roman Regular" w:cs="Times New Roman Regular"/>
          <w:b w:val="0"/>
          <w:bCs w:val="0"/>
          <w:sz w:val="28"/>
          <w:szCs w:val="28"/>
          <w:highlight w:val="none"/>
        </w:rPr>
        <w:t>Poor Communication</w:t>
      </w:r>
      <w:r>
        <w:rPr>
          <w:rFonts w:hint="default" w:ascii="Times New Roman Regular" w:hAnsi="Times New Roman Regular" w:cs="Times New Roman Regular"/>
          <w:b w:val="0"/>
          <w:bCs w:val="0"/>
          <w:sz w:val="28"/>
          <w:szCs w:val="28"/>
          <w:highlight w:val="none"/>
          <w:lang w:val="en-US"/>
        </w:rPr>
        <w:t>, e</w:t>
      </w:r>
      <w:r>
        <w:rPr>
          <w:rFonts w:hint="default" w:ascii="Times New Roman Regular" w:hAnsi="Times New Roman Regular" w:cs="Times New Roman Regular"/>
          <w:b w:val="0"/>
          <w:bCs w:val="0"/>
          <w:sz w:val="28"/>
          <w:szCs w:val="28"/>
          <w:highlight w:val="none"/>
        </w:rPr>
        <w:t>ffective communication is vital for collaboration</w:t>
      </w:r>
      <w:r>
        <w:rPr>
          <w:rFonts w:hint="default" w:ascii="Times New Roman Regular" w:hAnsi="Times New Roman Regular" w:cs="Times New Roman Regular"/>
          <w:b w:val="0"/>
          <w:bCs w:val="0"/>
          <w:sz w:val="28"/>
          <w:szCs w:val="28"/>
          <w:highlight w:val="none"/>
          <w:lang w:val="en-US"/>
        </w:rPr>
        <w:t xml:space="preserve"> </w:t>
      </w:r>
      <w:r>
        <w:rPr>
          <w:rFonts w:hint="default" w:ascii="Times New Roman Regular" w:hAnsi="Times New Roman Regular" w:cs="Times New Roman Regular"/>
          <w:b w:val="0"/>
          <w:bCs w:val="0"/>
          <w:sz w:val="28"/>
          <w:szCs w:val="28"/>
          <w:highlight w:val="none"/>
        </w:rPr>
        <w:t>. Language barriers, different communication styles, and lack of clarity in expectations can hinder effective dialogue, resulting in misunderstandings and frustration.</w:t>
      </w:r>
      <w:bookmarkStart w:id="17" w:name="_Toc1128991715"/>
    </w:p>
    <w:p w14:paraId="3E551C1B">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p>
    <w:p w14:paraId="0495F75F">
      <w:pPr>
        <w:pBdr>
          <w:top w:val="none" w:color="auto" w:sz="0" w:space="0"/>
          <w:left w:val="none" w:color="auto" w:sz="0" w:space="0"/>
          <w:bottom w:val="none" w:color="auto" w:sz="0" w:space="0"/>
          <w:right w:val="none" w:color="auto" w:sz="0" w:space="0"/>
          <w:between w:val="none" w:color="auto" w:sz="0" w:space="0"/>
        </w:pBdr>
        <w:rPr>
          <w:rFonts w:hint="default" w:ascii="Times New Roman Bold" w:hAnsi="Times New Roman Bold" w:cs="Times New Roman Bold"/>
          <w:b/>
          <w:bCs/>
          <w:sz w:val="32"/>
          <w:szCs w:val="32"/>
          <w:lang w:val="en-US" w:eastAsia="zh-CN"/>
        </w:rPr>
      </w:pPr>
      <w:r>
        <w:rPr>
          <w:rFonts w:hint="default" w:ascii="Times New Roman Bold" w:hAnsi="Times New Roman Bold" w:cs="Times New Roman Bold"/>
          <w:b/>
          <w:bCs/>
          <w:sz w:val="32"/>
          <w:szCs w:val="32"/>
          <w:lang w:val="en-US" w:eastAsia="zh-CN"/>
        </w:rPr>
        <w:t>3.0 Conclusions</w:t>
      </w:r>
      <w:bookmarkEnd w:id="17"/>
      <w:bookmarkStart w:id="18" w:name="_Toc1945732760"/>
    </w:p>
    <w:p w14:paraId="2814918D">
      <w:pPr>
        <w:pBdr>
          <w:top w:val="none" w:color="auto" w:sz="0" w:space="0"/>
          <w:left w:val="none" w:color="auto" w:sz="0" w:space="0"/>
          <w:bottom w:val="none" w:color="auto" w:sz="0" w:space="0"/>
          <w:right w:val="none" w:color="auto" w:sz="0" w:space="0"/>
          <w:between w:val="none" w:color="auto" w:sz="0" w:space="0"/>
        </w:pBdr>
        <w:rPr>
          <w:rFonts w:hint="default" w:ascii="Times New Roman Bold" w:hAnsi="Times New Roman Bold" w:cs="Times New Roman Bold"/>
          <w:b/>
          <w:bCs/>
          <w:sz w:val="32"/>
          <w:szCs w:val="32"/>
          <w:lang w:val="en-US" w:eastAsia="zh-CN"/>
        </w:rPr>
      </w:pPr>
      <w:r>
        <w:rPr>
          <w:rFonts w:hint="default" w:ascii="Times New Roman" w:hAnsi="Times New Roman" w:cs="Times New Roman"/>
          <w:b w:val="0"/>
          <w:bCs w:val="0"/>
          <w:sz w:val="28"/>
          <w:szCs w:val="28"/>
          <w:lang w:val="en-US" w:eastAsia="zh-CN"/>
        </w:rPr>
        <w:t>Effective cross-cultural communication and relationship building are not just desirable traits for successful international business communication; they are essential pillars upon which  the edifice of global partnerships rests. The retail group, aiming to expand its business into Asia, must recognize the intricate nature of international business communication (IBC) and the myriad challenges it presents. Cross-cultural communication facilitates a deep understanding of the cultural characteristics of the target market, enabling the retail group to formulate strategies that resonate with local consumers. This understanding is crucial for product positioning, marketing campaigns, and customer service initiatives, all of which significantly influence business success.</w:t>
      </w:r>
    </w:p>
    <w:p w14:paraId="1BAE1255">
      <w:pPr>
        <w:rPr>
          <w:rFonts w:hint="default"/>
          <w:lang w:val="en-US" w:eastAsia="zh-CN"/>
        </w:rPr>
      </w:pPr>
    </w:p>
    <w:p w14:paraId="5F59B418">
      <w:pPr>
        <w:pStyle w:val="2"/>
        <w:bidi w:val="0"/>
        <w:rPr>
          <w:rFonts w:hint="default" w:ascii="Times New Roman Bold" w:hAnsi="Times New Roman Bold" w:cs="Times New Roman Bold"/>
          <w:b/>
          <w:bCs/>
          <w:sz w:val="32"/>
          <w:szCs w:val="32"/>
          <w:lang w:val="en-US" w:eastAsia="zh-CN"/>
        </w:rPr>
      </w:pPr>
      <w:r>
        <w:rPr>
          <w:rFonts w:hint="default" w:ascii="Times New Roman Bold" w:hAnsi="Times New Roman Bold" w:cs="Times New Roman Bold"/>
          <w:b/>
          <w:bCs/>
          <w:sz w:val="32"/>
          <w:szCs w:val="32"/>
          <w:lang w:val="en-US" w:eastAsia="zh-CN"/>
        </w:rPr>
        <w:t>4.0 Recommendations</w:t>
      </w:r>
      <w:bookmarkEnd w:id="18"/>
    </w:p>
    <w:p w14:paraId="5D039A41">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lang w:val="en-US" w:eastAsia="zh-CN"/>
        </w:rPr>
      </w:pPr>
      <w:r>
        <w:rPr>
          <w:rFonts w:hint="default" w:ascii="Times New Roman Regular" w:hAnsi="Times New Roman Regular" w:cs="Times New Roman Regular"/>
          <w:sz w:val="28"/>
          <w:szCs w:val="28"/>
          <w:highlight w:val="none"/>
          <w:lang w:val="en-US" w:eastAsia="zh-CN"/>
        </w:rPr>
        <w:t>To facilitate successful IBC and build strong relationships with global partners in Asia, the retail group should adopt a multifaceted approach that encompasses cultural training, language proficiency enhancement, trust-building strategies, and continuous relationship assessment.</w:t>
      </w:r>
    </w:p>
    <w:p w14:paraId="5E2B8D53">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lang w:val="en-US" w:eastAsia="zh-CN"/>
        </w:rPr>
      </w:pPr>
      <w:r>
        <w:rPr>
          <w:rFonts w:hint="default" w:ascii="Times New Roman Regular" w:hAnsi="Times New Roman Regular" w:cs="Times New Roman Regular"/>
          <w:sz w:val="28"/>
          <w:szCs w:val="28"/>
          <w:highlight w:val="none"/>
          <w:lang w:val="en-US" w:eastAsia="zh-CN"/>
        </w:rPr>
        <w:t>Firstly,intensive cultural training programsshould be implemented for employees who will be interacting with partners in Asia. These programs should not only cover the basics of cultural differences but also delve into the nuances of business practices, communication norms, and social behaviors specific to the target markets. By understanding the local context, employees will  be better equipped to adapt their communication styles and avoid cultural misunderstandings.</w:t>
      </w:r>
    </w:p>
    <w:p w14:paraId="48475BB4">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lang w:val="en-US" w:eastAsia="zh-CN"/>
        </w:rPr>
      </w:pPr>
      <w:r>
        <w:rPr>
          <w:rFonts w:hint="default" w:ascii="Times New Roman Regular" w:hAnsi="Times New Roman Regular" w:cs="Times New Roman Regular"/>
          <w:sz w:val="28"/>
          <w:szCs w:val="28"/>
          <w:highlight w:val="none"/>
          <w:lang w:val="en-US" w:eastAsia="zh-CN"/>
        </w:rPr>
        <w:t>Secondly,language trainingis crucial for overcoming language barriers and facilitating effective communication. The retail group should provide tailored language courses that focus on business communication in the relevant Asian languages. This will not only improve employees' linguistic abilities but also enhance their confidence in engaging with international partners.</w:t>
      </w:r>
    </w:p>
    <w:p w14:paraId="1BEC3763">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lang w:val="en-US" w:eastAsia="zh-CN"/>
        </w:rPr>
      </w:pPr>
      <w:r>
        <w:rPr>
          <w:rFonts w:hint="default" w:ascii="Times New Roman Regular" w:hAnsi="Times New Roman Regular" w:cs="Times New Roman Regular"/>
          <w:sz w:val="28"/>
          <w:szCs w:val="28"/>
          <w:highlight w:val="none"/>
          <w:lang w:val="en-US" w:eastAsia="zh-CN"/>
        </w:rPr>
        <w:t>In addition to cultural and language training,developing and implementing strategies for building trustis essential for fostering strong relationships with global partners. The retail group should invest time in learning about the cultural norms, values, and communication styles of its international partners.  By demonstrating respect for cultural differences and being willing to adjust communication styles based on the cultural context, the retail group can build rapport and trust with its partners. Furthermore, engaging in informal conversations, sharing experiences, and showing genuine interest in their culture can further strengthen these relationships.</w:t>
      </w:r>
    </w:p>
    <w:p w14:paraId="2085BCFE">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lang w:val="en-US" w:eastAsia="zh-CN"/>
        </w:rPr>
      </w:pPr>
      <w:r>
        <w:rPr>
          <w:rFonts w:hint="default" w:ascii="Times New Roman Regular" w:hAnsi="Times New Roman Regular" w:cs="Times New Roman Regular"/>
          <w:sz w:val="28"/>
          <w:szCs w:val="28"/>
          <w:highlight w:val="none"/>
          <w:lang w:val="en-US" w:eastAsia="zh-CN"/>
        </w:rPr>
        <w:t>Regularlyassessing the strength and health of relationshipswith global partners is also vital for maintaining successful international business communication. The retail group should establish a system for monitoring the progress  and quality of its international partnerships. By doing so, it can identify potential issues early on and take corrective action to address them.</w:t>
      </w:r>
    </w:p>
    <w:p w14:paraId="3663DD9C">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lang w:val="en-US" w:eastAsia="zh-CN"/>
        </w:rPr>
      </w:pPr>
      <w:r>
        <w:rPr>
          <w:rFonts w:hint="default" w:ascii="Times New Roman Regular" w:hAnsi="Times New Roman Regular" w:cs="Times New Roman Regular"/>
          <w:sz w:val="28"/>
          <w:szCs w:val="28"/>
          <w:highlight w:val="none"/>
          <w:lang w:val="en-US" w:eastAsia="zh-CN"/>
        </w:rPr>
        <w:t>Lastly,developing contingency plansto address potential failures in IBC relationships and mitigate their impact is prudent. These plans should outline the steps the retail group will take to resolve conflicts, restore trust, and rebuild relationships in the event of a breakdown. By being prepared for potential challenges, the retail group can ensure the resilience and longevity of its international partnerships.</w:t>
      </w:r>
    </w:p>
    <w:p w14:paraId="054E8EBD">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lang w:val="en-US" w:eastAsia="zh-CN"/>
        </w:rPr>
      </w:pPr>
    </w:p>
    <w:p w14:paraId="747B5A32">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lang w:val="en-US" w:eastAsia="zh-CN"/>
        </w:rPr>
      </w:pPr>
    </w:p>
    <w:p w14:paraId="040355E9">
      <w:pPr>
        <w:pStyle w:val="2"/>
        <w:bidi w:val="0"/>
        <w:rPr>
          <w:rFonts w:hint="default" w:ascii="Times New Roman Bold" w:hAnsi="Times New Roman Bold" w:cs="Times New Roman Bold"/>
          <w:b/>
          <w:bCs/>
          <w:sz w:val="32"/>
          <w:szCs w:val="32"/>
          <w:lang w:val="en-US"/>
        </w:rPr>
      </w:pPr>
      <w:bookmarkStart w:id="19" w:name="_Toc49520804"/>
      <w:r>
        <w:rPr>
          <w:rFonts w:hint="default" w:ascii="Times New Roman Bold" w:hAnsi="Times New Roman Bold" w:cs="Times New Roman Bold"/>
          <w:b/>
          <w:bCs/>
          <w:sz w:val="32"/>
          <w:szCs w:val="32"/>
          <w:lang w:val="en-US"/>
        </w:rPr>
        <w:t>5.0 Reference</w:t>
      </w:r>
      <w:bookmarkEnd w:id="19"/>
      <w:r>
        <w:rPr>
          <w:rFonts w:hint="default" w:ascii="Times New Roman Bold" w:hAnsi="Times New Roman Bold" w:cs="Times New Roman Bold"/>
          <w:b/>
          <w:bCs/>
          <w:sz w:val="32"/>
          <w:szCs w:val="32"/>
          <w:lang w:val="en-US"/>
        </w:rPr>
        <w:t>s</w:t>
      </w:r>
    </w:p>
    <w:p w14:paraId="40AFFE8A">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Anis, M., Amr, H., Samahey, M., Tawfik, N., Monir, D., Fathy, H. and Israa Lewaa (2024). The National Culture as a Determinant of Governance Efficiency: An Empirical Study on Country Level. pp.1–14. </w:t>
      </w:r>
    </w:p>
    <w:p w14:paraId="4C2F72D0">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Aripin, Z., Fitrianti, N.G. and Fatmasari, R.R. (2023). Digital Innovation and Knowledge Management: The Latest Approaches in International Business. A Systematic Literature Review in the Indonesian Context. KRIEZ ACADEMY : Journal of development and community service, [online] 1(1), pp.62–74. </w:t>
      </w:r>
    </w:p>
    <w:p w14:paraId="050C06BC">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Bosworth, S. and Snower, D. (2019). The Interplay of Economic, Social and Political Fragmentation. SSRN Electronic Journal.</w:t>
      </w:r>
    </w:p>
    <w:p w14:paraId="3EB6FBEE">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Busch, M. and Herzig, C. (2024). Trust and control dynamics in buyer–supplier relationships: The case of organic honey certification in Cuba. Business Ethics the Environment &amp; Responsibility. </w:t>
      </w:r>
    </w:p>
    <w:p w14:paraId="57E048C3">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Daryoosh Hayati and Sinha, S. (2024). Decoding Silence in Digital Cross-Cultural Communication: Overcoming Misunderstandings in Global Teams. 2(2), pp.128–144. </w:t>
      </w:r>
    </w:p>
    <w:p w14:paraId="531E7F70">
      <w:pPr>
        <w:numPr>
          <w:ilvl w:val="0"/>
          <w:numId w:val="1"/>
        </w:num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F. Serdyukova, M.L. Shapovalova and O.V. Goncharova (2024). Use of digital technologies in forming business communication skills and cross-cultural communication of students. SHS Web of Conferences, 195, pp.04007–04007. </w:t>
      </w:r>
    </w:p>
    <w:p w14:paraId="0F132379">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Fujiwara, K. and Takemura, K. (2023). A socio-ecological context moderates the association between communication skills and friendship satisfaction: Possible role of relational mobility. Asian Journal of Social Psychology, 27(1). </w:t>
      </w:r>
    </w:p>
    <w:p w14:paraId="329CF662">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Huang, H. (2023). On the Skills and Basic Connotation of Business Negotiation. Academic Journal of Management and Social Sciences, [online] 4(1), pp.62–65. </w:t>
      </w:r>
    </w:p>
    <w:p w14:paraId="168C40F2">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Jeyalakshmi, G. and Chandrasekar, K. (2022). Can cross-cultural awareness programs help to lead? With the help of MIS. International Journal of Professional Business Review, 7(3), p.e0598. </w:t>
      </w:r>
    </w:p>
    <w:p w14:paraId="50A1F49B">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Kumar, P. (2023). Examining Strategies for Overcoming Language Barriers in International Business Communication. International journal of innovative research in engineering &amp; multidisciplinary physical sciences, 11(2). </w:t>
      </w:r>
    </w:p>
    <w:p w14:paraId="01EEB237">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Lima, L.F. and Quevedo Silva, F. (2020). Emotional intelligence and success of project management: the mediating effect of interpersonal skills. International Journal of Project Organisation and Management, 12(1), p.54. </w:t>
      </w:r>
    </w:p>
    <w:p w14:paraId="3CF96023">
      <w:pPr>
        <w:numPr>
          <w:ilvl w:val="0"/>
          <w:numId w:val="2"/>
        </w:num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Lindsay (2020). Methods of communication. Care of the Adult with Intellectual Disability in Primary Care, pp.46–50.</w:t>
      </w:r>
    </w:p>
    <w:p w14:paraId="096A7314">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Martinaj, F.G. (2023). ENGLISH-CONFLICTING FOREIGN LANGUAGES AND LANGUAGE MANAGEMENT STRATEGIES IN INTERNATIONAL BUSINESS COMMUNICATION. European Journal of Applied Linguistics Studies, 6(2). </w:t>
      </w:r>
    </w:p>
    <w:p w14:paraId="37311B4F">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Osman, M., Malladi Revathi Devi, Ali, D. and Ali, A. (2023). Practices Using Alternative Measures in English Business Communication Classes upon Graduation. International journal of linguistics, literature and translation, 6(3), pp.115–123.</w:t>
      </w:r>
    </w:p>
    <w:p w14:paraId="19E8BC3F">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Pirlog, A. (2021). Cross-cultural Analysis of Main Economic Partners of the Republic of Moldova. Eastern European Journal for Regional Studies, 7(2), pp.165–181.</w:t>
      </w:r>
    </w:p>
    <w:p w14:paraId="12437FEE">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Pratama, R. (2023). English Language in the Context of Cultural Diplomacy. Culturalistics: Journal of Cultural, Literary, and Linguistic Studies, [online] 7(2), pp.77–84. </w:t>
      </w:r>
    </w:p>
    <w:p w14:paraId="0DF91A85">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Rachel Shalini, T. (2023b). Pragmatic Cross - Cultural Communication in the International Business Arena - Literature Review. International Journal of Science and Research (IJSR), [online] 12(11), pp.1631–1634. </w:t>
      </w:r>
    </w:p>
    <w:p w14:paraId="679288DE">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Stefanova, D.P., Vasilev, V.P. and Efremovski, I.P. (2023). Re-Innovative Organizational Design: Sustainable Branding and Effective Communication – Applied Models in a World With New Borders/Without Borders. </w:t>
      </w:r>
    </w:p>
    <w:p w14:paraId="1A34B0D1">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Vlad-George Tirila, Alain Demairé and Ryan, C. (2023). Review of alternative propellants in Hall thrusters. Acta Astronautica, 212, pp.284–306.</w:t>
      </w:r>
    </w:p>
    <w:p w14:paraId="17CA6094">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Wei, S. (2024). Discussion of Cross-Culture Management in Cultural Diversified Workplace. Journal of Sociology and Ethnology, [online] 6(1). </w:t>
      </w:r>
    </w:p>
    <w:p w14:paraId="3E46F7DD">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Woolliams, P. and Fons Trompenaars (2024). Cultural Differences. Emerald Publishing Limited eBooks, pp.59–67. </w:t>
      </w:r>
    </w:p>
    <w:p w14:paraId="5D4B0565">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Yang, X., Hou, J. and Arth, Z.W. (2021). Communicating in a proper way: How people from high-/low-context culture choose their media for communication. International Communication Gazette, 83(3), p.174804852090261.</w:t>
      </w:r>
    </w:p>
    <w:p w14:paraId="7A14B1C1">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YE, Y. and YAN, N. (2024). A Comparative Study of Chinese and American Corporate Image Construction from the Perspective of Hofstede’s Cultural Dimensions Theory － Taking Huawei and Apple as Examples. International Journal of Research and Innovation in Social Science, VIII(VII), pp.142–155. </w:t>
      </w:r>
    </w:p>
    <w:p w14:paraId="0AF27150">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Yulia Shkurko (2023). Cultural Dimensions Theory. Encyclopedia of Sexual Psychology and Behavior, pp.1–6. </w:t>
      </w:r>
    </w:p>
    <w:p w14:paraId="7D1783FA">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Zhu, Y., Nel, P. and Bhat, R. (2021). A Cross Cultural Study of Communication Strategies for Building Business Relationships. International Journal of Cross Cultural Management, 6(3), pp.319–341. </w:t>
      </w:r>
    </w:p>
    <w:p w14:paraId="0658BDD1">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Água, P., Frias, A., Correia, A. and Simões-Marques, M. (2023). The impact of cultural diversity on organizational and operational risk levels. </w:t>
      </w: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w:panose1 w:val="00000000000000000000"/>
    <w:charset w:val="00"/>
    <w:family w:val="auto"/>
    <w:pitch w:val="default"/>
    <w:sig w:usb0="E00002FF" w:usb1="5000785B" w:usb2="00000000" w:usb3="00000000" w:csb0="2000019F" w:csb1="4F010000"/>
  </w:font>
  <w:font w:name="Times New Roman Regular">
    <w:panose1 w:val="02020503050405090304"/>
    <w:charset w:val="00"/>
    <w:family w:val="auto"/>
    <w:pitch w:val="default"/>
    <w:sig w:usb0="E0000AFF" w:usb1="00007843" w:usb2="00000001" w:usb3="00000000" w:csb0="400001BF" w:csb1="DFF70000"/>
  </w:font>
  <w:font w:name="Times New Roman Bold">
    <w:panose1 w:val="020205030504050903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冬青黑体简体中文">
    <w:panose1 w:val="020B0300000000000000"/>
    <w:charset w:val="86"/>
    <w:family w:val="auto"/>
    <w:pitch w:val="default"/>
    <w:sig w:usb0="A00002BF" w:usb1="1ACF7CFA" w:usb2="00000016" w:usb3="00000000" w:csb0="00060007" w:csb1="00000000"/>
  </w:font>
  <w:font w:name="Helvetica Neue">
    <w:panose1 w:val="02000503000000020004"/>
    <w:charset w:val="00"/>
    <w:family w:val="auto"/>
    <w:pitch w:val="default"/>
    <w:sig w:usb0="E50002FF" w:usb1="500079DB" w:usb2="00000010" w:usb3="00000000" w:csb0="00000000" w:csb1="00000000"/>
  </w:font>
  <w:font w:name="Kingsoft Sign">
    <w:panose1 w:val="05050102010706020507"/>
    <w:charset w:val="00"/>
    <w:family w:val="auto"/>
    <w:pitch w:val="default"/>
    <w:sig w:usb0="00000000" w:usb1="10000000" w:usb2="00000000" w:usb3="00000000" w:csb0="00000001" w:csb1="00000000"/>
  </w:font>
  <w:font w:name="汉仪中黑KW">
    <w:panose1 w:val="00020600040101010101"/>
    <w:charset w:val="86"/>
    <w:family w:val="auto"/>
    <w:pitch w:val="default"/>
    <w:sig w:usb0="A00002BF" w:usb1="18EF7CFA" w:usb2="00000016" w:usb3="00000000" w:csb0="0004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F7F5CC9"/>
    <w:multiLevelType w:val="singleLevel"/>
    <w:tmpl w:val="CF7F5CC9"/>
    <w:lvl w:ilvl="0" w:tentative="0">
      <w:start w:val="16"/>
      <w:numFmt w:val="upperLetter"/>
      <w:lvlText w:val="%1."/>
      <w:lvlJc w:val="left"/>
      <w:pPr>
        <w:tabs>
          <w:tab w:val="left" w:pos="312"/>
        </w:tabs>
      </w:pPr>
    </w:lvl>
  </w:abstractNum>
  <w:abstractNum w:abstractNumId="1">
    <w:nsid w:val="45DBA5C7"/>
    <w:multiLevelType w:val="singleLevel"/>
    <w:tmpl w:val="45DBA5C7"/>
    <w:lvl w:ilvl="0" w:tentative="0">
      <w:start w:val="5"/>
      <w:numFmt w:val="upperLetter"/>
      <w:lvlText w:val="%1."/>
      <w:lvlJc w:val="left"/>
      <w:pPr>
        <w:tabs>
          <w:tab w:val="left" w:pos="312"/>
        </w:tabs>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AzOWU3MGUzY2I0MWQzMDg1NGRkNGI4ZDEyM2IwMTcifQ=="/>
  </w:docVars>
  <w:rsids>
    <w:rsidRoot w:val="6EFFE0B7"/>
    <w:rsid w:val="25FB3E87"/>
    <w:rsid w:val="6EFFE0B7"/>
    <w:rsid w:val="771BDE02"/>
    <w:rsid w:val="7FEB3B2D"/>
    <w:rsid w:val="B7B62E35"/>
    <w:rsid w:val="EF7422D8"/>
    <w:rsid w:val="F77FEE3D"/>
    <w:rsid w:val="F7FC48F1"/>
    <w:rsid w:val="FBEDA56E"/>
    <w:rsid w:val="FDF13159"/>
    <w:rsid w:val="FDFD196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0">
    <w:name w:val="Default Paragraph Font"/>
    <w:semiHidden/>
    <w:uiPriority w:val="0"/>
  </w:style>
  <w:style w:type="table" w:default="1" w:styleId="9">
    <w:name w:val="Normal Table"/>
    <w:semiHidden/>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toc 1"/>
    <w:basedOn w:val="1"/>
    <w:next w:val="1"/>
    <w:uiPriority w:val="0"/>
  </w:style>
  <w:style w:type="paragraph" w:styleId="7">
    <w:name w:val="toc 2"/>
    <w:basedOn w:val="1"/>
    <w:next w:val="1"/>
    <w:uiPriority w:val="0"/>
    <w:pPr>
      <w:ind w:left="420" w:leftChars="200"/>
    </w:pPr>
  </w:style>
  <w:style w:type="paragraph" w:styleId="8">
    <w:name w:val="Normal (Web)"/>
    <w:basedOn w:val="1"/>
    <w:uiPriority w:val="0"/>
    <w:pPr>
      <w:spacing w:before="0" w:beforeAutospacing="1" w:after="0" w:afterAutospacing="1"/>
      <w:ind w:left="0" w:right="0"/>
      <w:jc w:val="left"/>
    </w:pPr>
    <w:rPr>
      <w:kern w:val="0"/>
      <w:sz w:val="24"/>
      <w:lang w:val="en-US" w:eastAsia="zh-CN" w:bidi="ar"/>
    </w:rPr>
  </w:style>
  <w:style w:type="character" w:styleId="11">
    <w:name w:val="Strong"/>
    <w:basedOn w:val="10"/>
    <w:qFormat/>
    <w:uiPriority w:val="0"/>
    <w:rPr>
      <w:b/>
    </w:rPr>
  </w:style>
  <w:style w:type="character" w:styleId="12">
    <w:name w:val="Emphasis"/>
    <w:basedOn w:val="10"/>
    <w:qFormat/>
    <w:uiPriority w:val="0"/>
    <w:rPr>
      <w:i/>
    </w:rPr>
  </w:style>
  <w:style w:type="paragraph" w:styleId="13">
    <w:name w:val="List Paragraph"/>
    <w:basedOn w:val="1"/>
    <w:qFormat/>
    <w:uiPriority w:val="34"/>
    <w:pPr>
      <w:ind w:left="720"/>
      <w:contextualSpacing/>
    </w:pPr>
  </w:style>
  <w:style w:type="paragraph" w:customStyle="1" w:styleId="14">
    <w:name w:val="p1"/>
    <w:basedOn w:val="1"/>
    <w:uiPriority w:val="0"/>
    <w:pPr>
      <w:spacing w:before="0" w:beforeAutospacing="0" w:after="240" w:afterAutospacing="0"/>
      <w:ind w:left="0" w:right="0"/>
      <w:jc w:val="left"/>
    </w:pPr>
    <w:rPr>
      <w:rFonts w:ascii="helvetica" w:hAnsi="helvetica" w:eastAsia="helvetica" w:cs="helvetica"/>
      <w:kern w:val="0"/>
      <w:sz w:val="24"/>
      <w:szCs w:val="24"/>
      <w:lang w:val="en-US" w:eastAsia="zh-CN" w:bidi="ar"/>
    </w:rPr>
  </w:style>
  <w:style w:type="paragraph" w:customStyle="1" w:styleId="15">
    <w:name w:val="WPSOffice手动目录 1"/>
    <w:uiPriority w:val="0"/>
    <w:pPr>
      <w:ind w:leftChars="0"/>
    </w:pPr>
    <w:rPr>
      <w:rFonts w:ascii="Times New Roman" w:hAnsi="Times New Roman" w:eastAsia="宋体" w:cs="Times New Roman"/>
      <w:sz w:val="20"/>
      <w:szCs w:val="20"/>
    </w:rPr>
  </w:style>
  <w:style w:type="paragraph" w:customStyle="1" w:styleId="16">
    <w:name w:val="WPSOffice手动目录 2"/>
    <w:uiPriority w:val="0"/>
    <w:pPr>
      <w:ind w:leftChars="200"/>
    </w:pPr>
    <w:rPr>
      <w:rFonts w:ascii="Times New Roman" w:hAnsi="Times New Roman" w:eastAsia="宋体" w:cs="Times New Roman"/>
      <w:sz w:val="20"/>
      <w:szCs w:val="20"/>
    </w:rPr>
  </w:style>
  <w:style w:type="paragraph" w:customStyle="1" w:styleId="17">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24</Pages>
  <Words>0</Words>
  <Characters>0</Characters>
  <Lines>0</Lines>
  <Paragraphs>0</Paragraphs>
  <TotalTime>40</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2024-11-14T03:32:00Z</dcterms:created>
  <dc:creator>我要0卡的快乐</dc:creator>
  <cp:lastModifiedBy>我要0卡的快乐</cp:lastModifiedBy>
  <dcterms:modified xsi:type="dcterms:W3CDTF">2024-12-09T23:55:54Z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73C2569A926EC473DF283567DA6FD189_41</vt:lpwstr>
  </property>
</Properties>
</file>