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A3E55A6" w14:textId="38594253" w:rsidR="00944E44" w:rsidRPr="00FA5F51" w:rsidRDefault="00944E44" w:rsidP="00944E44">
      <w:pPr>
        <w:jc w:val="center"/>
        <w:rPr>
          <w:rFonts w:ascii="Arial" w:hAnsi="Arial" w:cs="Arial"/>
          <w:sz w:val="16"/>
          <w:szCs w:val="16"/>
        </w:rPr>
      </w:pPr>
      <w:r w:rsidRPr="00FA5F51">
        <w:rPr>
          <w:rFonts w:ascii="Arial" w:hAnsi="Arial" w:cs="Arial"/>
          <w:sz w:val="16"/>
          <w:szCs w:val="16"/>
        </w:rPr>
        <w:t>Rifat Rashid</w:t>
      </w:r>
    </w:p>
    <w:p w14:paraId="17298BE3" w14:textId="5C64F15A" w:rsidR="00944E44" w:rsidRPr="00FA5F51" w:rsidRDefault="00944E44" w:rsidP="00944E44">
      <w:pPr>
        <w:jc w:val="center"/>
        <w:rPr>
          <w:rFonts w:ascii="Arial" w:hAnsi="Arial" w:cs="Arial"/>
          <w:sz w:val="16"/>
          <w:szCs w:val="16"/>
        </w:rPr>
      </w:pPr>
      <w:r w:rsidRPr="00FA5F51">
        <w:rPr>
          <w:rFonts w:ascii="Arial" w:hAnsi="Arial" w:cs="Arial"/>
          <w:sz w:val="16"/>
          <w:szCs w:val="16"/>
        </w:rPr>
        <w:t>2</w:t>
      </w:r>
      <w:r w:rsidR="00951959" w:rsidRPr="00FA5F51">
        <w:rPr>
          <w:rFonts w:ascii="Arial" w:hAnsi="Arial" w:cs="Arial"/>
          <w:sz w:val="16"/>
          <w:szCs w:val="16"/>
        </w:rPr>
        <w:t>427566</w:t>
      </w:r>
    </w:p>
    <w:p w14:paraId="3D73C721" w14:textId="561FB980" w:rsidR="00951959" w:rsidRPr="00FA5F51" w:rsidRDefault="005E1589" w:rsidP="00944E44">
      <w:pPr>
        <w:jc w:val="center"/>
        <w:rPr>
          <w:rFonts w:ascii="Arial" w:hAnsi="Arial" w:cs="Arial"/>
          <w:sz w:val="16"/>
          <w:szCs w:val="16"/>
        </w:rPr>
      </w:pPr>
      <w:r w:rsidRPr="00FA5F51">
        <w:rPr>
          <w:rFonts w:ascii="Arial" w:hAnsi="Arial" w:cs="Arial"/>
          <w:sz w:val="16"/>
          <w:szCs w:val="16"/>
        </w:rPr>
        <w:t>BMHP5023</w:t>
      </w:r>
    </w:p>
    <w:p w14:paraId="482DA6FE" w14:textId="7EF3C15D" w:rsidR="005E1589" w:rsidRPr="00FA5F51" w:rsidRDefault="00EA2765" w:rsidP="00944E44">
      <w:pPr>
        <w:jc w:val="center"/>
        <w:rPr>
          <w:rFonts w:ascii="Arial" w:hAnsi="Arial" w:cs="Arial"/>
          <w:sz w:val="16"/>
          <w:szCs w:val="16"/>
        </w:rPr>
      </w:pPr>
      <w:r w:rsidRPr="00FA5F51">
        <w:rPr>
          <w:rFonts w:ascii="Arial" w:hAnsi="Arial" w:cs="Arial"/>
          <w:sz w:val="16"/>
          <w:szCs w:val="16"/>
        </w:rPr>
        <w:t>Introduction to Physiology</w:t>
      </w:r>
    </w:p>
    <w:p w14:paraId="14CB1DDE" w14:textId="7A419F91" w:rsidR="00EA2765" w:rsidRPr="00FA5F51" w:rsidRDefault="00760888" w:rsidP="00944E44">
      <w:pPr>
        <w:jc w:val="center"/>
        <w:rPr>
          <w:rFonts w:ascii="Arial" w:hAnsi="Arial" w:cs="Arial"/>
          <w:sz w:val="16"/>
          <w:szCs w:val="16"/>
        </w:rPr>
      </w:pPr>
      <w:r w:rsidRPr="00FA5F51">
        <w:rPr>
          <w:rFonts w:ascii="Arial" w:hAnsi="Arial" w:cs="Arial"/>
          <w:sz w:val="16"/>
          <w:szCs w:val="16"/>
        </w:rPr>
        <w:t>Written</w:t>
      </w:r>
      <w:r w:rsidR="00F269FC" w:rsidRPr="00FA5F51">
        <w:rPr>
          <w:rFonts w:ascii="Arial" w:hAnsi="Arial" w:cs="Arial"/>
          <w:sz w:val="16"/>
          <w:szCs w:val="16"/>
        </w:rPr>
        <w:t xml:space="preserve"> Assignment</w:t>
      </w:r>
    </w:p>
    <w:p w14:paraId="2D1ABA46" w14:textId="3A0B9BC7" w:rsidR="00760888" w:rsidRPr="00FA5F51" w:rsidRDefault="00760888" w:rsidP="00944E44">
      <w:pPr>
        <w:jc w:val="center"/>
        <w:rPr>
          <w:rFonts w:ascii="Arial" w:hAnsi="Arial" w:cs="Arial"/>
          <w:sz w:val="16"/>
          <w:szCs w:val="16"/>
        </w:rPr>
      </w:pPr>
      <w:r w:rsidRPr="00FA5F51">
        <w:rPr>
          <w:rFonts w:ascii="Arial" w:hAnsi="Arial" w:cs="Arial"/>
          <w:sz w:val="16"/>
          <w:szCs w:val="16"/>
        </w:rPr>
        <w:t>Robert Nartowski</w:t>
      </w:r>
    </w:p>
    <w:p w14:paraId="65E83B12" w14:textId="40DFB3FC" w:rsidR="009F6B59" w:rsidRPr="00FA5F51" w:rsidRDefault="00A94A90" w:rsidP="00944E44">
      <w:pPr>
        <w:jc w:val="center"/>
        <w:rPr>
          <w:rFonts w:ascii="Arial" w:hAnsi="Arial" w:cs="Arial"/>
          <w:sz w:val="16"/>
          <w:szCs w:val="16"/>
        </w:rPr>
      </w:pPr>
      <w:r>
        <w:rPr>
          <w:rFonts w:ascii="Arial" w:hAnsi="Arial" w:cs="Arial"/>
          <w:sz w:val="16"/>
          <w:szCs w:val="16"/>
        </w:rPr>
        <w:t>Word Count: 1863</w:t>
      </w:r>
    </w:p>
    <w:p w14:paraId="3F3712D1" w14:textId="77777777" w:rsidR="009F6B59" w:rsidRPr="00FA5F51" w:rsidRDefault="009F6B59" w:rsidP="00944E44">
      <w:pPr>
        <w:jc w:val="center"/>
        <w:rPr>
          <w:rFonts w:ascii="Arial" w:hAnsi="Arial" w:cs="Arial"/>
          <w:sz w:val="16"/>
          <w:szCs w:val="16"/>
        </w:rPr>
      </w:pPr>
    </w:p>
    <w:p w14:paraId="426C62E0" w14:textId="77777777" w:rsidR="009F6B59" w:rsidRPr="00FA5F51" w:rsidRDefault="009F6B59" w:rsidP="00944E44">
      <w:pPr>
        <w:jc w:val="center"/>
        <w:rPr>
          <w:rFonts w:ascii="Arial" w:hAnsi="Arial" w:cs="Arial"/>
          <w:sz w:val="16"/>
          <w:szCs w:val="16"/>
        </w:rPr>
      </w:pPr>
    </w:p>
    <w:p w14:paraId="7E830A4D" w14:textId="77777777" w:rsidR="009F6B59" w:rsidRPr="00FA5F51" w:rsidRDefault="009F6B59" w:rsidP="00944E44">
      <w:pPr>
        <w:jc w:val="center"/>
        <w:rPr>
          <w:rFonts w:ascii="Arial" w:hAnsi="Arial" w:cs="Arial"/>
          <w:sz w:val="16"/>
          <w:szCs w:val="16"/>
        </w:rPr>
      </w:pPr>
    </w:p>
    <w:p w14:paraId="4348DCD3" w14:textId="77777777" w:rsidR="009F6B59" w:rsidRPr="00FA5F51" w:rsidRDefault="009F6B59" w:rsidP="00944E44">
      <w:pPr>
        <w:jc w:val="center"/>
        <w:rPr>
          <w:rFonts w:ascii="Arial" w:hAnsi="Arial" w:cs="Arial"/>
          <w:sz w:val="16"/>
          <w:szCs w:val="16"/>
        </w:rPr>
      </w:pPr>
    </w:p>
    <w:p w14:paraId="57C35B6B" w14:textId="77777777" w:rsidR="009F6B59" w:rsidRPr="00FA5F51" w:rsidRDefault="009F6B59" w:rsidP="00944E44">
      <w:pPr>
        <w:jc w:val="center"/>
        <w:rPr>
          <w:rFonts w:ascii="Arial" w:hAnsi="Arial" w:cs="Arial"/>
          <w:sz w:val="16"/>
          <w:szCs w:val="16"/>
        </w:rPr>
      </w:pPr>
    </w:p>
    <w:p w14:paraId="45C0C4EB" w14:textId="77777777" w:rsidR="009F6B59" w:rsidRPr="00FA5F51" w:rsidRDefault="009F6B59" w:rsidP="00944E44">
      <w:pPr>
        <w:jc w:val="center"/>
        <w:rPr>
          <w:rFonts w:ascii="Arial" w:hAnsi="Arial" w:cs="Arial"/>
          <w:sz w:val="16"/>
          <w:szCs w:val="16"/>
        </w:rPr>
      </w:pPr>
    </w:p>
    <w:p w14:paraId="6FAEB3D2" w14:textId="77777777" w:rsidR="009F6B59" w:rsidRPr="00FA5F51" w:rsidRDefault="009F6B59" w:rsidP="00944E44">
      <w:pPr>
        <w:jc w:val="center"/>
        <w:rPr>
          <w:rFonts w:ascii="Arial" w:hAnsi="Arial" w:cs="Arial"/>
          <w:sz w:val="16"/>
          <w:szCs w:val="16"/>
        </w:rPr>
      </w:pPr>
    </w:p>
    <w:p w14:paraId="49356FDE" w14:textId="77777777" w:rsidR="009F6B59" w:rsidRPr="00FA5F51" w:rsidRDefault="009F6B59" w:rsidP="00944E44">
      <w:pPr>
        <w:jc w:val="center"/>
        <w:rPr>
          <w:rFonts w:ascii="Arial" w:hAnsi="Arial" w:cs="Arial"/>
          <w:sz w:val="16"/>
          <w:szCs w:val="16"/>
        </w:rPr>
      </w:pPr>
    </w:p>
    <w:p w14:paraId="13862B36" w14:textId="77777777" w:rsidR="009F6B59" w:rsidRPr="00FA5F51" w:rsidRDefault="009F6B59" w:rsidP="00944E44">
      <w:pPr>
        <w:jc w:val="center"/>
        <w:rPr>
          <w:rFonts w:ascii="Arial" w:hAnsi="Arial" w:cs="Arial"/>
          <w:sz w:val="16"/>
          <w:szCs w:val="16"/>
        </w:rPr>
      </w:pPr>
    </w:p>
    <w:p w14:paraId="027D225D" w14:textId="77777777" w:rsidR="009F6B59" w:rsidRPr="00FA5F51" w:rsidRDefault="009F6B59" w:rsidP="00944E44">
      <w:pPr>
        <w:jc w:val="center"/>
        <w:rPr>
          <w:rFonts w:ascii="Arial" w:hAnsi="Arial" w:cs="Arial"/>
          <w:sz w:val="16"/>
          <w:szCs w:val="16"/>
        </w:rPr>
      </w:pPr>
    </w:p>
    <w:p w14:paraId="1CBFDFF9" w14:textId="77777777" w:rsidR="009F6B59" w:rsidRPr="00FA5F51" w:rsidRDefault="009F6B59" w:rsidP="00944E44">
      <w:pPr>
        <w:jc w:val="center"/>
        <w:rPr>
          <w:rFonts w:ascii="Arial" w:hAnsi="Arial" w:cs="Arial"/>
          <w:sz w:val="16"/>
          <w:szCs w:val="16"/>
        </w:rPr>
      </w:pPr>
    </w:p>
    <w:p w14:paraId="0661361E" w14:textId="77777777" w:rsidR="009F6B59" w:rsidRPr="00FA5F51" w:rsidRDefault="009F6B59" w:rsidP="00944E44">
      <w:pPr>
        <w:jc w:val="center"/>
        <w:rPr>
          <w:rFonts w:ascii="Arial" w:hAnsi="Arial" w:cs="Arial"/>
          <w:sz w:val="16"/>
          <w:szCs w:val="16"/>
        </w:rPr>
      </w:pPr>
    </w:p>
    <w:p w14:paraId="0F64FFA3" w14:textId="77777777" w:rsidR="009F6B59" w:rsidRPr="00FA5F51" w:rsidRDefault="009F6B59" w:rsidP="00944E44">
      <w:pPr>
        <w:jc w:val="center"/>
        <w:rPr>
          <w:rFonts w:ascii="Arial" w:hAnsi="Arial" w:cs="Arial"/>
          <w:sz w:val="16"/>
          <w:szCs w:val="16"/>
        </w:rPr>
      </w:pPr>
    </w:p>
    <w:p w14:paraId="6169352E" w14:textId="77777777" w:rsidR="009F6B59" w:rsidRPr="00FA5F51" w:rsidRDefault="009F6B59" w:rsidP="00944E44">
      <w:pPr>
        <w:jc w:val="center"/>
        <w:rPr>
          <w:rFonts w:ascii="Arial" w:hAnsi="Arial" w:cs="Arial"/>
          <w:sz w:val="16"/>
          <w:szCs w:val="16"/>
        </w:rPr>
      </w:pPr>
    </w:p>
    <w:p w14:paraId="13124C54" w14:textId="77777777" w:rsidR="009F6B59" w:rsidRPr="00FA5F51" w:rsidRDefault="009F6B59" w:rsidP="00944E44">
      <w:pPr>
        <w:jc w:val="center"/>
        <w:rPr>
          <w:rFonts w:ascii="Arial" w:hAnsi="Arial" w:cs="Arial"/>
          <w:sz w:val="16"/>
          <w:szCs w:val="16"/>
        </w:rPr>
      </w:pPr>
    </w:p>
    <w:p w14:paraId="63EB905B" w14:textId="77777777" w:rsidR="009F6B59" w:rsidRPr="00FA5F51" w:rsidRDefault="009F6B59" w:rsidP="00944E44">
      <w:pPr>
        <w:jc w:val="center"/>
        <w:rPr>
          <w:rFonts w:ascii="Arial" w:hAnsi="Arial" w:cs="Arial"/>
          <w:sz w:val="16"/>
          <w:szCs w:val="16"/>
        </w:rPr>
      </w:pPr>
    </w:p>
    <w:p w14:paraId="344E6D9E" w14:textId="77777777" w:rsidR="009F6B59" w:rsidRPr="00FA5F51" w:rsidRDefault="009F6B59" w:rsidP="00944E44">
      <w:pPr>
        <w:jc w:val="center"/>
        <w:rPr>
          <w:rFonts w:ascii="Arial" w:hAnsi="Arial" w:cs="Arial"/>
          <w:sz w:val="16"/>
          <w:szCs w:val="16"/>
        </w:rPr>
      </w:pPr>
    </w:p>
    <w:p w14:paraId="2D46A349" w14:textId="77777777" w:rsidR="009F6B59" w:rsidRPr="00FA5F51" w:rsidRDefault="009F6B59" w:rsidP="00944E44">
      <w:pPr>
        <w:jc w:val="center"/>
        <w:rPr>
          <w:rFonts w:ascii="Arial" w:hAnsi="Arial" w:cs="Arial"/>
          <w:sz w:val="16"/>
          <w:szCs w:val="16"/>
        </w:rPr>
      </w:pPr>
    </w:p>
    <w:p w14:paraId="45B3EFB4" w14:textId="77777777" w:rsidR="009F6B59" w:rsidRPr="00FA5F51" w:rsidRDefault="009F6B59" w:rsidP="00944E44">
      <w:pPr>
        <w:jc w:val="center"/>
        <w:rPr>
          <w:rFonts w:ascii="Arial" w:hAnsi="Arial" w:cs="Arial"/>
          <w:sz w:val="16"/>
          <w:szCs w:val="16"/>
        </w:rPr>
      </w:pPr>
    </w:p>
    <w:p w14:paraId="45A16B35" w14:textId="77777777" w:rsidR="009F6B59" w:rsidRPr="00FA5F51" w:rsidRDefault="009F6B59" w:rsidP="00944E44">
      <w:pPr>
        <w:jc w:val="center"/>
        <w:rPr>
          <w:rFonts w:ascii="Arial" w:hAnsi="Arial" w:cs="Arial"/>
          <w:sz w:val="16"/>
          <w:szCs w:val="16"/>
        </w:rPr>
      </w:pPr>
    </w:p>
    <w:p w14:paraId="2D5C832A" w14:textId="77777777" w:rsidR="00C33AC4" w:rsidRDefault="00C33AC4">
      <w:pPr>
        <w:pStyle w:val="p1"/>
        <w:rPr>
          <w:rStyle w:val="s1"/>
          <w:rFonts w:ascii="Arial" w:hAnsi="Arial" w:cs="Arial"/>
          <w:b w:val="0"/>
          <w:bCs w:val="0"/>
          <w:sz w:val="16"/>
          <w:szCs w:val="16"/>
        </w:rPr>
      </w:pPr>
    </w:p>
    <w:p w14:paraId="6F97DFDB" w14:textId="77777777" w:rsidR="00C33AC4" w:rsidRDefault="00C33AC4">
      <w:pPr>
        <w:pStyle w:val="p1"/>
        <w:rPr>
          <w:rStyle w:val="s1"/>
          <w:rFonts w:ascii="Arial" w:hAnsi="Arial" w:cs="Arial"/>
          <w:b w:val="0"/>
          <w:bCs w:val="0"/>
          <w:sz w:val="16"/>
          <w:szCs w:val="16"/>
        </w:rPr>
      </w:pPr>
    </w:p>
    <w:p w14:paraId="6437EB4C" w14:textId="77777777" w:rsidR="00C33AC4" w:rsidRDefault="00C33AC4">
      <w:pPr>
        <w:pStyle w:val="p1"/>
        <w:rPr>
          <w:rStyle w:val="s1"/>
          <w:rFonts w:ascii="Arial" w:hAnsi="Arial" w:cs="Arial"/>
          <w:b w:val="0"/>
          <w:bCs w:val="0"/>
          <w:sz w:val="16"/>
          <w:szCs w:val="16"/>
        </w:rPr>
      </w:pPr>
    </w:p>
    <w:p w14:paraId="597A9849" w14:textId="77777777" w:rsidR="00C33AC4" w:rsidRDefault="00C33AC4">
      <w:pPr>
        <w:pStyle w:val="p1"/>
        <w:rPr>
          <w:rStyle w:val="s1"/>
          <w:rFonts w:ascii="Arial" w:hAnsi="Arial" w:cs="Arial"/>
          <w:b w:val="0"/>
          <w:bCs w:val="0"/>
          <w:sz w:val="16"/>
          <w:szCs w:val="16"/>
        </w:rPr>
      </w:pPr>
    </w:p>
    <w:p w14:paraId="2653F3AC" w14:textId="77777777" w:rsidR="00C33AC4" w:rsidRDefault="00C33AC4">
      <w:pPr>
        <w:pStyle w:val="p1"/>
        <w:rPr>
          <w:rStyle w:val="s1"/>
          <w:rFonts w:ascii="Arial" w:hAnsi="Arial" w:cs="Arial"/>
          <w:b w:val="0"/>
          <w:bCs w:val="0"/>
          <w:sz w:val="16"/>
          <w:szCs w:val="16"/>
        </w:rPr>
      </w:pPr>
    </w:p>
    <w:p w14:paraId="121599A1" w14:textId="77777777" w:rsidR="00C33AC4" w:rsidRDefault="00C33AC4">
      <w:pPr>
        <w:pStyle w:val="p1"/>
        <w:rPr>
          <w:rStyle w:val="s1"/>
          <w:rFonts w:ascii="Arial" w:hAnsi="Arial" w:cs="Arial"/>
          <w:b w:val="0"/>
          <w:bCs w:val="0"/>
          <w:sz w:val="16"/>
          <w:szCs w:val="16"/>
        </w:rPr>
      </w:pPr>
    </w:p>
    <w:p w14:paraId="3E667405" w14:textId="77777777" w:rsidR="00C33AC4" w:rsidRDefault="00C33AC4">
      <w:pPr>
        <w:pStyle w:val="p1"/>
        <w:rPr>
          <w:rStyle w:val="s1"/>
          <w:rFonts w:ascii="Arial" w:hAnsi="Arial" w:cs="Arial"/>
          <w:b w:val="0"/>
          <w:bCs w:val="0"/>
          <w:sz w:val="16"/>
          <w:szCs w:val="16"/>
        </w:rPr>
      </w:pPr>
    </w:p>
    <w:p w14:paraId="1FA88150" w14:textId="77777777" w:rsidR="00C33AC4" w:rsidRDefault="00C33AC4">
      <w:pPr>
        <w:pStyle w:val="p1"/>
        <w:rPr>
          <w:rStyle w:val="s1"/>
          <w:rFonts w:ascii="Arial" w:hAnsi="Arial" w:cs="Arial"/>
          <w:b w:val="0"/>
          <w:bCs w:val="0"/>
          <w:sz w:val="16"/>
          <w:szCs w:val="16"/>
        </w:rPr>
      </w:pPr>
    </w:p>
    <w:p w14:paraId="203F27BC" w14:textId="77777777" w:rsidR="00C33AC4" w:rsidRDefault="00C33AC4">
      <w:pPr>
        <w:pStyle w:val="p1"/>
        <w:rPr>
          <w:rStyle w:val="s1"/>
          <w:rFonts w:ascii="Arial" w:hAnsi="Arial" w:cs="Arial"/>
          <w:b w:val="0"/>
          <w:bCs w:val="0"/>
          <w:sz w:val="16"/>
          <w:szCs w:val="16"/>
        </w:rPr>
      </w:pPr>
    </w:p>
    <w:p w14:paraId="19242A10" w14:textId="77777777" w:rsidR="00C33AC4" w:rsidRDefault="00C33AC4">
      <w:pPr>
        <w:pStyle w:val="p1"/>
        <w:rPr>
          <w:rStyle w:val="s1"/>
          <w:rFonts w:ascii="Arial" w:hAnsi="Arial" w:cs="Arial"/>
          <w:b w:val="0"/>
          <w:bCs w:val="0"/>
          <w:sz w:val="16"/>
          <w:szCs w:val="16"/>
        </w:rPr>
      </w:pPr>
    </w:p>
    <w:p w14:paraId="76A7D569" w14:textId="77777777" w:rsidR="00C33AC4" w:rsidRDefault="00C33AC4">
      <w:pPr>
        <w:pStyle w:val="p1"/>
        <w:rPr>
          <w:rStyle w:val="s1"/>
          <w:rFonts w:ascii="Arial" w:hAnsi="Arial" w:cs="Arial"/>
          <w:b w:val="0"/>
          <w:bCs w:val="0"/>
          <w:sz w:val="16"/>
          <w:szCs w:val="16"/>
        </w:rPr>
      </w:pPr>
    </w:p>
    <w:p w14:paraId="335789A7" w14:textId="77777777" w:rsidR="00C33AC4" w:rsidRDefault="00C33AC4">
      <w:pPr>
        <w:pStyle w:val="p1"/>
        <w:rPr>
          <w:rStyle w:val="s1"/>
          <w:rFonts w:ascii="Arial" w:hAnsi="Arial" w:cs="Arial"/>
          <w:b w:val="0"/>
          <w:bCs w:val="0"/>
          <w:sz w:val="16"/>
          <w:szCs w:val="16"/>
        </w:rPr>
      </w:pPr>
    </w:p>
    <w:p w14:paraId="3B9839B4" w14:textId="77777777" w:rsidR="00C33AC4" w:rsidRDefault="00C33AC4">
      <w:pPr>
        <w:pStyle w:val="p1"/>
        <w:rPr>
          <w:rStyle w:val="s1"/>
          <w:rFonts w:ascii="Arial" w:hAnsi="Arial" w:cs="Arial"/>
          <w:b w:val="0"/>
          <w:bCs w:val="0"/>
          <w:sz w:val="16"/>
          <w:szCs w:val="16"/>
        </w:rPr>
      </w:pPr>
    </w:p>
    <w:p w14:paraId="15F4AB8C" w14:textId="77777777" w:rsidR="00C33AC4" w:rsidRDefault="00C33AC4">
      <w:pPr>
        <w:pStyle w:val="p1"/>
        <w:rPr>
          <w:rStyle w:val="s1"/>
          <w:rFonts w:ascii="Arial" w:hAnsi="Arial" w:cs="Arial"/>
          <w:b w:val="0"/>
          <w:bCs w:val="0"/>
          <w:sz w:val="16"/>
          <w:szCs w:val="16"/>
        </w:rPr>
      </w:pPr>
    </w:p>
    <w:p w14:paraId="6CA27578" w14:textId="77777777" w:rsidR="00C33AC4" w:rsidRDefault="00C33AC4">
      <w:pPr>
        <w:pStyle w:val="p1"/>
        <w:rPr>
          <w:rStyle w:val="s1"/>
          <w:rFonts w:ascii="Arial" w:hAnsi="Arial" w:cs="Arial"/>
          <w:b w:val="0"/>
          <w:bCs w:val="0"/>
          <w:sz w:val="16"/>
          <w:szCs w:val="16"/>
        </w:rPr>
      </w:pPr>
    </w:p>
    <w:p w14:paraId="13CEA49B" w14:textId="77777777" w:rsidR="00C33AC4" w:rsidRDefault="00C33AC4">
      <w:pPr>
        <w:pStyle w:val="p1"/>
        <w:rPr>
          <w:rStyle w:val="s1"/>
          <w:rFonts w:ascii="Arial" w:hAnsi="Arial" w:cs="Arial"/>
          <w:b w:val="0"/>
          <w:bCs w:val="0"/>
          <w:sz w:val="16"/>
          <w:szCs w:val="16"/>
        </w:rPr>
      </w:pPr>
    </w:p>
    <w:p w14:paraId="46599AF0" w14:textId="77777777" w:rsidR="00C33AC4" w:rsidRDefault="00C33AC4">
      <w:pPr>
        <w:pStyle w:val="p1"/>
        <w:rPr>
          <w:rStyle w:val="s1"/>
          <w:rFonts w:ascii="Arial" w:hAnsi="Arial" w:cs="Arial"/>
          <w:b w:val="0"/>
          <w:bCs w:val="0"/>
          <w:sz w:val="16"/>
          <w:szCs w:val="16"/>
        </w:rPr>
      </w:pPr>
    </w:p>
    <w:p w14:paraId="063D19CD" w14:textId="77777777" w:rsidR="00C33AC4" w:rsidRDefault="00C33AC4">
      <w:pPr>
        <w:pStyle w:val="p1"/>
        <w:rPr>
          <w:rStyle w:val="s1"/>
          <w:rFonts w:ascii="Arial" w:hAnsi="Arial" w:cs="Arial"/>
          <w:b w:val="0"/>
          <w:bCs w:val="0"/>
          <w:sz w:val="16"/>
          <w:szCs w:val="16"/>
        </w:rPr>
      </w:pPr>
    </w:p>
    <w:p w14:paraId="1582EDBA" w14:textId="77777777" w:rsidR="00C33AC4" w:rsidRDefault="00C33AC4">
      <w:pPr>
        <w:pStyle w:val="p1"/>
        <w:rPr>
          <w:rStyle w:val="s1"/>
          <w:rFonts w:ascii="Arial" w:hAnsi="Arial" w:cs="Arial"/>
          <w:b w:val="0"/>
          <w:bCs w:val="0"/>
          <w:sz w:val="16"/>
          <w:szCs w:val="16"/>
        </w:rPr>
      </w:pPr>
    </w:p>
    <w:p w14:paraId="155D3D7F" w14:textId="71138930" w:rsidR="00677543" w:rsidRPr="00FA5F51" w:rsidRDefault="00677543">
      <w:pPr>
        <w:pStyle w:val="p1"/>
        <w:rPr>
          <w:rFonts w:ascii="Arial" w:hAnsi="Arial" w:cs="Arial"/>
          <w:sz w:val="16"/>
          <w:szCs w:val="16"/>
        </w:rPr>
      </w:pPr>
      <w:r w:rsidRPr="00FA5F51">
        <w:rPr>
          <w:rStyle w:val="s1"/>
          <w:rFonts w:ascii="Arial" w:hAnsi="Arial" w:cs="Arial"/>
          <w:b w:val="0"/>
          <w:bCs w:val="0"/>
          <w:sz w:val="16"/>
          <w:szCs w:val="16"/>
        </w:rPr>
        <w:t>Understanding Type 2 Diabetes Mellitus: Supporting Patients to Safely Manage Blood Glucose Levels Through Education, Monitoring and Lifestyle Change</w:t>
      </w:r>
    </w:p>
    <w:p w14:paraId="350CECA1" w14:textId="77777777" w:rsidR="00677543" w:rsidRPr="00FA5F51" w:rsidRDefault="00677543">
      <w:pPr>
        <w:pStyle w:val="p2"/>
        <w:rPr>
          <w:rFonts w:ascii="Arial" w:hAnsi="Arial" w:cs="Arial"/>
          <w:sz w:val="16"/>
          <w:szCs w:val="16"/>
        </w:rPr>
      </w:pPr>
    </w:p>
    <w:p w14:paraId="4BDEBEDE" w14:textId="77777777" w:rsidR="00677543" w:rsidRPr="00FA5F51" w:rsidRDefault="00677543">
      <w:pPr>
        <w:pStyle w:val="p1"/>
        <w:rPr>
          <w:rFonts w:ascii="Arial" w:hAnsi="Arial" w:cs="Arial"/>
          <w:sz w:val="16"/>
          <w:szCs w:val="16"/>
        </w:rPr>
      </w:pPr>
      <w:r w:rsidRPr="00FA5F51">
        <w:rPr>
          <w:rStyle w:val="s1"/>
          <w:rFonts w:ascii="Arial" w:hAnsi="Arial" w:cs="Arial"/>
          <w:b w:val="0"/>
          <w:bCs w:val="0"/>
          <w:sz w:val="16"/>
          <w:szCs w:val="16"/>
        </w:rPr>
        <w:t>Introduction</w:t>
      </w:r>
    </w:p>
    <w:p w14:paraId="3B4D3772" w14:textId="77777777" w:rsidR="00677543" w:rsidRPr="00FA5F51" w:rsidRDefault="00677543">
      <w:pPr>
        <w:pStyle w:val="p2"/>
        <w:rPr>
          <w:rFonts w:ascii="Arial" w:hAnsi="Arial" w:cs="Arial"/>
          <w:sz w:val="16"/>
          <w:szCs w:val="16"/>
        </w:rPr>
      </w:pPr>
    </w:p>
    <w:p w14:paraId="1C54E05D" w14:textId="77777777" w:rsidR="00677543" w:rsidRPr="00FA5F51" w:rsidRDefault="00677543">
      <w:pPr>
        <w:pStyle w:val="p1"/>
        <w:rPr>
          <w:rFonts w:ascii="Arial" w:hAnsi="Arial" w:cs="Arial"/>
          <w:sz w:val="16"/>
          <w:szCs w:val="16"/>
        </w:rPr>
      </w:pPr>
      <w:r w:rsidRPr="00FA5F51">
        <w:rPr>
          <w:rStyle w:val="s2"/>
          <w:rFonts w:ascii="Arial" w:hAnsi="Arial" w:cs="Arial"/>
          <w:b w:val="0"/>
          <w:bCs w:val="0"/>
          <w:sz w:val="16"/>
          <w:szCs w:val="16"/>
        </w:rPr>
        <w:t>Type 2 diabetes mellitus (T2DM) is one of the most common long-term conditions in the United Kingdom and remains a major public health concern. It develops when the body becomes resistant to insulin or does not produce enough insulin to maintain normal blood glucose levels. Consequently, glucose remains in the bloodstream rather than entering body cells for energy production. Persistently high blood glucose can lead to serious complications affecting the cardiovascular system, kidneys, eyes, nerves and lower limbs if poorly managed (NICE, 2022).</w:t>
      </w:r>
    </w:p>
    <w:p w14:paraId="7F30225A" w14:textId="77777777" w:rsidR="00677543" w:rsidRPr="00FA5F51" w:rsidRDefault="00677543">
      <w:pPr>
        <w:pStyle w:val="p2"/>
        <w:rPr>
          <w:rFonts w:ascii="Arial" w:hAnsi="Arial" w:cs="Arial"/>
          <w:sz w:val="16"/>
          <w:szCs w:val="16"/>
        </w:rPr>
      </w:pPr>
    </w:p>
    <w:p w14:paraId="74A2DD57" w14:textId="77777777" w:rsidR="00677543" w:rsidRPr="00FA5F51" w:rsidRDefault="00677543">
      <w:pPr>
        <w:pStyle w:val="p1"/>
        <w:rPr>
          <w:rFonts w:ascii="Arial" w:hAnsi="Arial" w:cs="Arial"/>
          <w:sz w:val="16"/>
          <w:szCs w:val="16"/>
        </w:rPr>
      </w:pPr>
      <w:r w:rsidRPr="00FA5F51">
        <w:rPr>
          <w:rStyle w:val="s2"/>
          <w:rFonts w:ascii="Arial" w:hAnsi="Arial" w:cs="Arial"/>
          <w:b w:val="0"/>
          <w:bCs w:val="0"/>
          <w:sz w:val="16"/>
          <w:szCs w:val="16"/>
        </w:rPr>
        <w:t>Practice nurses play a key role in educating patients and encouraging active participation in their care. Improved understanding of diabetes enables patients to make informed decisions about diet, physical activity, medication adherence and blood glucose monitoring. Effective self-management improves glycaemic control, reduces complications and enhances quality of life (Diabetes UK, 2024).</w:t>
      </w:r>
    </w:p>
    <w:p w14:paraId="27123C2E" w14:textId="77777777" w:rsidR="00677543" w:rsidRPr="00FA5F51" w:rsidRDefault="00677543">
      <w:pPr>
        <w:pStyle w:val="p2"/>
        <w:rPr>
          <w:rFonts w:ascii="Arial" w:hAnsi="Arial" w:cs="Arial"/>
          <w:sz w:val="16"/>
          <w:szCs w:val="16"/>
        </w:rPr>
      </w:pPr>
    </w:p>
    <w:p w14:paraId="019B8802" w14:textId="77777777" w:rsidR="00677543" w:rsidRPr="00FA5F51" w:rsidRDefault="00677543">
      <w:pPr>
        <w:pStyle w:val="p1"/>
        <w:rPr>
          <w:rFonts w:ascii="Arial" w:hAnsi="Arial" w:cs="Arial"/>
          <w:sz w:val="16"/>
          <w:szCs w:val="16"/>
        </w:rPr>
      </w:pPr>
      <w:r w:rsidRPr="00FA5F51">
        <w:rPr>
          <w:rStyle w:val="s2"/>
          <w:rFonts w:ascii="Arial" w:hAnsi="Arial" w:cs="Arial"/>
          <w:b w:val="0"/>
          <w:bCs w:val="0"/>
          <w:sz w:val="16"/>
          <w:szCs w:val="16"/>
        </w:rPr>
        <w:t>Risk factors for Type 2 diabetes include non-modifiable factors such as increasing age, family history and certain ethnic backgrounds, including South Asian, African-Caribbean and Black African populations, who have a higher prevalence of the condition (NHS England, 2023). Modifiable risk factors include obesity, physical inactivity, unhealthy diet, smoking and excessive alcohol intake. Obesity is particularly significant because excess body fat reduces insulin sensitivity, contributing to insulin resistance (World Health Organization, 2023).</w:t>
      </w:r>
    </w:p>
    <w:p w14:paraId="46BD594B" w14:textId="77777777" w:rsidR="00677543" w:rsidRPr="00FA5F51" w:rsidRDefault="00677543">
      <w:pPr>
        <w:pStyle w:val="p2"/>
        <w:rPr>
          <w:rFonts w:ascii="Arial" w:hAnsi="Arial" w:cs="Arial"/>
          <w:sz w:val="16"/>
          <w:szCs w:val="16"/>
        </w:rPr>
      </w:pPr>
    </w:p>
    <w:p w14:paraId="69175E4C" w14:textId="77777777" w:rsidR="00677543" w:rsidRPr="00FA5F51" w:rsidRDefault="00677543">
      <w:pPr>
        <w:pStyle w:val="p1"/>
        <w:rPr>
          <w:rFonts w:ascii="Arial" w:hAnsi="Arial" w:cs="Arial"/>
          <w:sz w:val="16"/>
          <w:szCs w:val="16"/>
        </w:rPr>
      </w:pPr>
      <w:r w:rsidRPr="00FA5F51">
        <w:rPr>
          <w:rStyle w:val="s2"/>
          <w:rFonts w:ascii="Arial" w:hAnsi="Arial" w:cs="Arial"/>
          <w:b w:val="0"/>
          <w:bCs w:val="0"/>
          <w:sz w:val="16"/>
          <w:szCs w:val="16"/>
        </w:rPr>
        <w:t>This report explains how blood glucose is regulated, the role of oxygen and glucose in cellular metabolism, the importance of blood glucose monitoring and evidence-based lifestyle strategies for managing Type 2 diabetes.</w:t>
      </w:r>
    </w:p>
    <w:p w14:paraId="40897CED" w14:textId="77777777" w:rsidR="00677543" w:rsidRPr="00FA5F51" w:rsidRDefault="00677543">
      <w:pPr>
        <w:pStyle w:val="p2"/>
        <w:rPr>
          <w:rFonts w:ascii="Arial" w:hAnsi="Arial" w:cs="Arial"/>
          <w:sz w:val="16"/>
          <w:szCs w:val="16"/>
        </w:rPr>
      </w:pPr>
    </w:p>
    <w:p w14:paraId="758A587A" w14:textId="77777777" w:rsidR="00677543" w:rsidRPr="00FA5F51" w:rsidRDefault="00677543">
      <w:pPr>
        <w:pStyle w:val="p1"/>
        <w:rPr>
          <w:rFonts w:ascii="Arial" w:hAnsi="Arial" w:cs="Arial"/>
          <w:sz w:val="16"/>
          <w:szCs w:val="16"/>
        </w:rPr>
      </w:pPr>
      <w:r w:rsidRPr="00FA5F51">
        <w:rPr>
          <w:rStyle w:val="s1"/>
          <w:rFonts w:ascii="Arial" w:hAnsi="Arial" w:cs="Arial"/>
          <w:b w:val="0"/>
          <w:bCs w:val="0"/>
          <w:sz w:val="16"/>
          <w:szCs w:val="16"/>
        </w:rPr>
        <w:t>Blood Glucose Regulation</w:t>
      </w:r>
    </w:p>
    <w:p w14:paraId="57712BFE" w14:textId="77777777" w:rsidR="00677543" w:rsidRPr="00FA5F51" w:rsidRDefault="00677543">
      <w:pPr>
        <w:pStyle w:val="p2"/>
        <w:rPr>
          <w:rFonts w:ascii="Arial" w:hAnsi="Arial" w:cs="Arial"/>
          <w:sz w:val="16"/>
          <w:szCs w:val="16"/>
        </w:rPr>
      </w:pPr>
    </w:p>
    <w:p w14:paraId="2BB189DD" w14:textId="77777777" w:rsidR="00677543" w:rsidRPr="00FA5F51" w:rsidRDefault="00677543">
      <w:pPr>
        <w:pStyle w:val="p1"/>
        <w:rPr>
          <w:rFonts w:ascii="Arial" w:hAnsi="Arial" w:cs="Arial"/>
          <w:sz w:val="16"/>
          <w:szCs w:val="16"/>
        </w:rPr>
      </w:pPr>
      <w:r w:rsidRPr="00FA5F51">
        <w:rPr>
          <w:rStyle w:val="s2"/>
          <w:rFonts w:ascii="Arial" w:hAnsi="Arial" w:cs="Arial"/>
          <w:b w:val="0"/>
          <w:bCs w:val="0"/>
          <w:sz w:val="16"/>
          <w:szCs w:val="16"/>
        </w:rPr>
        <w:t>Maintaining blood glucose within a normal range is essential because glucose is the body’s primary source of energy, particularly for the brain. Blood glucose homeostasis is regulated by the endocrine pancreas through the hormones insulin and glucagon.</w:t>
      </w:r>
    </w:p>
    <w:p w14:paraId="5502ADEA" w14:textId="77777777" w:rsidR="00677543" w:rsidRPr="00FA5F51" w:rsidRDefault="00677543">
      <w:pPr>
        <w:pStyle w:val="p2"/>
        <w:rPr>
          <w:rFonts w:ascii="Arial" w:hAnsi="Arial" w:cs="Arial"/>
          <w:sz w:val="16"/>
          <w:szCs w:val="16"/>
        </w:rPr>
      </w:pPr>
    </w:p>
    <w:p w14:paraId="62D6C08C" w14:textId="77777777" w:rsidR="00677543" w:rsidRPr="00FA5F51" w:rsidRDefault="00677543">
      <w:pPr>
        <w:pStyle w:val="p1"/>
        <w:rPr>
          <w:rFonts w:ascii="Arial" w:hAnsi="Arial" w:cs="Arial"/>
          <w:sz w:val="16"/>
          <w:szCs w:val="16"/>
        </w:rPr>
      </w:pPr>
      <w:r w:rsidRPr="00FA5F51">
        <w:rPr>
          <w:rStyle w:val="s2"/>
          <w:rFonts w:ascii="Arial" w:hAnsi="Arial" w:cs="Arial"/>
          <w:b w:val="0"/>
          <w:bCs w:val="0"/>
          <w:sz w:val="16"/>
          <w:szCs w:val="16"/>
        </w:rPr>
        <w:t>Following carbohydrate digestion, glucose is absorbed into the bloodstream through the small intestine. Rising blood glucose stimulates beta cells in the pancreatic islets of Langerhans to release insulin. Insulin binds to receptors on muscle, liver and adipose tissue cells, promoting GLUT4 transporter activity and allowing glucose to enter cells for immediate energy production or storage as glycogen in the liver and muscles. Excess glucose may also be stored as fat (Hall and Hall, 2021).</w:t>
      </w:r>
    </w:p>
    <w:p w14:paraId="63A5B331" w14:textId="77777777" w:rsidR="00677543" w:rsidRPr="00FA5F51" w:rsidRDefault="00677543">
      <w:pPr>
        <w:pStyle w:val="p2"/>
        <w:rPr>
          <w:rFonts w:ascii="Arial" w:hAnsi="Arial" w:cs="Arial"/>
          <w:sz w:val="16"/>
          <w:szCs w:val="16"/>
        </w:rPr>
      </w:pPr>
    </w:p>
    <w:p w14:paraId="66D85410" w14:textId="77777777" w:rsidR="00677543" w:rsidRPr="00FA5F51" w:rsidRDefault="00677543">
      <w:pPr>
        <w:pStyle w:val="p1"/>
        <w:rPr>
          <w:rFonts w:ascii="Arial" w:hAnsi="Arial" w:cs="Arial"/>
          <w:sz w:val="16"/>
          <w:szCs w:val="16"/>
        </w:rPr>
      </w:pPr>
      <w:r w:rsidRPr="00FA5F51">
        <w:rPr>
          <w:rStyle w:val="s2"/>
          <w:rFonts w:ascii="Arial" w:hAnsi="Arial" w:cs="Arial"/>
          <w:b w:val="0"/>
          <w:bCs w:val="0"/>
          <w:sz w:val="16"/>
          <w:szCs w:val="16"/>
        </w:rPr>
        <w:t>When blood glucose levels fall, pancreatic alpha cells release glucagon. This hormone stimulates the liver to convert glycogen back into glucose, releasing it into the bloodstream. Together, insulin and glucagon maintain blood glucose within a narrow physiological range, ensuring a continuous energy supply to vital organs.</w:t>
      </w:r>
    </w:p>
    <w:p w14:paraId="54B26D1D" w14:textId="77777777" w:rsidR="009F6B59" w:rsidRPr="00FA5F51" w:rsidRDefault="009F6B59" w:rsidP="0056083E">
      <w:pPr>
        <w:rPr>
          <w:rFonts w:ascii="Arial" w:hAnsi="Arial" w:cs="Arial"/>
          <w:sz w:val="16"/>
          <w:szCs w:val="16"/>
        </w:rPr>
      </w:pPr>
    </w:p>
    <w:p w14:paraId="32227228" w14:textId="77777777" w:rsidR="00960CB8" w:rsidRPr="00FA5F51" w:rsidRDefault="00960CB8" w:rsidP="00960CB8">
      <w:pPr>
        <w:spacing w:after="0" w:line="240" w:lineRule="auto"/>
        <w:rPr>
          <w:rFonts w:ascii="Arial" w:hAnsi="Arial" w:cs="Arial"/>
          <w:kern w:val="0"/>
          <w:sz w:val="16"/>
          <w:szCs w:val="16"/>
          <w14:ligatures w14:val="none"/>
        </w:rPr>
      </w:pPr>
      <w:r w:rsidRPr="00FA5F51">
        <w:rPr>
          <w:rFonts w:ascii="Arial" w:hAnsi="Arial" w:cs="Arial"/>
          <w:kern w:val="0"/>
          <w:sz w:val="16"/>
          <w:szCs w:val="16"/>
          <w14:ligatures w14:val="none"/>
        </w:rPr>
        <w:t>In Type 2 diabetes, blood glucose regulation becomes impaired because body cells gradually become resistant to insulin. Initially, the pancreas compensates by producing more insulin, but over time the beta cells can no longer meet demand, resulting in inadequate insulin production. Consequently, glucose remains in the bloodstream instead of entering cells, causing chronic hyperglycaemia (American Diabetes Association, 2024). Persistently raised blood glucose damages blood vessels and nerves, increasing the risk of complications such as coronary heart disease, stroke, diabetic nephropathy, retinopathy and peripheral neuropathy (NICE, 2022). Early diagnosis, appropriate treatment and effective self-management are therefore essential.</w:t>
      </w:r>
    </w:p>
    <w:p w14:paraId="6E823D93" w14:textId="77777777" w:rsidR="00960CB8" w:rsidRPr="00FA5F51" w:rsidRDefault="00960CB8" w:rsidP="00960CB8">
      <w:pPr>
        <w:spacing w:after="0" w:line="240" w:lineRule="auto"/>
        <w:rPr>
          <w:rFonts w:ascii="Arial" w:hAnsi="Arial" w:cs="Arial"/>
          <w:kern w:val="0"/>
          <w:sz w:val="16"/>
          <w:szCs w:val="16"/>
          <w14:ligatures w14:val="none"/>
        </w:rPr>
      </w:pPr>
    </w:p>
    <w:p w14:paraId="15811077" w14:textId="77777777" w:rsidR="00960CB8" w:rsidRPr="00FA5F51" w:rsidRDefault="00960CB8" w:rsidP="00960CB8">
      <w:pPr>
        <w:spacing w:after="0" w:line="240" w:lineRule="auto"/>
        <w:rPr>
          <w:rFonts w:ascii="Arial" w:hAnsi="Arial" w:cs="Arial"/>
          <w:kern w:val="0"/>
          <w:sz w:val="16"/>
          <w:szCs w:val="16"/>
          <w14:ligatures w14:val="none"/>
        </w:rPr>
      </w:pPr>
      <w:r w:rsidRPr="00FA5F51">
        <w:rPr>
          <w:rFonts w:ascii="Arial" w:hAnsi="Arial" w:cs="Arial"/>
          <w:kern w:val="0"/>
          <w:sz w:val="16"/>
          <w:szCs w:val="16"/>
          <w14:ligatures w14:val="none"/>
        </w:rPr>
        <w:t>Practice nurses play an important role in helping patients understand how blood glucose is regulated. Educating patients about the effects of diet, medication and physical activity encourages informed decision-making, improves treatment adherence and supports long-term self-management.</w:t>
      </w:r>
    </w:p>
    <w:p w14:paraId="13615377" w14:textId="77777777" w:rsidR="00960CB8" w:rsidRPr="00FA5F51" w:rsidRDefault="00960CB8" w:rsidP="00960CB8">
      <w:pPr>
        <w:spacing w:after="0" w:line="240" w:lineRule="auto"/>
        <w:rPr>
          <w:rFonts w:ascii="Arial" w:hAnsi="Arial" w:cs="Arial"/>
          <w:kern w:val="0"/>
          <w:sz w:val="16"/>
          <w:szCs w:val="16"/>
          <w14:ligatures w14:val="none"/>
        </w:rPr>
      </w:pPr>
    </w:p>
    <w:p w14:paraId="17CBB27B" w14:textId="77777777" w:rsidR="00960CB8" w:rsidRPr="00FA5F51" w:rsidRDefault="00960CB8" w:rsidP="00960CB8">
      <w:pPr>
        <w:spacing w:after="0" w:line="240" w:lineRule="auto"/>
        <w:rPr>
          <w:rFonts w:ascii="Arial" w:hAnsi="Arial" w:cs="Arial"/>
          <w:kern w:val="0"/>
          <w:sz w:val="16"/>
          <w:szCs w:val="16"/>
          <w14:ligatures w14:val="none"/>
        </w:rPr>
      </w:pPr>
      <w:r w:rsidRPr="00FA5F51">
        <w:rPr>
          <w:rFonts w:ascii="Arial" w:hAnsi="Arial" w:cs="Arial"/>
          <w:kern w:val="0"/>
          <w:sz w:val="16"/>
          <w:szCs w:val="16"/>
          <w14:ligatures w14:val="none"/>
        </w:rPr>
        <w:t>Cellular Metabolism: How Oxygen and Glucose Produce Energy</w:t>
      </w:r>
    </w:p>
    <w:p w14:paraId="7C8ADFA3" w14:textId="77777777" w:rsidR="00960CB8" w:rsidRPr="00FA5F51" w:rsidRDefault="00960CB8" w:rsidP="00960CB8">
      <w:pPr>
        <w:spacing w:after="0" w:line="240" w:lineRule="auto"/>
        <w:rPr>
          <w:rFonts w:ascii="Arial" w:hAnsi="Arial" w:cs="Arial"/>
          <w:kern w:val="0"/>
          <w:sz w:val="16"/>
          <w:szCs w:val="16"/>
          <w14:ligatures w14:val="none"/>
        </w:rPr>
      </w:pPr>
    </w:p>
    <w:p w14:paraId="76B270F0" w14:textId="77777777" w:rsidR="00960CB8" w:rsidRPr="00FA5F51" w:rsidRDefault="00960CB8" w:rsidP="00960CB8">
      <w:pPr>
        <w:spacing w:after="0" w:line="240" w:lineRule="auto"/>
        <w:rPr>
          <w:rFonts w:ascii="Arial" w:hAnsi="Arial" w:cs="Arial"/>
          <w:kern w:val="0"/>
          <w:sz w:val="16"/>
          <w:szCs w:val="16"/>
          <w14:ligatures w14:val="none"/>
        </w:rPr>
      </w:pPr>
      <w:r w:rsidRPr="00FA5F51">
        <w:rPr>
          <w:rFonts w:ascii="Arial" w:hAnsi="Arial" w:cs="Arial"/>
          <w:kern w:val="0"/>
          <w:sz w:val="16"/>
          <w:szCs w:val="16"/>
          <w14:ligatures w14:val="none"/>
        </w:rPr>
        <w:t>Cells require a constant supply of energy for functions including muscle contraction, nerve transmission, growth and repair. This energy is produced through cellular metabolism within the mitochondria. Glucose is the main fuel, while oxygen enables its breakdown through aerobic respiration to produce adenosine triphosphate (ATP), the body’s primary energy source (Hall and Hall, 2021).</w:t>
      </w:r>
    </w:p>
    <w:p w14:paraId="36A3A9A3" w14:textId="77777777" w:rsidR="00960CB8" w:rsidRPr="00FA5F51" w:rsidRDefault="00960CB8" w:rsidP="00960CB8">
      <w:pPr>
        <w:spacing w:after="0" w:line="240" w:lineRule="auto"/>
        <w:rPr>
          <w:rFonts w:ascii="Arial" w:hAnsi="Arial" w:cs="Arial"/>
          <w:kern w:val="0"/>
          <w:sz w:val="16"/>
          <w:szCs w:val="16"/>
          <w14:ligatures w14:val="none"/>
        </w:rPr>
      </w:pPr>
    </w:p>
    <w:p w14:paraId="3FAFB532" w14:textId="77777777" w:rsidR="00960CB8" w:rsidRPr="00FA5F51" w:rsidRDefault="00960CB8" w:rsidP="00960CB8">
      <w:pPr>
        <w:spacing w:after="0" w:line="240" w:lineRule="auto"/>
        <w:rPr>
          <w:rFonts w:ascii="Arial" w:hAnsi="Arial" w:cs="Arial"/>
          <w:kern w:val="0"/>
          <w:sz w:val="16"/>
          <w:szCs w:val="16"/>
          <w14:ligatures w14:val="none"/>
        </w:rPr>
      </w:pPr>
      <w:r w:rsidRPr="00FA5F51">
        <w:rPr>
          <w:rFonts w:ascii="Arial" w:hAnsi="Arial" w:cs="Arial"/>
          <w:kern w:val="0"/>
          <w:sz w:val="16"/>
          <w:szCs w:val="16"/>
          <w14:ligatures w14:val="none"/>
        </w:rPr>
        <w:t>Aerobic respiration begins when insulin enables glucose to enter cells. During glycolysis, glucose is converted into pyruvate, producing a small amount of ATP. Pyruvate then enters the mitochondria, where the Krebs cycle and electron transport chain generate around 30–32 ATP molecules per glucose molecule. Oxygen acts as the final electron acceptor, while carbon dioxide and water are produced as waste products (OpenStax, 2023).</w:t>
      </w:r>
    </w:p>
    <w:p w14:paraId="52C716FB" w14:textId="77777777" w:rsidR="00960CB8" w:rsidRPr="00FA5F51" w:rsidRDefault="00960CB8" w:rsidP="00960CB8">
      <w:pPr>
        <w:spacing w:after="0" w:line="240" w:lineRule="auto"/>
        <w:rPr>
          <w:rFonts w:ascii="Arial" w:hAnsi="Arial" w:cs="Arial"/>
          <w:kern w:val="0"/>
          <w:sz w:val="16"/>
          <w:szCs w:val="16"/>
          <w14:ligatures w14:val="none"/>
        </w:rPr>
      </w:pPr>
    </w:p>
    <w:p w14:paraId="3AC97087" w14:textId="77777777" w:rsidR="00960CB8" w:rsidRPr="00FA5F51" w:rsidRDefault="00960CB8" w:rsidP="00960CB8">
      <w:pPr>
        <w:spacing w:after="0" w:line="240" w:lineRule="auto"/>
        <w:rPr>
          <w:rFonts w:ascii="Arial" w:hAnsi="Arial" w:cs="Arial"/>
          <w:kern w:val="0"/>
          <w:sz w:val="16"/>
          <w:szCs w:val="16"/>
          <w14:ligatures w14:val="none"/>
        </w:rPr>
      </w:pPr>
      <w:r w:rsidRPr="00FA5F51">
        <w:rPr>
          <w:rFonts w:ascii="Arial" w:hAnsi="Arial" w:cs="Arial"/>
          <w:kern w:val="0"/>
          <w:sz w:val="16"/>
          <w:szCs w:val="16"/>
          <w14:ligatures w14:val="none"/>
        </w:rPr>
        <w:t>The overall equation is:</w:t>
      </w:r>
    </w:p>
    <w:p w14:paraId="5CEEC09C" w14:textId="77777777" w:rsidR="00960CB8" w:rsidRPr="00FA5F51" w:rsidRDefault="00960CB8" w:rsidP="00960CB8">
      <w:pPr>
        <w:spacing w:after="0" w:line="240" w:lineRule="auto"/>
        <w:rPr>
          <w:rFonts w:ascii="Arial" w:hAnsi="Arial" w:cs="Arial"/>
          <w:kern w:val="0"/>
          <w:sz w:val="16"/>
          <w:szCs w:val="16"/>
          <w14:ligatures w14:val="none"/>
        </w:rPr>
      </w:pPr>
    </w:p>
    <w:p w14:paraId="4E600B25" w14:textId="77777777" w:rsidR="00960CB8" w:rsidRPr="00FA5F51" w:rsidRDefault="00960CB8" w:rsidP="00960CB8">
      <w:pPr>
        <w:spacing w:after="0" w:line="240" w:lineRule="auto"/>
        <w:rPr>
          <w:rFonts w:ascii="Arial" w:hAnsi="Arial" w:cs="Arial"/>
          <w:kern w:val="0"/>
          <w:sz w:val="16"/>
          <w:szCs w:val="16"/>
          <w14:ligatures w14:val="none"/>
        </w:rPr>
      </w:pPr>
      <w:r w:rsidRPr="00FA5F51">
        <w:rPr>
          <w:rFonts w:ascii="Arial" w:hAnsi="Arial" w:cs="Arial"/>
          <w:kern w:val="0"/>
          <w:sz w:val="16"/>
          <w:szCs w:val="16"/>
          <w14:ligatures w14:val="none"/>
        </w:rPr>
        <w:t>Glucose + Oxygen → Carbon Dioxide + Water + Energy (ATP)</w:t>
      </w:r>
    </w:p>
    <w:p w14:paraId="5598688D" w14:textId="77777777" w:rsidR="00960CB8" w:rsidRPr="00FA5F51" w:rsidRDefault="00960CB8" w:rsidP="00960CB8">
      <w:pPr>
        <w:spacing w:after="0" w:line="240" w:lineRule="auto"/>
        <w:rPr>
          <w:rFonts w:ascii="Arial" w:hAnsi="Arial" w:cs="Arial"/>
          <w:kern w:val="0"/>
          <w:sz w:val="16"/>
          <w:szCs w:val="16"/>
          <w14:ligatures w14:val="none"/>
        </w:rPr>
      </w:pPr>
    </w:p>
    <w:p w14:paraId="52EFC875" w14:textId="77777777" w:rsidR="00960CB8" w:rsidRPr="00FA5F51" w:rsidRDefault="00960CB8" w:rsidP="00960CB8">
      <w:pPr>
        <w:spacing w:after="0" w:line="240" w:lineRule="auto"/>
        <w:rPr>
          <w:rFonts w:ascii="Arial" w:hAnsi="Arial" w:cs="Arial"/>
          <w:kern w:val="0"/>
          <w:sz w:val="16"/>
          <w:szCs w:val="16"/>
          <w14:ligatures w14:val="none"/>
        </w:rPr>
      </w:pPr>
      <w:r w:rsidRPr="00FA5F51">
        <w:rPr>
          <w:rFonts w:ascii="Arial" w:hAnsi="Arial" w:cs="Arial"/>
          <w:kern w:val="0"/>
          <w:sz w:val="16"/>
          <w:szCs w:val="16"/>
          <w14:ligatures w14:val="none"/>
        </w:rPr>
        <w:t>This process highlights the interaction between the endocrine, circulatory and respiratory systems. Oxygen is transported by red blood cells from the lungs, while glucose absorbed from food circulates in the bloodstream. Insulin allows glucose to enter cells, enabling aerobic respiration and efficient energy production.</w:t>
      </w:r>
    </w:p>
    <w:p w14:paraId="53EA052C" w14:textId="77777777" w:rsidR="00960CB8" w:rsidRPr="00FA5F51" w:rsidRDefault="00960CB8" w:rsidP="00960CB8">
      <w:pPr>
        <w:spacing w:after="0" w:line="240" w:lineRule="auto"/>
        <w:rPr>
          <w:rFonts w:ascii="Arial" w:hAnsi="Arial" w:cs="Arial"/>
          <w:kern w:val="0"/>
          <w:sz w:val="16"/>
          <w:szCs w:val="16"/>
          <w14:ligatures w14:val="none"/>
        </w:rPr>
      </w:pPr>
    </w:p>
    <w:p w14:paraId="53D54C90" w14:textId="77777777" w:rsidR="00960CB8" w:rsidRPr="00FA5F51" w:rsidRDefault="00960CB8" w:rsidP="00960CB8">
      <w:pPr>
        <w:spacing w:after="0" w:line="240" w:lineRule="auto"/>
        <w:rPr>
          <w:rFonts w:ascii="Arial" w:hAnsi="Arial" w:cs="Arial"/>
          <w:kern w:val="0"/>
          <w:sz w:val="16"/>
          <w:szCs w:val="16"/>
          <w14:ligatures w14:val="none"/>
        </w:rPr>
      </w:pPr>
      <w:r w:rsidRPr="00FA5F51">
        <w:rPr>
          <w:rFonts w:ascii="Arial" w:hAnsi="Arial" w:cs="Arial"/>
          <w:kern w:val="0"/>
          <w:sz w:val="16"/>
          <w:szCs w:val="16"/>
          <w14:ligatures w14:val="none"/>
        </w:rPr>
        <w:t>In people with Type 2 diabetes, insulin resistance limits glucose uptake despite high blood glucose levels. Although oxygen delivery remains normal, reduced intracellular glucose restricts ATP production, leading to fatigue and reduced exercise tolerance (Diabetes UK, 2024). The body increasingly relies on fat metabolism for energy, which is less efficient and may contribute to metabolic disturbances if hyperglycaemia persists.</w:t>
      </w:r>
    </w:p>
    <w:p w14:paraId="38E71983" w14:textId="77777777" w:rsidR="00960CB8" w:rsidRPr="00FA5F51" w:rsidRDefault="00960CB8" w:rsidP="00960CB8">
      <w:pPr>
        <w:spacing w:after="0" w:line="240" w:lineRule="auto"/>
        <w:rPr>
          <w:rFonts w:ascii="Arial" w:hAnsi="Arial" w:cs="Arial"/>
          <w:kern w:val="0"/>
          <w:sz w:val="16"/>
          <w:szCs w:val="16"/>
          <w14:ligatures w14:val="none"/>
        </w:rPr>
      </w:pPr>
    </w:p>
    <w:p w14:paraId="14CA9155" w14:textId="77777777" w:rsidR="00960CB8" w:rsidRPr="00FA5F51" w:rsidRDefault="00960CB8" w:rsidP="00960CB8">
      <w:pPr>
        <w:spacing w:after="0" w:line="240" w:lineRule="auto"/>
        <w:rPr>
          <w:rFonts w:ascii="Arial" w:hAnsi="Arial" w:cs="Arial"/>
          <w:kern w:val="0"/>
          <w:sz w:val="16"/>
          <w:szCs w:val="16"/>
          <w14:ligatures w14:val="none"/>
        </w:rPr>
      </w:pPr>
      <w:r w:rsidRPr="00FA5F51">
        <w:rPr>
          <w:rFonts w:ascii="Arial" w:hAnsi="Arial" w:cs="Arial"/>
          <w:kern w:val="0"/>
          <w:sz w:val="16"/>
          <w:szCs w:val="16"/>
          <w14:ligatures w14:val="none"/>
        </w:rPr>
        <w:t xml:space="preserve">Maintaining stable blood glucose through medication, a balanced diet and regular exercise improves glucose uptake and energy production. Physical activity is particularly beneficial because contracting skeletal muscles can increase glucose uptake through insulin-independent pathways, improving insulin sensitivity and lowering blood glucose levels (Colberg </w:t>
      </w:r>
      <w:r w:rsidRPr="00FA5F51">
        <w:rPr>
          <w:rFonts w:ascii="Arial" w:hAnsi="Arial" w:cs="Arial"/>
          <w:i/>
          <w:iCs/>
          <w:kern w:val="0"/>
          <w:sz w:val="16"/>
          <w:szCs w:val="16"/>
          <w14:ligatures w14:val="none"/>
        </w:rPr>
        <w:t>et al</w:t>
      </w:r>
      <w:r w:rsidRPr="00FA5F51">
        <w:rPr>
          <w:rFonts w:ascii="Arial" w:hAnsi="Arial" w:cs="Arial"/>
          <w:kern w:val="0"/>
          <w:sz w:val="16"/>
          <w:szCs w:val="16"/>
          <w14:ligatures w14:val="none"/>
        </w:rPr>
        <w:t>., 2022). As a result, regular exercise remains a key component of effective Type 2 diabetes management.</w:t>
      </w:r>
    </w:p>
    <w:p w14:paraId="05CF7EB9" w14:textId="77777777" w:rsidR="00682428" w:rsidRPr="00FA5F51" w:rsidRDefault="00682428" w:rsidP="0056083E">
      <w:pPr>
        <w:rPr>
          <w:rFonts w:ascii="Arial" w:hAnsi="Arial" w:cs="Arial"/>
          <w:sz w:val="16"/>
          <w:szCs w:val="16"/>
        </w:rPr>
      </w:pPr>
    </w:p>
    <w:p w14:paraId="5F490650" w14:textId="77777777" w:rsidR="00C30E69" w:rsidRPr="00FA5F51" w:rsidRDefault="00C30E69">
      <w:pPr>
        <w:pStyle w:val="p1"/>
        <w:rPr>
          <w:rFonts w:ascii="Arial" w:hAnsi="Arial" w:cs="Arial"/>
          <w:sz w:val="16"/>
          <w:szCs w:val="16"/>
        </w:rPr>
      </w:pPr>
      <w:r w:rsidRPr="00FA5F51">
        <w:rPr>
          <w:rStyle w:val="s1"/>
          <w:rFonts w:ascii="Arial" w:hAnsi="Arial" w:cs="Arial"/>
          <w:b w:val="0"/>
          <w:bCs w:val="0"/>
          <w:sz w:val="16"/>
          <w:szCs w:val="16"/>
        </w:rPr>
        <w:t>Recording and Tracking Blood Glucose Levels to Support Safe Management of Type 2 Diabetes</w:t>
      </w:r>
    </w:p>
    <w:p w14:paraId="0F841F81" w14:textId="77777777" w:rsidR="00C30E69" w:rsidRPr="00FA5F51" w:rsidRDefault="00C30E69">
      <w:pPr>
        <w:pStyle w:val="p2"/>
        <w:rPr>
          <w:rFonts w:ascii="Arial" w:hAnsi="Arial" w:cs="Arial"/>
          <w:sz w:val="16"/>
          <w:szCs w:val="16"/>
        </w:rPr>
      </w:pPr>
    </w:p>
    <w:p w14:paraId="5AB955AE" w14:textId="77777777" w:rsidR="00C30E69" w:rsidRPr="00FA5F51" w:rsidRDefault="00C30E69">
      <w:pPr>
        <w:pStyle w:val="p1"/>
        <w:rPr>
          <w:rFonts w:ascii="Arial" w:hAnsi="Arial" w:cs="Arial"/>
          <w:sz w:val="16"/>
          <w:szCs w:val="16"/>
        </w:rPr>
      </w:pPr>
      <w:r w:rsidRPr="00FA5F51">
        <w:rPr>
          <w:rStyle w:val="s2"/>
          <w:rFonts w:ascii="Arial" w:hAnsi="Arial" w:cs="Arial"/>
          <w:b w:val="0"/>
          <w:bCs w:val="0"/>
          <w:sz w:val="16"/>
          <w:szCs w:val="16"/>
        </w:rPr>
        <w:t>Regular blood glucose monitoring is a key aspect of Type 2 diabetes management because it helps assess how well the condition is controlled. Monitoring enables patients and healthcare professionals to evaluate the effects of medication, diet, physical activity and illness on glycaemic control. Identifying patterns over time allows treatment to be adjusted, reducing the risk of complications and improving long-term outcomes (NICE, 2022).</w:t>
      </w:r>
    </w:p>
    <w:p w14:paraId="1318C86F" w14:textId="77777777" w:rsidR="00C30E69" w:rsidRPr="00FA5F51" w:rsidRDefault="00C30E69">
      <w:pPr>
        <w:pStyle w:val="p2"/>
        <w:rPr>
          <w:rFonts w:ascii="Arial" w:hAnsi="Arial" w:cs="Arial"/>
          <w:sz w:val="16"/>
          <w:szCs w:val="16"/>
        </w:rPr>
      </w:pPr>
    </w:p>
    <w:p w14:paraId="38CE0418" w14:textId="77777777" w:rsidR="00C30E69" w:rsidRPr="00FA5F51" w:rsidRDefault="00C30E69">
      <w:pPr>
        <w:pStyle w:val="p1"/>
        <w:rPr>
          <w:rFonts w:ascii="Arial" w:hAnsi="Arial" w:cs="Arial"/>
          <w:sz w:val="16"/>
          <w:szCs w:val="16"/>
        </w:rPr>
      </w:pPr>
      <w:r w:rsidRPr="00FA5F51">
        <w:rPr>
          <w:rStyle w:val="s2"/>
          <w:rFonts w:ascii="Arial" w:hAnsi="Arial" w:cs="Arial"/>
          <w:b w:val="0"/>
          <w:bCs w:val="0"/>
          <w:sz w:val="16"/>
          <w:szCs w:val="16"/>
        </w:rPr>
        <w:t>One of the most important measures of long-term glucose control is the glycated haemoglobin (HbA1c) test. Unlike a single blood glucose reading, HbA1c reflects average blood glucose levels over the previous two to three months by measuring the proportion of haemoglobin with glucose attached to it (Diabetes UK, 2024). It is therefore a reliable indicator of overall diabetes management.</w:t>
      </w:r>
    </w:p>
    <w:p w14:paraId="527FE848" w14:textId="77777777" w:rsidR="00C30E69" w:rsidRPr="00FA5F51" w:rsidRDefault="00C30E69">
      <w:pPr>
        <w:pStyle w:val="p2"/>
        <w:rPr>
          <w:rFonts w:ascii="Arial" w:hAnsi="Arial" w:cs="Arial"/>
          <w:sz w:val="16"/>
          <w:szCs w:val="16"/>
        </w:rPr>
      </w:pPr>
    </w:p>
    <w:p w14:paraId="0FFEEAA6" w14:textId="77777777" w:rsidR="00C30E69" w:rsidRPr="00FA5F51" w:rsidRDefault="00C30E69">
      <w:pPr>
        <w:pStyle w:val="p1"/>
        <w:rPr>
          <w:rFonts w:ascii="Arial" w:hAnsi="Arial" w:cs="Arial"/>
          <w:sz w:val="16"/>
          <w:szCs w:val="16"/>
        </w:rPr>
      </w:pPr>
      <w:r w:rsidRPr="00FA5F51">
        <w:rPr>
          <w:rStyle w:val="s2"/>
          <w:rFonts w:ascii="Arial" w:hAnsi="Arial" w:cs="Arial"/>
          <w:b w:val="0"/>
          <w:bCs w:val="0"/>
          <w:sz w:val="16"/>
          <w:szCs w:val="16"/>
        </w:rPr>
        <w:t>NICE (2022) recommends an HbA1c target of 48 mmol/mol (6.5%) for many adults whose diabetes is managed through lifestyle changes or medications that do not increase the risk of hypoglycaemia. Individuals receiving insulin or certain glucose-lowering medications may require personalised targets based on their clinical needs. Regular HbA1c reviews allow healthcare professionals to evaluate treatment effectiveness and make appropriate adjustments.</w:t>
      </w:r>
    </w:p>
    <w:p w14:paraId="417CA9A3" w14:textId="77777777" w:rsidR="00C30E69" w:rsidRPr="00FA5F51" w:rsidRDefault="00C30E69">
      <w:pPr>
        <w:pStyle w:val="p2"/>
        <w:rPr>
          <w:rFonts w:ascii="Arial" w:hAnsi="Arial" w:cs="Arial"/>
          <w:sz w:val="16"/>
          <w:szCs w:val="16"/>
        </w:rPr>
      </w:pPr>
    </w:p>
    <w:p w14:paraId="6684A90E" w14:textId="77777777" w:rsidR="00C30E69" w:rsidRPr="00FA5F51" w:rsidRDefault="00C30E69">
      <w:pPr>
        <w:pStyle w:val="p1"/>
        <w:rPr>
          <w:rFonts w:ascii="Arial" w:hAnsi="Arial" w:cs="Arial"/>
          <w:sz w:val="16"/>
          <w:szCs w:val="16"/>
        </w:rPr>
      </w:pPr>
      <w:r w:rsidRPr="00FA5F51">
        <w:rPr>
          <w:rStyle w:val="s2"/>
          <w:rFonts w:ascii="Arial" w:hAnsi="Arial" w:cs="Arial"/>
          <w:b w:val="0"/>
          <w:bCs w:val="0"/>
          <w:sz w:val="16"/>
          <w:szCs w:val="16"/>
        </w:rPr>
        <w:t>Many people also monitor their blood glucose at home using capillary blood glucose meters. Although routine self-monitoring is not required for everyone with Type 2 diabetes, it is beneficial for those using insulin, experiencing unstable glucose levels or making significant changes to treatment or lifestyle (NICE, 2022). Home monitoring helps identify fluctuations in blood glucose and the factors contributing to hyperglycaemia or hypoglycaemia.</w:t>
      </w:r>
    </w:p>
    <w:p w14:paraId="0A566BEF" w14:textId="77777777" w:rsidR="00C30E69" w:rsidRPr="00FA5F51" w:rsidRDefault="00C30E69">
      <w:pPr>
        <w:pStyle w:val="p2"/>
        <w:rPr>
          <w:rFonts w:ascii="Arial" w:hAnsi="Arial" w:cs="Arial"/>
          <w:sz w:val="16"/>
          <w:szCs w:val="16"/>
        </w:rPr>
      </w:pPr>
    </w:p>
    <w:p w14:paraId="30776E3E" w14:textId="77777777" w:rsidR="00C30E69" w:rsidRPr="00FA5F51" w:rsidRDefault="00C30E69">
      <w:pPr>
        <w:pStyle w:val="p1"/>
        <w:rPr>
          <w:rFonts w:ascii="Arial" w:hAnsi="Arial" w:cs="Arial"/>
          <w:sz w:val="16"/>
          <w:szCs w:val="16"/>
        </w:rPr>
      </w:pPr>
      <w:r w:rsidRPr="00FA5F51">
        <w:rPr>
          <w:rStyle w:val="s2"/>
          <w:rFonts w:ascii="Arial" w:hAnsi="Arial" w:cs="Arial"/>
          <w:b w:val="0"/>
          <w:bCs w:val="0"/>
          <w:sz w:val="16"/>
          <w:szCs w:val="16"/>
        </w:rPr>
        <w:t>Continuous glucose monitoring (CGM) is increasingly used for selected patients. These devices measure glucose levels throughout the day and night using a small sensor beneath the skin, providing real-time readings and trends. This information supports informed decisions about diet, exercise and medication while reducing the need for frequent finger-prick testing (American Diabetes Association, 2024).</w:t>
      </w:r>
    </w:p>
    <w:p w14:paraId="70CCFFC3" w14:textId="77777777" w:rsidR="00C30E69" w:rsidRPr="00FA5F51" w:rsidRDefault="00C30E69">
      <w:pPr>
        <w:pStyle w:val="p2"/>
        <w:rPr>
          <w:rFonts w:ascii="Arial" w:hAnsi="Arial" w:cs="Arial"/>
          <w:sz w:val="16"/>
          <w:szCs w:val="16"/>
        </w:rPr>
      </w:pPr>
    </w:p>
    <w:p w14:paraId="037CC15F" w14:textId="77777777" w:rsidR="00C30E69" w:rsidRPr="00FA5F51" w:rsidRDefault="00C30E69">
      <w:pPr>
        <w:pStyle w:val="p1"/>
        <w:rPr>
          <w:rFonts w:ascii="Arial" w:hAnsi="Arial" w:cs="Arial"/>
          <w:sz w:val="16"/>
          <w:szCs w:val="16"/>
        </w:rPr>
      </w:pPr>
      <w:r w:rsidRPr="00FA5F51">
        <w:rPr>
          <w:rStyle w:val="s2"/>
          <w:rFonts w:ascii="Arial" w:hAnsi="Arial" w:cs="Arial"/>
          <w:b w:val="0"/>
          <w:bCs w:val="0"/>
          <w:sz w:val="16"/>
          <w:szCs w:val="16"/>
        </w:rPr>
        <w:t>Recording blood glucose alongside meals, physical activity, illness and medication helps identify recurring patterns and supports better self-management. For example, consistently high morning readings may indicate the need for medication review or dietary changes, while repeated hypoglycaemic episodes may suggest excessive medication or inadequate carbohydrate intake.</w:t>
      </w:r>
    </w:p>
    <w:p w14:paraId="641311C8" w14:textId="77777777" w:rsidR="00C30E69" w:rsidRPr="00FA5F51" w:rsidRDefault="00C30E69">
      <w:pPr>
        <w:pStyle w:val="p2"/>
        <w:rPr>
          <w:rFonts w:ascii="Arial" w:hAnsi="Arial" w:cs="Arial"/>
          <w:sz w:val="16"/>
          <w:szCs w:val="16"/>
        </w:rPr>
      </w:pPr>
    </w:p>
    <w:p w14:paraId="4A9E0F4E" w14:textId="77777777" w:rsidR="00C30E69" w:rsidRPr="00FA5F51" w:rsidRDefault="00C30E69">
      <w:pPr>
        <w:pStyle w:val="p1"/>
        <w:rPr>
          <w:rFonts w:ascii="Arial" w:hAnsi="Arial" w:cs="Arial"/>
          <w:sz w:val="16"/>
          <w:szCs w:val="16"/>
        </w:rPr>
      </w:pPr>
      <w:r w:rsidRPr="00FA5F51">
        <w:rPr>
          <w:rStyle w:val="s2"/>
          <w:rFonts w:ascii="Arial" w:hAnsi="Arial" w:cs="Arial"/>
          <w:b w:val="0"/>
          <w:bCs w:val="0"/>
          <w:sz w:val="16"/>
          <w:szCs w:val="16"/>
        </w:rPr>
        <w:t>Healthcare professionals also use routinely collected data, including HbA1c, blood pressure, body mass index, cholesterol levels and kidney function tests, to assess diabetes control and identify patients at greater risk of complications. These data also help the NHS evaluate clinical outcomes and improve diabetes services (NHS England, 2023).</w:t>
      </w:r>
    </w:p>
    <w:p w14:paraId="2CBE0186" w14:textId="77777777" w:rsidR="00C30E69" w:rsidRPr="00FA5F51" w:rsidRDefault="00C30E69">
      <w:pPr>
        <w:pStyle w:val="p2"/>
        <w:rPr>
          <w:rFonts w:ascii="Arial" w:hAnsi="Arial" w:cs="Arial"/>
          <w:sz w:val="16"/>
          <w:szCs w:val="16"/>
        </w:rPr>
      </w:pPr>
    </w:p>
    <w:p w14:paraId="104D3186" w14:textId="77777777" w:rsidR="00C30E69" w:rsidRPr="00FA5F51" w:rsidRDefault="00C30E69">
      <w:pPr>
        <w:pStyle w:val="p1"/>
        <w:rPr>
          <w:rFonts w:ascii="Arial" w:hAnsi="Arial" w:cs="Arial"/>
          <w:sz w:val="16"/>
          <w:szCs w:val="16"/>
        </w:rPr>
      </w:pPr>
      <w:r w:rsidRPr="00FA5F51">
        <w:rPr>
          <w:rStyle w:val="s2"/>
          <w:rFonts w:ascii="Arial" w:hAnsi="Arial" w:cs="Arial"/>
          <w:b w:val="0"/>
          <w:bCs w:val="0"/>
          <w:sz w:val="16"/>
          <w:szCs w:val="16"/>
        </w:rPr>
        <w:t>Despite its benefits, blood glucose monitoring has limitations. Individual readings may be influenced by factors such as recent meals, stress, infection, physical activity and medication timing. HbA1c results may also be less accurate in conditions affecting red blood cell lifespan, including some forms of anaemia. Consequently, healthcare professionals should interpret results alongside the patient’s overall clinical picture (World Health Organization, 2023).</w:t>
      </w:r>
    </w:p>
    <w:p w14:paraId="7C718BDC" w14:textId="77777777" w:rsidR="00C30E69" w:rsidRPr="00FA5F51" w:rsidRDefault="00C30E69">
      <w:pPr>
        <w:pStyle w:val="p2"/>
        <w:rPr>
          <w:rFonts w:ascii="Arial" w:hAnsi="Arial" w:cs="Arial"/>
          <w:sz w:val="16"/>
          <w:szCs w:val="16"/>
        </w:rPr>
      </w:pPr>
    </w:p>
    <w:p w14:paraId="2B0F813E" w14:textId="77777777" w:rsidR="00C30E69" w:rsidRPr="00FA5F51" w:rsidRDefault="00C30E69">
      <w:pPr>
        <w:pStyle w:val="p1"/>
        <w:rPr>
          <w:rFonts w:ascii="Arial" w:hAnsi="Arial" w:cs="Arial"/>
          <w:sz w:val="16"/>
          <w:szCs w:val="16"/>
        </w:rPr>
      </w:pPr>
      <w:r w:rsidRPr="00FA5F51">
        <w:rPr>
          <w:rStyle w:val="s2"/>
          <w:rFonts w:ascii="Arial" w:hAnsi="Arial" w:cs="Arial"/>
          <w:b w:val="0"/>
          <w:bCs w:val="0"/>
          <w:sz w:val="16"/>
          <w:szCs w:val="16"/>
        </w:rPr>
        <w:t>Overall, regular blood glucose monitoring and routine clinical assessment enable personalised, evidence-based care. Together, they support improved glycaemic control, reduce the risk of long-term complications and empower individuals to manage their Type 2 diabetes effectively.</w:t>
      </w:r>
    </w:p>
    <w:p w14:paraId="5BE7A8FA" w14:textId="77777777" w:rsidR="00C30E69" w:rsidRPr="00FA5F51" w:rsidRDefault="00C30E69" w:rsidP="0056083E">
      <w:pPr>
        <w:rPr>
          <w:rFonts w:ascii="Arial" w:hAnsi="Arial" w:cs="Arial"/>
          <w:sz w:val="16"/>
          <w:szCs w:val="16"/>
        </w:rPr>
      </w:pPr>
    </w:p>
    <w:p w14:paraId="0EEFB706" w14:textId="77777777" w:rsidR="005B792C" w:rsidRPr="00FA5F51" w:rsidRDefault="005B792C" w:rsidP="005B792C">
      <w:pPr>
        <w:rPr>
          <w:rFonts w:ascii="Arial" w:hAnsi="Arial" w:cs="Arial"/>
          <w:sz w:val="16"/>
          <w:szCs w:val="16"/>
        </w:rPr>
      </w:pPr>
      <w:r w:rsidRPr="00FA5F51">
        <w:rPr>
          <w:rFonts w:ascii="Arial" w:hAnsi="Arial" w:cs="Arial"/>
          <w:sz w:val="16"/>
          <w:szCs w:val="16"/>
        </w:rPr>
        <w:t>Evidence-Based Lifestyle Recommendations for Managing Type 2 Diabetes</w:t>
      </w:r>
    </w:p>
    <w:p w14:paraId="1D4D2691" w14:textId="77777777" w:rsidR="005B792C" w:rsidRPr="00FA5F51" w:rsidRDefault="005B792C" w:rsidP="005B792C">
      <w:pPr>
        <w:rPr>
          <w:rFonts w:ascii="Arial" w:hAnsi="Arial" w:cs="Arial"/>
          <w:sz w:val="16"/>
          <w:szCs w:val="16"/>
        </w:rPr>
      </w:pPr>
    </w:p>
    <w:p w14:paraId="33CD43CC" w14:textId="77777777" w:rsidR="005B792C" w:rsidRPr="00FA5F51" w:rsidRDefault="005B792C" w:rsidP="005B792C">
      <w:pPr>
        <w:rPr>
          <w:rFonts w:ascii="Arial" w:hAnsi="Arial" w:cs="Arial"/>
          <w:sz w:val="16"/>
          <w:szCs w:val="16"/>
        </w:rPr>
      </w:pPr>
      <w:r w:rsidRPr="00FA5F51">
        <w:rPr>
          <w:rFonts w:ascii="Arial" w:hAnsi="Arial" w:cs="Arial"/>
          <w:sz w:val="16"/>
          <w:szCs w:val="16"/>
        </w:rPr>
        <w:t>Lifestyle modification is the cornerstone of Type 2 diabetes management and should be used alongside prescribed medication. Evidence shows that sustained changes to diet, physical activity, and health behaviours can improve glycaemic control, reduce cardiovascular risk, and delay complications (NICE, 2022). Healthcare professionals, particularly practice nurses, play a key role in providing personalised education and ongoing support to help patients set realistic and achievable lifestyle goals.</w:t>
      </w:r>
    </w:p>
    <w:p w14:paraId="64AEA8A6" w14:textId="77777777" w:rsidR="005B792C" w:rsidRPr="00FA5F51" w:rsidRDefault="005B792C" w:rsidP="005B792C">
      <w:pPr>
        <w:rPr>
          <w:rFonts w:ascii="Arial" w:hAnsi="Arial" w:cs="Arial"/>
          <w:sz w:val="16"/>
          <w:szCs w:val="16"/>
        </w:rPr>
      </w:pPr>
    </w:p>
    <w:p w14:paraId="1B88C358" w14:textId="77777777" w:rsidR="005B792C" w:rsidRPr="00FA5F51" w:rsidRDefault="005B792C" w:rsidP="005B792C">
      <w:pPr>
        <w:rPr>
          <w:rFonts w:ascii="Arial" w:hAnsi="Arial" w:cs="Arial"/>
          <w:sz w:val="16"/>
          <w:szCs w:val="16"/>
        </w:rPr>
      </w:pPr>
      <w:r w:rsidRPr="00FA5F51">
        <w:rPr>
          <w:rFonts w:ascii="Arial" w:hAnsi="Arial" w:cs="Arial"/>
          <w:sz w:val="16"/>
          <w:szCs w:val="16"/>
        </w:rPr>
        <w:t>A balanced diet is central to blood glucose control. Individuals should be encouraged to eat foods such as whole grains, vegetables, fruit, legumes, lean protein, and healthy fats, while reducing intake of refined sugars, saturated fats, and highly processed carbohydrates. Low glycaemic index foods can help slow glucose absorption and prevent sharp post-meal spikes (Diabetes UK, 2024). Portion control is also important in preventing weight gain and worsening insulin resistance. Rather than restrictive diets, patients benefit more from sustainable, culturally appropriate eating patterns.</w:t>
      </w:r>
    </w:p>
    <w:p w14:paraId="68BAD50B" w14:textId="77777777" w:rsidR="005B792C" w:rsidRPr="00FA5F51" w:rsidRDefault="005B792C" w:rsidP="005B792C">
      <w:pPr>
        <w:rPr>
          <w:rFonts w:ascii="Arial" w:hAnsi="Arial" w:cs="Arial"/>
          <w:sz w:val="16"/>
          <w:szCs w:val="16"/>
        </w:rPr>
      </w:pPr>
    </w:p>
    <w:p w14:paraId="628BEB2C" w14:textId="77777777" w:rsidR="005B792C" w:rsidRPr="00FA5F51" w:rsidRDefault="005B792C" w:rsidP="005B792C">
      <w:pPr>
        <w:rPr>
          <w:rFonts w:ascii="Arial" w:hAnsi="Arial" w:cs="Arial"/>
          <w:sz w:val="16"/>
          <w:szCs w:val="16"/>
        </w:rPr>
      </w:pPr>
      <w:r w:rsidRPr="00FA5F51">
        <w:rPr>
          <w:rFonts w:ascii="Arial" w:hAnsi="Arial" w:cs="Arial"/>
          <w:sz w:val="16"/>
          <w:szCs w:val="16"/>
        </w:rPr>
        <w:t xml:space="preserve">Maintaining a healthy body weight is also essential, as excess abdominal fat increases insulin resistance. Evidence suggests that a 5–10% weight loss can significantly improve insulin sensitivity, reduce HbA1c levels, and in some cases reduce </w:t>
      </w:r>
      <w:r w:rsidRPr="00FA5F51">
        <w:rPr>
          <w:rFonts w:ascii="Arial" w:hAnsi="Arial" w:cs="Arial"/>
          <w:sz w:val="16"/>
          <w:szCs w:val="16"/>
        </w:rPr>
        <w:lastRenderedPageBreak/>
        <w:t>medication needs (Lean et al., 2018). Support from healthcare professionals and structured weight management programmes can improve long-term success.</w:t>
      </w:r>
    </w:p>
    <w:p w14:paraId="2CC9F192" w14:textId="77777777" w:rsidR="005B792C" w:rsidRPr="00FA5F51" w:rsidRDefault="005B792C" w:rsidP="005B792C">
      <w:pPr>
        <w:rPr>
          <w:rFonts w:ascii="Arial" w:hAnsi="Arial" w:cs="Arial"/>
          <w:sz w:val="16"/>
          <w:szCs w:val="16"/>
        </w:rPr>
      </w:pPr>
    </w:p>
    <w:p w14:paraId="5A4527CF" w14:textId="77777777" w:rsidR="005B792C" w:rsidRPr="00FA5F51" w:rsidRDefault="005B792C" w:rsidP="005B792C">
      <w:pPr>
        <w:rPr>
          <w:rFonts w:ascii="Arial" w:hAnsi="Arial" w:cs="Arial"/>
          <w:sz w:val="16"/>
          <w:szCs w:val="16"/>
        </w:rPr>
      </w:pPr>
      <w:r w:rsidRPr="00FA5F51">
        <w:rPr>
          <w:rFonts w:ascii="Arial" w:hAnsi="Arial" w:cs="Arial"/>
          <w:sz w:val="16"/>
          <w:szCs w:val="16"/>
        </w:rPr>
        <w:t>Regular physical activity improves glucose uptake and insulin sensitivity. Adults are advised to complete at least 150 minutes of moderate aerobic exercise per week, plus muscle-strengthening activities on two or more days (WHO, 2020). Activities such as walking, swimming, and cycling are effective, and reducing sedentary behaviour further improves metabolic health.</w:t>
      </w:r>
    </w:p>
    <w:p w14:paraId="2A150BC3" w14:textId="77777777" w:rsidR="005B792C" w:rsidRPr="00FA5F51" w:rsidRDefault="005B792C" w:rsidP="005B792C">
      <w:pPr>
        <w:rPr>
          <w:rFonts w:ascii="Arial" w:hAnsi="Arial" w:cs="Arial"/>
          <w:sz w:val="16"/>
          <w:szCs w:val="16"/>
        </w:rPr>
      </w:pPr>
    </w:p>
    <w:p w14:paraId="04711056" w14:textId="77777777" w:rsidR="005B792C" w:rsidRPr="00FA5F51" w:rsidRDefault="005B792C" w:rsidP="005B792C">
      <w:pPr>
        <w:rPr>
          <w:rFonts w:ascii="Arial" w:hAnsi="Arial" w:cs="Arial"/>
          <w:sz w:val="16"/>
          <w:szCs w:val="16"/>
        </w:rPr>
      </w:pPr>
      <w:r w:rsidRPr="00FA5F51">
        <w:rPr>
          <w:rFonts w:ascii="Arial" w:hAnsi="Arial" w:cs="Arial"/>
          <w:sz w:val="16"/>
          <w:szCs w:val="16"/>
        </w:rPr>
        <w:t>Smoking cessation is strongly recommended due to its link with cardiovascular and vascular complications. Alcohol intake should also be limited, as excessive consumption can affect blood glucose stability and contribute to weight gain (NHS, 2023).</w:t>
      </w:r>
    </w:p>
    <w:p w14:paraId="008C5437" w14:textId="77777777" w:rsidR="005B792C" w:rsidRPr="00FA5F51" w:rsidRDefault="005B792C" w:rsidP="005B792C">
      <w:pPr>
        <w:rPr>
          <w:rFonts w:ascii="Arial" w:hAnsi="Arial" w:cs="Arial"/>
          <w:sz w:val="16"/>
          <w:szCs w:val="16"/>
        </w:rPr>
      </w:pPr>
    </w:p>
    <w:p w14:paraId="22877276" w14:textId="77777777" w:rsidR="005B792C" w:rsidRPr="00FA5F51" w:rsidRDefault="005B792C" w:rsidP="005B792C">
      <w:pPr>
        <w:rPr>
          <w:rFonts w:ascii="Arial" w:hAnsi="Arial" w:cs="Arial"/>
          <w:sz w:val="16"/>
          <w:szCs w:val="16"/>
        </w:rPr>
      </w:pPr>
      <w:r w:rsidRPr="00FA5F51">
        <w:rPr>
          <w:rFonts w:ascii="Arial" w:hAnsi="Arial" w:cs="Arial"/>
          <w:sz w:val="16"/>
          <w:szCs w:val="16"/>
        </w:rPr>
        <w:t>Sleep quality and stress management also influence glycaemic control. Chronic stress increases cortisol levels, raising blood glucose, while poor sleep is linked to insulin resistance (American Diabetes Association, 2024). Supporting good sleep hygiene and stress reduction techniques can therefore improve outcomes.</w:t>
      </w:r>
    </w:p>
    <w:p w14:paraId="413EE05A" w14:textId="77777777" w:rsidR="005B792C" w:rsidRPr="00FA5F51" w:rsidRDefault="005B792C" w:rsidP="005B792C">
      <w:pPr>
        <w:rPr>
          <w:rFonts w:ascii="Arial" w:hAnsi="Arial" w:cs="Arial"/>
          <w:sz w:val="16"/>
          <w:szCs w:val="16"/>
        </w:rPr>
      </w:pPr>
    </w:p>
    <w:p w14:paraId="2431A69D" w14:textId="77777777" w:rsidR="005B792C" w:rsidRPr="00FA5F51" w:rsidRDefault="005B792C" w:rsidP="005B792C">
      <w:pPr>
        <w:rPr>
          <w:rFonts w:ascii="Arial" w:hAnsi="Arial" w:cs="Arial"/>
          <w:sz w:val="16"/>
          <w:szCs w:val="16"/>
        </w:rPr>
      </w:pPr>
      <w:r w:rsidRPr="00FA5F51">
        <w:rPr>
          <w:rFonts w:ascii="Arial" w:hAnsi="Arial" w:cs="Arial"/>
          <w:sz w:val="16"/>
          <w:szCs w:val="16"/>
        </w:rPr>
        <w:t>Medication adherence remains essential. Lifestyle changes should complement, not replace, prescribed treatment. Patients should be educated on correct medication use, potential side effects, and the importance of regular reviews to support safe self-management.</w:t>
      </w:r>
    </w:p>
    <w:p w14:paraId="1FD1A2F6" w14:textId="77777777" w:rsidR="005B792C" w:rsidRPr="00FA5F51" w:rsidRDefault="005B792C" w:rsidP="005B792C">
      <w:pPr>
        <w:rPr>
          <w:rFonts w:ascii="Arial" w:hAnsi="Arial" w:cs="Arial"/>
          <w:sz w:val="16"/>
          <w:szCs w:val="16"/>
        </w:rPr>
      </w:pPr>
    </w:p>
    <w:p w14:paraId="48658D9C" w14:textId="77777777" w:rsidR="005B792C" w:rsidRPr="00FA5F51" w:rsidRDefault="005B792C" w:rsidP="005B792C">
      <w:pPr>
        <w:rPr>
          <w:rFonts w:ascii="Arial" w:hAnsi="Arial" w:cs="Arial"/>
          <w:sz w:val="16"/>
          <w:szCs w:val="16"/>
        </w:rPr>
      </w:pPr>
      <w:r w:rsidRPr="00FA5F51">
        <w:rPr>
          <w:rFonts w:ascii="Arial" w:hAnsi="Arial" w:cs="Arial"/>
          <w:sz w:val="16"/>
          <w:szCs w:val="16"/>
        </w:rPr>
        <w:t>Overall, effective management of Type 2 diabetes relies on combining evidence-based lifestyle changes with medication, monitoring, and patient education. This holistic approach improves glycaemic control and reduces long-term complications.</w:t>
      </w:r>
    </w:p>
    <w:p w14:paraId="7AF67621" w14:textId="77777777" w:rsidR="005B792C" w:rsidRPr="00FA5F51" w:rsidRDefault="005B792C" w:rsidP="005B792C">
      <w:pPr>
        <w:rPr>
          <w:rFonts w:ascii="Arial" w:hAnsi="Arial" w:cs="Arial"/>
          <w:sz w:val="16"/>
          <w:szCs w:val="16"/>
        </w:rPr>
      </w:pPr>
    </w:p>
    <w:p w14:paraId="5C1ED5BC" w14:textId="77777777" w:rsidR="005B792C" w:rsidRPr="00FA5F51" w:rsidRDefault="005B792C" w:rsidP="005B792C">
      <w:pPr>
        <w:rPr>
          <w:rFonts w:ascii="Arial" w:hAnsi="Arial" w:cs="Arial"/>
          <w:sz w:val="16"/>
          <w:szCs w:val="16"/>
        </w:rPr>
      </w:pPr>
      <w:r w:rsidRPr="00FA5F51">
        <w:rPr>
          <w:rFonts w:ascii="Arial" w:hAnsi="Arial" w:cs="Arial"/>
          <w:sz w:val="16"/>
          <w:szCs w:val="16"/>
        </w:rPr>
        <w:t>⸻</w:t>
      </w:r>
    </w:p>
    <w:p w14:paraId="25FA6FFB" w14:textId="77777777" w:rsidR="005B792C" w:rsidRPr="00FA5F51" w:rsidRDefault="005B792C" w:rsidP="005B792C">
      <w:pPr>
        <w:rPr>
          <w:rFonts w:ascii="Arial" w:hAnsi="Arial" w:cs="Arial"/>
          <w:sz w:val="16"/>
          <w:szCs w:val="16"/>
        </w:rPr>
      </w:pPr>
    </w:p>
    <w:p w14:paraId="13A6AC21" w14:textId="77777777" w:rsidR="005B792C" w:rsidRPr="00FA5F51" w:rsidRDefault="005B792C" w:rsidP="005B792C">
      <w:pPr>
        <w:rPr>
          <w:rFonts w:ascii="Arial" w:hAnsi="Arial" w:cs="Arial"/>
          <w:sz w:val="16"/>
          <w:szCs w:val="16"/>
        </w:rPr>
      </w:pPr>
      <w:r w:rsidRPr="00FA5F51">
        <w:rPr>
          <w:rFonts w:ascii="Arial" w:hAnsi="Arial" w:cs="Arial"/>
          <w:sz w:val="16"/>
          <w:szCs w:val="16"/>
        </w:rPr>
        <w:t>Conclusion</w:t>
      </w:r>
    </w:p>
    <w:p w14:paraId="7C262D73" w14:textId="77777777" w:rsidR="005B792C" w:rsidRPr="00FA5F51" w:rsidRDefault="005B792C" w:rsidP="005B792C">
      <w:pPr>
        <w:rPr>
          <w:rFonts w:ascii="Arial" w:hAnsi="Arial" w:cs="Arial"/>
          <w:sz w:val="16"/>
          <w:szCs w:val="16"/>
        </w:rPr>
      </w:pPr>
    </w:p>
    <w:p w14:paraId="5FAA8F35" w14:textId="77777777" w:rsidR="005B792C" w:rsidRPr="00FA5F51" w:rsidRDefault="005B792C" w:rsidP="005B792C">
      <w:pPr>
        <w:rPr>
          <w:rFonts w:ascii="Arial" w:hAnsi="Arial" w:cs="Arial"/>
          <w:sz w:val="16"/>
          <w:szCs w:val="16"/>
        </w:rPr>
      </w:pPr>
      <w:r w:rsidRPr="00FA5F51">
        <w:rPr>
          <w:rFonts w:ascii="Arial" w:hAnsi="Arial" w:cs="Arial"/>
          <w:sz w:val="16"/>
          <w:szCs w:val="16"/>
        </w:rPr>
        <w:t>Type 2 diabetes is a long-term condition requiring ongoing management to prevent complications. It results from insulin resistance, which disrupts normal glucose regulation and leads to persistent hyperglycaemia, increasing risk of multi-organ damage.</w:t>
      </w:r>
    </w:p>
    <w:p w14:paraId="2D44DCD1" w14:textId="77777777" w:rsidR="005B792C" w:rsidRPr="00FA5F51" w:rsidRDefault="005B792C" w:rsidP="005B792C">
      <w:pPr>
        <w:rPr>
          <w:rFonts w:ascii="Arial" w:hAnsi="Arial" w:cs="Arial"/>
          <w:sz w:val="16"/>
          <w:szCs w:val="16"/>
        </w:rPr>
      </w:pPr>
    </w:p>
    <w:p w14:paraId="45D7FB5E" w14:textId="77777777" w:rsidR="005B792C" w:rsidRPr="00FA5F51" w:rsidRDefault="005B792C" w:rsidP="005B792C">
      <w:pPr>
        <w:rPr>
          <w:rFonts w:ascii="Arial" w:hAnsi="Arial" w:cs="Arial"/>
          <w:sz w:val="16"/>
          <w:szCs w:val="16"/>
        </w:rPr>
      </w:pPr>
      <w:r w:rsidRPr="00FA5F51">
        <w:rPr>
          <w:rFonts w:ascii="Arial" w:hAnsi="Arial" w:cs="Arial"/>
          <w:sz w:val="16"/>
          <w:szCs w:val="16"/>
        </w:rPr>
        <w:t>Monitoring through HbA1c testing and self-monitoring helps assess treatment effectiveness and guide clinical decisions. Routine healthcare data also supports evidence-based, individualised care by identifying trends and disease progression.</w:t>
      </w:r>
    </w:p>
    <w:p w14:paraId="09D31CE5" w14:textId="77777777" w:rsidR="005B792C" w:rsidRPr="00FA5F51" w:rsidRDefault="005B792C" w:rsidP="005B792C">
      <w:pPr>
        <w:rPr>
          <w:rFonts w:ascii="Arial" w:hAnsi="Arial" w:cs="Arial"/>
          <w:sz w:val="16"/>
          <w:szCs w:val="16"/>
        </w:rPr>
      </w:pPr>
    </w:p>
    <w:p w14:paraId="2799768E" w14:textId="03082535" w:rsidR="00C26D9C" w:rsidRPr="00FA5F51" w:rsidRDefault="005B792C" w:rsidP="0056083E">
      <w:pPr>
        <w:rPr>
          <w:rFonts w:ascii="Arial" w:hAnsi="Arial" w:cs="Arial"/>
          <w:sz w:val="16"/>
          <w:szCs w:val="16"/>
        </w:rPr>
      </w:pPr>
      <w:r w:rsidRPr="00FA5F51">
        <w:rPr>
          <w:rFonts w:ascii="Arial" w:hAnsi="Arial" w:cs="Arial"/>
          <w:sz w:val="16"/>
          <w:szCs w:val="16"/>
        </w:rPr>
        <w:t>Lifestyle modification remains central to management, including healthy diet, exercise, weight control, smoking cessation, limited alcohol intake, stress management, and medication adherence. Practice nurses are essential in supporting patients to adopt and maintain these behaviours, enabling improved outcomes and quality of life.</w:t>
      </w:r>
    </w:p>
    <w:p w14:paraId="7F10E7FF" w14:textId="77777777" w:rsidR="0034112C" w:rsidRPr="00FA5F51" w:rsidRDefault="0034112C" w:rsidP="0056083E">
      <w:pPr>
        <w:rPr>
          <w:rFonts w:ascii="Arial" w:hAnsi="Arial" w:cs="Arial"/>
          <w:sz w:val="16"/>
          <w:szCs w:val="16"/>
        </w:rPr>
      </w:pPr>
    </w:p>
    <w:p w14:paraId="2BAAE8BD" w14:textId="77777777" w:rsidR="0034112C" w:rsidRPr="00FA5F51" w:rsidRDefault="0034112C" w:rsidP="0056083E">
      <w:pPr>
        <w:rPr>
          <w:rFonts w:ascii="Arial" w:hAnsi="Arial" w:cs="Arial"/>
          <w:sz w:val="16"/>
          <w:szCs w:val="16"/>
        </w:rPr>
      </w:pPr>
    </w:p>
    <w:p w14:paraId="20243191" w14:textId="77777777" w:rsidR="0034112C" w:rsidRPr="00FA5F51" w:rsidRDefault="0034112C" w:rsidP="0056083E">
      <w:pPr>
        <w:rPr>
          <w:rFonts w:ascii="Arial" w:hAnsi="Arial" w:cs="Arial"/>
          <w:sz w:val="16"/>
          <w:szCs w:val="16"/>
        </w:rPr>
      </w:pPr>
    </w:p>
    <w:p w14:paraId="6F94F92C" w14:textId="77777777" w:rsidR="00CF661A" w:rsidRPr="00FA5F51" w:rsidRDefault="00CF661A" w:rsidP="00CF661A">
      <w:pPr>
        <w:rPr>
          <w:rFonts w:ascii="Arial" w:hAnsi="Arial" w:cs="Arial"/>
          <w:sz w:val="16"/>
          <w:szCs w:val="16"/>
        </w:rPr>
      </w:pPr>
      <w:r w:rsidRPr="00FA5F51">
        <w:rPr>
          <w:rFonts w:ascii="Arial" w:hAnsi="Arial" w:cs="Arial"/>
          <w:sz w:val="16"/>
          <w:szCs w:val="16"/>
        </w:rPr>
        <w:t>References</w:t>
      </w:r>
    </w:p>
    <w:p w14:paraId="4127F6DC" w14:textId="77777777" w:rsidR="00CF661A" w:rsidRPr="00FA5F51" w:rsidRDefault="00CF661A" w:rsidP="00CF661A">
      <w:pPr>
        <w:rPr>
          <w:rFonts w:ascii="Arial" w:hAnsi="Arial" w:cs="Arial"/>
          <w:sz w:val="16"/>
          <w:szCs w:val="16"/>
        </w:rPr>
      </w:pPr>
    </w:p>
    <w:p w14:paraId="353622B9" w14:textId="77777777" w:rsidR="00CF661A" w:rsidRPr="00FA5F51" w:rsidRDefault="00CF661A" w:rsidP="00CF661A">
      <w:pPr>
        <w:rPr>
          <w:rFonts w:ascii="Arial" w:hAnsi="Arial" w:cs="Arial"/>
          <w:sz w:val="16"/>
          <w:szCs w:val="16"/>
        </w:rPr>
      </w:pPr>
      <w:r w:rsidRPr="00FA5F51">
        <w:rPr>
          <w:rFonts w:ascii="Arial" w:hAnsi="Arial" w:cs="Arial"/>
          <w:sz w:val="16"/>
          <w:szCs w:val="16"/>
        </w:rPr>
        <w:t>American Diabetes Association (2024) Standards of Care in Diabetes—2024. Diabetes Care, 47(Suppl. 1).</w:t>
      </w:r>
    </w:p>
    <w:p w14:paraId="78DEF403" w14:textId="77777777" w:rsidR="00CF661A" w:rsidRPr="00FA5F51" w:rsidRDefault="00CF661A" w:rsidP="00CF661A">
      <w:pPr>
        <w:rPr>
          <w:rFonts w:ascii="Arial" w:hAnsi="Arial" w:cs="Arial"/>
          <w:sz w:val="16"/>
          <w:szCs w:val="16"/>
        </w:rPr>
      </w:pPr>
    </w:p>
    <w:p w14:paraId="1C440B02" w14:textId="77777777" w:rsidR="00CF661A" w:rsidRPr="00FA5F51" w:rsidRDefault="00CF661A" w:rsidP="00CF661A">
      <w:pPr>
        <w:rPr>
          <w:rFonts w:ascii="Arial" w:hAnsi="Arial" w:cs="Arial"/>
          <w:sz w:val="16"/>
          <w:szCs w:val="16"/>
        </w:rPr>
      </w:pPr>
      <w:r w:rsidRPr="00FA5F51">
        <w:rPr>
          <w:rFonts w:ascii="Arial" w:hAnsi="Arial" w:cs="Arial"/>
          <w:sz w:val="16"/>
          <w:szCs w:val="16"/>
        </w:rPr>
        <w:t>Colberg, S.R., Sigal, R.J., Yardley, J.E., Riddell, M.C., Dunstan, D.W., Dempsey, P.C., Horton, E.S., Castorino, K. and Tate, D.F. (2022) Physical Activity/Exercise and Diabetes. Diabetes Care.</w:t>
      </w:r>
    </w:p>
    <w:p w14:paraId="7966FF33" w14:textId="77777777" w:rsidR="00CF661A" w:rsidRPr="00FA5F51" w:rsidRDefault="00CF661A" w:rsidP="00CF661A">
      <w:pPr>
        <w:rPr>
          <w:rFonts w:ascii="Arial" w:hAnsi="Arial" w:cs="Arial"/>
          <w:sz w:val="16"/>
          <w:szCs w:val="16"/>
        </w:rPr>
      </w:pPr>
    </w:p>
    <w:p w14:paraId="7F593F8F" w14:textId="77777777" w:rsidR="00CF661A" w:rsidRPr="00FA5F51" w:rsidRDefault="00CF661A" w:rsidP="00CF661A">
      <w:pPr>
        <w:rPr>
          <w:rFonts w:ascii="Arial" w:hAnsi="Arial" w:cs="Arial"/>
          <w:sz w:val="16"/>
          <w:szCs w:val="16"/>
        </w:rPr>
      </w:pPr>
      <w:r w:rsidRPr="00FA5F51">
        <w:rPr>
          <w:rFonts w:ascii="Arial" w:hAnsi="Arial" w:cs="Arial"/>
          <w:sz w:val="16"/>
          <w:szCs w:val="16"/>
        </w:rPr>
        <w:t>Diabetes UK (2024) Type 2 Diabetes. Available at: https://www.diabetes.org.uk (Accessed: 27 June 2026).</w:t>
      </w:r>
    </w:p>
    <w:p w14:paraId="1DE850B4" w14:textId="77777777" w:rsidR="00CF661A" w:rsidRPr="00FA5F51" w:rsidRDefault="00CF661A" w:rsidP="00CF661A">
      <w:pPr>
        <w:rPr>
          <w:rFonts w:ascii="Arial" w:hAnsi="Arial" w:cs="Arial"/>
          <w:sz w:val="16"/>
          <w:szCs w:val="16"/>
        </w:rPr>
      </w:pPr>
    </w:p>
    <w:p w14:paraId="746CD7B0" w14:textId="77777777" w:rsidR="00CF661A" w:rsidRPr="00FA5F51" w:rsidRDefault="00CF661A" w:rsidP="00CF661A">
      <w:pPr>
        <w:rPr>
          <w:rFonts w:ascii="Arial" w:hAnsi="Arial" w:cs="Arial"/>
          <w:sz w:val="16"/>
          <w:szCs w:val="16"/>
        </w:rPr>
      </w:pPr>
      <w:r w:rsidRPr="00FA5F51">
        <w:rPr>
          <w:rFonts w:ascii="Arial" w:hAnsi="Arial" w:cs="Arial"/>
          <w:sz w:val="16"/>
          <w:szCs w:val="16"/>
        </w:rPr>
        <w:t>Hall, J.E. and Hall, M.E. (2021) Guyton and Hall Textbook of Medical Physiology. 15th edn. Philadelphia: Elsevier.</w:t>
      </w:r>
    </w:p>
    <w:p w14:paraId="0E9B7406" w14:textId="77777777" w:rsidR="00CF661A" w:rsidRPr="00FA5F51" w:rsidRDefault="00CF661A" w:rsidP="00CF661A">
      <w:pPr>
        <w:rPr>
          <w:rFonts w:ascii="Arial" w:hAnsi="Arial" w:cs="Arial"/>
          <w:sz w:val="16"/>
          <w:szCs w:val="16"/>
        </w:rPr>
      </w:pPr>
    </w:p>
    <w:p w14:paraId="7CBED208" w14:textId="77777777" w:rsidR="00CF661A" w:rsidRPr="00FA5F51" w:rsidRDefault="00CF661A" w:rsidP="00CF661A">
      <w:pPr>
        <w:rPr>
          <w:rFonts w:ascii="Arial" w:hAnsi="Arial" w:cs="Arial"/>
          <w:sz w:val="16"/>
          <w:szCs w:val="16"/>
        </w:rPr>
      </w:pPr>
      <w:r w:rsidRPr="00FA5F51">
        <w:rPr>
          <w:rFonts w:ascii="Arial" w:hAnsi="Arial" w:cs="Arial"/>
          <w:sz w:val="16"/>
          <w:szCs w:val="16"/>
        </w:rPr>
        <w:t>Lean, M.E.J., Leslie, W.S., Barnes, A.C., Brosnahan, N., Thom, G., McCombie, L., Peters, C., Zhyzhneuskaya, S., Al-Mrabeh, A. and Hollingsworth, K.G. et al. (2018) ‘Primary care-led weight management for remission of Type 2 diabetes (DiRECT): an open-label, cluster-randomised trial’, The Lancet, 391(10120), pp. 541–551.</w:t>
      </w:r>
    </w:p>
    <w:p w14:paraId="3F8C8487" w14:textId="77777777" w:rsidR="00CF661A" w:rsidRPr="00FA5F51" w:rsidRDefault="00CF661A" w:rsidP="00CF661A">
      <w:pPr>
        <w:rPr>
          <w:rFonts w:ascii="Arial" w:hAnsi="Arial" w:cs="Arial"/>
          <w:sz w:val="16"/>
          <w:szCs w:val="16"/>
        </w:rPr>
      </w:pPr>
    </w:p>
    <w:p w14:paraId="0CC5000B" w14:textId="77777777" w:rsidR="00CF661A" w:rsidRPr="00FA5F51" w:rsidRDefault="00CF661A" w:rsidP="00CF661A">
      <w:pPr>
        <w:rPr>
          <w:rFonts w:ascii="Arial" w:hAnsi="Arial" w:cs="Arial"/>
          <w:sz w:val="16"/>
          <w:szCs w:val="16"/>
        </w:rPr>
      </w:pPr>
      <w:r w:rsidRPr="00FA5F51">
        <w:rPr>
          <w:rFonts w:ascii="Arial" w:hAnsi="Arial" w:cs="Arial"/>
          <w:sz w:val="16"/>
          <w:szCs w:val="16"/>
        </w:rPr>
        <w:t>National Institute for Health and Care Excellence (NICE) (2022) Type 2 diabetes in adults: management (NG28). London: NICE.</w:t>
      </w:r>
    </w:p>
    <w:p w14:paraId="7C9F6708" w14:textId="77777777" w:rsidR="00CF661A" w:rsidRPr="00FA5F51" w:rsidRDefault="00CF661A" w:rsidP="00CF661A">
      <w:pPr>
        <w:rPr>
          <w:rFonts w:ascii="Arial" w:hAnsi="Arial" w:cs="Arial"/>
          <w:sz w:val="16"/>
          <w:szCs w:val="16"/>
        </w:rPr>
      </w:pPr>
    </w:p>
    <w:p w14:paraId="0A409139" w14:textId="77777777" w:rsidR="00CF661A" w:rsidRPr="00FA5F51" w:rsidRDefault="00CF661A" w:rsidP="00CF661A">
      <w:pPr>
        <w:rPr>
          <w:rFonts w:ascii="Arial" w:hAnsi="Arial" w:cs="Arial"/>
          <w:sz w:val="16"/>
          <w:szCs w:val="16"/>
        </w:rPr>
      </w:pPr>
      <w:r w:rsidRPr="00FA5F51">
        <w:rPr>
          <w:rFonts w:ascii="Arial" w:hAnsi="Arial" w:cs="Arial"/>
          <w:sz w:val="16"/>
          <w:szCs w:val="16"/>
        </w:rPr>
        <w:t>NHS (2023) Type 2 Diabetes. Available at: https://www.nhs.uk/conditions/type-2-diabetes/ (Accessed: 27 June 2026).</w:t>
      </w:r>
    </w:p>
    <w:p w14:paraId="6A100029" w14:textId="77777777" w:rsidR="00CF661A" w:rsidRPr="00FA5F51" w:rsidRDefault="00CF661A" w:rsidP="00CF661A">
      <w:pPr>
        <w:rPr>
          <w:rFonts w:ascii="Arial" w:hAnsi="Arial" w:cs="Arial"/>
          <w:sz w:val="16"/>
          <w:szCs w:val="16"/>
        </w:rPr>
      </w:pPr>
    </w:p>
    <w:p w14:paraId="02E3178A" w14:textId="77777777" w:rsidR="00CF661A" w:rsidRPr="00FA5F51" w:rsidRDefault="00CF661A" w:rsidP="00CF661A">
      <w:pPr>
        <w:rPr>
          <w:rFonts w:ascii="Arial" w:hAnsi="Arial" w:cs="Arial"/>
          <w:sz w:val="16"/>
          <w:szCs w:val="16"/>
        </w:rPr>
      </w:pPr>
      <w:r w:rsidRPr="00FA5F51">
        <w:rPr>
          <w:rFonts w:ascii="Arial" w:hAnsi="Arial" w:cs="Arial"/>
          <w:sz w:val="16"/>
          <w:szCs w:val="16"/>
        </w:rPr>
        <w:t>NHS England (2023) National Diabetes Programme. Available at: https://www.england.nhs.uk (Accessed: 27 June 2026).</w:t>
      </w:r>
    </w:p>
    <w:p w14:paraId="5D0AB929" w14:textId="77777777" w:rsidR="00CF661A" w:rsidRPr="00FA5F51" w:rsidRDefault="00CF661A" w:rsidP="00CF661A">
      <w:pPr>
        <w:rPr>
          <w:rFonts w:ascii="Arial" w:hAnsi="Arial" w:cs="Arial"/>
          <w:sz w:val="16"/>
          <w:szCs w:val="16"/>
        </w:rPr>
      </w:pPr>
    </w:p>
    <w:p w14:paraId="7F6E444B" w14:textId="77777777" w:rsidR="00CF661A" w:rsidRPr="00FA5F51" w:rsidRDefault="00CF661A" w:rsidP="00CF661A">
      <w:pPr>
        <w:rPr>
          <w:rFonts w:ascii="Arial" w:hAnsi="Arial" w:cs="Arial"/>
          <w:sz w:val="16"/>
          <w:szCs w:val="16"/>
        </w:rPr>
      </w:pPr>
      <w:r w:rsidRPr="00FA5F51">
        <w:rPr>
          <w:rFonts w:ascii="Arial" w:hAnsi="Arial" w:cs="Arial"/>
          <w:sz w:val="16"/>
          <w:szCs w:val="16"/>
        </w:rPr>
        <w:t>OpenStax (2023) Biology 2e. Houston, TX: OpenStax, Rice University.</w:t>
      </w:r>
    </w:p>
    <w:p w14:paraId="443EDF64" w14:textId="77777777" w:rsidR="00CF661A" w:rsidRPr="00FA5F51" w:rsidRDefault="00CF661A" w:rsidP="00CF661A">
      <w:pPr>
        <w:rPr>
          <w:rFonts w:ascii="Arial" w:hAnsi="Arial" w:cs="Arial"/>
          <w:sz w:val="16"/>
          <w:szCs w:val="16"/>
        </w:rPr>
      </w:pPr>
    </w:p>
    <w:p w14:paraId="3B0CD99E" w14:textId="77777777" w:rsidR="00CF661A" w:rsidRPr="00FA5F51" w:rsidRDefault="00CF661A" w:rsidP="00CF661A">
      <w:pPr>
        <w:rPr>
          <w:rFonts w:ascii="Arial" w:hAnsi="Arial" w:cs="Arial"/>
          <w:sz w:val="16"/>
          <w:szCs w:val="16"/>
        </w:rPr>
      </w:pPr>
      <w:r w:rsidRPr="00FA5F51">
        <w:rPr>
          <w:rFonts w:ascii="Arial" w:hAnsi="Arial" w:cs="Arial"/>
          <w:sz w:val="16"/>
          <w:szCs w:val="16"/>
        </w:rPr>
        <w:t>World Health Organization (2020) WHO Guidelines on Physical Activity and Sedentary Behaviour. Geneva: World Health Organization.</w:t>
      </w:r>
    </w:p>
    <w:p w14:paraId="77055784" w14:textId="77777777" w:rsidR="00CF661A" w:rsidRPr="00FA5F51" w:rsidRDefault="00CF661A" w:rsidP="00CF661A">
      <w:pPr>
        <w:rPr>
          <w:rFonts w:ascii="Arial" w:hAnsi="Arial" w:cs="Arial"/>
          <w:sz w:val="16"/>
          <w:szCs w:val="16"/>
        </w:rPr>
      </w:pPr>
    </w:p>
    <w:p w14:paraId="1A7C8AEF" w14:textId="22FB49FB" w:rsidR="0034112C" w:rsidRPr="00FA5F51" w:rsidRDefault="00CF661A" w:rsidP="0056083E">
      <w:pPr>
        <w:rPr>
          <w:rFonts w:ascii="Arial" w:hAnsi="Arial" w:cs="Arial"/>
          <w:sz w:val="16"/>
          <w:szCs w:val="16"/>
        </w:rPr>
      </w:pPr>
      <w:r w:rsidRPr="00FA5F51">
        <w:rPr>
          <w:rFonts w:ascii="Arial" w:hAnsi="Arial" w:cs="Arial"/>
          <w:sz w:val="16"/>
          <w:szCs w:val="16"/>
        </w:rPr>
        <w:t>World Health Organization (2023) Diabetes. Geneva: World Health Organization. Available at: https://www.who.int (Accessed: 27 June 2026).</w:t>
      </w:r>
    </w:p>
    <w:sectPr w:rsidR="0034112C" w:rsidRPr="00FA5F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F UI">
    <w:altName w:val="Cambria"/>
    <w:panose1 w:val="020B0604020202020204"/>
    <w:charset w:val="00"/>
    <w:family w:val="roman"/>
    <w:pitch w:val="default"/>
  </w:font>
  <w:font w:name=".SFUI-Heavy">
    <w:altName w:val="Cambria"/>
    <w:panose1 w:val="020B0604020202020204"/>
    <w:charset w:val="00"/>
    <w:family w:val="roman"/>
    <w:pitch w:val="default"/>
  </w:font>
  <w:font w:name=".SFUI-Semibold">
    <w:altName w:val="Cambria"/>
    <w:panose1 w:val="020B0604020202020204"/>
    <w:charset w:val="00"/>
    <w:family w:val="roman"/>
    <w:pitch w:val="default"/>
  </w:font>
  <w:font w:name=".SFUI-SemiboldItalic">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4"/>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E44"/>
    <w:rsid w:val="001A53CC"/>
    <w:rsid w:val="0034112C"/>
    <w:rsid w:val="004553B0"/>
    <w:rsid w:val="00467F58"/>
    <w:rsid w:val="0056083E"/>
    <w:rsid w:val="0056391B"/>
    <w:rsid w:val="005B792C"/>
    <w:rsid w:val="005E1589"/>
    <w:rsid w:val="006131AC"/>
    <w:rsid w:val="00677543"/>
    <w:rsid w:val="00682428"/>
    <w:rsid w:val="0073404E"/>
    <w:rsid w:val="00760888"/>
    <w:rsid w:val="00944E44"/>
    <w:rsid w:val="00951959"/>
    <w:rsid w:val="00960CB8"/>
    <w:rsid w:val="009F6B59"/>
    <w:rsid w:val="00A94A90"/>
    <w:rsid w:val="00C26D9C"/>
    <w:rsid w:val="00C30E69"/>
    <w:rsid w:val="00C33AC4"/>
    <w:rsid w:val="00CF661A"/>
    <w:rsid w:val="00EA2765"/>
    <w:rsid w:val="00F269FC"/>
    <w:rsid w:val="00FA5F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239A5B4"/>
  <w15:chartTrackingRefBased/>
  <w15:docId w15:val="{DCE5DCE4-9E61-AA4C-B381-CCDEF7991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4E4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44E4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44E4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44E4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44E4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44E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4E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4E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4E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4E4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44E4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44E4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44E4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44E4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44E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4E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4E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4E44"/>
    <w:rPr>
      <w:rFonts w:eastAsiaTheme="majorEastAsia" w:cstheme="majorBidi"/>
      <w:color w:val="272727" w:themeColor="text1" w:themeTint="D8"/>
    </w:rPr>
  </w:style>
  <w:style w:type="paragraph" w:styleId="Title">
    <w:name w:val="Title"/>
    <w:basedOn w:val="Normal"/>
    <w:next w:val="Normal"/>
    <w:link w:val="TitleChar"/>
    <w:uiPriority w:val="10"/>
    <w:qFormat/>
    <w:rsid w:val="00944E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4E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4E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4E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4E44"/>
    <w:pPr>
      <w:spacing w:before="160"/>
      <w:jc w:val="center"/>
    </w:pPr>
    <w:rPr>
      <w:i/>
      <w:iCs/>
      <w:color w:val="404040" w:themeColor="text1" w:themeTint="BF"/>
    </w:rPr>
  </w:style>
  <w:style w:type="character" w:customStyle="1" w:styleId="QuoteChar">
    <w:name w:val="Quote Char"/>
    <w:basedOn w:val="DefaultParagraphFont"/>
    <w:link w:val="Quote"/>
    <w:uiPriority w:val="29"/>
    <w:rsid w:val="00944E44"/>
    <w:rPr>
      <w:i/>
      <w:iCs/>
      <w:color w:val="404040" w:themeColor="text1" w:themeTint="BF"/>
    </w:rPr>
  </w:style>
  <w:style w:type="paragraph" w:styleId="ListParagraph">
    <w:name w:val="List Paragraph"/>
    <w:basedOn w:val="Normal"/>
    <w:uiPriority w:val="34"/>
    <w:qFormat/>
    <w:rsid w:val="00944E44"/>
    <w:pPr>
      <w:ind w:left="720"/>
      <w:contextualSpacing/>
    </w:pPr>
  </w:style>
  <w:style w:type="character" w:styleId="IntenseEmphasis">
    <w:name w:val="Intense Emphasis"/>
    <w:basedOn w:val="DefaultParagraphFont"/>
    <w:uiPriority w:val="21"/>
    <w:qFormat/>
    <w:rsid w:val="00944E44"/>
    <w:rPr>
      <w:i/>
      <w:iCs/>
      <w:color w:val="2F5496" w:themeColor="accent1" w:themeShade="BF"/>
    </w:rPr>
  </w:style>
  <w:style w:type="paragraph" w:styleId="IntenseQuote">
    <w:name w:val="Intense Quote"/>
    <w:basedOn w:val="Normal"/>
    <w:next w:val="Normal"/>
    <w:link w:val="IntenseQuoteChar"/>
    <w:uiPriority w:val="30"/>
    <w:qFormat/>
    <w:rsid w:val="00944E4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44E44"/>
    <w:rPr>
      <w:i/>
      <w:iCs/>
      <w:color w:val="2F5496" w:themeColor="accent1" w:themeShade="BF"/>
    </w:rPr>
  </w:style>
  <w:style w:type="character" w:styleId="IntenseReference">
    <w:name w:val="Intense Reference"/>
    <w:basedOn w:val="DefaultParagraphFont"/>
    <w:uiPriority w:val="32"/>
    <w:qFormat/>
    <w:rsid w:val="00944E44"/>
    <w:rPr>
      <w:b/>
      <w:bCs/>
      <w:smallCaps/>
      <w:color w:val="2F5496" w:themeColor="accent1" w:themeShade="BF"/>
      <w:spacing w:val="5"/>
    </w:rPr>
  </w:style>
  <w:style w:type="paragraph" w:customStyle="1" w:styleId="p1">
    <w:name w:val="p1"/>
    <w:basedOn w:val="Normal"/>
    <w:rsid w:val="00677543"/>
    <w:pPr>
      <w:spacing w:after="0" w:line="240" w:lineRule="auto"/>
    </w:pPr>
    <w:rPr>
      <w:rFonts w:ascii=".SF UI" w:hAnsi=".SF UI" w:cs="Times New Roman"/>
      <w:kern w:val="0"/>
      <w:sz w:val="26"/>
      <w:szCs w:val="26"/>
      <w14:ligatures w14:val="none"/>
    </w:rPr>
  </w:style>
  <w:style w:type="paragraph" w:customStyle="1" w:styleId="p2">
    <w:name w:val="p2"/>
    <w:basedOn w:val="Normal"/>
    <w:rsid w:val="00677543"/>
    <w:pPr>
      <w:spacing w:after="0" w:line="240" w:lineRule="auto"/>
    </w:pPr>
    <w:rPr>
      <w:rFonts w:ascii=".SF UI" w:hAnsi=".SF UI" w:cs="Times New Roman"/>
      <w:kern w:val="0"/>
      <w:sz w:val="26"/>
      <w:szCs w:val="26"/>
      <w14:ligatures w14:val="none"/>
    </w:rPr>
  </w:style>
  <w:style w:type="character" w:customStyle="1" w:styleId="s1">
    <w:name w:val="s1"/>
    <w:basedOn w:val="DefaultParagraphFont"/>
    <w:rsid w:val="00677543"/>
    <w:rPr>
      <w:rFonts w:ascii=".SFUI-Heavy" w:hAnsi=".SFUI-Heavy" w:hint="default"/>
      <w:b/>
      <w:bCs/>
      <w:i w:val="0"/>
      <w:iCs w:val="0"/>
      <w:sz w:val="26"/>
      <w:szCs w:val="26"/>
    </w:rPr>
  </w:style>
  <w:style w:type="character" w:customStyle="1" w:styleId="s2">
    <w:name w:val="s2"/>
    <w:basedOn w:val="DefaultParagraphFont"/>
    <w:rsid w:val="00677543"/>
    <w:rPr>
      <w:rFonts w:ascii=".SFUI-Semibold" w:hAnsi=".SFUI-Semibold" w:hint="default"/>
      <w:b/>
      <w:bCs/>
      <w:i w:val="0"/>
      <w:iCs w:val="0"/>
      <w:sz w:val="26"/>
      <w:szCs w:val="26"/>
    </w:rPr>
  </w:style>
  <w:style w:type="character" w:customStyle="1" w:styleId="s3">
    <w:name w:val="s3"/>
    <w:basedOn w:val="DefaultParagraphFont"/>
    <w:rsid w:val="00960CB8"/>
    <w:rPr>
      <w:rFonts w:ascii=".SFUI-SemiboldItalic" w:hAnsi=".SFUI-SemiboldItalic" w:hint="default"/>
      <w:b/>
      <w:bCs/>
      <w:i/>
      <w:i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2305</Words>
  <Characters>13142</Characters>
  <Application>Microsoft Office Word</Application>
  <DocSecurity>0</DocSecurity>
  <Lines>109</Lines>
  <Paragraphs>30</Paragraphs>
  <ScaleCrop>false</ScaleCrop>
  <Company/>
  <LinksUpToDate>false</LinksUpToDate>
  <CharactersWithSpaces>15417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Arzu Mustafa</dc:creator>
  <cp:keywords/>
  <dc:description/>
  <cp:lastModifiedBy>Arzu Mustafa</cp:lastModifiedBy>
  <cp:revision>2</cp:revision>
  <dcterms:created xsi:type="dcterms:W3CDTF">2026-06-27T02:37:00Z</dcterms:created>
  <dcterms:modified xsi:type="dcterms:W3CDTF">2026-06-27T02:37:00Z</dcterms:modified>
</cp:coreProperties>
</file>