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888302399"/>
        <w:docPartObj>
          <w:docPartGallery w:val="Cover Pages"/>
          <w:docPartUnique/>
        </w:docPartObj>
      </w:sdtPr>
      <w:sdtContent>
        <w:p w:rsidR="007D759B" w:rsidRDefault="00797F76" w14:paraId="79E93EB2" w14:textId="1106453D">
          <w:r>
            <w:rPr>
              <w:noProof/>
            </w:rPr>
            <mc:AlternateContent>
              <mc:Choice Requires="wps">
                <w:drawing>
                  <wp:anchor distT="0" distB="0" distL="182880" distR="182880" simplePos="0" relativeHeight="251664384" behindDoc="0" locked="0" layoutInCell="1" allowOverlap="1" wp14:anchorId="2C063811" wp14:editId="0D9B616A">
                    <wp:simplePos x="0" y="0"/>
                    <wp:positionH relativeFrom="margin">
                      <wp:posOffset>-370840</wp:posOffset>
                    </wp:positionH>
                    <wp:positionV relativeFrom="page">
                      <wp:posOffset>1327546</wp:posOffset>
                    </wp:positionV>
                    <wp:extent cx="6700520" cy="6720840"/>
                    <wp:effectExtent l="0" t="0" r="5080" b="13970"/>
                    <wp:wrapNone/>
                    <wp:docPr id="253401263" name="Text Box 253401263"/>
                    <wp:cNvGraphicFramePr/>
                    <a:graphic xmlns:a="http://schemas.openxmlformats.org/drawingml/2006/main">
                      <a:graphicData uri="http://schemas.microsoft.com/office/word/2010/wordprocessingShape">
                        <wps:wsp>
                          <wps:cNvSpPr txBox="1"/>
                          <wps:spPr>
                            <a:xfrm>
                              <a:off x="0" y="0"/>
                              <a:ext cx="670052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015C6C" w:rsidR="00797F76" w:rsidP="00797F76" w:rsidRDefault="00797F76" w14:paraId="578AF13A" w14:textId="77777777">
                                <w:pPr>
                                  <w:spacing w:before="80" w:after="40"/>
                                  <w:jc w:val="center"/>
                                  <w:rPr>
                                    <w:b/>
                                    <w:bCs/>
                                    <w:color w:val="000000" w:themeColor="text1"/>
                                    <w:sz w:val="40"/>
                                    <w:szCs w:val="40"/>
                                  </w:rPr>
                                </w:pPr>
                                <w:r w:rsidRPr="00015C6C">
                                  <w:rPr>
                                    <w:color w:val="000000" w:themeColor="text1"/>
                                    <w:sz w:val="40"/>
                                    <w:szCs w:val="40"/>
                                  </w:rPr>
                                  <w:t>NAME:</w:t>
                                </w:r>
                                <w:r w:rsidRPr="00015C6C">
                                  <w:rPr>
                                    <w:b/>
                                    <w:bCs/>
                                    <w:color w:val="000000" w:themeColor="text1"/>
                                    <w:sz w:val="40"/>
                                    <w:szCs w:val="40"/>
                                  </w:rPr>
                                  <w:t xml:space="preserve"> </w:t>
                                </w:r>
                                <w:r>
                                  <w:rPr>
                                    <w:b/>
                                    <w:bCs/>
                                    <w:color w:val="000000" w:themeColor="text1"/>
                                    <w:sz w:val="40"/>
                                    <w:szCs w:val="40"/>
                                  </w:rPr>
                                  <w:t xml:space="preserve">  </w:t>
                                </w:r>
                                <w:r w:rsidRPr="00015C6C">
                                  <w:rPr>
                                    <w:b/>
                                    <w:bCs/>
                                    <w:color w:val="000000" w:themeColor="text1"/>
                                    <w:sz w:val="40"/>
                                    <w:szCs w:val="40"/>
                                  </w:rPr>
                                  <w:t>PRISCILLA OPPONG</w:t>
                                </w:r>
                              </w:p>
                              <w:p w:rsidRPr="00015C6C" w:rsidR="00797F76" w:rsidP="00797F76" w:rsidRDefault="00797F76" w14:paraId="085526D3" w14:textId="77777777">
                                <w:pPr>
                                  <w:spacing w:before="80" w:after="40"/>
                                  <w:jc w:val="center"/>
                                  <w:rPr>
                                    <w:b/>
                                    <w:bCs/>
                                    <w:caps/>
                                    <w:color w:val="000000" w:themeColor="text1"/>
                                    <w:sz w:val="40"/>
                                    <w:szCs w:val="40"/>
                                  </w:rPr>
                                </w:pPr>
                                <w:r w:rsidRPr="00015C6C">
                                  <w:rPr>
                                    <w:color w:val="000000" w:themeColor="text1"/>
                                    <w:sz w:val="40"/>
                                    <w:szCs w:val="40"/>
                                  </w:rPr>
                                  <w:t xml:space="preserve">STUDENT NUMBER: </w:t>
                                </w:r>
                                <w:r>
                                  <w:rPr>
                                    <w:color w:val="000000" w:themeColor="text1"/>
                                    <w:sz w:val="40"/>
                                    <w:szCs w:val="40"/>
                                  </w:rPr>
                                  <w:t xml:space="preserve"> </w:t>
                                </w:r>
                                <w:r w:rsidRPr="00015C6C">
                                  <w:rPr>
                                    <w:b/>
                                    <w:bCs/>
                                    <w:color w:val="000000" w:themeColor="text1"/>
                                    <w:sz w:val="40"/>
                                    <w:szCs w:val="40"/>
                                  </w:rPr>
                                  <w:t>2332573</w:t>
                                </w:r>
                              </w:p>
                              <w:p w:rsidR="00797F76" w:rsidP="007D759B" w:rsidRDefault="00797F76" w14:paraId="3455B845" w14:textId="77777777">
                                <w:pPr>
                                  <w:spacing w:before="80" w:after="40"/>
                                  <w:jc w:val="center"/>
                                  <w:rPr>
                                    <w:b/>
                                    <w:bCs/>
                                    <w:color w:val="000000" w:themeColor="text1"/>
                                    <w:sz w:val="36"/>
                                    <w:szCs w:val="36"/>
                                  </w:rPr>
                                </w:pPr>
                              </w:p>
                              <w:p w:rsidR="00015C6C" w:rsidP="007D759B" w:rsidRDefault="00015C6C" w14:paraId="52890E2E" w14:textId="54860409">
                                <w:pPr>
                                  <w:spacing w:before="80" w:after="40"/>
                                  <w:jc w:val="center"/>
                                  <w:rPr>
                                    <w:b/>
                                    <w:bCs/>
                                    <w:color w:val="000000" w:themeColor="text1"/>
                                    <w:sz w:val="36"/>
                                    <w:szCs w:val="36"/>
                                  </w:rPr>
                                </w:pPr>
                                <w:r w:rsidRPr="00015C6C">
                                  <w:rPr>
                                    <w:b/>
                                    <w:bCs/>
                                    <w:color w:val="000000" w:themeColor="text1"/>
                                    <w:sz w:val="36"/>
                                    <w:szCs w:val="36"/>
                                  </w:rPr>
                                  <w:t>MODULE TITLE:</w:t>
                                </w:r>
                              </w:p>
                              <w:p w:rsidR="00015C6C" w:rsidP="007D759B" w:rsidRDefault="00015C6C" w14:paraId="7CBC35FE" w14:textId="059F7CF2">
                                <w:pPr>
                                  <w:spacing w:before="80" w:after="40"/>
                                  <w:jc w:val="center"/>
                                  <w:rPr>
                                    <w:b/>
                                    <w:bCs/>
                                    <w:color w:val="000000" w:themeColor="text1"/>
                                    <w:sz w:val="36"/>
                                    <w:szCs w:val="36"/>
                                  </w:rPr>
                                </w:pPr>
                                <w:r w:rsidRPr="00015C6C">
                                  <w:rPr>
                                    <w:b/>
                                    <w:bCs/>
                                    <w:color w:val="000000" w:themeColor="text1"/>
                                    <w:sz w:val="36"/>
                                    <w:szCs w:val="36"/>
                                  </w:rPr>
                                  <w:t xml:space="preserve"> </w:t>
                                </w:r>
                                <w:r>
                                  <w:rPr>
                                    <w:b/>
                                    <w:bCs/>
                                    <w:color w:val="000000" w:themeColor="text1"/>
                                    <w:sz w:val="36"/>
                                    <w:szCs w:val="36"/>
                                  </w:rPr>
                                  <w:t>Digital</w:t>
                                </w:r>
                                <w:r w:rsidRPr="00015C6C">
                                  <w:rPr>
                                    <w:b/>
                                    <w:bCs/>
                                    <w:color w:val="000000" w:themeColor="text1"/>
                                    <w:sz w:val="36"/>
                                    <w:szCs w:val="36"/>
                                  </w:rPr>
                                  <w:t xml:space="preserve"> transformation in the health and care profession</w:t>
                                </w:r>
                              </w:p>
                              <w:p w:rsidRPr="00015C6C" w:rsidR="00015C6C" w:rsidP="007D759B" w:rsidRDefault="00015C6C" w14:paraId="5B895458" w14:textId="77777777">
                                <w:pPr>
                                  <w:spacing w:before="80" w:after="40"/>
                                  <w:jc w:val="center"/>
                                  <w:rPr>
                                    <w:b/>
                                    <w:bCs/>
                                    <w:color w:val="000000" w:themeColor="text1"/>
                                    <w:sz w:val="36"/>
                                    <w:szCs w:val="36"/>
                                  </w:rPr>
                                </w:pPr>
                              </w:p>
                              <w:p w:rsidR="00015C6C" w:rsidP="007D759B" w:rsidRDefault="00015C6C" w14:paraId="4E209AA5" w14:textId="77777777">
                                <w:pPr>
                                  <w:spacing w:before="80" w:after="40"/>
                                  <w:jc w:val="center"/>
                                  <w:rPr>
                                    <w:b/>
                                    <w:bCs/>
                                    <w:color w:val="000000" w:themeColor="text1"/>
                                    <w:sz w:val="36"/>
                                    <w:szCs w:val="36"/>
                                  </w:rPr>
                                </w:pPr>
                                <w:r w:rsidRPr="00015C6C">
                                  <w:rPr>
                                    <w:b/>
                                    <w:bCs/>
                                    <w:color w:val="000000" w:themeColor="text1"/>
                                    <w:sz w:val="36"/>
                                    <w:szCs w:val="36"/>
                                  </w:rPr>
                                  <w:t xml:space="preserve">MODULE CODE: </w:t>
                                </w:r>
                              </w:p>
                              <w:p w:rsidR="00015C6C" w:rsidP="007D759B" w:rsidRDefault="00015C6C" w14:paraId="76FBA4EA" w14:textId="6EF1D260">
                                <w:pPr>
                                  <w:spacing w:before="80" w:after="40"/>
                                  <w:jc w:val="center"/>
                                  <w:rPr>
                                    <w:b/>
                                    <w:bCs/>
                                    <w:color w:val="000000" w:themeColor="text1"/>
                                    <w:sz w:val="36"/>
                                    <w:szCs w:val="36"/>
                                  </w:rPr>
                                </w:pPr>
                                <w:r>
                                  <w:rPr>
                                    <w:b/>
                                    <w:bCs/>
                                    <w:color w:val="000000" w:themeColor="text1"/>
                                    <w:sz w:val="36"/>
                                    <w:szCs w:val="36"/>
                                  </w:rPr>
                                  <w:t>BMHP6026-BIRM</w:t>
                                </w:r>
                              </w:p>
                              <w:p w:rsidR="00015C6C" w:rsidP="007D759B" w:rsidRDefault="00015C6C" w14:paraId="3FE20375" w14:textId="77777777">
                                <w:pPr>
                                  <w:spacing w:before="80" w:after="40"/>
                                  <w:jc w:val="center"/>
                                  <w:rPr>
                                    <w:b/>
                                    <w:bCs/>
                                    <w:color w:val="000000" w:themeColor="text1"/>
                                    <w:sz w:val="36"/>
                                    <w:szCs w:val="36"/>
                                  </w:rPr>
                                </w:pPr>
                              </w:p>
                              <w:p w:rsidR="00015C6C" w:rsidP="007D759B" w:rsidRDefault="00015C6C" w14:paraId="1C5F58AA" w14:textId="77777777">
                                <w:pPr>
                                  <w:spacing w:before="80" w:after="40"/>
                                  <w:jc w:val="center"/>
                                  <w:rPr>
                                    <w:b/>
                                    <w:bCs/>
                                    <w:color w:val="000000" w:themeColor="text1"/>
                                    <w:sz w:val="36"/>
                                    <w:szCs w:val="36"/>
                                  </w:rPr>
                                </w:pPr>
                                <w:r w:rsidRPr="00015C6C">
                                  <w:rPr>
                                    <w:b/>
                                    <w:bCs/>
                                    <w:color w:val="000000" w:themeColor="text1"/>
                                    <w:sz w:val="36"/>
                                    <w:szCs w:val="36"/>
                                  </w:rPr>
                                  <w:t>ASSIGNMENT TITLE:</w:t>
                                </w:r>
                              </w:p>
                              <w:p w:rsidR="00015C6C" w:rsidP="007D759B" w:rsidRDefault="00015C6C" w14:paraId="6B77F31D" w14:textId="17CAA6EB">
                                <w:pPr>
                                  <w:spacing w:before="80" w:after="40"/>
                                  <w:jc w:val="center"/>
                                  <w:rPr>
                                    <w:b/>
                                    <w:bCs/>
                                    <w:color w:val="000000" w:themeColor="text1"/>
                                    <w:sz w:val="36"/>
                                    <w:szCs w:val="36"/>
                                  </w:rPr>
                                </w:pPr>
                                <w:r w:rsidRPr="00015C6C">
                                  <w:rPr>
                                    <w:b/>
                                    <w:bCs/>
                                    <w:color w:val="000000" w:themeColor="text1"/>
                                    <w:sz w:val="36"/>
                                    <w:szCs w:val="36"/>
                                  </w:rPr>
                                  <w:t xml:space="preserve"> </w:t>
                                </w:r>
                                <w:r>
                                  <w:rPr>
                                    <w:b/>
                                    <w:bCs/>
                                    <w:color w:val="000000" w:themeColor="text1"/>
                                    <w:sz w:val="36"/>
                                    <w:szCs w:val="36"/>
                                  </w:rPr>
                                  <w:t>Component</w:t>
                                </w:r>
                                <w:r w:rsidRPr="00015C6C">
                                  <w:rPr>
                                    <w:b/>
                                    <w:bCs/>
                                    <w:color w:val="000000" w:themeColor="text1"/>
                                    <w:sz w:val="36"/>
                                    <w:szCs w:val="36"/>
                                  </w:rPr>
                                  <w:t xml:space="preserve"> 1: </w:t>
                                </w:r>
                                <w:r>
                                  <w:rPr>
                                    <w:b/>
                                    <w:bCs/>
                                    <w:color w:val="000000" w:themeColor="text1"/>
                                    <w:sz w:val="36"/>
                                    <w:szCs w:val="36"/>
                                  </w:rPr>
                                  <w:t>W</w:t>
                                </w:r>
                                <w:r w:rsidRPr="00015C6C">
                                  <w:rPr>
                                    <w:b/>
                                    <w:bCs/>
                                    <w:color w:val="000000" w:themeColor="text1"/>
                                    <w:sz w:val="36"/>
                                    <w:szCs w:val="36"/>
                                  </w:rPr>
                                  <w:t>ritten report</w:t>
                                </w:r>
                              </w:p>
                              <w:p w:rsidR="00797F76" w:rsidP="007D759B" w:rsidRDefault="00797F76" w14:paraId="3C06759B" w14:textId="77777777">
                                <w:pPr>
                                  <w:spacing w:before="80" w:after="40"/>
                                  <w:jc w:val="center"/>
                                  <w:rPr>
                                    <w:b/>
                                    <w:bCs/>
                                    <w:color w:val="000000" w:themeColor="text1"/>
                                    <w:sz w:val="36"/>
                                    <w:szCs w:val="36"/>
                                  </w:rPr>
                                </w:pPr>
                              </w:p>
                              <w:p w:rsidRPr="007D759B" w:rsidR="00797F76" w:rsidP="00797F76" w:rsidRDefault="00797F76" w14:paraId="728D6624" w14:textId="77777777">
                                <w:pPr>
                                  <w:pStyle w:val="NoSpacing"/>
                                  <w:spacing w:before="80" w:after="40"/>
                                  <w:jc w:val="center"/>
                                  <w:rPr>
                                    <w:b/>
                                    <w:bCs/>
                                    <w:color w:val="000000" w:themeColor="text1"/>
                                    <w:sz w:val="48"/>
                                    <w:szCs w:val="48"/>
                                  </w:rPr>
                                </w:pPr>
                                <w:r w:rsidRPr="007D759B">
                                  <w:rPr>
                                    <w:b/>
                                    <w:bCs/>
                                    <w:color w:val="000000" w:themeColor="text1"/>
                                    <w:sz w:val="48"/>
                                    <w:szCs w:val="48"/>
                                  </w:rPr>
                                  <w:t>A Comprehensive Review of the Adoption of Technology-Driven Virtual Wards in UK Healthcare and Social Services</w:t>
                                </w:r>
                              </w:p>
                              <w:p w:rsidRPr="00015C6C" w:rsidR="00797F76" w:rsidP="007D759B" w:rsidRDefault="00797F76" w14:paraId="2D17510F" w14:textId="77777777">
                                <w:pPr>
                                  <w:spacing w:before="80" w:after="40"/>
                                  <w:jc w:val="center"/>
                                  <w:rPr>
                                    <w:b/>
                                    <w:bCs/>
                                    <w:caps/>
                                    <w:color w:val="000000" w:themeColor="text1"/>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w14:anchorId="422F857C">
                  <v:shapetype id="_x0000_t202" coordsize="21600,21600" o:spt="202" path="m,l,21600r21600,l21600,xe" w14:anchorId="2C063811">
                    <v:stroke joinstyle="miter"/>
                    <v:path gradientshapeok="t" o:connecttype="rect"/>
                  </v:shapetype>
                  <v:shape id="Text Box 253401263" style="position:absolute;left:0;text-align:left;margin-left:-29.2pt;margin-top:104.55pt;width:527.6pt;height:529.2pt;z-index:251664384;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">
                    <v:textbox style="mso-fit-shape-to-text:t" inset="0,0,0,0">
                      <w:txbxContent>
                        <w:p w:rsidRPr="00015C6C" w:rsidR="00797F76" w:rsidP="00797F76" w:rsidRDefault="00797F76" w14:paraId="1B7C8132" w14:textId="77777777">
                          <w:pPr>
                            <w:spacing w:before="80" w:after="40"/>
                            <w:jc w:val="center"/>
                            <w:rPr>
                              <w:b/>
                              <w:bCs/>
                              <w:color w:val="000000" w:themeColor="text1"/>
                              <w:sz w:val="40"/>
                              <w:szCs w:val="40"/>
                            </w:rPr>
                          </w:pPr>
                          <w:r w:rsidRPr="00015C6C">
                            <w:rPr>
                              <w:color w:val="000000" w:themeColor="text1"/>
                              <w:sz w:val="40"/>
                              <w:szCs w:val="40"/>
                            </w:rPr>
                            <w:t>NAME:</w:t>
                          </w:r>
                          <w:r w:rsidRPr="00015C6C">
                            <w:rPr>
                              <w:b/>
                              <w:bCs/>
                              <w:color w:val="000000" w:themeColor="text1"/>
                              <w:sz w:val="40"/>
                              <w:szCs w:val="40"/>
                            </w:rPr>
                            <w:t xml:space="preserve"> </w:t>
                          </w:r>
                          <w:r>
                            <w:rPr>
                              <w:b/>
                              <w:bCs/>
                              <w:color w:val="000000" w:themeColor="text1"/>
                              <w:sz w:val="40"/>
                              <w:szCs w:val="40"/>
                            </w:rPr>
                            <w:t xml:space="preserve">  </w:t>
                          </w:r>
                          <w:r w:rsidRPr="00015C6C">
                            <w:rPr>
                              <w:b/>
                              <w:bCs/>
                              <w:color w:val="000000" w:themeColor="text1"/>
                              <w:sz w:val="40"/>
                              <w:szCs w:val="40"/>
                            </w:rPr>
                            <w:t>PRISCILLA OPPONG</w:t>
                          </w:r>
                        </w:p>
                        <w:p w:rsidRPr="00015C6C" w:rsidR="00797F76" w:rsidP="00797F76" w:rsidRDefault="00797F76" w14:paraId="488991A6" w14:textId="77777777">
                          <w:pPr>
                            <w:spacing w:before="80" w:after="40"/>
                            <w:jc w:val="center"/>
                            <w:rPr>
                              <w:b/>
                              <w:bCs/>
                              <w:caps/>
                              <w:color w:val="000000" w:themeColor="text1"/>
                              <w:sz w:val="40"/>
                              <w:szCs w:val="40"/>
                            </w:rPr>
                          </w:pPr>
                          <w:r w:rsidRPr="00015C6C">
                            <w:rPr>
                              <w:color w:val="000000" w:themeColor="text1"/>
                              <w:sz w:val="40"/>
                              <w:szCs w:val="40"/>
                            </w:rPr>
                            <w:t xml:space="preserve">STUDENT NUMBER: </w:t>
                          </w:r>
                          <w:r>
                            <w:rPr>
                              <w:color w:val="000000" w:themeColor="text1"/>
                              <w:sz w:val="40"/>
                              <w:szCs w:val="40"/>
                            </w:rPr>
                            <w:t xml:space="preserve"> </w:t>
                          </w:r>
                          <w:r w:rsidRPr="00015C6C">
                            <w:rPr>
                              <w:b/>
                              <w:bCs/>
                              <w:color w:val="000000" w:themeColor="text1"/>
                              <w:sz w:val="40"/>
                              <w:szCs w:val="40"/>
                            </w:rPr>
                            <w:t>2332573</w:t>
                          </w:r>
                        </w:p>
                        <w:p w:rsidR="00797F76" w:rsidP="007D759B" w:rsidRDefault="00797F76" w14:paraId="672A6659" w14:textId="77777777">
                          <w:pPr>
                            <w:spacing w:before="80" w:after="40"/>
                            <w:jc w:val="center"/>
                            <w:rPr>
                              <w:b/>
                              <w:bCs/>
                              <w:color w:val="000000" w:themeColor="text1"/>
                              <w:sz w:val="36"/>
                              <w:szCs w:val="36"/>
                            </w:rPr>
                          </w:pPr>
                        </w:p>
                        <w:p w:rsidR="00015C6C" w:rsidP="007D759B" w:rsidRDefault="00015C6C" w14:paraId="72E0063E" w14:textId="54860409">
                          <w:pPr>
                            <w:spacing w:before="80" w:after="40"/>
                            <w:jc w:val="center"/>
                            <w:rPr>
                              <w:b/>
                              <w:bCs/>
                              <w:color w:val="000000" w:themeColor="text1"/>
                              <w:sz w:val="36"/>
                              <w:szCs w:val="36"/>
                            </w:rPr>
                          </w:pPr>
                          <w:r w:rsidRPr="00015C6C">
                            <w:rPr>
                              <w:b/>
                              <w:bCs/>
                              <w:color w:val="000000" w:themeColor="text1"/>
                              <w:sz w:val="36"/>
                              <w:szCs w:val="36"/>
                            </w:rPr>
                            <w:t>MODULE TITLE:</w:t>
                          </w:r>
                        </w:p>
                        <w:p w:rsidR="00015C6C" w:rsidP="007D759B" w:rsidRDefault="00015C6C" w14:paraId="179A306F" w14:textId="059F7CF2">
                          <w:pPr>
                            <w:spacing w:before="80" w:after="40"/>
                            <w:jc w:val="center"/>
                            <w:rPr>
                              <w:b/>
                              <w:bCs/>
                              <w:color w:val="000000" w:themeColor="text1"/>
                              <w:sz w:val="36"/>
                              <w:szCs w:val="36"/>
                            </w:rPr>
                          </w:pPr>
                          <w:r w:rsidRPr="00015C6C">
                            <w:rPr>
                              <w:b/>
                              <w:bCs/>
                              <w:color w:val="000000" w:themeColor="text1"/>
                              <w:sz w:val="36"/>
                              <w:szCs w:val="36"/>
                            </w:rPr>
                            <w:t xml:space="preserve"> </w:t>
                          </w:r>
                          <w:r>
                            <w:rPr>
                              <w:b/>
                              <w:bCs/>
                              <w:color w:val="000000" w:themeColor="text1"/>
                              <w:sz w:val="36"/>
                              <w:szCs w:val="36"/>
                            </w:rPr>
                            <w:t>Digital</w:t>
                          </w:r>
                          <w:r w:rsidRPr="00015C6C">
                            <w:rPr>
                              <w:b/>
                              <w:bCs/>
                              <w:color w:val="000000" w:themeColor="text1"/>
                              <w:sz w:val="36"/>
                              <w:szCs w:val="36"/>
                            </w:rPr>
                            <w:t xml:space="preserve"> transformation in the health and care profession</w:t>
                          </w:r>
                        </w:p>
                        <w:p w:rsidRPr="00015C6C" w:rsidR="00015C6C" w:rsidP="007D759B" w:rsidRDefault="00015C6C" w14:paraId="0A37501D" w14:textId="77777777">
                          <w:pPr>
                            <w:spacing w:before="80" w:after="40"/>
                            <w:jc w:val="center"/>
                            <w:rPr>
                              <w:b/>
                              <w:bCs/>
                              <w:color w:val="000000" w:themeColor="text1"/>
                              <w:sz w:val="36"/>
                              <w:szCs w:val="36"/>
                            </w:rPr>
                          </w:pPr>
                        </w:p>
                        <w:p w:rsidR="00015C6C" w:rsidP="007D759B" w:rsidRDefault="00015C6C" w14:paraId="714E758D" w14:textId="77777777">
                          <w:pPr>
                            <w:spacing w:before="80" w:after="40"/>
                            <w:jc w:val="center"/>
                            <w:rPr>
                              <w:b/>
                              <w:bCs/>
                              <w:color w:val="000000" w:themeColor="text1"/>
                              <w:sz w:val="36"/>
                              <w:szCs w:val="36"/>
                            </w:rPr>
                          </w:pPr>
                          <w:r w:rsidRPr="00015C6C">
                            <w:rPr>
                              <w:b/>
                              <w:bCs/>
                              <w:color w:val="000000" w:themeColor="text1"/>
                              <w:sz w:val="36"/>
                              <w:szCs w:val="36"/>
                            </w:rPr>
                            <w:t xml:space="preserve">MODULE CODE: </w:t>
                          </w:r>
                        </w:p>
                        <w:p w:rsidR="00015C6C" w:rsidP="007D759B" w:rsidRDefault="00015C6C" w14:paraId="3F690D2E" w14:textId="6EF1D260">
                          <w:pPr>
                            <w:spacing w:before="80" w:after="40"/>
                            <w:jc w:val="center"/>
                            <w:rPr>
                              <w:b/>
                              <w:bCs/>
                              <w:color w:val="000000" w:themeColor="text1"/>
                              <w:sz w:val="36"/>
                              <w:szCs w:val="36"/>
                            </w:rPr>
                          </w:pPr>
                          <w:r>
                            <w:rPr>
                              <w:b/>
                              <w:bCs/>
                              <w:color w:val="000000" w:themeColor="text1"/>
                              <w:sz w:val="36"/>
                              <w:szCs w:val="36"/>
                            </w:rPr>
                            <w:t>BMHP6026-BIRM</w:t>
                          </w:r>
                        </w:p>
                        <w:p w:rsidR="00015C6C" w:rsidP="007D759B" w:rsidRDefault="00015C6C" w14:paraId="5DAB6C7B" w14:textId="77777777">
                          <w:pPr>
                            <w:spacing w:before="80" w:after="40"/>
                            <w:jc w:val="center"/>
                            <w:rPr>
                              <w:b/>
                              <w:bCs/>
                              <w:color w:val="000000" w:themeColor="text1"/>
                              <w:sz w:val="36"/>
                              <w:szCs w:val="36"/>
                            </w:rPr>
                          </w:pPr>
                        </w:p>
                        <w:p w:rsidR="00015C6C" w:rsidP="007D759B" w:rsidRDefault="00015C6C" w14:paraId="02B1EA0B" w14:textId="77777777">
                          <w:pPr>
                            <w:spacing w:before="80" w:after="40"/>
                            <w:jc w:val="center"/>
                            <w:rPr>
                              <w:b/>
                              <w:bCs/>
                              <w:color w:val="000000" w:themeColor="text1"/>
                              <w:sz w:val="36"/>
                              <w:szCs w:val="36"/>
                            </w:rPr>
                          </w:pPr>
                          <w:r w:rsidRPr="00015C6C">
                            <w:rPr>
                              <w:b/>
                              <w:bCs/>
                              <w:color w:val="000000" w:themeColor="text1"/>
                              <w:sz w:val="36"/>
                              <w:szCs w:val="36"/>
                            </w:rPr>
                            <w:t>ASSIGNMENT TITLE:</w:t>
                          </w:r>
                        </w:p>
                        <w:p w:rsidR="00015C6C" w:rsidP="007D759B" w:rsidRDefault="00015C6C" w14:paraId="4B7F3C7C" w14:textId="17CAA6EB">
                          <w:pPr>
                            <w:spacing w:before="80" w:after="40"/>
                            <w:jc w:val="center"/>
                            <w:rPr>
                              <w:b/>
                              <w:bCs/>
                              <w:color w:val="000000" w:themeColor="text1"/>
                              <w:sz w:val="36"/>
                              <w:szCs w:val="36"/>
                            </w:rPr>
                          </w:pPr>
                          <w:r w:rsidRPr="00015C6C">
                            <w:rPr>
                              <w:b/>
                              <w:bCs/>
                              <w:color w:val="000000" w:themeColor="text1"/>
                              <w:sz w:val="36"/>
                              <w:szCs w:val="36"/>
                            </w:rPr>
                            <w:t xml:space="preserve"> </w:t>
                          </w:r>
                          <w:r>
                            <w:rPr>
                              <w:b/>
                              <w:bCs/>
                              <w:color w:val="000000" w:themeColor="text1"/>
                              <w:sz w:val="36"/>
                              <w:szCs w:val="36"/>
                            </w:rPr>
                            <w:t>Component</w:t>
                          </w:r>
                          <w:r w:rsidRPr="00015C6C">
                            <w:rPr>
                              <w:b/>
                              <w:bCs/>
                              <w:color w:val="000000" w:themeColor="text1"/>
                              <w:sz w:val="36"/>
                              <w:szCs w:val="36"/>
                            </w:rPr>
                            <w:t xml:space="preserve"> 1: </w:t>
                          </w:r>
                          <w:r>
                            <w:rPr>
                              <w:b/>
                              <w:bCs/>
                              <w:color w:val="000000" w:themeColor="text1"/>
                              <w:sz w:val="36"/>
                              <w:szCs w:val="36"/>
                            </w:rPr>
                            <w:t>W</w:t>
                          </w:r>
                          <w:r w:rsidRPr="00015C6C">
                            <w:rPr>
                              <w:b/>
                              <w:bCs/>
                              <w:color w:val="000000" w:themeColor="text1"/>
                              <w:sz w:val="36"/>
                              <w:szCs w:val="36"/>
                            </w:rPr>
                            <w:t>ritten report</w:t>
                          </w:r>
                        </w:p>
                        <w:p w:rsidR="00797F76" w:rsidP="007D759B" w:rsidRDefault="00797F76" w14:paraId="02EB378F" w14:textId="77777777">
                          <w:pPr>
                            <w:spacing w:before="80" w:after="40"/>
                            <w:jc w:val="center"/>
                            <w:rPr>
                              <w:b/>
                              <w:bCs/>
                              <w:color w:val="000000" w:themeColor="text1"/>
                              <w:sz w:val="36"/>
                              <w:szCs w:val="36"/>
                            </w:rPr>
                          </w:pPr>
                        </w:p>
                        <w:p w:rsidRPr="007D759B" w:rsidR="00797F76" w:rsidP="00797F76" w:rsidRDefault="00797F76" w14:paraId="0988BA92" w14:textId="77777777">
                          <w:pPr>
                            <w:pStyle w:val="NoSpacing"/>
                            <w:spacing w:before="80" w:after="40"/>
                            <w:jc w:val="center"/>
                            <w:rPr>
                              <w:b/>
                              <w:bCs/>
                              <w:color w:val="000000" w:themeColor="text1"/>
                              <w:sz w:val="48"/>
                              <w:szCs w:val="48"/>
                            </w:rPr>
                          </w:pPr>
                          <w:r w:rsidRPr="007D759B">
                            <w:rPr>
                              <w:b/>
                              <w:bCs/>
                              <w:color w:val="000000" w:themeColor="text1"/>
                              <w:sz w:val="48"/>
                              <w:szCs w:val="48"/>
                            </w:rPr>
                            <w:t>A Comprehensive Review of the Adoption of Technology-Driven Virtual Wards in UK Healthcare and Social Services</w:t>
                          </w:r>
                        </w:p>
                        <w:p w:rsidRPr="00015C6C" w:rsidR="00797F76" w:rsidP="007D759B" w:rsidRDefault="00797F76" w14:paraId="6A05A809" w14:textId="77777777">
                          <w:pPr>
                            <w:spacing w:before="80" w:after="40"/>
                            <w:jc w:val="center"/>
                            <w:rPr>
                              <w:b/>
                              <w:bCs/>
                              <w:caps/>
                              <w:color w:val="000000" w:themeColor="text1"/>
                              <w:sz w:val="36"/>
                              <w:szCs w:val="36"/>
                            </w:rPr>
                          </w:pPr>
                        </w:p>
                      </w:txbxContent>
                    </v:textbox>
                    <w10:wrap anchorx="margin" anchory="page"/>
                  </v:shape>
                </w:pict>
              </mc:Fallback>
            </mc:AlternateContent>
          </w:r>
        </w:p>
        <w:p w:rsidR="007D759B" w:rsidRDefault="007D759B" w14:paraId="2ADEE255" w14:textId="62DE9BA7">
          <w:pPr>
            <w:spacing w:line="278" w:lineRule="auto"/>
            <w:jc w:val="left"/>
            <w:rPr>
              <w:rFonts w:eastAsiaTheme="majorEastAsia" w:cstheme="majorBidi"/>
              <w:b/>
              <w:color w:val="000000" w:themeColor="text1"/>
              <w:sz w:val="28"/>
              <w:szCs w:val="40"/>
            </w:rPr>
          </w:pPr>
          <w:r>
            <w:br w:type="page"/>
          </w:r>
        </w:p>
      </w:sdtContent>
    </w:sdt>
    <w:sdt>
      <w:sdtPr>
        <w:id w:val="918674719"/>
        <w:docPartObj>
          <w:docPartGallery w:val="Table of Contents"/>
          <w:docPartUnique/>
        </w:docPartObj>
        <w:rPr>
          <w:rFonts w:eastAsia="Aptos" w:cs="" w:eastAsiaTheme="minorAscii" w:cstheme="minorBidi"/>
          <w:b w:val="0"/>
          <w:bCs w:val="0"/>
          <w:color w:val="auto"/>
          <w:sz w:val="22"/>
          <w:szCs w:val="22"/>
        </w:rPr>
      </w:sdtPr>
      <w:sdtEndPr>
        <w:rPr>
          <w:rFonts w:eastAsia="Aptos" w:cs="" w:eastAsiaTheme="minorAscii" w:cstheme="minorBidi"/>
          <w:b w:val="0"/>
          <w:bCs w:val="0"/>
          <w:noProof/>
          <w:color w:val="auto"/>
          <w:sz w:val="22"/>
          <w:szCs w:val="22"/>
        </w:rPr>
      </w:sdtEndPr>
      <w:sdtContent>
        <w:p w:rsidRPr="00F0143C" w:rsidR="00F0143C" w:rsidP="00F0143C" w:rsidRDefault="00F0143C" w14:paraId="755F1675" w14:textId="30B62456">
          <w:pPr>
            <w:pStyle w:val="Heading1"/>
            <w:spacing w:line="720" w:lineRule="auto"/>
          </w:pPr>
          <w:r w:rsidRPr="00F0143C">
            <w:t>TABLE OF CONTENTS</w:t>
          </w:r>
        </w:p>
        <w:p w:rsidRPr="00F0143C" w:rsidR="00F0143C" w:rsidP="00F0143C" w:rsidRDefault="00F0143C" w14:paraId="3E03ECC3" w14:textId="51F0DE5B">
          <w:pPr>
            <w:pStyle w:val="TOC1"/>
            <w:tabs>
              <w:tab w:val="right" w:leader="dot" w:pos="9016"/>
            </w:tabs>
            <w:spacing w:line="720" w:lineRule="auto"/>
            <w:rPr>
              <w:rFonts w:cs="Arial"/>
              <w:b/>
              <w:bCs/>
              <w:noProof/>
              <w:sz w:val="24"/>
            </w:rPr>
          </w:pPr>
          <w:r w:rsidRPr="00F0143C">
            <w:rPr>
              <w:rFonts w:cs="Arial"/>
              <w:b/>
              <w:bCs/>
              <w:sz w:val="24"/>
            </w:rPr>
            <w:fldChar w:fldCharType="begin"/>
          </w:r>
          <w:r w:rsidRPr="00F0143C">
            <w:rPr>
              <w:rFonts w:cs="Arial"/>
              <w:b/>
              <w:bCs/>
              <w:sz w:val="24"/>
            </w:rPr>
            <w:instrText xml:space="preserve"> TOC \o "1-3" \h \z \u </w:instrText>
          </w:r>
          <w:r w:rsidRPr="00F0143C">
            <w:rPr>
              <w:rFonts w:cs="Arial"/>
              <w:b/>
              <w:bCs/>
              <w:sz w:val="24"/>
            </w:rPr>
            <w:fldChar w:fldCharType="separate"/>
          </w:r>
          <w:hyperlink w:history="1" w:anchor="_Toc241608809">
            <w:r w:rsidRPr="00F0143C">
              <w:rPr>
                <w:rStyle w:val="Hyperlink"/>
                <w:rFonts w:cs="Arial"/>
                <w:b/>
                <w:bCs/>
                <w:noProof/>
                <w:sz w:val="24"/>
              </w:rPr>
              <w:t>INTRODUCTION</w:t>
            </w:r>
            <w:r w:rsidRPr="00F0143C">
              <w:rPr>
                <w:rFonts w:cs="Arial"/>
                <w:b/>
                <w:bCs/>
                <w:noProof/>
                <w:webHidden/>
                <w:sz w:val="24"/>
              </w:rPr>
              <w:tab/>
            </w:r>
            <w:r w:rsidRPr="00F0143C">
              <w:rPr>
                <w:rFonts w:cs="Arial"/>
                <w:b/>
                <w:bCs/>
                <w:noProof/>
                <w:webHidden/>
                <w:sz w:val="24"/>
              </w:rPr>
              <w:fldChar w:fldCharType="begin"/>
            </w:r>
            <w:r w:rsidRPr="00F0143C">
              <w:rPr>
                <w:rFonts w:cs="Arial"/>
                <w:b/>
                <w:bCs/>
                <w:noProof/>
                <w:webHidden/>
                <w:sz w:val="24"/>
              </w:rPr>
              <w:instrText xml:space="preserve"> PAGEREF _Toc241608809 \h </w:instrText>
            </w:r>
            <w:r w:rsidRPr="00F0143C">
              <w:rPr>
                <w:rFonts w:cs="Arial"/>
                <w:b/>
                <w:bCs/>
                <w:noProof/>
                <w:webHidden/>
                <w:sz w:val="24"/>
              </w:rPr>
            </w:r>
            <w:r w:rsidRPr="00F0143C">
              <w:rPr>
                <w:rFonts w:cs="Arial"/>
                <w:b/>
                <w:bCs/>
                <w:noProof/>
                <w:webHidden/>
                <w:sz w:val="24"/>
              </w:rPr>
              <w:fldChar w:fldCharType="separate"/>
            </w:r>
            <w:r w:rsidRPr="00F0143C">
              <w:rPr>
                <w:rFonts w:cs="Arial"/>
                <w:b/>
                <w:bCs/>
                <w:noProof/>
                <w:webHidden/>
                <w:sz w:val="24"/>
              </w:rPr>
              <w:t>1</w:t>
            </w:r>
            <w:r w:rsidRPr="00F0143C">
              <w:rPr>
                <w:rFonts w:cs="Arial"/>
                <w:b/>
                <w:bCs/>
                <w:noProof/>
                <w:webHidden/>
                <w:sz w:val="24"/>
              </w:rPr>
              <w:fldChar w:fldCharType="end"/>
            </w:r>
          </w:hyperlink>
        </w:p>
        <w:p w:rsidRPr="00F0143C" w:rsidR="00F0143C" w:rsidP="00F0143C" w:rsidRDefault="00F0143C" w14:paraId="379EC1CB" w14:textId="2C99D5FB">
          <w:pPr>
            <w:pStyle w:val="TOC1"/>
            <w:tabs>
              <w:tab w:val="right" w:leader="dot" w:pos="9016"/>
            </w:tabs>
            <w:spacing w:line="720" w:lineRule="auto"/>
            <w:rPr>
              <w:rFonts w:cs="Arial"/>
              <w:b/>
              <w:bCs/>
              <w:noProof/>
              <w:sz w:val="24"/>
            </w:rPr>
          </w:pPr>
          <w:hyperlink w:history="1" w:anchor="_Toc241608810">
            <w:r w:rsidRPr="00F0143C">
              <w:rPr>
                <w:rStyle w:val="Hyperlink"/>
                <w:rFonts w:cs="Arial"/>
                <w:b/>
                <w:bCs/>
                <w:noProof/>
                <w:sz w:val="24"/>
              </w:rPr>
              <w:t>WORKFORCE</w:t>
            </w:r>
            <w:r w:rsidRPr="00F0143C">
              <w:rPr>
                <w:rFonts w:cs="Arial"/>
                <w:b/>
                <w:bCs/>
                <w:noProof/>
                <w:webHidden/>
                <w:sz w:val="24"/>
              </w:rPr>
              <w:tab/>
            </w:r>
            <w:r w:rsidRPr="00F0143C">
              <w:rPr>
                <w:rFonts w:cs="Arial"/>
                <w:b/>
                <w:bCs/>
                <w:noProof/>
                <w:webHidden/>
                <w:sz w:val="24"/>
              </w:rPr>
              <w:fldChar w:fldCharType="begin"/>
            </w:r>
            <w:r w:rsidRPr="00F0143C">
              <w:rPr>
                <w:rFonts w:cs="Arial"/>
                <w:b/>
                <w:bCs/>
                <w:noProof/>
                <w:webHidden/>
                <w:sz w:val="24"/>
              </w:rPr>
              <w:instrText xml:space="preserve"> PAGEREF _Toc241608810 \h </w:instrText>
            </w:r>
            <w:r w:rsidRPr="00F0143C">
              <w:rPr>
                <w:rFonts w:cs="Arial"/>
                <w:b/>
                <w:bCs/>
                <w:noProof/>
                <w:webHidden/>
                <w:sz w:val="24"/>
              </w:rPr>
            </w:r>
            <w:r w:rsidRPr="00F0143C">
              <w:rPr>
                <w:rFonts w:cs="Arial"/>
                <w:b/>
                <w:bCs/>
                <w:noProof/>
                <w:webHidden/>
                <w:sz w:val="24"/>
              </w:rPr>
              <w:fldChar w:fldCharType="separate"/>
            </w:r>
            <w:r w:rsidRPr="00F0143C">
              <w:rPr>
                <w:rFonts w:cs="Arial"/>
                <w:b/>
                <w:bCs/>
                <w:noProof/>
                <w:webHidden/>
                <w:sz w:val="24"/>
              </w:rPr>
              <w:t>1</w:t>
            </w:r>
            <w:r w:rsidRPr="00F0143C">
              <w:rPr>
                <w:rFonts w:cs="Arial"/>
                <w:b/>
                <w:bCs/>
                <w:noProof/>
                <w:webHidden/>
                <w:sz w:val="24"/>
              </w:rPr>
              <w:fldChar w:fldCharType="end"/>
            </w:r>
          </w:hyperlink>
        </w:p>
        <w:p w:rsidRPr="00F0143C" w:rsidR="00F0143C" w:rsidP="00F0143C" w:rsidRDefault="00F0143C" w14:paraId="607D5120" w14:textId="79952CB0">
          <w:pPr>
            <w:pStyle w:val="TOC1"/>
            <w:tabs>
              <w:tab w:val="right" w:leader="dot" w:pos="9016"/>
            </w:tabs>
            <w:spacing w:line="720" w:lineRule="auto"/>
            <w:rPr>
              <w:rFonts w:cs="Arial"/>
              <w:b/>
              <w:bCs/>
              <w:noProof/>
              <w:sz w:val="24"/>
            </w:rPr>
          </w:pPr>
          <w:hyperlink w:history="1" w:anchor="_Toc241608811">
            <w:r w:rsidRPr="00F0143C">
              <w:rPr>
                <w:rStyle w:val="Hyperlink"/>
                <w:rFonts w:cs="Arial"/>
                <w:b/>
                <w:bCs/>
                <w:noProof/>
                <w:sz w:val="24"/>
              </w:rPr>
              <w:t>PATIENT/SERVICE-USER EXPERIENCE</w:t>
            </w:r>
            <w:r w:rsidRPr="00F0143C">
              <w:rPr>
                <w:rFonts w:cs="Arial"/>
                <w:b/>
                <w:bCs/>
                <w:noProof/>
                <w:webHidden/>
                <w:sz w:val="24"/>
              </w:rPr>
              <w:tab/>
            </w:r>
            <w:r w:rsidRPr="00F0143C">
              <w:rPr>
                <w:rFonts w:cs="Arial"/>
                <w:b/>
                <w:bCs/>
                <w:noProof/>
                <w:webHidden/>
                <w:sz w:val="24"/>
              </w:rPr>
              <w:fldChar w:fldCharType="begin"/>
            </w:r>
            <w:r w:rsidRPr="00F0143C">
              <w:rPr>
                <w:rFonts w:cs="Arial"/>
                <w:b/>
                <w:bCs/>
                <w:noProof/>
                <w:webHidden/>
                <w:sz w:val="24"/>
              </w:rPr>
              <w:instrText xml:space="preserve"> PAGEREF _Toc241608811 \h </w:instrText>
            </w:r>
            <w:r w:rsidRPr="00F0143C">
              <w:rPr>
                <w:rFonts w:cs="Arial"/>
                <w:b/>
                <w:bCs/>
                <w:noProof/>
                <w:webHidden/>
                <w:sz w:val="24"/>
              </w:rPr>
            </w:r>
            <w:r w:rsidRPr="00F0143C">
              <w:rPr>
                <w:rFonts w:cs="Arial"/>
                <w:b/>
                <w:bCs/>
                <w:noProof/>
                <w:webHidden/>
                <w:sz w:val="24"/>
              </w:rPr>
              <w:fldChar w:fldCharType="separate"/>
            </w:r>
            <w:r w:rsidRPr="00F0143C">
              <w:rPr>
                <w:rFonts w:cs="Arial"/>
                <w:b/>
                <w:bCs/>
                <w:noProof/>
                <w:webHidden/>
                <w:sz w:val="24"/>
              </w:rPr>
              <w:t>4</w:t>
            </w:r>
            <w:r w:rsidRPr="00F0143C">
              <w:rPr>
                <w:rFonts w:cs="Arial"/>
                <w:b/>
                <w:bCs/>
                <w:noProof/>
                <w:webHidden/>
                <w:sz w:val="24"/>
              </w:rPr>
              <w:fldChar w:fldCharType="end"/>
            </w:r>
          </w:hyperlink>
        </w:p>
        <w:p w:rsidRPr="00F0143C" w:rsidR="00F0143C" w:rsidP="00F0143C" w:rsidRDefault="00F0143C" w14:paraId="429E244C" w14:textId="3BE846A7">
          <w:pPr>
            <w:pStyle w:val="TOC1"/>
            <w:tabs>
              <w:tab w:val="right" w:leader="dot" w:pos="9016"/>
            </w:tabs>
            <w:spacing w:line="720" w:lineRule="auto"/>
            <w:rPr>
              <w:rFonts w:cs="Arial"/>
              <w:b/>
              <w:bCs/>
              <w:noProof/>
              <w:sz w:val="24"/>
            </w:rPr>
          </w:pPr>
          <w:hyperlink w:history="1" w:anchor="_Toc241608812">
            <w:r w:rsidRPr="00F0143C">
              <w:rPr>
                <w:rStyle w:val="Hyperlink"/>
                <w:rFonts w:cs="Arial"/>
                <w:b/>
                <w:bCs/>
                <w:noProof/>
                <w:sz w:val="24"/>
              </w:rPr>
              <w:t>CONCLUSION AND RECOMMENDATIONS</w:t>
            </w:r>
            <w:r w:rsidRPr="00F0143C">
              <w:rPr>
                <w:rFonts w:cs="Arial"/>
                <w:b/>
                <w:bCs/>
                <w:noProof/>
                <w:webHidden/>
                <w:sz w:val="24"/>
              </w:rPr>
              <w:tab/>
            </w:r>
            <w:r w:rsidRPr="00F0143C">
              <w:rPr>
                <w:rFonts w:cs="Arial"/>
                <w:b/>
                <w:bCs/>
                <w:noProof/>
                <w:webHidden/>
                <w:sz w:val="24"/>
              </w:rPr>
              <w:fldChar w:fldCharType="begin"/>
            </w:r>
            <w:r w:rsidRPr="00F0143C">
              <w:rPr>
                <w:rFonts w:cs="Arial"/>
                <w:b/>
                <w:bCs/>
                <w:noProof/>
                <w:webHidden/>
                <w:sz w:val="24"/>
              </w:rPr>
              <w:instrText xml:space="preserve"> PAGEREF _Toc241608812 \h </w:instrText>
            </w:r>
            <w:r w:rsidRPr="00F0143C">
              <w:rPr>
                <w:rFonts w:cs="Arial"/>
                <w:b/>
                <w:bCs/>
                <w:noProof/>
                <w:webHidden/>
                <w:sz w:val="24"/>
              </w:rPr>
            </w:r>
            <w:r w:rsidRPr="00F0143C">
              <w:rPr>
                <w:rFonts w:cs="Arial"/>
                <w:b/>
                <w:bCs/>
                <w:noProof/>
                <w:webHidden/>
                <w:sz w:val="24"/>
              </w:rPr>
              <w:fldChar w:fldCharType="separate"/>
            </w:r>
            <w:r w:rsidRPr="00F0143C">
              <w:rPr>
                <w:rFonts w:cs="Arial"/>
                <w:b/>
                <w:bCs/>
                <w:noProof/>
                <w:webHidden/>
                <w:sz w:val="24"/>
              </w:rPr>
              <w:t>6</w:t>
            </w:r>
            <w:r w:rsidRPr="00F0143C">
              <w:rPr>
                <w:rFonts w:cs="Arial"/>
                <w:b/>
                <w:bCs/>
                <w:noProof/>
                <w:webHidden/>
                <w:sz w:val="24"/>
              </w:rPr>
              <w:fldChar w:fldCharType="end"/>
            </w:r>
          </w:hyperlink>
        </w:p>
        <w:p w:rsidRPr="00F0143C" w:rsidR="00F0143C" w:rsidP="00F0143C" w:rsidRDefault="00F0143C" w14:paraId="47E3521F" w14:textId="5321C613">
          <w:pPr>
            <w:pStyle w:val="TOC1"/>
            <w:tabs>
              <w:tab w:val="right" w:leader="dot" w:pos="9016"/>
            </w:tabs>
            <w:spacing w:line="720" w:lineRule="auto"/>
            <w:rPr>
              <w:rFonts w:cs="Arial"/>
              <w:b/>
              <w:bCs/>
              <w:noProof/>
              <w:sz w:val="24"/>
            </w:rPr>
          </w:pPr>
          <w:hyperlink w:history="1" w:anchor="_Toc241608813">
            <w:r w:rsidRPr="00F0143C">
              <w:rPr>
                <w:rStyle w:val="Hyperlink"/>
                <w:rFonts w:cs="Arial"/>
                <w:b/>
                <w:bCs/>
                <w:noProof/>
                <w:sz w:val="24"/>
              </w:rPr>
              <w:t>REFERENCES</w:t>
            </w:r>
            <w:r w:rsidRPr="00F0143C">
              <w:rPr>
                <w:rFonts w:cs="Arial"/>
                <w:b/>
                <w:bCs/>
                <w:noProof/>
                <w:webHidden/>
                <w:sz w:val="24"/>
              </w:rPr>
              <w:tab/>
            </w:r>
            <w:r w:rsidRPr="00F0143C">
              <w:rPr>
                <w:rFonts w:cs="Arial"/>
                <w:b/>
                <w:bCs/>
                <w:noProof/>
                <w:webHidden/>
                <w:sz w:val="24"/>
              </w:rPr>
              <w:fldChar w:fldCharType="begin"/>
            </w:r>
            <w:r w:rsidRPr="00F0143C">
              <w:rPr>
                <w:rFonts w:cs="Arial"/>
                <w:b/>
                <w:bCs/>
                <w:noProof/>
                <w:webHidden/>
                <w:sz w:val="24"/>
              </w:rPr>
              <w:instrText xml:space="preserve"> PAGEREF _Toc241608813 \h </w:instrText>
            </w:r>
            <w:r w:rsidRPr="00F0143C">
              <w:rPr>
                <w:rFonts w:cs="Arial"/>
                <w:b/>
                <w:bCs/>
                <w:noProof/>
                <w:webHidden/>
                <w:sz w:val="24"/>
              </w:rPr>
            </w:r>
            <w:r w:rsidRPr="00F0143C">
              <w:rPr>
                <w:rFonts w:cs="Arial"/>
                <w:b/>
                <w:bCs/>
                <w:noProof/>
                <w:webHidden/>
                <w:sz w:val="24"/>
              </w:rPr>
              <w:fldChar w:fldCharType="separate"/>
            </w:r>
            <w:r w:rsidRPr="00F0143C">
              <w:rPr>
                <w:rFonts w:cs="Arial"/>
                <w:b/>
                <w:bCs/>
                <w:noProof/>
                <w:webHidden/>
                <w:sz w:val="24"/>
              </w:rPr>
              <w:t>7</w:t>
            </w:r>
            <w:r w:rsidRPr="00F0143C">
              <w:rPr>
                <w:rFonts w:cs="Arial"/>
                <w:b/>
                <w:bCs/>
                <w:noProof/>
                <w:webHidden/>
                <w:sz w:val="24"/>
              </w:rPr>
              <w:fldChar w:fldCharType="end"/>
            </w:r>
          </w:hyperlink>
        </w:p>
        <w:p w:rsidR="00F0143C" w:rsidP="00F0143C" w:rsidRDefault="00F0143C" w14:paraId="6299D32D" w14:textId="77777777">
          <w:pPr>
            <w:spacing w:line="720" w:lineRule="auto"/>
            <w:rPr>
              <w:b/>
              <w:bCs/>
              <w:noProof/>
            </w:rPr>
          </w:pPr>
          <w:r w:rsidRPr="00F0143C">
            <w:rPr>
              <w:rFonts w:cs="Arial"/>
              <w:b/>
              <w:bCs/>
              <w:noProof/>
              <w:sz w:val="24"/>
            </w:rPr>
            <w:fldChar w:fldCharType="end"/>
          </w:r>
        </w:p>
        <w:p w:rsidR="00F0143C" w:rsidP="00F0143C" w:rsidRDefault="00F0143C" w14:paraId="4247467F" w14:textId="77777777">
          <w:pPr>
            <w:rPr>
              <w:b/>
              <w:bCs/>
              <w:noProof/>
            </w:rPr>
          </w:pPr>
        </w:p>
        <w:p w:rsidR="00F0143C" w:rsidP="00F0143C" w:rsidRDefault="00F0143C" w14:paraId="159A06EF" w14:textId="77777777">
          <w:pPr>
            <w:rPr>
              <w:b/>
              <w:bCs/>
              <w:noProof/>
            </w:rPr>
          </w:pPr>
        </w:p>
        <w:p w:rsidR="00F0143C" w:rsidP="00F0143C" w:rsidRDefault="00000000" w14:paraId="577402BB" w14:textId="43685BE4"/>
      </w:sdtContent>
    </w:sdt>
    <w:bookmarkStart w:name="_Toc241608809" w:displacedByCustomXml="prev" w:id="0"/>
    <w:p w:rsidR="00F0143C" w:rsidP="00F0143C" w:rsidRDefault="00F0143C" w14:paraId="2D192593" w14:textId="77777777"/>
    <w:p w:rsidRPr="00F0143C" w:rsidR="00F0143C" w:rsidP="00F0143C" w:rsidRDefault="00F0143C" w14:paraId="5D30638D" w14:textId="77777777"/>
    <w:p w:rsidRPr="00F0143C" w:rsidR="00F0143C" w:rsidP="00F0143C" w:rsidRDefault="00F0143C" w14:paraId="37E949B0" w14:textId="77777777"/>
    <w:p w:rsidRPr="00F0143C" w:rsidR="00F0143C" w:rsidP="00F0143C" w:rsidRDefault="00F0143C" w14:paraId="624BD156" w14:textId="77777777"/>
    <w:p w:rsidRPr="00F0143C" w:rsidR="00F0143C" w:rsidP="00F0143C" w:rsidRDefault="00F0143C" w14:paraId="5BEF91EE" w14:textId="77777777"/>
    <w:p w:rsidRPr="00F0143C" w:rsidR="00F0143C" w:rsidP="00F0143C" w:rsidRDefault="00F0143C" w14:paraId="6AAFD191" w14:textId="77777777"/>
    <w:p w:rsidRPr="00F0143C" w:rsidR="00F0143C" w:rsidP="00F0143C" w:rsidRDefault="00F0143C" w14:paraId="1B4DBC1E" w14:textId="77777777"/>
    <w:p w:rsidRPr="00F0143C" w:rsidR="00F0143C" w:rsidP="00F0143C" w:rsidRDefault="00F0143C" w14:paraId="156CFC9E" w14:textId="77777777"/>
    <w:p w:rsidRPr="00F0143C" w:rsidR="00F0143C" w:rsidP="00F0143C" w:rsidRDefault="00F0143C" w14:paraId="2E53B03B" w14:textId="77777777"/>
    <w:p w:rsidRPr="00F0143C" w:rsidR="00F0143C" w:rsidP="00F0143C" w:rsidRDefault="00F0143C" w14:paraId="76AF78F6" w14:textId="77777777"/>
    <w:p w:rsidR="000171A1" w:rsidP="466C798D" w:rsidRDefault="000171A1" w14:paraId="5F133D83" w14:textId="2B08E05C">
      <w:pPr>
        <w:pStyle w:val="Heading1"/>
        <w:spacing w:line="360" w:lineRule="auto"/>
      </w:pPr>
      <w:r w:rsidR="000171A1">
        <w:rPr/>
        <w:t>INTRODUCTION</w:t>
      </w:r>
      <w:bookmarkEnd w:id="0"/>
    </w:p>
    <w:p w:rsidR="000171A1" w:rsidP="466C798D" w:rsidRDefault="000171A1" w14:paraId="279D271F" w14:textId="10587366">
      <w:pPr>
        <w:spacing w:line="360" w:lineRule="auto"/>
      </w:pPr>
      <w:r w:rsidRPr="466C798D" w:rsidR="000171A1">
        <w:rPr>
          <w:lang w:val="en-US"/>
        </w:rPr>
        <w:t xml:space="preserve">Virtual wards (VWs) or Hospital at Home (HaH) address pressure on hospital inpatient and urgent care (NHS England, 2024b). They enable selected patients to receive acute care at home rather than </w:t>
      </w:r>
      <w:r w:rsidRPr="466C798D" w:rsidR="00CC6C01">
        <w:rPr>
          <w:lang w:val="en-US"/>
        </w:rPr>
        <w:t>being</w:t>
      </w:r>
      <w:r w:rsidRPr="466C798D" w:rsidR="000171A1">
        <w:rPr>
          <w:lang w:val="en-US"/>
        </w:rPr>
        <w:t xml:space="preserve"> admitted to or remaining in hospital. VWs operate through 'step-up' (</w:t>
      </w:r>
      <w:r w:rsidRPr="466C798D" w:rsidR="00B90C05">
        <w:rPr>
          <w:lang w:val="en-US"/>
        </w:rPr>
        <w:t>preventing</w:t>
      </w:r>
      <w:r w:rsidRPr="466C798D" w:rsidR="000171A1">
        <w:rPr>
          <w:lang w:val="en-US"/>
        </w:rPr>
        <w:t xml:space="preserve"> admission) or 'step-down' (early discharge) approaches (Uminski et al., 2018, cited in Maughan et al., 2024).</w:t>
      </w:r>
    </w:p>
    <w:p w:rsidR="000171A1" w:rsidP="466C798D" w:rsidRDefault="000171A1" w14:paraId="4243A9B4" w14:textId="125AFF0D">
      <w:pPr>
        <w:spacing w:line="360" w:lineRule="auto"/>
      </w:pPr>
      <w:r w:rsidRPr="466C798D" w:rsidR="000171A1">
        <w:rPr>
          <w:lang w:val="en-US"/>
        </w:rPr>
        <w:t>Technology is central</w:t>
      </w:r>
      <w:r w:rsidRPr="466C798D" w:rsidR="00B90C05">
        <w:rPr>
          <w:lang w:val="en-US"/>
        </w:rPr>
        <w:t>:</w:t>
      </w:r>
      <w:r w:rsidRPr="466C798D" w:rsidR="000171A1">
        <w:rPr>
          <w:lang w:val="en-US"/>
        </w:rPr>
        <w:t xml:space="preserve"> patients record vital signs via apps, websites, wearables or Bluetooth devices (NHS England, 2021). Data is then </w:t>
      </w:r>
      <w:r w:rsidRPr="466C798D" w:rsidR="002F0068">
        <w:rPr>
          <w:lang w:val="en-US"/>
        </w:rPr>
        <w:t>transferred</w:t>
      </w:r>
      <w:r w:rsidRPr="466C798D" w:rsidR="000171A1">
        <w:rPr>
          <w:lang w:val="en-US"/>
        </w:rPr>
        <w:t xml:space="preserve"> to a digital platform or clinical dashboard</w:t>
      </w:r>
      <w:r w:rsidRPr="466C798D" w:rsidR="009A07AD">
        <w:rPr>
          <w:lang w:val="en-US"/>
        </w:rPr>
        <w:t>,</w:t>
      </w:r>
      <w:r w:rsidRPr="466C798D" w:rsidR="000171A1">
        <w:rPr>
          <w:lang w:val="en-US"/>
        </w:rPr>
        <w:t xml:space="preserve"> allowing remote monitoring and alerts when measurements exceed agreed parameters (NHS England, 2024b).</w:t>
      </w:r>
    </w:p>
    <w:p w:rsidR="000171A1" w:rsidP="466C798D" w:rsidRDefault="000171A1" w14:paraId="71FAF5AA" w14:textId="18F81F15">
      <w:pPr>
        <w:spacing w:line="360" w:lineRule="auto"/>
      </w:pPr>
      <w:r w:rsidRPr="466C798D" w:rsidR="000171A1">
        <w:rPr>
          <w:lang w:val="en-US"/>
        </w:rPr>
        <w:t xml:space="preserve">However, </w:t>
      </w:r>
      <w:r w:rsidRPr="466C798D" w:rsidR="771F63EA">
        <w:rPr>
          <w:lang w:val="en-US"/>
        </w:rPr>
        <w:t>the benefits</w:t>
      </w:r>
      <w:r w:rsidRPr="466C798D" w:rsidR="000171A1">
        <w:rPr>
          <w:lang w:val="en-US"/>
        </w:rPr>
        <w:t xml:space="preserve"> are not universal</w:t>
      </w:r>
      <w:r w:rsidRPr="466C798D" w:rsidR="00EF40E9">
        <w:rPr>
          <w:lang w:val="en-US"/>
        </w:rPr>
        <w:t>.</w:t>
      </w:r>
      <w:r w:rsidRPr="466C798D" w:rsidR="000171A1">
        <w:rPr>
          <w:lang w:val="en-US"/>
        </w:rPr>
        <w:t xml:space="preserve"> </w:t>
      </w:r>
      <w:r w:rsidRPr="466C798D" w:rsidR="00EF40E9">
        <w:rPr>
          <w:lang w:val="en-US"/>
        </w:rPr>
        <w:t>Effectiveness</w:t>
      </w:r>
      <w:r w:rsidRPr="466C798D" w:rsidR="000171A1">
        <w:rPr>
          <w:lang w:val="en-US"/>
        </w:rPr>
        <w:t xml:space="preserve"> depends on </w:t>
      </w:r>
      <w:r w:rsidRPr="466C798D" w:rsidR="000171A1">
        <w:rPr>
          <w:lang w:val="en-US"/>
        </w:rPr>
        <w:t>appropriate patient</w:t>
      </w:r>
      <w:r w:rsidRPr="466C798D" w:rsidR="000171A1">
        <w:rPr>
          <w:lang w:val="en-US"/>
        </w:rPr>
        <w:t xml:space="preserve"> selection, workforce capability, reliable technology, clear </w:t>
      </w:r>
      <w:r w:rsidRPr="466C798D" w:rsidR="00B71CF7">
        <w:rPr>
          <w:lang w:val="en-US"/>
        </w:rPr>
        <w:t xml:space="preserve">escalation, </w:t>
      </w:r>
      <w:r w:rsidRPr="466C798D" w:rsidR="000171A1">
        <w:rPr>
          <w:lang w:val="en-US"/>
        </w:rPr>
        <w:t xml:space="preserve">and alternatives for those facing digital exclusion (Lindsay et al., 2025; </w:t>
      </w:r>
      <w:r w:rsidRPr="466C798D" w:rsidR="000171A1">
        <w:rPr>
          <w:lang w:val="en-US"/>
        </w:rPr>
        <w:t>Pahirden</w:t>
      </w:r>
      <w:r w:rsidRPr="466C798D" w:rsidR="000171A1">
        <w:rPr>
          <w:lang w:val="en-US"/>
        </w:rPr>
        <w:t xml:space="preserve">, </w:t>
      </w:r>
      <w:r w:rsidRPr="466C798D" w:rsidR="000171A1">
        <w:rPr>
          <w:lang w:val="en-US"/>
        </w:rPr>
        <w:t>Stefler</w:t>
      </w:r>
      <w:r w:rsidRPr="466C798D" w:rsidR="000171A1">
        <w:rPr>
          <w:lang w:val="en-US"/>
        </w:rPr>
        <w:t xml:space="preserve"> and </w:t>
      </w:r>
      <w:r w:rsidRPr="466C798D" w:rsidR="000171A1">
        <w:rPr>
          <w:lang w:val="en-US"/>
        </w:rPr>
        <w:t>Jayatunga</w:t>
      </w:r>
      <w:r w:rsidRPr="466C798D" w:rsidR="000171A1">
        <w:rPr>
          <w:lang w:val="en-US"/>
        </w:rPr>
        <w:t>, 2026).</w:t>
      </w:r>
    </w:p>
    <w:p w:rsidR="000171A1" w:rsidP="466C798D" w:rsidRDefault="000171A1" w14:paraId="43AF7D95" w14:textId="34F4E4E6">
      <w:pPr>
        <w:spacing w:line="360" w:lineRule="auto"/>
      </w:pPr>
      <w:r w:rsidRPr="466C798D" w:rsidR="000171A1">
        <w:rPr>
          <w:lang w:val="en-US"/>
        </w:rPr>
        <w:t>This report critically evaluates VWs, focusing on workforce and patient experience. It examines benefits and challenges, arguing that outcomes depend on implementation and inclusive design rather than technology alone.</w:t>
      </w:r>
    </w:p>
    <w:p w:rsidR="000171A1" w:rsidP="466C798D" w:rsidRDefault="000171A1" w14:paraId="71689D48" w14:textId="77777777">
      <w:pPr>
        <w:spacing w:line="360" w:lineRule="auto"/>
      </w:pPr>
    </w:p>
    <w:p w:rsidR="000171A1" w:rsidP="466C798D" w:rsidRDefault="000171A1" w14:paraId="618E4735" w14:textId="13B96106">
      <w:pPr>
        <w:pStyle w:val="Heading1"/>
        <w:spacing w:line="360" w:lineRule="auto"/>
      </w:pPr>
      <w:bookmarkStart w:name="_Toc241608810" w:id="1"/>
      <w:r w:rsidR="000171A1">
        <w:rPr/>
        <w:t>WORKFORCE</w:t>
      </w:r>
      <w:bookmarkEnd w:id="1"/>
    </w:p>
    <w:p w:rsidR="000171A1" w:rsidP="466C798D" w:rsidRDefault="000171A1" w14:paraId="28955234" w14:textId="50DD1135">
      <w:pPr>
        <w:spacing w:line="360" w:lineRule="auto"/>
      </w:pPr>
      <w:r w:rsidRPr="466C798D" w:rsidR="000171A1">
        <w:rPr>
          <w:lang w:val="en-US"/>
        </w:rPr>
        <w:t xml:space="preserve">Virtual wards require collaboration between different healthcare professionals and change how clinical work is </w:t>
      </w:r>
      <w:r w:rsidRPr="466C798D" w:rsidR="000171A1">
        <w:rPr>
          <w:lang w:val="en-US"/>
        </w:rPr>
        <w:t>organised</w:t>
      </w:r>
      <w:r w:rsidRPr="466C798D" w:rsidR="000171A1">
        <w:rPr>
          <w:lang w:val="en-US"/>
        </w:rPr>
        <w:t xml:space="preserve">. Rather than </w:t>
      </w:r>
      <w:r w:rsidRPr="466C798D" w:rsidR="000171A1">
        <w:rPr>
          <w:lang w:val="en-US"/>
        </w:rPr>
        <w:t>eliminating</w:t>
      </w:r>
      <w:r w:rsidRPr="466C798D" w:rsidR="000171A1">
        <w:rPr>
          <w:lang w:val="en-US"/>
        </w:rPr>
        <w:t xml:space="preserve"> the need for clinical staff, virtual wards redistribute clinical responsibilities across professionals and locations. The workforce must adapt to a model in which assessment, </w:t>
      </w:r>
      <w:r w:rsidRPr="466C798D" w:rsidR="2AB378F7">
        <w:rPr>
          <w:lang w:val="en-US"/>
        </w:rPr>
        <w:t>monitoring,</w:t>
      </w:r>
      <w:r w:rsidRPr="466C798D" w:rsidR="000171A1">
        <w:rPr>
          <w:lang w:val="en-US"/>
        </w:rPr>
        <w:t xml:space="preserve"> and communication take place remotely. NHS England (2024b) </w:t>
      </w:r>
      <w:r w:rsidRPr="466C798D" w:rsidR="000171A1">
        <w:rPr>
          <w:lang w:val="en-US"/>
        </w:rPr>
        <w:t>identifies</w:t>
      </w:r>
      <w:r w:rsidRPr="466C798D" w:rsidR="000171A1">
        <w:rPr>
          <w:lang w:val="en-US"/>
        </w:rPr>
        <w:t xml:space="preserve"> multidisciplinary working and clinical leadership as important components of virtual ward provision.</w:t>
      </w:r>
    </w:p>
    <w:p w:rsidR="000171A1" w:rsidP="466C798D" w:rsidRDefault="000171A1" w14:paraId="4AA82F07" w14:textId="378DFF3B">
      <w:pPr>
        <w:spacing w:line="360" w:lineRule="auto"/>
      </w:pPr>
      <w:r w:rsidRPr="466C798D" w:rsidR="000171A1">
        <w:rPr>
          <w:lang w:val="en-US"/>
        </w:rPr>
        <w:t xml:space="preserve">A range of professionals contribute to virtual ward </w:t>
      </w:r>
      <w:r w:rsidRPr="466C798D" w:rsidR="1F8AA24A">
        <w:rPr>
          <w:lang w:val="en-US"/>
        </w:rPr>
        <w:t>operations</w:t>
      </w:r>
      <w:r w:rsidRPr="466C798D" w:rsidR="000171A1">
        <w:rPr>
          <w:lang w:val="en-US"/>
        </w:rPr>
        <w:t xml:space="preserve">. </w:t>
      </w:r>
      <w:r w:rsidRPr="466C798D" w:rsidR="000171A1">
        <w:rPr>
          <w:b w:val="0"/>
          <w:bCs w:val="0"/>
          <w:lang w:val="en-US"/>
        </w:rPr>
        <w:t>Doctors</w:t>
      </w:r>
      <w:r w:rsidRPr="466C798D" w:rsidR="000171A1">
        <w:rPr>
          <w:lang w:val="en-US"/>
        </w:rPr>
        <w:t xml:space="preserve"> provide medical oversight, diagnosis, </w:t>
      </w:r>
      <w:r w:rsidRPr="466C798D" w:rsidR="000171A1">
        <w:rPr>
          <w:lang w:val="en-US"/>
        </w:rPr>
        <w:t>prescribing</w:t>
      </w:r>
      <w:r w:rsidRPr="466C798D" w:rsidR="000171A1">
        <w:rPr>
          <w:lang w:val="en-US"/>
        </w:rPr>
        <w:t xml:space="preserve"> and escalation decisions, while</w:t>
      </w:r>
      <w:r w:rsidRPr="466C798D" w:rsidR="000171A1">
        <w:rPr>
          <w:b w:val="0"/>
          <w:bCs w:val="0"/>
          <w:lang w:val="en-US"/>
        </w:rPr>
        <w:t xml:space="preserve"> </w:t>
      </w:r>
      <w:r w:rsidRPr="466C798D" w:rsidR="000171A1">
        <w:rPr>
          <w:b w:val="0"/>
          <w:bCs w:val="0"/>
          <w:lang w:val="en-US"/>
        </w:rPr>
        <w:t>nurses</w:t>
      </w:r>
      <w:r w:rsidRPr="466C798D" w:rsidR="000171A1">
        <w:rPr>
          <w:lang w:val="en-US"/>
        </w:rPr>
        <w:t xml:space="preserve"> undertake assessment, </w:t>
      </w:r>
      <w:r w:rsidRPr="466C798D" w:rsidR="000171A1">
        <w:rPr>
          <w:lang w:val="en-US"/>
        </w:rPr>
        <w:t>monitor</w:t>
      </w:r>
      <w:r w:rsidRPr="466C798D" w:rsidR="000171A1">
        <w:rPr>
          <w:lang w:val="en-US"/>
        </w:rPr>
        <w:t xml:space="preserve"> vital signs, administer </w:t>
      </w:r>
      <w:r w:rsidRPr="466C798D" w:rsidR="000171A1">
        <w:rPr>
          <w:lang w:val="en-US"/>
        </w:rPr>
        <w:t>medication</w:t>
      </w:r>
      <w:r w:rsidRPr="466C798D" w:rsidR="000171A1">
        <w:rPr>
          <w:lang w:val="en-US"/>
        </w:rPr>
        <w:t xml:space="preserve"> and provide patient education. </w:t>
      </w:r>
      <w:r w:rsidRPr="466C798D" w:rsidR="000171A1">
        <w:rPr>
          <w:b w:val="0"/>
          <w:bCs w:val="0"/>
          <w:lang w:val="en-US"/>
        </w:rPr>
        <w:t>Pharmacists</w:t>
      </w:r>
      <w:r w:rsidRPr="466C798D" w:rsidR="000171A1">
        <w:rPr>
          <w:lang w:val="en-US"/>
        </w:rPr>
        <w:t xml:space="preserve"> contribute through medication review and safe prescribing. </w:t>
      </w:r>
      <w:r w:rsidRPr="466C798D" w:rsidR="000171A1">
        <w:rPr>
          <w:b w:val="0"/>
          <w:bCs w:val="0"/>
          <w:lang w:val="en-US"/>
        </w:rPr>
        <w:t>Community staff</w:t>
      </w:r>
      <w:r w:rsidRPr="466C798D" w:rsidR="000171A1">
        <w:rPr>
          <w:lang w:val="en-US"/>
        </w:rPr>
        <w:t xml:space="preserve"> provide care within patients' homes and coordinate local resources, while </w:t>
      </w:r>
      <w:r w:rsidRPr="466C798D" w:rsidR="000171A1">
        <w:rPr>
          <w:b w:val="0"/>
          <w:bCs w:val="0"/>
          <w:lang w:val="en-US"/>
        </w:rPr>
        <w:t>allied health</w:t>
      </w:r>
      <w:r w:rsidRPr="466C798D" w:rsidR="000171A1">
        <w:rPr>
          <w:b w:val="1"/>
          <w:bCs w:val="1"/>
          <w:lang w:val="en-US"/>
        </w:rPr>
        <w:t xml:space="preserve"> </w:t>
      </w:r>
      <w:r w:rsidRPr="466C798D" w:rsidR="000171A1">
        <w:rPr>
          <w:b w:val="0"/>
          <w:bCs w:val="0"/>
          <w:lang w:val="en-US"/>
        </w:rPr>
        <w:t>professionals</w:t>
      </w:r>
      <w:r w:rsidRPr="466C798D" w:rsidR="000171A1">
        <w:rPr>
          <w:lang w:val="en-US"/>
        </w:rPr>
        <w:t xml:space="preserve"> such as </w:t>
      </w:r>
      <w:r w:rsidRPr="466C798D" w:rsidR="000171A1">
        <w:rPr>
          <w:b w:val="0"/>
          <w:bCs w:val="0"/>
          <w:lang w:val="en-US"/>
        </w:rPr>
        <w:t>physiotherapists and occupational</w:t>
      </w:r>
      <w:r w:rsidRPr="466C798D" w:rsidR="000171A1">
        <w:rPr>
          <w:b w:val="0"/>
          <w:bCs w:val="0"/>
          <w:lang w:val="en-US"/>
        </w:rPr>
        <w:t xml:space="preserve"> </w:t>
      </w:r>
      <w:r w:rsidRPr="466C798D" w:rsidR="000171A1">
        <w:rPr>
          <w:b w:val="0"/>
          <w:bCs w:val="0"/>
          <w:lang w:val="en-US"/>
        </w:rPr>
        <w:t>therapists</w:t>
      </w:r>
      <w:r w:rsidRPr="466C798D" w:rsidR="000171A1">
        <w:rPr>
          <w:lang w:val="en-US"/>
        </w:rPr>
        <w:t xml:space="preserve"> </w:t>
      </w:r>
      <w:r w:rsidRPr="466C798D" w:rsidR="7B5F9FE8">
        <w:rPr>
          <w:lang w:val="en-US"/>
        </w:rPr>
        <w:t>contribute to</w:t>
      </w:r>
      <w:r w:rsidRPr="466C798D" w:rsidR="000171A1">
        <w:rPr>
          <w:lang w:val="en-US"/>
        </w:rPr>
        <w:t xml:space="preserve"> rehabilitation and functional assessments. Digital and data staff support technological infrastructure and secure information transfer, while operational managers coordinate resources and administrative processes.</w:t>
      </w:r>
    </w:p>
    <w:p w:rsidR="00CB797D" w:rsidP="466C798D" w:rsidRDefault="000171A1" w14:paraId="2CBD1574" w14:textId="7E9BC9ED">
      <w:pPr>
        <w:spacing w:line="360" w:lineRule="auto"/>
      </w:pPr>
      <w:r w:rsidRPr="466C798D" w:rsidR="000171A1">
        <w:rPr>
          <w:lang w:val="en-US"/>
        </w:rPr>
        <w:t xml:space="preserve">This multidisciplinary structure can strengthen continuity of care because different professionals </w:t>
      </w:r>
      <w:r w:rsidRPr="466C798D" w:rsidR="24D6B7EC">
        <w:rPr>
          <w:lang w:val="en-US"/>
        </w:rPr>
        <w:t>contribute to</w:t>
      </w:r>
      <w:r w:rsidRPr="466C798D" w:rsidR="000171A1">
        <w:rPr>
          <w:lang w:val="en-US"/>
        </w:rPr>
        <w:t xml:space="preserve"> specific </w:t>
      </w:r>
      <w:r w:rsidRPr="466C798D" w:rsidR="000171A1">
        <w:rPr>
          <w:lang w:val="en-US"/>
        </w:rPr>
        <w:t>expertise</w:t>
      </w:r>
      <w:r w:rsidRPr="466C798D" w:rsidR="000171A1">
        <w:rPr>
          <w:lang w:val="en-US"/>
        </w:rPr>
        <w:t>.</w:t>
      </w:r>
      <w:r w:rsidRPr="466C798D" w:rsidR="00CB797D">
        <w:rPr>
          <w:lang w:val="en-US"/>
        </w:rPr>
        <w:t xml:space="preserve"> G</w:t>
      </w:r>
      <w:r w:rsidRPr="466C798D" w:rsidR="000171A1">
        <w:rPr>
          <w:lang w:val="en-US"/>
        </w:rPr>
        <w:t xml:space="preserve">reater collaboration creates </w:t>
      </w:r>
      <w:r w:rsidRPr="466C798D" w:rsidR="000171A1">
        <w:rPr>
          <w:lang w:val="en-US"/>
        </w:rPr>
        <w:t>additional</w:t>
      </w:r>
      <w:r w:rsidRPr="466C798D" w:rsidR="000171A1">
        <w:rPr>
          <w:lang w:val="en-US"/>
        </w:rPr>
        <w:t xml:space="preserve"> coordination requirements. Effective communication between hospital, </w:t>
      </w:r>
      <w:r w:rsidRPr="466C798D" w:rsidR="000171A1">
        <w:rPr>
          <w:lang w:val="en-US"/>
        </w:rPr>
        <w:t>community</w:t>
      </w:r>
      <w:r w:rsidRPr="466C798D" w:rsidR="000171A1">
        <w:rPr>
          <w:lang w:val="en-US"/>
        </w:rPr>
        <w:t xml:space="preserve"> and digital teams becomes particularly important when decisions are based on remotely collected information. </w:t>
      </w:r>
    </w:p>
    <w:p w:rsidR="000171A1" w:rsidP="466C798D" w:rsidRDefault="00CB797D" w14:paraId="5A060B05" w14:textId="12429802">
      <w:pPr>
        <w:spacing w:line="360" w:lineRule="auto"/>
      </w:pPr>
      <w:r w:rsidRPr="466C798D" w:rsidR="00CB797D">
        <w:rPr>
          <w:lang w:val="en-US"/>
        </w:rPr>
        <w:t>I</w:t>
      </w:r>
      <w:r w:rsidRPr="466C798D" w:rsidR="000171A1">
        <w:rPr>
          <w:lang w:val="en-US"/>
        </w:rPr>
        <w:t>ntroducing a virtual ward represents not simply a technological change but a change in professional roles, communication processes and organisational responsibilities (McGowan et al., 2026).</w:t>
      </w:r>
    </w:p>
    <w:p w:rsidR="000171A1" w:rsidP="466C798D" w:rsidRDefault="000171A1" w14:paraId="20D336C0" w14:textId="28E3420F">
      <w:pPr>
        <w:spacing w:line="360" w:lineRule="auto"/>
      </w:pPr>
      <w:r w:rsidRPr="178BE355" w:rsidR="000171A1">
        <w:rPr>
          <w:lang w:val="en-US"/>
        </w:rPr>
        <w:t xml:space="preserve">The workforce also requires </w:t>
      </w:r>
      <w:r w:rsidRPr="178BE355" w:rsidR="000171A1">
        <w:rPr>
          <w:lang w:val="en-US"/>
        </w:rPr>
        <w:t>additional</w:t>
      </w:r>
      <w:r w:rsidRPr="178BE355" w:rsidR="000171A1">
        <w:rPr>
          <w:lang w:val="en-US"/>
        </w:rPr>
        <w:t xml:space="preserve"> competencies to deliver care safely in a virtual environment. These include remote assessment, interpretation of remotely collected data, digital communication, escalation, documentation, information </w:t>
      </w:r>
      <w:r w:rsidRPr="178BE355" w:rsidR="000171A1">
        <w:rPr>
          <w:lang w:val="en-US"/>
        </w:rPr>
        <w:t>governance</w:t>
      </w:r>
      <w:r w:rsidRPr="178BE355" w:rsidR="000171A1">
        <w:rPr>
          <w:lang w:val="en-US"/>
        </w:rPr>
        <w:t xml:space="preserve"> and patient education (NHS England, 2023a). Interpreting remotely collected information is particularly important because data obtained in the home may be affected by user error, technical </w:t>
      </w:r>
      <w:r w:rsidRPr="178BE355" w:rsidR="000171A1">
        <w:rPr>
          <w:lang w:val="en-US"/>
        </w:rPr>
        <w:t>problems</w:t>
      </w:r>
      <w:r w:rsidRPr="178BE355" w:rsidR="000171A1">
        <w:rPr>
          <w:lang w:val="en-US"/>
        </w:rPr>
        <w:t xml:space="preserve"> or normal physiological variation (Lindsay et al., 2025).</w:t>
      </w:r>
    </w:p>
    <w:p w:rsidR="000171A1" w:rsidP="466C798D" w:rsidRDefault="000171A1" w14:paraId="515BEC27" w14:textId="0099DEF3">
      <w:pPr>
        <w:spacing w:line="360" w:lineRule="auto"/>
      </w:pPr>
      <w:r w:rsidRPr="178BE355" w:rsidR="000171A1">
        <w:rPr>
          <w:lang w:val="en-US"/>
        </w:rPr>
        <w:t xml:space="preserve"> Healthcare professionals therefore need to distinguish between genuine clinical deterioration and inaccurate information. Similarly, digital communication requires clarity because remote interactions </w:t>
      </w:r>
      <w:r w:rsidRPr="178BE355" w:rsidR="000171A1">
        <w:rPr>
          <w:lang w:val="en-US"/>
        </w:rPr>
        <w:t>provide</w:t>
      </w:r>
      <w:r w:rsidRPr="178BE355" w:rsidR="000171A1">
        <w:rPr>
          <w:lang w:val="en-US"/>
        </w:rPr>
        <w:t xml:space="preserve"> fewer opportunities to </w:t>
      </w:r>
      <w:r w:rsidRPr="178BE355" w:rsidR="000171A1">
        <w:rPr>
          <w:lang w:val="en-US"/>
        </w:rPr>
        <w:t>observe</w:t>
      </w:r>
      <w:r w:rsidRPr="178BE355" w:rsidR="000171A1">
        <w:rPr>
          <w:lang w:val="en-US"/>
        </w:rPr>
        <w:t xml:space="preserve"> non-verbal cues than face-to-face consultations.</w:t>
      </w:r>
    </w:p>
    <w:p w:rsidR="000171A1" w:rsidP="466C798D" w:rsidRDefault="000171A1" w14:paraId="4E7F86CF" w14:textId="77777777">
      <w:pPr>
        <w:spacing w:line="360" w:lineRule="auto"/>
      </w:pPr>
      <w:r w:rsidRPr="466C798D" w:rsidR="000171A1">
        <w:rPr>
          <w:lang w:val="en-US"/>
        </w:rPr>
        <w:t>A critical issue is whether virtual wards genuinely reduce pressure on the workforce or simply redistribute it. Although remote monitoring can make information available to clinicians without requiring patients to remain in hospital, staff still need sufficient time, training and authority to interpret information and respond appropriately (Bradley et al., 2026). If these resources are inadequate, digital systems could transfer additional responsibility to staff without providing the capacity to manage that responsibility safely. Workforce readiness therefore becomes a key condition for successful implementation.</w:t>
      </w:r>
    </w:p>
    <w:p w:rsidR="000171A1" w:rsidP="466C798D" w:rsidRDefault="000171A1" w14:paraId="5A2B1AC5" w14:textId="1A1EB5F4">
      <w:pPr>
        <w:spacing w:line="360" w:lineRule="auto"/>
      </w:pPr>
      <w:r w:rsidRPr="466C798D" w:rsidR="000171A1">
        <w:rPr>
          <w:lang w:val="en-US"/>
        </w:rPr>
        <w:t>Virtual wards alter the traditional pathway through which acute care is delivered. In a conventional pathway, patient deterioration may lead to contact with a GP or emergency service, followed by hospital admission, inpatient treatment and discharge. A virtual ward provides an alternative pathway in which an appropriate patient may be assessed and then monitored and treated at home, with clinical review and escalation when necessary (NHS England, 2024b).</w:t>
      </w:r>
    </w:p>
    <w:p w:rsidR="000171A1" w:rsidP="466C798D" w:rsidRDefault="000171A1" w14:paraId="4A701440" w14:textId="7AC52602">
      <w:pPr>
        <w:spacing w:line="360" w:lineRule="auto"/>
      </w:pPr>
      <w:r w:rsidRPr="466C798D" w:rsidR="000171A1">
        <w:rPr>
          <w:lang w:val="en-US"/>
        </w:rPr>
        <w:t>The principal service-delivery</w:t>
      </w:r>
      <w:r w:rsidRPr="466C798D" w:rsidR="00AC4164">
        <w:rPr>
          <w:lang w:val="en-US"/>
        </w:rPr>
        <w:t xml:space="preserve"> of the work force</w:t>
      </w:r>
      <w:r w:rsidRPr="466C798D" w:rsidR="000171A1">
        <w:rPr>
          <w:lang w:val="en-US"/>
        </w:rPr>
        <w:t xml:space="preserve"> objectives are to prevent avoidable hospital admissions and support earlier discharge where this can be achieved safely. By providing treatment and monitoring at home, virtual wards may help release hospital capacity and reduce pressure on inpatient services (NHS England, 2024a). </w:t>
      </w:r>
      <w:r w:rsidRPr="466C798D" w:rsidR="00CB797D">
        <w:rPr>
          <w:lang w:val="en-US"/>
        </w:rPr>
        <w:t>But</w:t>
      </w:r>
      <w:r w:rsidRPr="466C798D" w:rsidR="000171A1">
        <w:rPr>
          <w:lang w:val="en-US"/>
        </w:rPr>
        <w:t xml:space="preserve"> these outcomes should not be interpreted as evidence that virtual wards are automatically superior to conventional </w:t>
      </w:r>
      <w:r w:rsidRPr="466C798D" w:rsidR="000171A1">
        <w:rPr>
          <w:lang w:val="en-US"/>
        </w:rPr>
        <w:t>hospital care. Their safety and effectiveness depend on selecting appropriate patients and ensuring suitable clinical pathways, staffing, technology and escalation arrangements are in place (Maughan et al., 2024).</w:t>
      </w:r>
    </w:p>
    <w:p w:rsidR="000171A1" w:rsidP="466C798D" w:rsidRDefault="000171A1" w14:paraId="6522951E" w14:textId="0F1DDE4A">
      <w:pPr>
        <w:spacing w:line="360" w:lineRule="auto"/>
      </w:pPr>
      <w:r w:rsidRPr="466C798D" w:rsidR="000171A1">
        <w:rPr>
          <w:lang w:val="en-US"/>
        </w:rPr>
        <w:t xml:space="preserve">An important strength of the model is that it can move some elements of acute care away from the hospital environment while maintaining access to clinical oversight. This may allow patients who do not require continuous inpatient observation to receive treatment at home and reduce pressure on hospital beds where earlier discharge can be supported safely (Vindrola-Padros et al., 2021). </w:t>
      </w:r>
      <w:r w:rsidRPr="466C798D" w:rsidR="00CB797D">
        <w:rPr>
          <w:lang w:val="en-US"/>
        </w:rPr>
        <w:t>E</w:t>
      </w:r>
      <w:r w:rsidRPr="466C798D" w:rsidR="000171A1">
        <w:rPr>
          <w:lang w:val="en-US"/>
        </w:rPr>
        <w:t>ffectiveness depends on whether the technology and clinical infrastructure are sufficiently reliable.</w:t>
      </w:r>
    </w:p>
    <w:p w:rsidR="000171A1" w:rsidP="466C798D" w:rsidRDefault="000171A1" w14:paraId="232345FE" w14:textId="5A9254D4">
      <w:pPr>
        <w:spacing w:line="360" w:lineRule="auto"/>
      </w:pPr>
      <w:r w:rsidRPr="466C798D" w:rsidR="000171A1">
        <w:rPr>
          <w:lang w:val="en-US"/>
        </w:rPr>
        <w:t>NHS England (2024b) emphasises that technology should enable the clinical model rather than determine it. Digital innovation should respond to an identified clinical or service need rather than being introduced simply because technology is available. Where technology becomes the starting point for service design, organisations risk investing in systems that do not adequately address patient or workforce needs, potentially creating additional workload and compromising patient safety.</w:t>
      </w:r>
    </w:p>
    <w:p w:rsidR="00CB797D" w:rsidP="466C798D" w:rsidRDefault="000171A1" w14:paraId="09397DE8" w14:textId="77777777">
      <w:pPr>
        <w:spacing w:line="360" w:lineRule="auto"/>
      </w:pPr>
      <w:r w:rsidRPr="466C798D" w:rsidR="000171A1">
        <w:rPr>
          <w:lang w:val="en-US"/>
        </w:rPr>
        <w:t xml:space="preserve">The experience of Cambridge University Hospitals provides an example of how virtual wards can operate at scale. NHS England (2024a) reports that the service was developed in November 2022 and subsequently onboarded more than 1,500 patients across 23 specialties, with reported patient satisfaction of 97%, alongside reductions in length of stay and bed-day savings. </w:t>
      </w:r>
    </w:p>
    <w:p w:rsidR="000171A1" w:rsidP="466C798D" w:rsidRDefault="000171A1" w14:paraId="232884AA" w14:textId="07E57801">
      <w:pPr>
        <w:spacing w:line="360" w:lineRule="auto"/>
      </w:pPr>
      <w:r w:rsidRPr="466C798D" w:rsidR="000171A1">
        <w:rPr>
          <w:lang w:val="en-US"/>
        </w:rPr>
        <w:t>However, these results represent the experience of a particular service and should not be generalised to all virtual wards (Bradley et al., 2026). Outcomes may vary according to patient selection, staffing levels, interoperability between digital systems, availability of equipment and escalation procedures. If poorly coordinated, a virtual ward may become an additional layer of service rather than a genuine alternative to hospital admission.</w:t>
      </w:r>
    </w:p>
    <w:p w:rsidR="000171A1" w:rsidP="466C798D" w:rsidRDefault="005130B5" w14:paraId="64762461" w14:textId="43F0BB67">
      <w:pPr>
        <w:spacing w:line="360" w:lineRule="auto"/>
      </w:pPr>
      <w:r w:rsidRPr="466C798D" w:rsidR="005130B5">
        <w:rPr>
          <w:lang w:val="en-US"/>
        </w:rPr>
        <w:t>V</w:t>
      </w:r>
      <w:r w:rsidRPr="466C798D" w:rsidR="000171A1">
        <w:rPr>
          <w:lang w:val="en-US"/>
        </w:rPr>
        <w:t>irtual wards have the potential to improve service capacity and flexibility, but their effectiveness depends on implementation rather than technology alone. The critical issue is whether the model is integrated into an appropriate clinical pathway and supported by sufficient workforce, governance and infrastructure.</w:t>
      </w:r>
    </w:p>
    <w:p w:rsidR="000171A1" w:rsidP="466C798D" w:rsidRDefault="000171A1" w14:paraId="556BEA4A" w14:textId="77777777">
      <w:pPr>
        <w:spacing w:line="360" w:lineRule="auto"/>
      </w:pPr>
    </w:p>
    <w:p w:rsidR="0015799E" w:rsidP="466C798D" w:rsidRDefault="0015799E" w14:paraId="2C9EA526" w14:textId="77777777">
      <w:pPr>
        <w:spacing w:line="360" w:lineRule="auto"/>
      </w:pPr>
    </w:p>
    <w:p w:rsidR="00F0143C" w:rsidP="466C798D" w:rsidRDefault="00F0143C" w14:paraId="7DF736D3" w14:textId="16FBA94C">
      <w:pPr>
        <w:pStyle w:val="Normal"/>
        <w:spacing w:line="360" w:lineRule="auto"/>
      </w:pPr>
    </w:p>
    <w:p w:rsidR="000171A1" w:rsidP="466C798D" w:rsidRDefault="000171A1" w14:paraId="52B5835D" w14:textId="0F0912F9">
      <w:pPr>
        <w:pStyle w:val="Heading1"/>
        <w:spacing w:line="360" w:lineRule="auto"/>
      </w:pPr>
      <w:bookmarkStart w:name="_Toc241608811" w:id="2"/>
      <w:r w:rsidR="000171A1">
        <w:rPr/>
        <w:t>PATIENT/SERVICE-USER EXPERIENCE</w:t>
      </w:r>
      <w:bookmarkEnd w:id="2"/>
    </w:p>
    <w:p w:rsidR="000171A1" w:rsidP="466C798D" w:rsidRDefault="000171A1" w14:paraId="1D0D6A82" w14:textId="7C6E6106">
      <w:pPr>
        <w:spacing w:line="360" w:lineRule="auto"/>
      </w:pPr>
      <w:r w:rsidRPr="466C798D" w:rsidR="000171A1">
        <w:rPr>
          <w:lang w:val="en-US"/>
        </w:rPr>
        <w:t>The impact of virtual wards on patient experience cannot be understood simply by assuming that patients prefer receiving care at home. Instead, it is necessary to consider why home-based care may be beneficial, for whom it is appropriate and under what circumstances it can provide a safe alternative to hospital care. Patient experiences vary according to clinical needs, confidence with technology, living circumstances and availability of support at home (Vindrola-Padros et al., 2021; Malhis, 2026).</w:t>
      </w:r>
    </w:p>
    <w:p w:rsidR="000171A1" w:rsidP="466C798D" w:rsidRDefault="000171A1" w14:paraId="08F840C2" w14:textId="5FCDFCF6">
      <w:pPr>
        <w:spacing w:line="360" w:lineRule="auto"/>
      </w:pPr>
      <w:r w:rsidRPr="466C798D" w:rsidR="000171A1">
        <w:rPr>
          <w:lang w:val="en-US"/>
        </w:rPr>
        <w:t>One potential advantage is that patients can remain in a familiar environment while receiving clinical monitoring and treatment. This may allow individuals to maintain aspects of normal routines and avoid disruption associated with hospital admission. Other potential benefits include greater involvement in monitoring, increased autonomy and reassurance resulting from knowing that clinical staff can review their health information remotely (NHS England, 2021).</w:t>
      </w:r>
    </w:p>
    <w:p w:rsidR="000171A1" w:rsidP="466C798D" w:rsidRDefault="000171A1" w14:paraId="3D228632" w14:textId="0B4B8D85">
      <w:pPr>
        <w:spacing w:line="360" w:lineRule="auto"/>
      </w:pPr>
      <w:r w:rsidRPr="178BE355" w:rsidR="000171A1">
        <w:rPr>
          <w:lang w:val="en-US"/>
        </w:rPr>
        <w:t xml:space="preserve">However, the extent to which virtual wards increase autonomy depends partly on the patient's ability and confidence to engage with technology. Patients comfortable using digital devices may experience greater independence, while those who have difficulty using monitoring equipment may experience frustration, anxiety or dependence on relatives and carers (Lindsay et al., 2025; </w:t>
      </w:r>
      <w:r w:rsidRPr="178BE355" w:rsidR="000171A1">
        <w:rPr>
          <w:lang w:val="en-US"/>
        </w:rPr>
        <w:t>Pahirden</w:t>
      </w:r>
      <w:r w:rsidRPr="178BE355" w:rsidR="000171A1">
        <w:rPr>
          <w:lang w:val="en-US"/>
        </w:rPr>
        <w:t xml:space="preserve">, </w:t>
      </w:r>
      <w:r w:rsidRPr="178BE355" w:rsidR="000171A1">
        <w:rPr>
          <w:lang w:val="en-US"/>
        </w:rPr>
        <w:t>Stefler</w:t>
      </w:r>
      <w:r w:rsidRPr="178BE355" w:rsidR="000171A1">
        <w:rPr>
          <w:lang w:val="en-US"/>
        </w:rPr>
        <w:t xml:space="preserve"> and </w:t>
      </w:r>
      <w:r w:rsidRPr="178BE355" w:rsidR="000171A1">
        <w:rPr>
          <w:lang w:val="en-US"/>
        </w:rPr>
        <w:t>Jayatunga</w:t>
      </w:r>
      <w:r w:rsidRPr="178BE355" w:rsidR="000171A1">
        <w:rPr>
          <w:lang w:val="en-US"/>
        </w:rPr>
        <w:t>, 2026). Therefore, moving care into the home does not necessarily remove the burden of care; it may transfer part of that responsibility from healthcare professionals to patients or family members</w:t>
      </w:r>
      <w:r w:rsidRPr="178BE355" w:rsidR="77F22F40">
        <w:rPr>
          <w:lang w:val="en-US"/>
        </w:rPr>
        <w:t>.</w:t>
      </w:r>
    </w:p>
    <w:p w:rsidR="000171A1" w:rsidP="466C798D" w:rsidRDefault="000171A1" w14:paraId="6BA73BC2" w14:textId="6EE4AB0C">
      <w:pPr>
        <w:spacing w:line="360" w:lineRule="auto"/>
      </w:pPr>
      <w:r w:rsidRPr="466C798D" w:rsidR="000171A1">
        <w:rPr>
          <w:lang w:val="en-US"/>
        </w:rPr>
        <w:t>This raises an important consideration regarding patient-centred care. Although receiving treatment at home can provide greater control over the patient's environment, it may also introduce additional responsibilities for patients and carers. Autonomy should not be assessed only in terms of whether a patient remains at home. It should also consider whether the patient has the skills, support and choice required to participate safely in their care.</w:t>
      </w:r>
    </w:p>
    <w:p w:rsidR="000171A1" w:rsidP="466C798D" w:rsidRDefault="000171A1" w14:paraId="3A313F5F" w14:textId="37AC73EB">
      <w:pPr>
        <w:spacing w:line="360" w:lineRule="auto"/>
      </w:pPr>
      <w:r w:rsidRPr="59AAE226" w:rsidR="000171A1">
        <w:rPr>
          <w:lang w:val="en-US"/>
        </w:rPr>
        <w:t xml:space="preserve">Remote monitoring can provide patients with confidence that their clinical team is receiving information about their condition. </w:t>
      </w:r>
      <w:r w:rsidRPr="59AAE226" w:rsidR="005130B5">
        <w:rPr>
          <w:lang w:val="en-US"/>
        </w:rPr>
        <w:t>T</w:t>
      </w:r>
      <w:r w:rsidRPr="59AAE226" w:rsidR="000171A1">
        <w:rPr>
          <w:lang w:val="en-US"/>
        </w:rPr>
        <w:t>he same technology could produce anxiety if patients become excessively focused on individual measurements or are uncertain whether their data are being reviewed (Vindrola-Padros et al., 2021). The value of monitoring therefore depends not only on the technology's ability to collect information but also on how effectively healthcare professionals communicate with patients and respond to the information received.</w:t>
      </w:r>
    </w:p>
    <w:p w:rsidR="000171A1" w:rsidP="466C798D" w:rsidRDefault="000171A1" w14:paraId="76CB7A7D" w14:textId="7637CE61">
      <w:pPr>
        <w:spacing w:line="360" w:lineRule="auto"/>
      </w:pPr>
      <w:r w:rsidRPr="178BE355" w:rsidR="000171A1">
        <w:rPr>
          <w:lang w:val="en-US"/>
        </w:rPr>
        <w:t xml:space="preserve">Avoiding unnecessary hospital stays may reduce disruption to patients and their families. Patients may avoid travel to hospital, while relatives may experience fewer disruptions to work and other responsibilities. However, reducing hospital attendance also changes the nature of clinical observation. In hospital, healthcare professionals can observe patients directly and identify changes that may not be captured by specific monitoring devices. </w:t>
      </w:r>
    </w:p>
    <w:p w:rsidR="000171A1" w:rsidP="466C798D" w:rsidRDefault="000171A1" w14:paraId="068261F3" w14:textId="509E6AA0">
      <w:pPr>
        <w:spacing w:line="360" w:lineRule="auto"/>
      </w:pPr>
      <w:r w:rsidRPr="178BE355" w:rsidR="000171A1">
        <w:rPr>
          <w:lang w:val="en-US"/>
        </w:rPr>
        <w:t>Remote monitoring often depends on selected physiological measurements, meaning deterioration may potentially be missed if it presents through signs not measured by the technology (Lindsay et al., 2025).</w:t>
      </w:r>
    </w:p>
    <w:p w:rsidR="000171A1" w:rsidP="466C798D" w:rsidRDefault="000171A1" w14:paraId="52F45356" w14:textId="77777777">
      <w:pPr>
        <w:spacing w:line="360" w:lineRule="auto"/>
      </w:pPr>
      <w:r w:rsidRPr="466C798D" w:rsidR="000171A1">
        <w:rPr>
          <w:lang w:val="en-US"/>
        </w:rPr>
        <w:t>This demonstrates that patient experience and patient safety are closely connected. A virtual ward may provide convenience and greater involvement in care, but these benefits depend on appropriate patient selection, reliable monitoring and effective clinical response. Consequently, the success of virtual wards should not be measured solely through patient satisfaction; safety, clinical outcomes, accessibility and the experiences of patients and carers should also be considered (Malhis, 2026; Pahirden, Stefler and Jayatunga, 2026).</w:t>
      </w:r>
    </w:p>
    <w:p w:rsidR="000171A1" w:rsidP="466C798D" w:rsidRDefault="000171A1" w14:paraId="3537E6FE" w14:textId="7160CDFE">
      <w:pPr>
        <w:spacing w:line="360" w:lineRule="auto"/>
      </w:pPr>
      <w:r w:rsidRPr="466C798D" w:rsidR="000171A1">
        <w:rPr>
          <w:lang w:val="en-US"/>
        </w:rPr>
        <w:t>Although virtual wards may improve access to care for some patients, their reliance on digital technology creates potential challenges for health inequalities. NHS England's Inclusive Digital Healthcare Framework recognises that digital healthcare can contribute to exclusion where individuals lack appropriate devices, connectivity, accessibility, digital skills or confidence (NHS England, 2023b). NHS England (2023b) reports that approximately 7% of UK households lacked home internet access, highlighting that digital inclusion involves more than simply providing a digital healthcare service.</w:t>
      </w:r>
    </w:p>
    <w:p w:rsidR="000171A1" w:rsidP="466C798D" w:rsidRDefault="000171A1" w14:paraId="309F3D7F" w14:textId="73E54FB3">
      <w:pPr>
        <w:spacing w:line="360" w:lineRule="auto"/>
      </w:pPr>
      <w:r w:rsidRPr="466C798D" w:rsidR="000171A1">
        <w:rPr>
          <w:lang w:val="en-US"/>
        </w:rPr>
        <w:t xml:space="preserve">This issue is particularly relevant to communities where digital connectivity may be limited. </w:t>
      </w:r>
      <w:r w:rsidRPr="466C798D" w:rsidR="000171A1">
        <w:rPr>
          <w:b w:val="0"/>
          <w:bCs w:val="0"/>
          <w:lang w:val="en-US"/>
        </w:rPr>
        <w:t>Rural</w:t>
      </w:r>
      <w:r w:rsidRPr="466C798D" w:rsidR="000171A1">
        <w:rPr>
          <w:lang w:val="en-US"/>
        </w:rPr>
        <w:t xml:space="preserve"> patients may experience poor internet connectivity and may need to travel considerable distances to obtain equipment or technical support (Pahirden, Stefler and Jayatunga, 2026). At the same time, virtual wards may provide an important benefit by reducing the need for some patients to travel to distant hospitals. The impact on rural communities is therefore complex</w:t>
      </w:r>
      <w:r w:rsidRPr="466C798D" w:rsidR="005130B5">
        <w:rPr>
          <w:lang w:val="en-US"/>
        </w:rPr>
        <w:t>,</w:t>
      </w:r>
      <w:r w:rsidRPr="466C798D" w:rsidR="000171A1">
        <w:rPr>
          <w:lang w:val="en-US"/>
        </w:rPr>
        <w:t xml:space="preserve"> digital infrastructure may present a barrier, while home-based care may simultaneously reduce geographical barriers.</w:t>
      </w:r>
    </w:p>
    <w:p w:rsidR="000171A1" w:rsidP="466C798D" w:rsidRDefault="000171A1" w14:paraId="6F402161" w14:textId="0BDD8D5B">
      <w:pPr>
        <w:spacing w:line="360" w:lineRule="auto"/>
      </w:pPr>
      <w:r w:rsidRPr="466C798D" w:rsidR="000171A1">
        <w:rPr>
          <w:b w:val="0"/>
          <w:bCs w:val="0"/>
          <w:lang w:val="en-US"/>
        </w:rPr>
        <w:t>Age</w:t>
      </w:r>
      <w:r w:rsidRPr="466C798D" w:rsidR="000171A1">
        <w:rPr>
          <w:lang w:val="en-US"/>
        </w:rPr>
        <w:t xml:space="preserve"> should also be considered carefully. Older people should not be treated as a single group with identical levels of digital ability. Some older patients may use digital technologies confidently and benefit from receiving care at home, whereas others may require substantial assistance (Lindsay et al., 2025). A model that assumes all patients can engage independently with digital technology could therefore unintentionally exclude those who require additional support.</w:t>
      </w:r>
    </w:p>
    <w:p w:rsidR="000171A1" w:rsidP="466C798D" w:rsidRDefault="000171A1" w14:paraId="0A4D8685" w14:textId="77777777">
      <w:pPr>
        <w:spacing w:line="360" w:lineRule="auto"/>
      </w:pPr>
      <w:r w:rsidRPr="466C798D" w:rsidR="000171A1">
        <w:rPr>
          <w:lang w:val="en-US"/>
        </w:rPr>
        <w:t>For this reason, digital healthcare should complement rather than completely replace non-digital routes to care. Maintaining alternative forms of support can help ensure that patients who cannot, or do not wish to, engage digitally are not disadvantaged (NHS England, 2023b). This is particularly important when digital technology becomes embedded within routine healthcare pathways because the absence of a realistic alternative could turn a potential improvement in access into a source of exclusion.</w:t>
      </w:r>
    </w:p>
    <w:p w:rsidR="000171A1" w:rsidP="466C798D" w:rsidRDefault="000171A1" w14:paraId="39287403" w14:textId="77777777">
      <w:pPr>
        <w:spacing w:line="360" w:lineRule="auto"/>
      </w:pPr>
    </w:p>
    <w:p w:rsidR="000171A1" w:rsidP="466C798D" w:rsidRDefault="000171A1" w14:paraId="3010AA87" w14:textId="34BB2DEC">
      <w:pPr>
        <w:pStyle w:val="Heading1"/>
        <w:spacing w:line="360" w:lineRule="auto"/>
      </w:pPr>
      <w:bookmarkStart w:name="_Toc241608812" w:id="3"/>
      <w:r w:rsidR="000171A1">
        <w:rPr/>
        <w:t>CONCLUSION AND RECOMMENDATIONS</w:t>
      </w:r>
      <w:bookmarkEnd w:id="3"/>
    </w:p>
    <w:p w:rsidRPr="00CA7D86" w:rsidR="000171A1" w:rsidP="466C798D" w:rsidRDefault="000171A1" w14:paraId="3B58C099" w14:textId="7637D2F3">
      <w:pPr>
        <w:spacing w:line="360" w:lineRule="auto"/>
      </w:pPr>
      <w:r w:rsidRPr="466C798D" w:rsidR="000171A1">
        <w:rPr>
          <w:lang w:val="en-US"/>
        </w:rPr>
        <w:t xml:space="preserve">Virtual wards change acute care delivery by enabling selected patients to receive treatment and monitoring at home (NHS England, 2024b). They alter workforce roles, introduce digital competencies and offer an alternative to hospital-based pathways (McGowan et al., 2026). Some patients gain convenience and autonomy, with less disruption compared to hospital admission (Vindrola-Padros et al., 2021). </w:t>
      </w:r>
      <w:r w:rsidRPr="466C798D" w:rsidR="00063A97">
        <w:rPr>
          <w:lang w:val="en-US"/>
        </w:rPr>
        <w:t>B</w:t>
      </w:r>
      <w:r w:rsidRPr="466C798D" w:rsidR="000171A1">
        <w:rPr>
          <w:lang w:val="en-US"/>
        </w:rPr>
        <w:t>enefits depend on patient selection, reliable technology, communication, staffing and escalation arrangements (Lindsay et al., 2025).</w:t>
      </w:r>
    </w:p>
    <w:p w:rsidRPr="00CA7D86" w:rsidR="000171A1" w:rsidP="466C798D" w:rsidRDefault="000171A1" w14:paraId="2642DE54" w14:textId="16C51978">
      <w:pPr>
        <w:spacing w:line="360" w:lineRule="auto"/>
      </w:pPr>
      <w:r w:rsidRPr="466C798D" w:rsidR="000171A1">
        <w:rPr>
          <w:lang w:val="en-US"/>
        </w:rPr>
        <w:t>Virtual wards may redistribute rather than eliminate workforce pressures, while patients and carers assume additional responsibilities for monitoring and recognising deterioration (Bradley et al., 2026). Unequal digital access can worsen health inequalities if non-digital alternatives are absent (NHS England, 2023b; Pahirden, Stefler and Jayatunga, 2026).</w:t>
      </w:r>
    </w:p>
    <w:p w:rsidRPr="00CA7D86" w:rsidR="000171A1" w:rsidP="466C798D" w:rsidRDefault="000171A1" w14:paraId="6E580B30" w14:textId="56A49F20">
      <w:pPr>
        <w:spacing w:line="360" w:lineRule="auto"/>
      </w:pPr>
      <w:r w:rsidRPr="466C798D" w:rsidR="000171A1">
        <w:rPr>
          <w:lang w:val="en-US"/>
        </w:rPr>
        <w:t>Recommendations include workforce training for clinical, digital and communication competencies</w:t>
      </w:r>
      <w:r w:rsidRPr="466C798D" w:rsidR="005130B5">
        <w:rPr>
          <w:lang w:val="en-US"/>
        </w:rPr>
        <w:t xml:space="preserve">, </w:t>
      </w:r>
      <w:r w:rsidRPr="466C798D" w:rsidR="000171A1">
        <w:rPr>
          <w:lang w:val="en-US"/>
        </w:rPr>
        <w:t>maintaining non-digital alternatives</w:t>
      </w:r>
      <w:r w:rsidRPr="466C798D" w:rsidR="005130B5">
        <w:rPr>
          <w:lang w:val="en-US"/>
        </w:rPr>
        <w:t>,</w:t>
      </w:r>
      <w:r w:rsidRPr="466C798D" w:rsidR="000171A1">
        <w:rPr>
          <w:lang w:val="en-US"/>
        </w:rPr>
        <w:t xml:space="preserve"> clear patient-selection and escalation criteria and involving patients, carers and staff in design and evaluation of virtual wards. Evaluation should consider safety, outcomes, equity and workforce impact alongside cost (NHS England, 2023a). These measures ensure virtual wards are safe, equitable and sustainable without shifting risk to patients, carers or staff.</w:t>
      </w:r>
    </w:p>
    <w:p w:rsidR="000171A1" w:rsidP="466C798D" w:rsidRDefault="000171A1" w14:paraId="42B22600" w14:textId="77777777">
      <w:pPr>
        <w:spacing w:line="360" w:lineRule="auto"/>
      </w:pPr>
    </w:p>
    <w:p w:rsidR="005130B5" w:rsidP="466C798D" w:rsidRDefault="005130B5" w14:paraId="6CA645E7" w14:textId="77777777">
      <w:pPr>
        <w:spacing w:line="360" w:lineRule="auto"/>
      </w:pPr>
    </w:p>
    <w:p w:rsidR="005130B5" w:rsidP="466C798D" w:rsidRDefault="005130B5" w14:paraId="17A54622" w14:textId="77777777">
      <w:pPr>
        <w:spacing w:line="360" w:lineRule="auto"/>
      </w:pPr>
    </w:p>
    <w:p w:rsidR="005130B5" w:rsidP="466C798D" w:rsidRDefault="005130B5" w14:paraId="63E9AF2D" w14:textId="77777777">
      <w:pPr>
        <w:spacing w:line="360" w:lineRule="auto"/>
      </w:pPr>
    </w:p>
    <w:p w:rsidR="005130B5" w:rsidP="466C798D" w:rsidRDefault="005130B5" w14:paraId="688B8744" w14:textId="77777777">
      <w:pPr>
        <w:spacing w:line="360" w:lineRule="auto"/>
      </w:pPr>
    </w:p>
    <w:p w:rsidR="000171A1" w:rsidP="466C798D" w:rsidRDefault="000171A1" w14:paraId="14F5F50A" w14:textId="77777777">
      <w:pPr>
        <w:spacing w:line="360" w:lineRule="auto"/>
      </w:pPr>
    </w:p>
    <w:p w:rsidR="00F0143C" w:rsidP="466C798D" w:rsidRDefault="00F0143C" w14:paraId="67710396" w14:textId="27EDBE41">
      <w:pPr>
        <w:pStyle w:val="Normal"/>
        <w:spacing w:line="360" w:lineRule="auto"/>
      </w:pPr>
    </w:p>
    <w:p w:rsidR="000171A1" w:rsidP="466C798D" w:rsidRDefault="000171A1" w14:paraId="61F4DA64" w14:textId="7A44AE6D">
      <w:pPr>
        <w:pStyle w:val="Heading1"/>
        <w:spacing w:line="360" w:lineRule="auto"/>
      </w:pPr>
      <w:bookmarkStart w:name="_Toc241608813" w:id="4"/>
      <w:r w:rsidR="000171A1">
        <w:rPr/>
        <w:t>REFERENCES</w:t>
      </w:r>
      <w:bookmarkEnd w:id="4"/>
    </w:p>
    <w:p w:rsidR="000171A1" w:rsidP="466C798D" w:rsidRDefault="000171A1" w14:paraId="6ED6B53B" w14:textId="4F0A0E42">
      <w:pPr>
        <w:pStyle w:val="ListParagraph"/>
        <w:numPr>
          <w:ilvl w:val="0"/>
          <w:numId w:val="1"/>
        </w:numPr>
        <w:spacing w:line="360" w:lineRule="auto"/>
        <w:rPr>
          <w:lang w:val="en-US"/>
        </w:rPr>
      </w:pPr>
      <w:r w:rsidRPr="59AAE226" w:rsidR="000171A1">
        <w:rPr>
          <w:lang w:val="en-US"/>
        </w:rPr>
        <w:t xml:space="preserve">Bradley, F., Howells, K., Gasteiger, N., Sanders, C., Blakeman, T. and Dowding, D. (2026) </w:t>
      </w:r>
      <w:r w:rsidRPr="59AAE226" w:rsidR="000171A1">
        <w:rPr>
          <w:i w:val="1"/>
          <w:iCs w:val="1"/>
          <w:lang w:val="en-US"/>
        </w:rPr>
        <w:t>'Factors affecting implementation of hospital inpatient-level care at home</w:t>
      </w:r>
      <w:r w:rsidRPr="59AAE226" w:rsidR="000171A1">
        <w:rPr>
          <w:lang w:val="en-US"/>
        </w:rPr>
        <w:t>: a qualitative study of virtual wards in North West England</w:t>
      </w:r>
      <w:r w:rsidRPr="59AAE226" w:rsidR="00C72F19">
        <w:rPr>
          <w:lang w:val="en-US"/>
        </w:rPr>
        <w:t>’, BMJ</w:t>
      </w:r>
      <w:r w:rsidRPr="59AAE226" w:rsidR="000171A1">
        <w:rPr>
          <w:lang w:val="en-US"/>
        </w:rPr>
        <w:t xml:space="preserve"> </w:t>
      </w:r>
      <w:r w:rsidRPr="59AAE226" w:rsidR="00C72F19">
        <w:rPr>
          <w:lang w:val="en-US"/>
        </w:rPr>
        <w:t>Open,</w:t>
      </w:r>
      <w:r w:rsidRPr="59AAE226" w:rsidR="000171A1">
        <w:rPr>
          <w:lang w:val="en-US"/>
        </w:rPr>
        <w:t xml:space="preserve"> 16(4), e111868. Available at: https://doi.org/10.1136/bmjopen-2025-111868 (Accessed: 22 September 2026).</w:t>
      </w:r>
    </w:p>
    <w:p w:rsidR="466C798D" w:rsidP="466C798D" w:rsidRDefault="466C798D" w14:paraId="74AB2D4C" w14:textId="5B5BE6C5">
      <w:pPr>
        <w:pStyle w:val="ListParagraph"/>
        <w:spacing w:line="360" w:lineRule="auto"/>
        <w:ind w:left="720"/>
        <w:rPr>
          <w:lang w:val="en-US"/>
        </w:rPr>
      </w:pPr>
    </w:p>
    <w:p w:rsidR="000171A1" w:rsidP="466C798D" w:rsidRDefault="000171A1" w14:paraId="45B1F145" w14:textId="2EF39FC9">
      <w:pPr>
        <w:pStyle w:val="ListParagraph"/>
        <w:numPr>
          <w:ilvl w:val="0"/>
          <w:numId w:val="1"/>
        </w:numPr>
        <w:spacing w:line="360" w:lineRule="auto"/>
        <w:rPr>
          <w:lang w:val="en-US"/>
        </w:rPr>
      </w:pPr>
      <w:r w:rsidRPr="59AAE226" w:rsidR="000171A1">
        <w:rPr>
          <w:lang w:val="en-US"/>
        </w:rPr>
        <w:t>Lindsay, R.K., Cunnington, P. and Dixon-Woods, M. (2025) '</w:t>
      </w:r>
      <w:r w:rsidRPr="59AAE226" w:rsidR="000171A1">
        <w:rPr>
          <w:i w:val="1"/>
          <w:iCs w:val="1"/>
          <w:lang w:val="en-US"/>
        </w:rPr>
        <w:t>Why is implementing remote monitoring in virtual wards (Hospital at Home) for people living with frailty so hard?</w:t>
      </w:r>
      <w:r w:rsidRPr="59AAE226" w:rsidR="000171A1">
        <w:rPr>
          <w:lang w:val="en-US"/>
        </w:rPr>
        <w:t xml:space="preserve"> Qualitative interview study</w:t>
      </w:r>
      <w:r w:rsidRPr="59AAE226" w:rsidR="00C72F19">
        <w:rPr>
          <w:lang w:val="en-US"/>
        </w:rPr>
        <w:t>’, Age</w:t>
      </w:r>
      <w:r w:rsidRPr="59AAE226" w:rsidR="000171A1">
        <w:rPr>
          <w:lang w:val="en-US"/>
        </w:rPr>
        <w:t xml:space="preserve"> and </w:t>
      </w:r>
      <w:r w:rsidRPr="59AAE226" w:rsidR="00C72F19">
        <w:rPr>
          <w:lang w:val="en-US"/>
        </w:rPr>
        <w:t>Ageing,</w:t>
      </w:r>
      <w:r w:rsidRPr="59AAE226" w:rsidR="000171A1">
        <w:rPr>
          <w:lang w:val="en-US"/>
        </w:rPr>
        <w:t xml:space="preserve"> 54(1), afaf003. Available at: https://doi.org/10.1093/ageing/afaf003 (Accessed: 22 September 2026).</w:t>
      </w:r>
    </w:p>
    <w:p w:rsidR="466C798D" w:rsidP="466C798D" w:rsidRDefault="466C798D" w14:paraId="68C9DD91" w14:textId="60E8B04B">
      <w:pPr>
        <w:pStyle w:val="ListParagraph"/>
        <w:spacing w:line="360" w:lineRule="auto"/>
        <w:ind w:left="720"/>
        <w:rPr>
          <w:lang w:val="en-US"/>
        </w:rPr>
      </w:pPr>
    </w:p>
    <w:p w:rsidR="000171A1" w:rsidP="466C798D" w:rsidRDefault="000171A1" w14:paraId="4CEBC198" w14:textId="67314F19">
      <w:pPr>
        <w:pStyle w:val="ListParagraph"/>
        <w:numPr>
          <w:ilvl w:val="0"/>
          <w:numId w:val="1"/>
        </w:numPr>
        <w:spacing w:line="360" w:lineRule="auto"/>
        <w:rPr>
          <w:lang w:val="en-US"/>
        </w:rPr>
      </w:pPr>
      <w:r w:rsidRPr="59AAE226" w:rsidR="000171A1">
        <w:rPr>
          <w:lang w:val="en-US"/>
        </w:rPr>
        <w:t>Malhis, R.A. (2026) '</w:t>
      </w:r>
      <w:r w:rsidRPr="59AAE226" w:rsidR="000171A1">
        <w:rPr>
          <w:b w:val="0"/>
          <w:bCs w:val="0"/>
          <w:i w:val="1"/>
          <w:iCs w:val="1"/>
          <w:lang w:val="en-US"/>
        </w:rPr>
        <w:t>Virtual healthcare in the UK: a systematic review of randomised controlled trials evaluating quality of life and satisfaction in virtual wards and hospital-at-home services compared to hospital care</w:t>
      </w:r>
      <w:r w:rsidRPr="59AAE226" w:rsidR="000171A1">
        <w:rPr>
          <w:lang w:val="en-US"/>
        </w:rPr>
        <w:t>',</w:t>
      </w:r>
      <w:r w:rsidRPr="59AAE226" w:rsidR="00CA7D86">
        <w:rPr>
          <w:lang w:val="en-US"/>
        </w:rPr>
        <w:t xml:space="preserve"> </w:t>
      </w:r>
      <w:r w:rsidRPr="59AAE226" w:rsidR="000171A1">
        <w:rPr>
          <w:lang w:val="en-US"/>
        </w:rPr>
        <w:t>International Journal of Pharmacy Practice,34(Supplement_1</w:t>
      </w:r>
      <w:r w:rsidRPr="59AAE226" w:rsidR="00C72F19">
        <w:rPr>
          <w:lang w:val="en-US"/>
        </w:rPr>
        <w:t>), p. i36.Availabl</w:t>
      </w:r>
      <w:r w:rsidRPr="59AAE226" w:rsidR="000171A1">
        <w:rPr>
          <w:lang w:val="en-US"/>
        </w:rPr>
        <w:t xml:space="preserve"> at: https://doi.org/10.1093/ijpp/riag034.049 (Accessed: 22 September 2026).</w:t>
      </w:r>
    </w:p>
    <w:p w:rsidR="466C798D" w:rsidP="466C798D" w:rsidRDefault="466C798D" w14:paraId="0AE5DC39" w14:textId="57F5D1CC">
      <w:pPr>
        <w:pStyle w:val="ListParagraph"/>
        <w:spacing w:line="360" w:lineRule="auto"/>
        <w:ind w:left="720"/>
        <w:rPr>
          <w:lang w:val="en-US"/>
        </w:rPr>
      </w:pPr>
    </w:p>
    <w:p w:rsidR="000171A1" w:rsidP="466C798D" w:rsidRDefault="000171A1" w14:paraId="35F64F29" w14:textId="66509F3D">
      <w:pPr>
        <w:pStyle w:val="ListParagraph"/>
        <w:numPr>
          <w:ilvl w:val="0"/>
          <w:numId w:val="1"/>
        </w:numPr>
        <w:spacing w:line="360" w:lineRule="auto"/>
        <w:rPr/>
      </w:pPr>
      <w:r w:rsidR="000171A1">
        <w:rPr/>
        <w:t xml:space="preserve">Maughan, A., et al. (2024) </w:t>
      </w:r>
      <w:r w:rsidRPr="59AAE226" w:rsidR="000171A1">
        <w:rPr>
          <w:i w:val="1"/>
          <w:iCs w:val="1"/>
        </w:rPr>
        <w:t>'Inpatient-level care at home delivered by virtual wards and hospital at home: a systematic review and meta-analysis of complex interventions and their components</w:t>
      </w:r>
      <w:r w:rsidR="00C72F19">
        <w:rPr/>
        <w:t>’, BMC</w:t>
      </w:r>
      <w:r w:rsidR="000171A1">
        <w:rPr/>
        <w:t xml:space="preserve"> </w:t>
      </w:r>
      <w:r w:rsidR="00C72F19">
        <w:rPr/>
        <w:t>Medicine,</w:t>
      </w:r>
      <w:r w:rsidR="000171A1">
        <w:rPr/>
        <w:t xml:space="preserve"> 22. Available at: https://doi.org/10.1186/s12916-024-03312-3 (Accessed: 22 September 2026).</w:t>
      </w:r>
    </w:p>
    <w:p w:rsidR="466C798D" w:rsidP="466C798D" w:rsidRDefault="466C798D" w14:paraId="7F221DAD" w14:textId="40E59A21">
      <w:pPr>
        <w:pStyle w:val="ListParagraph"/>
        <w:spacing w:line="360" w:lineRule="auto"/>
        <w:ind w:left="720"/>
      </w:pPr>
    </w:p>
    <w:p w:rsidR="000171A1" w:rsidP="466C798D" w:rsidRDefault="000171A1" w14:paraId="694C788C" w14:textId="1134D8CC">
      <w:pPr>
        <w:pStyle w:val="ListParagraph"/>
        <w:numPr>
          <w:ilvl w:val="0"/>
          <w:numId w:val="1"/>
        </w:numPr>
        <w:spacing w:line="360" w:lineRule="auto"/>
        <w:rPr>
          <w:lang w:val="en-US"/>
        </w:rPr>
      </w:pPr>
      <w:r w:rsidRPr="59AAE226" w:rsidR="000171A1">
        <w:rPr>
          <w:lang w:val="en-US"/>
        </w:rPr>
        <w:t>McGowan, L.J., Nichol, B., Lecouturier, J., Banks, H., Dhami, R., Kelly, M.P., Sniehotta, F.F. and Graham, F. (2026) '</w:t>
      </w:r>
      <w:r w:rsidRPr="59AAE226" w:rsidR="000171A1">
        <w:rPr>
          <w:i w:val="1"/>
          <w:iCs w:val="1"/>
          <w:lang w:val="en-US"/>
        </w:rPr>
        <w:t>Commissioners' views and experiences of implementing virtual wards in Integrated Care Systems in England</w:t>
      </w:r>
      <w:r w:rsidRPr="59AAE226" w:rsidR="000171A1">
        <w:rPr>
          <w:lang w:val="en-US"/>
        </w:rPr>
        <w:t>: a longitudinal qualitative study using the Consolidated Framework for Implementation Research (CFIR)', BMC Health Services Research, 26(1), 1027. Available at: https://doi.org/10.1186/s12913-026-14740-7 (Accessed: 22 September 2026).</w:t>
      </w:r>
    </w:p>
    <w:p w:rsidR="466C798D" w:rsidP="466C798D" w:rsidRDefault="466C798D" w14:paraId="1CAB360F" w14:textId="78A3B9B9">
      <w:pPr>
        <w:pStyle w:val="ListParagraph"/>
        <w:spacing w:line="360" w:lineRule="auto"/>
        <w:ind w:left="720"/>
        <w:rPr>
          <w:lang w:val="en-US"/>
        </w:rPr>
      </w:pPr>
    </w:p>
    <w:p w:rsidR="000171A1" w:rsidP="466C798D" w:rsidRDefault="000171A1" w14:paraId="2715AEFC" w14:textId="11CF2320">
      <w:pPr>
        <w:pStyle w:val="ListParagraph"/>
        <w:numPr>
          <w:ilvl w:val="0"/>
          <w:numId w:val="1"/>
        </w:numPr>
        <w:spacing w:line="360" w:lineRule="auto"/>
        <w:rPr/>
      </w:pPr>
      <w:r w:rsidR="000171A1">
        <w:rPr/>
        <w:t xml:space="preserve">NHS England (2021) </w:t>
      </w:r>
      <w:r w:rsidRPr="59AAE226" w:rsidR="000171A1">
        <w:rPr>
          <w:i w:val="1"/>
          <w:iCs w:val="1"/>
        </w:rPr>
        <w:t>A guide to setting up technology-enabled virtual wards.</w:t>
      </w:r>
      <w:r w:rsidR="000171A1">
        <w:rPr/>
        <w:t xml:space="preserve"> Available at: https://www.england.nhs.uk/long-read/a-guide-to-setting-up-technology-enabled-virtual-wards/ (Accessed: 22 September 2026).</w:t>
      </w:r>
    </w:p>
    <w:p w:rsidR="000171A1" w:rsidP="466C798D" w:rsidRDefault="000171A1" w14:paraId="7F181EDF" w14:textId="7275E0A5">
      <w:pPr>
        <w:pStyle w:val="ListParagraph"/>
        <w:numPr>
          <w:ilvl w:val="0"/>
          <w:numId w:val="1"/>
        </w:numPr>
        <w:spacing w:line="360" w:lineRule="auto"/>
        <w:rPr>
          <w:lang w:val="en-US"/>
        </w:rPr>
      </w:pPr>
      <w:r w:rsidRPr="59AAE226" w:rsidR="000171A1">
        <w:rPr>
          <w:lang w:val="en-US"/>
        </w:rPr>
        <w:t xml:space="preserve">NHS England (2023a) </w:t>
      </w:r>
      <w:r w:rsidRPr="59AAE226" w:rsidR="000171A1">
        <w:rPr>
          <w:i w:val="1"/>
          <w:iCs w:val="1"/>
          <w:lang w:val="en-US"/>
        </w:rPr>
        <w:t>Supporting clinical leadership in virtual wards: a guide for integrated care system clinical leaders</w:t>
      </w:r>
      <w:r w:rsidRPr="59AAE226" w:rsidR="000171A1">
        <w:rPr>
          <w:lang w:val="en-US"/>
        </w:rPr>
        <w:t>. Available at: https://www.england.nhs.uk/long-read/supporting-clinical-leadership-in-virtual-wards-a-guide-for-integrated-care-system-clinical-leaders/ (Accessed: 22 September 2026).</w:t>
      </w:r>
    </w:p>
    <w:p w:rsidR="466C798D" w:rsidP="466C798D" w:rsidRDefault="466C798D" w14:paraId="61771642" w14:textId="3805D291">
      <w:pPr>
        <w:pStyle w:val="ListParagraph"/>
        <w:spacing w:line="360" w:lineRule="auto"/>
        <w:ind w:left="720"/>
        <w:rPr>
          <w:lang w:val="en-US"/>
        </w:rPr>
      </w:pPr>
    </w:p>
    <w:p w:rsidR="000171A1" w:rsidP="466C798D" w:rsidRDefault="000171A1" w14:paraId="593CD8E7" w14:textId="77994F19">
      <w:pPr>
        <w:pStyle w:val="ListParagraph"/>
        <w:numPr>
          <w:ilvl w:val="0"/>
          <w:numId w:val="1"/>
        </w:numPr>
        <w:spacing w:line="360" w:lineRule="auto"/>
        <w:rPr/>
      </w:pPr>
      <w:r w:rsidR="000171A1">
        <w:rPr/>
        <w:t xml:space="preserve">NHS England (2023b) </w:t>
      </w:r>
      <w:r w:rsidRPr="59AAE226" w:rsidR="000171A1">
        <w:rPr>
          <w:i w:val="1"/>
          <w:iCs w:val="1"/>
        </w:rPr>
        <w:t>Inclusive digital healthcare: a framework for NHS action on digital inclusion</w:t>
      </w:r>
      <w:r w:rsidR="000171A1">
        <w:rPr/>
        <w:t>. Available at: https://www.england.nhs.uk/long-read/inclusive-digital-healthcare-a-framework-for-nhs-action-on-digital-inclusion/ (Accessed: 22 September 2026).</w:t>
      </w:r>
    </w:p>
    <w:p w:rsidR="466C798D" w:rsidP="466C798D" w:rsidRDefault="466C798D" w14:paraId="2301365C" w14:textId="408FD92B">
      <w:pPr>
        <w:pStyle w:val="ListParagraph"/>
        <w:spacing w:line="360" w:lineRule="auto"/>
        <w:ind w:left="720"/>
      </w:pPr>
    </w:p>
    <w:p w:rsidR="000171A1" w:rsidP="466C798D" w:rsidRDefault="000171A1" w14:paraId="2A94DF8E" w14:textId="782A2A7D">
      <w:pPr>
        <w:pStyle w:val="ListParagraph"/>
        <w:numPr>
          <w:ilvl w:val="0"/>
          <w:numId w:val="1"/>
        </w:numPr>
        <w:spacing w:line="360" w:lineRule="auto"/>
        <w:rPr/>
      </w:pPr>
      <w:r w:rsidR="000171A1">
        <w:rPr/>
        <w:t xml:space="preserve">NHS England (2024a) </w:t>
      </w:r>
      <w:r w:rsidRPr="59AAE226" w:rsidR="000171A1">
        <w:rPr>
          <w:i w:val="1"/>
          <w:iCs w:val="1"/>
        </w:rPr>
        <w:t>Urgent and emergency care recovery plan year 2:</w:t>
      </w:r>
      <w:r w:rsidR="000171A1">
        <w:rPr/>
        <w:t xml:space="preserve"> building on learning from 2023/24. Available at: https://www.england.nhs.uk/long-read/urgent-and-emergency-care-recovery-plan-year-2-building-on-learning-from-2023-24/ (Accessed: 22 September 2026).</w:t>
      </w:r>
    </w:p>
    <w:p w:rsidR="466C798D" w:rsidP="466C798D" w:rsidRDefault="466C798D" w14:paraId="4861EB5A" w14:textId="3B4504FB">
      <w:pPr>
        <w:pStyle w:val="ListParagraph"/>
        <w:spacing w:line="360" w:lineRule="auto"/>
        <w:ind w:left="720"/>
      </w:pPr>
    </w:p>
    <w:p w:rsidR="000171A1" w:rsidP="466C798D" w:rsidRDefault="000171A1" w14:paraId="3FC41D36" w14:textId="6736B066">
      <w:pPr>
        <w:pStyle w:val="ListParagraph"/>
        <w:numPr>
          <w:ilvl w:val="0"/>
          <w:numId w:val="1"/>
        </w:numPr>
        <w:spacing w:line="360" w:lineRule="auto"/>
        <w:rPr/>
      </w:pPr>
      <w:r w:rsidR="000171A1">
        <w:rPr/>
        <w:t xml:space="preserve">NHS England (2024b) </w:t>
      </w:r>
      <w:r w:rsidRPr="59AAE226" w:rsidR="000171A1">
        <w:rPr>
          <w:i w:val="1"/>
          <w:iCs w:val="1"/>
        </w:rPr>
        <w:t>Virtual wards operational framework</w:t>
      </w:r>
      <w:r w:rsidR="000171A1">
        <w:rPr/>
        <w:t xml:space="preserve">. Available at: https://www.england.nhs.uk/long-read/virtual-wards-operational-framework/ (Accessed: </w:t>
      </w:r>
      <w:r w:rsidR="20700F54">
        <w:rPr/>
        <w:t>2 October</w:t>
      </w:r>
      <w:r w:rsidR="000171A1">
        <w:rPr/>
        <w:t xml:space="preserve"> </w:t>
      </w:r>
      <w:r w:rsidR="000171A1">
        <w:rPr/>
        <w:t>2026).</w:t>
      </w:r>
    </w:p>
    <w:p w:rsidR="466C798D" w:rsidP="466C798D" w:rsidRDefault="466C798D" w14:paraId="0841A999" w14:textId="7655A9A7">
      <w:pPr>
        <w:pStyle w:val="ListParagraph"/>
        <w:spacing w:line="360" w:lineRule="auto"/>
        <w:ind w:left="720"/>
      </w:pPr>
    </w:p>
    <w:p w:rsidR="000171A1" w:rsidP="466C798D" w:rsidRDefault="000171A1" w14:paraId="089666B1" w14:textId="20514C09">
      <w:pPr>
        <w:pStyle w:val="ListParagraph"/>
        <w:numPr>
          <w:ilvl w:val="0"/>
          <w:numId w:val="1"/>
        </w:numPr>
        <w:spacing w:line="360" w:lineRule="auto"/>
        <w:rPr>
          <w:lang w:val="en-US"/>
        </w:rPr>
      </w:pPr>
      <w:r w:rsidRPr="59AAE226" w:rsidR="000171A1">
        <w:rPr>
          <w:lang w:val="en-US"/>
        </w:rPr>
        <w:t>Pahirden</w:t>
      </w:r>
      <w:r w:rsidRPr="59AAE226" w:rsidR="000171A1">
        <w:rPr>
          <w:lang w:val="en-US"/>
        </w:rPr>
        <w:t xml:space="preserve">, G.R., Stefler, D. and </w:t>
      </w:r>
      <w:r w:rsidRPr="59AAE226" w:rsidR="000171A1">
        <w:rPr>
          <w:lang w:val="en-US"/>
        </w:rPr>
        <w:t>Jayatunga</w:t>
      </w:r>
      <w:r w:rsidRPr="59AAE226" w:rsidR="000171A1">
        <w:rPr>
          <w:lang w:val="en-US"/>
        </w:rPr>
        <w:t xml:space="preserve">, W. (2026) </w:t>
      </w:r>
      <w:r w:rsidRPr="59AAE226" w:rsidR="000171A1">
        <w:rPr>
          <w:i w:val="1"/>
          <w:iCs w:val="1"/>
          <w:lang w:val="en-US"/>
        </w:rPr>
        <w:t>'The equity of virtual ward models of care across sociodemographic groups in the United Kingdom</w:t>
      </w:r>
      <w:r w:rsidRPr="59AAE226" w:rsidR="000171A1">
        <w:rPr>
          <w:lang w:val="en-US"/>
        </w:rPr>
        <w:t>: a systematic review',</w:t>
      </w:r>
      <w:r w:rsidRPr="59AAE226" w:rsidR="005130B5">
        <w:rPr>
          <w:lang w:val="en-US"/>
        </w:rPr>
        <w:t xml:space="preserve"> </w:t>
      </w:r>
      <w:r w:rsidRPr="59AAE226" w:rsidR="000171A1">
        <w:rPr>
          <w:lang w:val="en-US"/>
        </w:rPr>
        <w:t xml:space="preserve">Journal of Integrated Care, 34(1), pp. 58-74. Available at: https://doi.org/10.1108/JICA-03-2025-0018 (Accessed: </w:t>
      </w:r>
      <w:r w:rsidRPr="59AAE226" w:rsidR="149336C1">
        <w:rPr>
          <w:lang w:val="en-US"/>
        </w:rPr>
        <w:t>2 October</w:t>
      </w:r>
      <w:r w:rsidRPr="59AAE226" w:rsidR="000171A1">
        <w:rPr>
          <w:lang w:val="en-US"/>
        </w:rPr>
        <w:t xml:space="preserve"> </w:t>
      </w:r>
      <w:r w:rsidRPr="59AAE226" w:rsidR="000171A1">
        <w:rPr>
          <w:lang w:val="en-US"/>
        </w:rPr>
        <w:t>2026).</w:t>
      </w:r>
    </w:p>
    <w:p w:rsidR="466C798D" w:rsidP="466C798D" w:rsidRDefault="466C798D" w14:paraId="3533A03D" w14:textId="69E9393D">
      <w:pPr>
        <w:pStyle w:val="ListParagraph"/>
        <w:spacing w:line="360" w:lineRule="auto"/>
        <w:ind w:left="720"/>
        <w:rPr>
          <w:lang w:val="en-US"/>
        </w:rPr>
      </w:pPr>
    </w:p>
    <w:p w:rsidR="000171A1" w:rsidP="466C798D" w:rsidRDefault="000171A1" w14:paraId="0CEE4828" w14:textId="2D50B7CC">
      <w:pPr>
        <w:pStyle w:val="ListParagraph"/>
        <w:numPr>
          <w:ilvl w:val="0"/>
          <w:numId w:val="1"/>
        </w:numPr>
        <w:spacing w:line="360" w:lineRule="auto"/>
        <w:rPr/>
      </w:pPr>
      <w:r w:rsidRPr="59AAE226" w:rsidR="000171A1">
        <w:rPr>
          <w:lang w:val="en-US"/>
        </w:rPr>
        <w:t>Vindrola-Padros</w:t>
      </w:r>
      <w:r w:rsidRPr="59AAE226" w:rsidR="000171A1">
        <w:rPr>
          <w:lang w:val="en-US"/>
        </w:rPr>
        <w:t xml:space="preserve">, C., Singh, K.E., Sidhu, M.S., Georghiou, T., </w:t>
      </w:r>
      <w:r w:rsidRPr="59AAE226" w:rsidR="000171A1">
        <w:rPr>
          <w:lang w:val="en-US"/>
        </w:rPr>
        <w:t>Sherlaw</w:t>
      </w:r>
      <w:r w:rsidRPr="59AAE226" w:rsidR="000171A1">
        <w:rPr>
          <w:lang w:val="en-US"/>
        </w:rPr>
        <w:t xml:space="preserve">-Johnson, C., Tomini, S.M., Inada-Kim, M., Kirkham, K., Streetly, A., Cohen, N. and Fulop, N.J. (2021) </w:t>
      </w:r>
      <w:r w:rsidRPr="59AAE226" w:rsidR="000171A1">
        <w:rPr>
          <w:i w:val="1"/>
          <w:iCs w:val="1"/>
          <w:lang w:val="en-US"/>
        </w:rPr>
        <w:t>'Remote home monitoring (virtual wards) for confirmed or suspected COVID-19 patients:</w:t>
      </w:r>
      <w:r w:rsidRPr="59AAE226" w:rsidR="000171A1">
        <w:rPr>
          <w:lang w:val="en-US"/>
        </w:rPr>
        <w:t xml:space="preserve"> a rapid systematic review', </w:t>
      </w:r>
      <w:r w:rsidRPr="59AAE226" w:rsidR="000171A1">
        <w:rPr>
          <w:lang w:val="en-US"/>
        </w:rPr>
        <w:t>EClinicalMedicine</w:t>
      </w:r>
      <w:r w:rsidRPr="59AAE226" w:rsidR="000171A1">
        <w:rPr>
          <w:lang w:val="en-US"/>
        </w:rPr>
        <w:t xml:space="preserve">, 37, 100965. Available at: https://doi.org/10.1016/j.eclinm.2021.100965 (Accessed: </w:t>
      </w:r>
      <w:r w:rsidRPr="59AAE226" w:rsidR="5021B3DC">
        <w:rPr>
          <w:lang w:val="en-US"/>
        </w:rPr>
        <w:t>2 October</w:t>
      </w:r>
      <w:r w:rsidRPr="59AAE226" w:rsidR="000171A1">
        <w:rPr>
          <w:lang w:val="en-US"/>
        </w:rPr>
        <w:t xml:space="preserve"> </w:t>
      </w:r>
      <w:r w:rsidRPr="59AAE226" w:rsidR="000171A1">
        <w:rPr>
          <w:lang w:val="en-US"/>
        </w:rPr>
        <w:t>2026).</w:t>
      </w:r>
    </w:p>
    <w:p w:rsidR="000171A1" w:rsidP="00CA7D86" w:rsidRDefault="000171A1" w14:paraId="6CD14A72" w14:textId="5A0DD588"/>
    <w:sectPr w:rsidR="000171A1" w:rsidSect="009A07AD">
      <w:footerReference w:type="default" r:id="rId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7AE0" w:rsidP="009A07AD" w:rsidRDefault="00687AE0" w14:paraId="0085DED7" w14:textId="77777777">
      <w:pPr>
        <w:spacing w:after="0" w:line="240" w:lineRule="auto"/>
      </w:pPr>
      <w:r>
        <w:separator/>
      </w:r>
    </w:p>
  </w:endnote>
  <w:endnote w:type="continuationSeparator" w:id="0">
    <w:p w:rsidR="00687AE0" w:rsidP="009A07AD" w:rsidRDefault="00687AE0" w14:paraId="021BF8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232248"/>
      <w:docPartObj>
        <w:docPartGallery w:val="Page Numbers (Bottom of Page)"/>
        <w:docPartUnique/>
      </w:docPartObj>
    </w:sdtPr>
    <w:sdtEndPr>
      <w:rPr>
        <w:color w:val="7F7F7F" w:themeColor="background1" w:themeShade="7F"/>
        <w:spacing w:val="60"/>
      </w:rPr>
    </w:sdtEndPr>
    <w:sdtContent>
      <w:p w:rsidR="009A07AD" w:rsidRDefault="009A07AD" w14:paraId="1AA939FF" w14:textId="38D37335">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A07AD" w:rsidRDefault="009A07AD" w14:paraId="4B3D133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7AE0" w:rsidP="009A07AD" w:rsidRDefault="00687AE0" w14:paraId="43CC7EDD" w14:textId="77777777">
      <w:pPr>
        <w:spacing w:after="0" w:line="240" w:lineRule="auto"/>
      </w:pPr>
      <w:r>
        <w:separator/>
      </w:r>
    </w:p>
  </w:footnote>
  <w:footnote w:type="continuationSeparator" w:id="0">
    <w:p w:rsidR="00687AE0" w:rsidP="009A07AD" w:rsidRDefault="00687AE0" w14:paraId="06A206D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C1BEF"/>
    <w:multiLevelType w:val="hybridMultilevel"/>
    <w:tmpl w:val="B46E8818"/>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183653371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A1"/>
    <w:rsid w:val="00000000"/>
    <w:rsid w:val="00015C6C"/>
    <w:rsid w:val="000171A1"/>
    <w:rsid w:val="0002445C"/>
    <w:rsid w:val="00047718"/>
    <w:rsid w:val="00063A97"/>
    <w:rsid w:val="0015799E"/>
    <w:rsid w:val="001E0242"/>
    <w:rsid w:val="002F0068"/>
    <w:rsid w:val="00362F79"/>
    <w:rsid w:val="005130B5"/>
    <w:rsid w:val="005318A5"/>
    <w:rsid w:val="00584EAC"/>
    <w:rsid w:val="005B7E78"/>
    <w:rsid w:val="00687AE0"/>
    <w:rsid w:val="00703376"/>
    <w:rsid w:val="00797F76"/>
    <w:rsid w:val="007D759B"/>
    <w:rsid w:val="0083120C"/>
    <w:rsid w:val="008F1732"/>
    <w:rsid w:val="009A07AD"/>
    <w:rsid w:val="00AC4164"/>
    <w:rsid w:val="00B71CF7"/>
    <w:rsid w:val="00B867A4"/>
    <w:rsid w:val="00B90C05"/>
    <w:rsid w:val="00C45919"/>
    <w:rsid w:val="00C63D0C"/>
    <w:rsid w:val="00C72F19"/>
    <w:rsid w:val="00CA7D86"/>
    <w:rsid w:val="00CB797D"/>
    <w:rsid w:val="00CC6C01"/>
    <w:rsid w:val="00D1586A"/>
    <w:rsid w:val="00E56400"/>
    <w:rsid w:val="00E81E03"/>
    <w:rsid w:val="00EF40E9"/>
    <w:rsid w:val="00F0143C"/>
    <w:rsid w:val="00F9117A"/>
    <w:rsid w:val="04339DC8"/>
    <w:rsid w:val="05051E97"/>
    <w:rsid w:val="0684AD3A"/>
    <w:rsid w:val="07C6258B"/>
    <w:rsid w:val="12DF76D4"/>
    <w:rsid w:val="1336A6B9"/>
    <w:rsid w:val="139EE1BC"/>
    <w:rsid w:val="140122C5"/>
    <w:rsid w:val="149336C1"/>
    <w:rsid w:val="178BE355"/>
    <w:rsid w:val="1F8AA24A"/>
    <w:rsid w:val="20700F54"/>
    <w:rsid w:val="21403C71"/>
    <w:rsid w:val="241F2BE6"/>
    <w:rsid w:val="24D6B7EC"/>
    <w:rsid w:val="25CDFE69"/>
    <w:rsid w:val="28EE78E0"/>
    <w:rsid w:val="2AB378F7"/>
    <w:rsid w:val="363B1B92"/>
    <w:rsid w:val="466C798D"/>
    <w:rsid w:val="48CDBDB0"/>
    <w:rsid w:val="5021B3DC"/>
    <w:rsid w:val="50BB4289"/>
    <w:rsid w:val="59AAE226"/>
    <w:rsid w:val="61470D71"/>
    <w:rsid w:val="62EC836D"/>
    <w:rsid w:val="63102498"/>
    <w:rsid w:val="69BAF3FF"/>
    <w:rsid w:val="6AFEDD46"/>
    <w:rsid w:val="6B37AE4D"/>
    <w:rsid w:val="6CE426A2"/>
    <w:rsid w:val="771F63EA"/>
    <w:rsid w:val="77F22F40"/>
    <w:rsid w:val="79982ADA"/>
    <w:rsid w:val="7B5F9FE8"/>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EED3"/>
  <w15:chartTrackingRefBased/>
  <w15:docId w15:val="{0DADBAF5-CF6E-452B-9D0E-131EE60B70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7F76"/>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F0143C"/>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0171A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1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1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1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1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1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1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1A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0143C"/>
    <w:rPr>
      <w:rFonts w:ascii="Arial" w:hAnsi="Arial" w:eastAsiaTheme="majorEastAsia" w:cstheme="majorBidi"/>
      <w:b/>
      <w:color w:val="000000" w:themeColor="text1"/>
      <w:sz w:val="28"/>
      <w:szCs w:val="40"/>
    </w:rPr>
  </w:style>
  <w:style w:type="character" w:styleId="Heading2Char" w:customStyle="1">
    <w:name w:val="Heading 2 Char"/>
    <w:basedOn w:val="DefaultParagraphFont"/>
    <w:link w:val="Heading2"/>
    <w:uiPriority w:val="9"/>
    <w:semiHidden/>
    <w:rsid w:val="000171A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171A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171A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171A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171A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171A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171A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171A1"/>
    <w:rPr>
      <w:rFonts w:eastAsiaTheme="majorEastAsia" w:cstheme="majorBidi"/>
      <w:color w:val="272727" w:themeColor="text1" w:themeTint="D8"/>
    </w:rPr>
  </w:style>
  <w:style w:type="paragraph" w:styleId="Title">
    <w:name w:val="Title"/>
    <w:basedOn w:val="Normal"/>
    <w:next w:val="Normal"/>
    <w:link w:val="TitleChar"/>
    <w:uiPriority w:val="10"/>
    <w:qFormat/>
    <w:rsid w:val="000171A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171A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171A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171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1A1"/>
    <w:pPr>
      <w:spacing w:before="160"/>
      <w:jc w:val="center"/>
    </w:pPr>
    <w:rPr>
      <w:i/>
      <w:iCs/>
      <w:color w:val="404040" w:themeColor="text1" w:themeTint="BF"/>
    </w:rPr>
  </w:style>
  <w:style w:type="character" w:styleId="QuoteChar" w:customStyle="1">
    <w:name w:val="Quote Char"/>
    <w:basedOn w:val="DefaultParagraphFont"/>
    <w:link w:val="Quote"/>
    <w:uiPriority w:val="29"/>
    <w:rsid w:val="000171A1"/>
    <w:rPr>
      <w:i/>
      <w:iCs/>
      <w:color w:val="404040" w:themeColor="text1" w:themeTint="BF"/>
    </w:rPr>
  </w:style>
  <w:style w:type="paragraph" w:styleId="ListParagraph">
    <w:name w:val="List Paragraph"/>
    <w:basedOn w:val="Normal"/>
    <w:uiPriority w:val="34"/>
    <w:qFormat/>
    <w:rsid w:val="000171A1"/>
    <w:pPr>
      <w:ind w:left="720"/>
      <w:contextualSpacing/>
    </w:pPr>
  </w:style>
  <w:style w:type="character" w:styleId="IntenseEmphasis">
    <w:name w:val="Intense Emphasis"/>
    <w:basedOn w:val="DefaultParagraphFont"/>
    <w:uiPriority w:val="21"/>
    <w:qFormat/>
    <w:rsid w:val="000171A1"/>
    <w:rPr>
      <w:i/>
      <w:iCs/>
      <w:color w:val="0F4761" w:themeColor="accent1" w:themeShade="BF"/>
    </w:rPr>
  </w:style>
  <w:style w:type="paragraph" w:styleId="IntenseQuote">
    <w:name w:val="Intense Quote"/>
    <w:basedOn w:val="Normal"/>
    <w:next w:val="Normal"/>
    <w:link w:val="IntenseQuoteChar"/>
    <w:uiPriority w:val="30"/>
    <w:qFormat/>
    <w:rsid w:val="000171A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171A1"/>
    <w:rPr>
      <w:i/>
      <w:iCs/>
      <w:color w:val="0F4761" w:themeColor="accent1" w:themeShade="BF"/>
    </w:rPr>
  </w:style>
  <w:style w:type="character" w:styleId="IntenseReference">
    <w:name w:val="Intense Reference"/>
    <w:basedOn w:val="DefaultParagraphFont"/>
    <w:uiPriority w:val="32"/>
    <w:qFormat/>
    <w:rsid w:val="000171A1"/>
    <w:rPr>
      <w:b/>
      <w:bCs/>
      <w:smallCaps/>
      <w:color w:val="0F4761" w:themeColor="accent1" w:themeShade="BF"/>
      <w:spacing w:val="5"/>
    </w:rPr>
  </w:style>
  <w:style w:type="paragraph" w:styleId="Header">
    <w:name w:val="header"/>
    <w:basedOn w:val="Normal"/>
    <w:link w:val="HeaderChar"/>
    <w:uiPriority w:val="99"/>
    <w:unhideWhenUsed/>
    <w:rsid w:val="009A07AD"/>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07AD"/>
    <w:rPr>
      <w:rFonts w:ascii="Arial" w:hAnsi="Arial"/>
      <w:sz w:val="22"/>
    </w:rPr>
  </w:style>
  <w:style w:type="paragraph" w:styleId="Footer">
    <w:name w:val="footer"/>
    <w:basedOn w:val="Normal"/>
    <w:link w:val="FooterChar"/>
    <w:uiPriority w:val="99"/>
    <w:unhideWhenUsed/>
    <w:rsid w:val="009A07AD"/>
    <w:pPr>
      <w:tabs>
        <w:tab w:val="center" w:pos="4513"/>
        <w:tab w:val="right" w:pos="9026"/>
      </w:tabs>
      <w:spacing w:after="0" w:line="240" w:lineRule="auto"/>
    </w:pPr>
  </w:style>
  <w:style w:type="character" w:styleId="FooterChar" w:customStyle="1">
    <w:name w:val="Footer Char"/>
    <w:basedOn w:val="DefaultParagraphFont"/>
    <w:link w:val="Footer"/>
    <w:uiPriority w:val="99"/>
    <w:rsid w:val="009A07AD"/>
    <w:rPr>
      <w:rFonts w:ascii="Arial" w:hAnsi="Arial"/>
      <w:sz w:val="22"/>
    </w:rPr>
  </w:style>
  <w:style w:type="paragraph" w:styleId="NoSpacing">
    <w:name w:val="No Spacing"/>
    <w:link w:val="NoSpacingChar"/>
    <w:uiPriority w:val="1"/>
    <w:qFormat/>
    <w:rsid w:val="009A07AD"/>
    <w:pPr>
      <w:spacing w:after="0" w:line="240" w:lineRule="auto"/>
    </w:pPr>
    <w:rPr>
      <w:color w:val="0E2841" w:themeColor="text2"/>
      <w:kern w:val="0"/>
      <w:sz w:val="20"/>
      <w:szCs w:val="20"/>
      <w:lang w:val="en-US"/>
      <w14:ligatures w14:val="none"/>
    </w:rPr>
  </w:style>
  <w:style w:type="character" w:styleId="NoSpacingChar" w:customStyle="1">
    <w:name w:val="No Spacing Char"/>
    <w:basedOn w:val="DefaultParagraphFont"/>
    <w:link w:val="NoSpacing"/>
    <w:uiPriority w:val="1"/>
    <w:rsid w:val="007D759B"/>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F0143C"/>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0143C"/>
    <w:pPr>
      <w:spacing w:after="100"/>
    </w:pPr>
  </w:style>
  <w:style w:type="character" w:styleId="Hyperlink">
    <w:name w:val="Hyperlink"/>
    <w:basedOn w:val="DefaultParagraphFont"/>
    <w:uiPriority w:val="99"/>
    <w:unhideWhenUsed/>
    <w:rsid w:val="00F0143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Kwabena Dzaku</dc:creator>
  <keywords/>
  <dc:description/>
  <lastModifiedBy>Priscilla Oppong (2332573)</lastModifiedBy>
  <revision>24</revision>
  <dcterms:created xsi:type="dcterms:W3CDTF">2026-09-29T16:57:00.0000000Z</dcterms:created>
  <dcterms:modified xsi:type="dcterms:W3CDTF">2026-10-16T11:24:58.6360953Z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549730e2-74a4-4f97-a3ca-354899e4f5b2</vt:lpwstr>
  </property>
</Properties>
</file>