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4687" w:rsidRDefault="00644687" w:rsidP="005613CD">
      <w:pPr>
        <w:jc w:val="both"/>
        <w:rPr>
          <w:b/>
          <w:bCs/>
        </w:rPr>
      </w:pPr>
    </w:p>
    <w:p w:rsidR="00644687" w:rsidRDefault="00644687" w:rsidP="005613CD">
      <w:pPr>
        <w:jc w:val="both"/>
        <w:rPr>
          <w:b/>
          <w:bCs/>
        </w:rPr>
      </w:pPr>
    </w:p>
    <w:p w:rsidR="00644687" w:rsidRDefault="00644687" w:rsidP="005613CD">
      <w:pPr>
        <w:jc w:val="both"/>
        <w:rPr>
          <w:b/>
          <w:bCs/>
        </w:rPr>
      </w:pPr>
    </w:p>
    <w:p w:rsidR="00644687" w:rsidRDefault="00644687" w:rsidP="005613CD">
      <w:pPr>
        <w:jc w:val="both"/>
        <w:rPr>
          <w:b/>
          <w:bCs/>
        </w:rPr>
      </w:pPr>
    </w:p>
    <w:p w:rsidR="005613CD" w:rsidRDefault="005613CD" w:rsidP="005613CD">
      <w:pPr>
        <w:jc w:val="both"/>
        <w:rPr>
          <w:b/>
          <w:bCs/>
        </w:rPr>
      </w:pPr>
    </w:p>
    <w:tbl>
      <w:tblPr>
        <w:tblStyle w:val="TableGrid"/>
        <w:tblW w:w="0" w:type="auto"/>
        <w:jc w:val="center"/>
        <w:tblLook w:val="04A0" w:firstRow="1" w:lastRow="0" w:firstColumn="1" w:lastColumn="0" w:noHBand="0" w:noVBand="1"/>
      </w:tblPr>
      <w:tblGrid>
        <w:gridCol w:w="1723"/>
        <w:gridCol w:w="3951"/>
      </w:tblGrid>
      <w:tr w:rsidR="00644687" w:rsidRPr="00644687" w:rsidTr="00644687">
        <w:trPr>
          <w:jc w:val="center"/>
        </w:trPr>
        <w:tc>
          <w:tcPr>
            <w:tcW w:w="0" w:type="auto"/>
            <w:hideMark/>
          </w:tcPr>
          <w:p w:rsidR="00644687" w:rsidRPr="00644687" w:rsidRDefault="00644687" w:rsidP="00644687">
            <w:pPr>
              <w:spacing w:after="160"/>
              <w:jc w:val="center"/>
              <w:rPr>
                <w:b/>
                <w:bCs/>
              </w:rPr>
            </w:pPr>
            <w:r w:rsidRPr="00644687">
              <w:rPr>
                <w:b/>
                <w:bCs/>
              </w:rPr>
              <w:t>Module Code</w:t>
            </w:r>
          </w:p>
        </w:tc>
        <w:tc>
          <w:tcPr>
            <w:tcW w:w="0" w:type="auto"/>
            <w:hideMark/>
          </w:tcPr>
          <w:p w:rsidR="00644687" w:rsidRPr="00644687" w:rsidRDefault="00644687" w:rsidP="00644687">
            <w:pPr>
              <w:spacing w:after="160"/>
              <w:jc w:val="center"/>
              <w:rPr>
                <w:b/>
                <w:bCs/>
              </w:rPr>
            </w:pPr>
            <w:r w:rsidRPr="00644687">
              <w:rPr>
                <w:b/>
                <w:bCs/>
              </w:rPr>
              <w:t>LCMB7037</w:t>
            </w:r>
          </w:p>
        </w:tc>
      </w:tr>
      <w:tr w:rsidR="00644687" w:rsidRPr="00644687" w:rsidTr="00644687">
        <w:trPr>
          <w:jc w:val="center"/>
        </w:trPr>
        <w:tc>
          <w:tcPr>
            <w:tcW w:w="0" w:type="auto"/>
            <w:hideMark/>
          </w:tcPr>
          <w:p w:rsidR="00644687" w:rsidRPr="00644687" w:rsidRDefault="00644687" w:rsidP="00644687">
            <w:pPr>
              <w:spacing w:after="160"/>
              <w:jc w:val="center"/>
              <w:rPr>
                <w:b/>
                <w:bCs/>
              </w:rPr>
            </w:pPr>
            <w:r w:rsidRPr="00644687">
              <w:rPr>
                <w:b/>
                <w:bCs/>
              </w:rPr>
              <w:t>Title</w:t>
            </w:r>
          </w:p>
        </w:tc>
        <w:tc>
          <w:tcPr>
            <w:tcW w:w="0" w:type="auto"/>
            <w:hideMark/>
          </w:tcPr>
          <w:p w:rsidR="00644687" w:rsidRPr="00644687" w:rsidRDefault="00644687" w:rsidP="00644687">
            <w:pPr>
              <w:spacing w:after="160"/>
              <w:jc w:val="center"/>
              <w:rPr>
                <w:b/>
                <w:bCs/>
              </w:rPr>
            </w:pPr>
            <w:r w:rsidRPr="00644687">
              <w:rPr>
                <w:b/>
                <w:bCs/>
              </w:rPr>
              <w:t>Business Development Proposal</w:t>
            </w:r>
          </w:p>
        </w:tc>
      </w:tr>
      <w:tr w:rsidR="00644687" w:rsidRPr="00644687" w:rsidTr="00644687">
        <w:trPr>
          <w:jc w:val="center"/>
        </w:trPr>
        <w:tc>
          <w:tcPr>
            <w:tcW w:w="0" w:type="auto"/>
          </w:tcPr>
          <w:p w:rsidR="00644687" w:rsidRPr="00644687" w:rsidRDefault="00644687" w:rsidP="00644687">
            <w:pPr>
              <w:jc w:val="center"/>
              <w:rPr>
                <w:b/>
                <w:bCs/>
              </w:rPr>
            </w:pPr>
            <w:r>
              <w:rPr>
                <w:b/>
                <w:bCs/>
              </w:rPr>
              <w:t>Name</w:t>
            </w:r>
          </w:p>
        </w:tc>
        <w:tc>
          <w:tcPr>
            <w:tcW w:w="0" w:type="auto"/>
          </w:tcPr>
          <w:p w:rsidR="00644687" w:rsidRPr="00644687" w:rsidRDefault="00644687" w:rsidP="00644687">
            <w:pPr>
              <w:jc w:val="center"/>
              <w:rPr>
                <w:b/>
                <w:bCs/>
              </w:rPr>
            </w:pPr>
            <w:proofErr w:type="spellStart"/>
            <w:r>
              <w:rPr>
                <w:b/>
                <w:bCs/>
              </w:rPr>
              <w:t>Hina</w:t>
            </w:r>
            <w:proofErr w:type="spellEnd"/>
            <w:r>
              <w:rPr>
                <w:b/>
                <w:bCs/>
              </w:rPr>
              <w:t xml:space="preserve"> S</w:t>
            </w:r>
            <w:r w:rsidRPr="00644687">
              <w:rPr>
                <w:b/>
                <w:bCs/>
              </w:rPr>
              <w:t>aeed</w:t>
            </w:r>
          </w:p>
        </w:tc>
      </w:tr>
      <w:tr w:rsidR="00644687" w:rsidRPr="00644687" w:rsidTr="00644687">
        <w:trPr>
          <w:jc w:val="center"/>
        </w:trPr>
        <w:tc>
          <w:tcPr>
            <w:tcW w:w="0" w:type="auto"/>
          </w:tcPr>
          <w:p w:rsidR="00644687" w:rsidRPr="00644687" w:rsidRDefault="00644687" w:rsidP="00644687">
            <w:pPr>
              <w:jc w:val="center"/>
              <w:rPr>
                <w:b/>
                <w:bCs/>
              </w:rPr>
            </w:pPr>
            <w:r>
              <w:rPr>
                <w:b/>
                <w:bCs/>
              </w:rPr>
              <w:t>Student ID</w:t>
            </w:r>
          </w:p>
        </w:tc>
        <w:tc>
          <w:tcPr>
            <w:tcW w:w="0" w:type="auto"/>
          </w:tcPr>
          <w:p w:rsidR="00644687" w:rsidRPr="00644687" w:rsidRDefault="00644687" w:rsidP="00644687">
            <w:pPr>
              <w:jc w:val="center"/>
              <w:rPr>
                <w:b/>
                <w:bCs/>
              </w:rPr>
            </w:pPr>
            <w:r w:rsidRPr="00644687">
              <w:rPr>
                <w:b/>
                <w:bCs/>
              </w:rPr>
              <w:t>2513317</w:t>
            </w:r>
          </w:p>
        </w:tc>
      </w:tr>
    </w:tbl>
    <w:p w:rsidR="00644687" w:rsidRDefault="00644687" w:rsidP="00644687">
      <w:pPr>
        <w:jc w:val="center"/>
        <w:rPr>
          <w:b/>
          <w:bCs/>
        </w:rPr>
      </w:pPr>
    </w:p>
    <w:p w:rsidR="00644687" w:rsidRPr="005613CD" w:rsidRDefault="00644687" w:rsidP="00644687">
      <w:pPr>
        <w:jc w:val="center"/>
        <w:rPr>
          <w:b/>
          <w:bCs/>
        </w:rPr>
      </w:pPr>
    </w:p>
    <w:p w:rsidR="005613CD" w:rsidRDefault="005613CD" w:rsidP="005613CD">
      <w:pPr>
        <w:jc w:val="center"/>
        <w:rPr>
          <w:b/>
          <w:bCs/>
          <w:i/>
        </w:rPr>
      </w:pPr>
      <w:r w:rsidRPr="005613CD">
        <w:rPr>
          <w:b/>
          <w:bCs/>
          <w:i/>
        </w:rPr>
        <w:t xml:space="preserve">Developing an Integrated EV Battery Lifecycle Ecosystem: A Strategic Growth Opportunity for </w:t>
      </w:r>
      <w:proofErr w:type="spellStart"/>
      <w:r w:rsidRPr="005613CD">
        <w:rPr>
          <w:b/>
          <w:bCs/>
          <w:i/>
        </w:rPr>
        <w:t>PakWheels</w:t>
      </w:r>
      <w:proofErr w:type="spellEnd"/>
      <w:r w:rsidRPr="005613CD">
        <w:rPr>
          <w:b/>
          <w:bCs/>
          <w:i/>
        </w:rPr>
        <w:t xml:space="preserve"> in Pakistan</w:t>
      </w:r>
    </w:p>
    <w:p w:rsidR="005613CD" w:rsidRDefault="005613CD" w:rsidP="005613CD">
      <w:pPr>
        <w:jc w:val="both"/>
        <w:rPr>
          <w:b/>
          <w:bCs/>
          <w:i/>
        </w:rPr>
      </w:pPr>
    </w:p>
    <w:p w:rsidR="00B50C53" w:rsidRDefault="00B50C53" w:rsidP="005613CD">
      <w:pPr>
        <w:jc w:val="both"/>
        <w:rPr>
          <w:b/>
          <w:bCs/>
          <w:i/>
        </w:rPr>
      </w:pPr>
    </w:p>
    <w:p w:rsidR="00B50C53" w:rsidRDefault="00B50C53" w:rsidP="005613CD">
      <w:pPr>
        <w:jc w:val="both"/>
        <w:rPr>
          <w:b/>
          <w:bCs/>
          <w:i/>
        </w:rPr>
      </w:pPr>
    </w:p>
    <w:p w:rsidR="00B50C53" w:rsidRDefault="00B50C53" w:rsidP="005613CD">
      <w:pPr>
        <w:jc w:val="both"/>
        <w:rPr>
          <w:b/>
          <w:bCs/>
          <w:i/>
        </w:rPr>
      </w:pPr>
    </w:p>
    <w:p w:rsidR="00B50C53" w:rsidRDefault="00B50C53" w:rsidP="005613CD">
      <w:pPr>
        <w:jc w:val="both"/>
        <w:rPr>
          <w:b/>
          <w:bCs/>
          <w:i/>
        </w:rPr>
      </w:pPr>
    </w:p>
    <w:p w:rsidR="00B50C53" w:rsidRDefault="00B50C53" w:rsidP="005613CD">
      <w:pPr>
        <w:jc w:val="both"/>
        <w:rPr>
          <w:b/>
          <w:bCs/>
          <w:i/>
        </w:rPr>
      </w:pPr>
    </w:p>
    <w:p w:rsidR="00B50C53" w:rsidRDefault="00B50C53" w:rsidP="005613CD">
      <w:pPr>
        <w:jc w:val="both"/>
        <w:rPr>
          <w:b/>
          <w:bCs/>
          <w:i/>
        </w:rPr>
      </w:pPr>
    </w:p>
    <w:p w:rsidR="00B50C53" w:rsidRDefault="00B50C53" w:rsidP="005613CD">
      <w:pPr>
        <w:jc w:val="both"/>
        <w:rPr>
          <w:b/>
          <w:bCs/>
          <w:i/>
        </w:rPr>
      </w:pPr>
    </w:p>
    <w:p w:rsidR="00DB312F" w:rsidRDefault="00DB312F" w:rsidP="005613CD">
      <w:pPr>
        <w:jc w:val="both"/>
        <w:rPr>
          <w:b/>
          <w:bCs/>
          <w:i/>
        </w:rPr>
      </w:pPr>
    </w:p>
    <w:sdt>
      <w:sdtPr>
        <w:rPr>
          <w:rFonts w:ascii="Arial" w:eastAsiaTheme="minorHAnsi" w:hAnsi="Arial" w:cstheme="minorBidi"/>
          <w:color w:val="auto"/>
          <w:sz w:val="24"/>
          <w:szCs w:val="22"/>
        </w:rPr>
        <w:id w:val="-423492567"/>
        <w:docPartObj>
          <w:docPartGallery w:val="Table of Contents"/>
          <w:docPartUnique/>
        </w:docPartObj>
      </w:sdtPr>
      <w:sdtEndPr>
        <w:rPr>
          <w:b/>
          <w:bCs/>
          <w:noProof/>
        </w:rPr>
      </w:sdtEndPr>
      <w:sdtContent>
        <w:p w:rsidR="00B50C53" w:rsidRDefault="00B50C53">
          <w:pPr>
            <w:pStyle w:val="TOCHeading"/>
          </w:pPr>
          <w:r>
            <w:t>Table of Contents</w:t>
          </w:r>
        </w:p>
        <w:p w:rsidR="00DB312F" w:rsidRDefault="00B50C53">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242421392" w:history="1">
            <w:r w:rsidR="00DB312F" w:rsidRPr="003F2A9A">
              <w:rPr>
                <w:rStyle w:val="Hyperlink"/>
                <w:noProof/>
              </w:rPr>
              <w:t>1.0 Introduction</w:t>
            </w:r>
            <w:r w:rsidR="00DB312F">
              <w:rPr>
                <w:noProof/>
                <w:webHidden/>
              </w:rPr>
              <w:tab/>
            </w:r>
            <w:r w:rsidR="00DB312F">
              <w:rPr>
                <w:noProof/>
                <w:webHidden/>
              </w:rPr>
              <w:fldChar w:fldCharType="begin"/>
            </w:r>
            <w:r w:rsidR="00DB312F">
              <w:rPr>
                <w:noProof/>
                <w:webHidden/>
              </w:rPr>
              <w:instrText xml:space="preserve"> PAGEREF _Toc242421392 \h </w:instrText>
            </w:r>
            <w:r w:rsidR="00DB312F">
              <w:rPr>
                <w:noProof/>
                <w:webHidden/>
              </w:rPr>
            </w:r>
            <w:r w:rsidR="00DB312F">
              <w:rPr>
                <w:noProof/>
                <w:webHidden/>
              </w:rPr>
              <w:fldChar w:fldCharType="separate"/>
            </w:r>
            <w:r w:rsidR="00DB312F">
              <w:rPr>
                <w:noProof/>
                <w:webHidden/>
              </w:rPr>
              <w:t>3</w:t>
            </w:r>
            <w:r w:rsidR="00DB312F">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393" w:history="1">
            <w:r w:rsidRPr="003F2A9A">
              <w:rPr>
                <w:rStyle w:val="Hyperlink"/>
                <w:noProof/>
              </w:rPr>
              <w:t>2.0 Research Background</w:t>
            </w:r>
            <w:r>
              <w:rPr>
                <w:noProof/>
                <w:webHidden/>
              </w:rPr>
              <w:tab/>
            </w:r>
            <w:r>
              <w:rPr>
                <w:noProof/>
                <w:webHidden/>
              </w:rPr>
              <w:fldChar w:fldCharType="begin"/>
            </w:r>
            <w:r>
              <w:rPr>
                <w:noProof/>
                <w:webHidden/>
              </w:rPr>
              <w:instrText xml:space="preserve"> PAGEREF _Toc242421393 \h </w:instrText>
            </w:r>
            <w:r>
              <w:rPr>
                <w:noProof/>
                <w:webHidden/>
              </w:rPr>
            </w:r>
            <w:r>
              <w:rPr>
                <w:noProof/>
                <w:webHidden/>
              </w:rPr>
              <w:fldChar w:fldCharType="separate"/>
            </w:r>
            <w:r>
              <w:rPr>
                <w:noProof/>
                <w:webHidden/>
              </w:rPr>
              <w:t>3</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394" w:history="1">
            <w:r w:rsidRPr="003F2A9A">
              <w:rPr>
                <w:rStyle w:val="Hyperlink"/>
                <w:noProof/>
              </w:rPr>
              <w:t>3.0 Problem Statement</w:t>
            </w:r>
            <w:r>
              <w:rPr>
                <w:noProof/>
                <w:webHidden/>
              </w:rPr>
              <w:tab/>
            </w:r>
            <w:r>
              <w:rPr>
                <w:noProof/>
                <w:webHidden/>
              </w:rPr>
              <w:fldChar w:fldCharType="begin"/>
            </w:r>
            <w:r>
              <w:rPr>
                <w:noProof/>
                <w:webHidden/>
              </w:rPr>
              <w:instrText xml:space="preserve"> PAGEREF _Toc242421394 \h </w:instrText>
            </w:r>
            <w:r>
              <w:rPr>
                <w:noProof/>
                <w:webHidden/>
              </w:rPr>
            </w:r>
            <w:r>
              <w:rPr>
                <w:noProof/>
                <w:webHidden/>
              </w:rPr>
              <w:fldChar w:fldCharType="separate"/>
            </w:r>
            <w:r>
              <w:rPr>
                <w:noProof/>
                <w:webHidden/>
              </w:rPr>
              <w:t>4</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395" w:history="1">
            <w:r w:rsidRPr="003F2A9A">
              <w:rPr>
                <w:rStyle w:val="Hyperlink"/>
                <w:noProof/>
              </w:rPr>
              <w:t>4.0 Business Opportunity and Justification</w:t>
            </w:r>
            <w:r>
              <w:rPr>
                <w:noProof/>
                <w:webHidden/>
              </w:rPr>
              <w:tab/>
            </w:r>
            <w:r>
              <w:rPr>
                <w:noProof/>
                <w:webHidden/>
              </w:rPr>
              <w:fldChar w:fldCharType="begin"/>
            </w:r>
            <w:r>
              <w:rPr>
                <w:noProof/>
                <w:webHidden/>
              </w:rPr>
              <w:instrText xml:space="preserve"> PAGEREF _Toc242421395 \h </w:instrText>
            </w:r>
            <w:r>
              <w:rPr>
                <w:noProof/>
                <w:webHidden/>
              </w:rPr>
            </w:r>
            <w:r>
              <w:rPr>
                <w:noProof/>
                <w:webHidden/>
              </w:rPr>
              <w:fldChar w:fldCharType="separate"/>
            </w:r>
            <w:r>
              <w:rPr>
                <w:noProof/>
                <w:webHidden/>
              </w:rPr>
              <w:t>5</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396" w:history="1">
            <w:r w:rsidRPr="003F2A9A">
              <w:rPr>
                <w:rStyle w:val="Hyperlink"/>
                <w:noProof/>
              </w:rPr>
              <w:t>5.0 Review of Previous Research</w:t>
            </w:r>
            <w:r>
              <w:rPr>
                <w:noProof/>
                <w:webHidden/>
              </w:rPr>
              <w:tab/>
            </w:r>
            <w:r>
              <w:rPr>
                <w:noProof/>
                <w:webHidden/>
              </w:rPr>
              <w:fldChar w:fldCharType="begin"/>
            </w:r>
            <w:r>
              <w:rPr>
                <w:noProof/>
                <w:webHidden/>
              </w:rPr>
              <w:instrText xml:space="preserve"> PAGEREF _Toc242421396 \h </w:instrText>
            </w:r>
            <w:r>
              <w:rPr>
                <w:noProof/>
                <w:webHidden/>
              </w:rPr>
            </w:r>
            <w:r>
              <w:rPr>
                <w:noProof/>
                <w:webHidden/>
              </w:rPr>
              <w:fldChar w:fldCharType="separate"/>
            </w:r>
            <w:r>
              <w:rPr>
                <w:noProof/>
                <w:webHidden/>
              </w:rPr>
              <w:t>5</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397" w:history="1">
            <w:r w:rsidRPr="003F2A9A">
              <w:rPr>
                <w:rStyle w:val="Hyperlink"/>
                <w:noProof/>
              </w:rPr>
              <w:t>6.0 Research Gap</w:t>
            </w:r>
            <w:r>
              <w:rPr>
                <w:noProof/>
                <w:webHidden/>
              </w:rPr>
              <w:tab/>
            </w:r>
            <w:r>
              <w:rPr>
                <w:noProof/>
                <w:webHidden/>
              </w:rPr>
              <w:fldChar w:fldCharType="begin"/>
            </w:r>
            <w:r>
              <w:rPr>
                <w:noProof/>
                <w:webHidden/>
              </w:rPr>
              <w:instrText xml:space="preserve"> PAGEREF _Toc242421397 \h </w:instrText>
            </w:r>
            <w:r>
              <w:rPr>
                <w:noProof/>
                <w:webHidden/>
              </w:rPr>
            </w:r>
            <w:r>
              <w:rPr>
                <w:noProof/>
                <w:webHidden/>
              </w:rPr>
              <w:fldChar w:fldCharType="separate"/>
            </w:r>
            <w:r>
              <w:rPr>
                <w:noProof/>
                <w:webHidden/>
              </w:rPr>
              <w:t>6</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398" w:history="1">
            <w:r w:rsidRPr="003F2A9A">
              <w:rPr>
                <w:rStyle w:val="Hyperlink"/>
                <w:noProof/>
              </w:rPr>
              <w:t>7.0 Research Aim</w:t>
            </w:r>
            <w:r>
              <w:rPr>
                <w:noProof/>
                <w:webHidden/>
              </w:rPr>
              <w:tab/>
            </w:r>
            <w:r>
              <w:rPr>
                <w:noProof/>
                <w:webHidden/>
              </w:rPr>
              <w:fldChar w:fldCharType="begin"/>
            </w:r>
            <w:r>
              <w:rPr>
                <w:noProof/>
                <w:webHidden/>
              </w:rPr>
              <w:instrText xml:space="preserve"> PAGEREF _Toc242421398 \h </w:instrText>
            </w:r>
            <w:r>
              <w:rPr>
                <w:noProof/>
                <w:webHidden/>
              </w:rPr>
            </w:r>
            <w:r>
              <w:rPr>
                <w:noProof/>
                <w:webHidden/>
              </w:rPr>
              <w:fldChar w:fldCharType="separate"/>
            </w:r>
            <w:r>
              <w:rPr>
                <w:noProof/>
                <w:webHidden/>
              </w:rPr>
              <w:t>6</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399" w:history="1">
            <w:r w:rsidRPr="003F2A9A">
              <w:rPr>
                <w:rStyle w:val="Hyperlink"/>
                <w:noProof/>
              </w:rPr>
              <w:t>8.0 Research Objectives</w:t>
            </w:r>
            <w:r>
              <w:rPr>
                <w:noProof/>
                <w:webHidden/>
              </w:rPr>
              <w:tab/>
            </w:r>
            <w:r>
              <w:rPr>
                <w:noProof/>
                <w:webHidden/>
              </w:rPr>
              <w:fldChar w:fldCharType="begin"/>
            </w:r>
            <w:r>
              <w:rPr>
                <w:noProof/>
                <w:webHidden/>
              </w:rPr>
              <w:instrText xml:space="preserve"> PAGEREF _Toc242421399 \h </w:instrText>
            </w:r>
            <w:r>
              <w:rPr>
                <w:noProof/>
                <w:webHidden/>
              </w:rPr>
            </w:r>
            <w:r>
              <w:rPr>
                <w:noProof/>
                <w:webHidden/>
              </w:rPr>
              <w:fldChar w:fldCharType="separate"/>
            </w:r>
            <w:r>
              <w:rPr>
                <w:noProof/>
                <w:webHidden/>
              </w:rPr>
              <w:t>7</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400" w:history="1">
            <w:r w:rsidRPr="003F2A9A">
              <w:rPr>
                <w:rStyle w:val="Hyperlink"/>
                <w:noProof/>
              </w:rPr>
              <w:t>9.0 Research Questions</w:t>
            </w:r>
            <w:r>
              <w:rPr>
                <w:noProof/>
                <w:webHidden/>
              </w:rPr>
              <w:tab/>
            </w:r>
            <w:r>
              <w:rPr>
                <w:noProof/>
                <w:webHidden/>
              </w:rPr>
              <w:fldChar w:fldCharType="begin"/>
            </w:r>
            <w:r>
              <w:rPr>
                <w:noProof/>
                <w:webHidden/>
              </w:rPr>
              <w:instrText xml:space="preserve"> PAGEREF _Toc242421400 \h </w:instrText>
            </w:r>
            <w:r>
              <w:rPr>
                <w:noProof/>
                <w:webHidden/>
              </w:rPr>
            </w:r>
            <w:r>
              <w:rPr>
                <w:noProof/>
                <w:webHidden/>
              </w:rPr>
              <w:fldChar w:fldCharType="separate"/>
            </w:r>
            <w:r>
              <w:rPr>
                <w:noProof/>
                <w:webHidden/>
              </w:rPr>
              <w:t>7</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401" w:history="1">
            <w:r w:rsidRPr="003F2A9A">
              <w:rPr>
                <w:rStyle w:val="Hyperlink"/>
                <w:noProof/>
              </w:rPr>
              <w:t>10.0 Research Methodology</w:t>
            </w:r>
            <w:r>
              <w:rPr>
                <w:noProof/>
                <w:webHidden/>
              </w:rPr>
              <w:tab/>
            </w:r>
            <w:r>
              <w:rPr>
                <w:noProof/>
                <w:webHidden/>
              </w:rPr>
              <w:fldChar w:fldCharType="begin"/>
            </w:r>
            <w:r>
              <w:rPr>
                <w:noProof/>
                <w:webHidden/>
              </w:rPr>
              <w:instrText xml:space="preserve"> PAGEREF _Toc242421401 \h </w:instrText>
            </w:r>
            <w:r>
              <w:rPr>
                <w:noProof/>
                <w:webHidden/>
              </w:rPr>
            </w:r>
            <w:r>
              <w:rPr>
                <w:noProof/>
                <w:webHidden/>
              </w:rPr>
              <w:fldChar w:fldCharType="separate"/>
            </w:r>
            <w:r>
              <w:rPr>
                <w:noProof/>
                <w:webHidden/>
              </w:rPr>
              <w:t>7</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2" w:history="1">
            <w:r w:rsidRPr="003F2A9A">
              <w:rPr>
                <w:rStyle w:val="Hyperlink"/>
                <w:noProof/>
              </w:rPr>
              <w:t>Research Design</w:t>
            </w:r>
            <w:r>
              <w:rPr>
                <w:noProof/>
                <w:webHidden/>
              </w:rPr>
              <w:tab/>
            </w:r>
            <w:r>
              <w:rPr>
                <w:noProof/>
                <w:webHidden/>
              </w:rPr>
              <w:fldChar w:fldCharType="begin"/>
            </w:r>
            <w:r>
              <w:rPr>
                <w:noProof/>
                <w:webHidden/>
              </w:rPr>
              <w:instrText xml:space="preserve"> PAGEREF _Toc242421402 \h </w:instrText>
            </w:r>
            <w:r>
              <w:rPr>
                <w:noProof/>
                <w:webHidden/>
              </w:rPr>
            </w:r>
            <w:r>
              <w:rPr>
                <w:noProof/>
                <w:webHidden/>
              </w:rPr>
              <w:fldChar w:fldCharType="separate"/>
            </w:r>
            <w:r>
              <w:rPr>
                <w:noProof/>
                <w:webHidden/>
              </w:rPr>
              <w:t>7</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3" w:history="1">
            <w:r w:rsidRPr="003F2A9A">
              <w:rPr>
                <w:rStyle w:val="Hyperlink"/>
                <w:noProof/>
              </w:rPr>
              <w:t>Data Collection</w:t>
            </w:r>
            <w:r>
              <w:rPr>
                <w:noProof/>
                <w:webHidden/>
              </w:rPr>
              <w:tab/>
            </w:r>
            <w:r>
              <w:rPr>
                <w:noProof/>
                <w:webHidden/>
              </w:rPr>
              <w:fldChar w:fldCharType="begin"/>
            </w:r>
            <w:r>
              <w:rPr>
                <w:noProof/>
                <w:webHidden/>
              </w:rPr>
              <w:instrText xml:space="preserve"> PAGEREF _Toc242421403 \h </w:instrText>
            </w:r>
            <w:r>
              <w:rPr>
                <w:noProof/>
                <w:webHidden/>
              </w:rPr>
            </w:r>
            <w:r>
              <w:rPr>
                <w:noProof/>
                <w:webHidden/>
              </w:rPr>
              <w:fldChar w:fldCharType="separate"/>
            </w:r>
            <w:r>
              <w:rPr>
                <w:noProof/>
                <w:webHidden/>
              </w:rPr>
              <w:t>8</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4" w:history="1">
            <w:r w:rsidRPr="003F2A9A">
              <w:rPr>
                <w:rStyle w:val="Hyperlink"/>
                <w:noProof/>
              </w:rPr>
              <w:t>Data Analysis</w:t>
            </w:r>
            <w:r>
              <w:rPr>
                <w:noProof/>
                <w:webHidden/>
              </w:rPr>
              <w:tab/>
            </w:r>
            <w:r>
              <w:rPr>
                <w:noProof/>
                <w:webHidden/>
              </w:rPr>
              <w:fldChar w:fldCharType="begin"/>
            </w:r>
            <w:r>
              <w:rPr>
                <w:noProof/>
                <w:webHidden/>
              </w:rPr>
              <w:instrText xml:space="preserve"> PAGEREF _Toc242421404 \h </w:instrText>
            </w:r>
            <w:r>
              <w:rPr>
                <w:noProof/>
                <w:webHidden/>
              </w:rPr>
            </w:r>
            <w:r>
              <w:rPr>
                <w:noProof/>
                <w:webHidden/>
              </w:rPr>
              <w:fldChar w:fldCharType="separate"/>
            </w:r>
            <w:r>
              <w:rPr>
                <w:noProof/>
                <w:webHidden/>
              </w:rPr>
              <w:t>8</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405" w:history="1">
            <w:r w:rsidRPr="003F2A9A">
              <w:rPr>
                <w:rStyle w:val="Hyperlink"/>
                <w:noProof/>
              </w:rPr>
              <w:t>11.0 Market Research and Validation</w:t>
            </w:r>
            <w:r>
              <w:rPr>
                <w:noProof/>
                <w:webHidden/>
              </w:rPr>
              <w:tab/>
            </w:r>
            <w:r>
              <w:rPr>
                <w:noProof/>
                <w:webHidden/>
              </w:rPr>
              <w:fldChar w:fldCharType="begin"/>
            </w:r>
            <w:r>
              <w:rPr>
                <w:noProof/>
                <w:webHidden/>
              </w:rPr>
              <w:instrText xml:space="preserve"> PAGEREF _Toc242421405 \h </w:instrText>
            </w:r>
            <w:r>
              <w:rPr>
                <w:noProof/>
                <w:webHidden/>
              </w:rPr>
            </w:r>
            <w:r>
              <w:rPr>
                <w:noProof/>
                <w:webHidden/>
              </w:rPr>
              <w:fldChar w:fldCharType="separate"/>
            </w:r>
            <w:r>
              <w:rPr>
                <w:noProof/>
                <w:webHidden/>
              </w:rPr>
              <w:t>9</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6" w:history="1">
            <w:r w:rsidRPr="003F2A9A">
              <w:rPr>
                <w:rStyle w:val="Hyperlink"/>
                <w:noProof/>
              </w:rPr>
              <w:t>1. PESTLE Analysis</w:t>
            </w:r>
            <w:r>
              <w:rPr>
                <w:noProof/>
                <w:webHidden/>
              </w:rPr>
              <w:tab/>
            </w:r>
            <w:r>
              <w:rPr>
                <w:noProof/>
                <w:webHidden/>
              </w:rPr>
              <w:fldChar w:fldCharType="begin"/>
            </w:r>
            <w:r>
              <w:rPr>
                <w:noProof/>
                <w:webHidden/>
              </w:rPr>
              <w:instrText xml:space="preserve"> PAGEREF _Toc242421406 \h </w:instrText>
            </w:r>
            <w:r>
              <w:rPr>
                <w:noProof/>
                <w:webHidden/>
              </w:rPr>
            </w:r>
            <w:r>
              <w:rPr>
                <w:noProof/>
                <w:webHidden/>
              </w:rPr>
              <w:fldChar w:fldCharType="separate"/>
            </w:r>
            <w:r>
              <w:rPr>
                <w:noProof/>
                <w:webHidden/>
              </w:rPr>
              <w:t>9</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7" w:history="1">
            <w:r w:rsidRPr="003F2A9A">
              <w:rPr>
                <w:rStyle w:val="Hyperlink"/>
                <w:noProof/>
              </w:rPr>
              <w:t>2. SWOT Analysis</w:t>
            </w:r>
            <w:r>
              <w:rPr>
                <w:noProof/>
                <w:webHidden/>
              </w:rPr>
              <w:tab/>
            </w:r>
            <w:r>
              <w:rPr>
                <w:noProof/>
                <w:webHidden/>
              </w:rPr>
              <w:fldChar w:fldCharType="begin"/>
            </w:r>
            <w:r>
              <w:rPr>
                <w:noProof/>
                <w:webHidden/>
              </w:rPr>
              <w:instrText xml:space="preserve"> PAGEREF _Toc242421407 \h </w:instrText>
            </w:r>
            <w:r>
              <w:rPr>
                <w:noProof/>
                <w:webHidden/>
              </w:rPr>
            </w:r>
            <w:r>
              <w:rPr>
                <w:noProof/>
                <w:webHidden/>
              </w:rPr>
              <w:fldChar w:fldCharType="separate"/>
            </w:r>
            <w:r>
              <w:rPr>
                <w:noProof/>
                <w:webHidden/>
              </w:rPr>
              <w:t>9</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8" w:history="1">
            <w:r w:rsidRPr="003F2A9A">
              <w:rPr>
                <w:rStyle w:val="Hyperlink"/>
                <w:noProof/>
              </w:rPr>
              <w:t>3. Competitor Analysis</w:t>
            </w:r>
            <w:r>
              <w:rPr>
                <w:noProof/>
                <w:webHidden/>
              </w:rPr>
              <w:tab/>
            </w:r>
            <w:r>
              <w:rPr>
                <w:noProof/>
                <w:webHidden/>
              </w:rPr>
              <w:fldChar w:fldCharType="begin"/>
            </w:r>
            <w:r>
              <w:rPr>
                <w:noProof/>
                <w:webHidden/>
              </w:rPr>
              <w:instrText xml:space="preserve"> PAGEREF _Toc242421408 \h </w:instrText>
            </w:r>
            <w:r>
              <w:rPr>
                <w:noProof/>
                <w:webHidden/>
              </w:rPr>
            </w:r>
            <w:r>
              <w:rPr>
                <w:noProof/>
                <w:webHidden/>
              </w:rPr>
              <w:fldChar w:fldCharType="separate"/>
            </w:r>
            <w:r>
              <w:rPr>
                <w:noProof/>
                <w:webHidden/>
              </w:rPr>
              <w:t>10</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09" w:history="1">
            <w:r w:rsidRPr="003F2A9A">
              <w:rPr>
                <w:rStyle w:val="Hyperlink"/>
                <w:noProof/>
              </w:rPr>
              <w:t>4. Porter’s Five Forces</w:t>
            </w:r>
            <w:r>
              <w:rPr>
                <w:noProof/>
                <w:webHidden/>
              </w:rPr>
              <w:tab/>
            </w:r>
            <w:r>
              <w:rPr>
                <w:noProof/>
                <w:webHidden/>
              </w:rPr>
              <w:fldChar w:fldCharType="begin"/>
            </w:r>
            <w:r>
              <w:rPr>
                <w:noProof/>
                <w:webHidden/>
              </w:rPr>
              <w:instrText xml:space="preserve"> PAGEREF _Toc242421409 \h </w:instrText>
            </w:r>
            <w:r>
              <w:rPr>
                <w:noProof/>
                <w:webHidden/>
              </w:rPr>
            </w:r>
            <w:r>
              <w:rPr>
                <w:noProof/>
                <w:webHidden/>
              </w:rPr>
              <w:fldChar w:fldCharType="separate"/>
            </w:r>
            <w:r>
              <w:rPr>
                <w:noProof/>
                <w:webHidden/>
              </w:rPr>
              <w:t>10</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10" w:history="1">
            <w:r w:rsidRPr="003F2A9A">
              <w:rPr>
                <w:rStyle w:val="Hyperlink"/>
                <w:noProof/>
              </w:rPr>
              <w:t>5. Ansoff Matrix</w:t>
            </w:r>
            <w:r>
              <w:rPr>
                <w:noProof/>
                <w:webHidden/>
              </w:rPr>
              <w:tab/>
            </w:r>
            <w:r>
              <w:rPr>
                <w:noProof/>
                <w:webHidden/>
              </w:rPr>
              <w:fldChar w:fldCharType="begin"/>
            </w:r>
            <w:r>
              <w:rPr>
                <w:noProof/>
                <w:webHidden/>
              </w:rPr>
              <w:instrText xml:space="preserve"> PAGEREF _Toc242421410 \h </w:instrText>
            </w:r>
            <w:r>
              <w:rPr>
                <w:noProof/>
                <w:webHidden/>
              </w:rPr>
            </w:r>
            <w:r>
              <w:rPr>
                <w:noProof/>
                <w:webHidden/>
              </w:rPr>
              <w:fldChar w:fldCharType="separate"/>
            </w:r>
            <w:r>
              <w:rPr>
                <w:noProof/>
                <w:webHidden/>
              </w:rPr>
              <w:t>10</w:t>
            </w:r>
            <w:r>
              <w:rPr>
                <w:noProof/>
                <w:webHidden/>
              </w:rPr>
              <w:fldChar w:fldCharType="end"/>
            </w:r>
          </w:hyperlink>
        </w:p>
        <w:p w:rsidR="00DB312F" w:rsidRDefault="00DB312F">
          <w:pPr>
            <w:pStyle w:val="TOC2"/>
            <w:tabs>
              <w:tab w:val="right" w:leader="dot" w:pos="9350"/>
            </w:tabs>
            <w:rPr>
              <w:rFonts w:asciiTheme="minorHAnsi" w:eastAsiaTheme="minorEastAsia" w:hAnsiTheme="minorHAnsi"/>
              <w:noProof/>
              <w:sz w:val="22"/>
            </w:rPr>
          </w:pPr>
          <w:hyperlink w:anchor="_Toc242421411" w:history="1">
            <w:r w:rsidRPr="003F2A9A">
              <w:rPr>
                <w:rStyle w:val="Hyperlink"/>
                <w:noProof/>
              </w:rPr>
              <w:t>12.0 Key Risks</w:t>
            </w:r>
            <w:r>
              <w:rPr>
                <w:noProof/>
                <w:webHidden/>
              </w:rPr>
              <w:tab/>
            </w:r>
            <w:r>
              <w:rPr>
                <w:noProof/>
                <w:webHidden/>
              </w:rPr>
              <w:fldChar w:fldCharType="begin"/>
            </w:r>
            <w:r>
              <w:rPr>
                <w:noProof/>
                <w:webHidden/>
              </w:rPr>
              <w:instrText xml:space="preserve"> PAGEREF _Toc242421411 \h </w:instrText>
            </w:r>
            <w:r>
              <w:rPr>
                <w:noProof/>
                <w:webHidden/>
              </w:rPr>
            </w:r>
            <w:r>
              <w:rPr>
                <w:noProof/>
                <w:webHidden/>
              </w:rPr>
              <w:fldChar w:fldCharType="separate"/>
            </w:r>
            <w:r>
              <w:rPr>
                <w:noProof/>
                <w:webHidden/>
              </w:rPr>
              <w:t>11</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412" w:history="1">
            <w:r w:rsidRPr="003F2A9A">
              <w:rPr>
                <w:rStyle w:val="Hyperlink"/>
                <w:noProof/>
              </w:rPr>
              <w:t>13.0 Research Timeline</w:t>
            </w:r>
            <w:r>
              <w:rPr>
                <w:noProof/>
                <w:webHidden/>
              </w:rPr>
              <w:tab/>
            </w:r>
            <w:r>
              <w:rPr>
                <w:noProof/>
                <w:webHidden/>
              </w:rPr>
              <w:fldChar w:fldCharType="begin"/>
            </w:r>
            <w:r>
              <w:rPr>
                <w:noProof/>
                <w:webHidden/>
              </w:rPr>
              <w:instrText xml:space="preserve"> PAGEREF _Toc242421412 \h </w:instrText>
            </w:r>
            <w:r>
              <w:rPr>
                <w:noProof/>
                <w:webHidden/>
              </w:rPr>
            </w:r>
            <w:r>
              <w:rPr>
                <w:noProof/>
                <w:webHidden/>
              </w:rPr>
              <w:fldChar w:fldCharType="separate"/>
            </w:r>
            <w:r>
              <w:rPr>
                <w:noProof/>
                <w:webHidden/>
              </w:rPr>
              <w:t>11</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413" w:history="1">
            <w:r w:rsidRPr="003F2A9A">
              <w:rPr>
                <w:rStyle w:val="Hyperlink"/>
                <w:noProof/>
              </w:rPr>
              <w:t>14.0 Conclusion</w:t>
            </w:r>
            <w:r>
              <w:rPr>
                <w:noProof/>
                <w:webHidden/>
              </w:rPr>
              <w:tab/>
            </w:r>
            <w:r>
              <w:rPr>
                <w:noProof/>
                <w:webHidden/>
              </w:rPr>
              <w:fldChar w:fldCharType="begin"/>
            </w:r>
            <w:r>
              <w:rPr>
                <w:noProof/>
                <w:webHidden/>
              </w:rPr>
              <w:instrText xml:space="preserve"> PAGEREF _Toc242421413 \h </w:instrText>
            </w:r>
            <w:r>
              <w:rPr>
                <w:noProof/>
                <w:webHidden/>
              </w:rPr>
            </w:r>
            <w:r>
              <w:rPr>
                <w:noProof/>
                <w:webHidden/>
              </w:rPr>
              <w:fldChar w:fldCharType="separate"/>
            </w:r>
            <w:r>
              <w:rPr>
                <w:noProof/>
                <w:webHidden/>
              </w:rPr>
              <w:t>12</w:t>
            </w:r>
            <w:r>
              <w:rPr>
                <w:noProof/>
                <w:webHidden/>
              </w:rPr>
              <w:fldChar w:fldCharType="end"/>
            </w:r>
          </w:hyperlink>
        </w:p>
        <w:p w:rsidR="00DB312F" w:rsidRDefault="00DB312F">
          <w:pPr>
            <w:pStyle w:val="TOC1"/>
            <w:tabs>
              <w:tab w:val="right" w:leader="dot" w:pos="9350"/>
            </w:tabs>
            <w:rPr>
              <w:rFonts w:asciiTheme="minorHAnsi" w:eastAsiaTheme="minorEastAsia" w:hAnsiTheme="minorHAnsi"/>
              <w:noProof/>
              <w:sz w:val="22"/>
            </w:rPr>
          </w:pPr>
          <w:hyperlink w:anchor="_Toc242421414" w:history="1">
            <w:r w:rsidRPr="003F2A9A">
              <w:rPr>
                <w:rStyle w:val="Hyperlink"/>
                <w:noProof/>
              </w:rPr>
              <w:t>References</w:t>
            </w:r>
            <w:r>
              <w:rPr>
                <w:noProof/>
                <w:webHidden/>
              </w:rPr>
              <w:tab/>
            </w:r>
            <w:r>
              <w:rPr>
                <w:noProof/>
                <w:webHidden/>
              </w:rPr>
              <w:fldChar w:fldCharType="begin"/>
            </w:r>
            <w:r>
              <w:rPr>
                <w:noProof/>
                <w:webHidden/>
              </w:rPr>
              <w:instrText xml:space="preserve"> PAGEREF _Toc242421414 \h </w:instrText>
            </w:r>
            <w:r>
              <w:rPr>
                <w:noProof/>
                <w:webHidden/>
              </w:rPr>
            </w:r>
            <w:r>
              <w:rPr>
                <w:noProof/>
                <w:webHidden/>
              </w:rPr>
              <w:fldChar w:fldCharType="separate"/>
            </w:r>
            <w:r>
              <w:rPr>
                <w:noProof/>
                <w:webHidden/>
              </w:rPr>
              <w:t>13</w:t>
            </w:r>
            <w:r>
              <w:rPr>
                <w:noProof/>
                <w:webHidden/>
              </w:rPr>
              <w:fldChar w:fldCharType="end"/>
            </w:r>
          </w:hyperlink>
        </w:p>
        <w:p w:rsidR="00B50C53" w:rsidRPr="00DB312F" w:rsidRDefault="00B50C53" w:rsidP="00DB312F">
          <w:r>
            <w:rPr>
              <w:b/>
              <w:bCs/>
              <w:noProof/>
            </w:rPr>
            <w:fldChar w:fldCharType="end"/>
          </w:r>
        </w:p>
        <w:bookmarkStart w:id="0" w:name="_GoBack" w:displacedByCustomXml="next"/>
        <w:bookmarkEnd w:id="0" w:displacedByCustomXml="next"/>
      </w:sdtContent>
    </w:sdt>
    <w:p w:rsidR="005613CD" w:rsidRPr="005613CD" w:rsidRDefault="005613CD" w:rsidP="00DB312F">
      <w:pPr>
        <w:pStyle w:val="Heading1"/>
        <w:jc w:val="both"/>
      </w:pPr>
      <w:bookmarkStart w:id="1" w:name="_Toc242421392"/>
      <w:r w:rsidRPr="005613CD">
        <w:t>1.0 Introduction</w:t>
      </w:r>
      <w:bookmarkEnd w:id="1"/>
    </w:p>
    <w:p w:rsidR="00B22B71" w:rsidRDefault="00B22B71" w:rsidP="00DB312F">
      <w:pPr>
        <w:jc w:val="both"/>
      </w:pPr>
      <w:r>
        <w:t xml:space="preserve">Pakistan's transport sector is entering a significant transition towards electric mobility. The National Electric Vehicle (NEV) Policy 2025–30 targets electric vehicles to account for 30% of new vehicle sales by 2030, while the government estimates that achieving this target could save approximately 2.07 billion </w:t>
      </w:r>
      <w:proofErr w:type="spellStart"/>
      <w:r>
        <w:t>litres</w:t>
      </w:r>
      <w:proofErr w:type="spellEnd"/>
      <w:r>
        <w:t xml:space="preserve"> of fuel annually and generate nearly US$1 billion in foreign-exchange savings (Government of Pakistan, 2025a). The growth of EVs also brings new opportunities for the business, such as the assessment, maintenance, resale valuation, traceability and end-of-life management of batteries.</w:t>
      </w:r>
    </w:p>
    <w:p w:rsidR="00B22B71" w:rsidRDefault="00B22B71" w:rsidP="00DB312F">
      <w:pPr>
        <w:jc w:val="both"/>
      </w:pPr>
      <w:r>
        <w:t>The battery is especially significant since it accounts for a significant percentage of the EV's value, and directly impacts driving range, performance and future replacement costs. The previous studies indicate that battery degradation, battery safety, battery cost, and uncertainty about the battery's remaining useful life are important challenges to EV adoption and battery lifecycle management (IEA, 2025). Thus, creation of a clear battery health assessment mechanism would help in minimizing information asymmetry between the buyer and seller in the newly emerging used-EV market in Pakistan.</w:t>
      </w:r>
    </w:p>
    <w:p w:rsidR="00B22B71" w:rsidRDefault="00B22B71" w:rsidP="00DB312F">
      <w:pPr>
        <w:jc w:val="both"/>
      </w:pPr>
      <w:r>
        <w:t xml:space="preserve">This proposal investigates whether </w:t>
      </w:r>
      <w:proofErr w:type="spellStart"/>
      <w:r>
        <w:t>PakWheels</w:t>
      </w:r>
      <w:proofErr w:type="spellEnd"/>
      <w:r>
        <w:t xml:space="preserve"> can exploit this opportunity by developing an integrated EV battery lifecycle ecosystem incorporating battery-health diagnostics, digital battery passports, residual-value certification, second-life applications and strategic partnerships. The research is concerned with the viability of this ecosystem on the commercial and strategic levels, in the context of </w:t>
      </w:r>
      <w:proofErr w:type="spellStart"/>
      <w:r>
        <w:t>PakWheels</w:t>
      </w:r>
      <w:proofErr w:type="spellEnd"/>
      <w:r>
        <w:t>' current digital marketplace and autom</w:t>
      </w:r>
      <w:r w:rsidR="00174A33">
        <w:t>otive information capabilities.</w:t>
      </w:r>
    </w:p>
    <w:p w:rsidR="00174A33" w:rsidRDefault="00174A33" w:rsidP="00DB312F">
      <w:pPr>
        <w:pStyle w:val="Heading1"/>
        <w:jc w:val="both"/>
      </w:pPr>
      <w:bookmarkStart w:id="2" w:name="_Toc242421393"/>
      <w:r>
        <w:t>2.0 Research Background</w:t>
      </w:r>
      <w:bookmarkEnd w:id="2"/>
    </w:p>
    <w:p w:rsidR="00174A33" w:rsidRDefault="00174A33" w:rsidP="00DB312F">
      <w:pPr>
        <w:jc w:val="both"/>
      </w:pPr>
      <w:r>
        <w:t>The global EV market has shifted from early adoption to a new phase, making battery lifecycle management more critical than ever. As battery prices drop and policies boost electrification, the International Energy Agency projects global sales of electric cars will hit 17 million in 2024 and continue growing (IEA, 2024). As a result, batteries are now becoming an asset rather than a consumable, and are being tracked throughout their life cycle.</w:t>
      </w:r>
    </w:p>
    <w:p w:rsidR="00174A33" w:rsidRDefault="00174A33" w:rsidP="00DB312F">
      <w:pPr>
        <w:jc w:val="both"/>
      </w:pPr>
      <w:r>
        <w:t xml:space="preserve">The Pakistan market is at a very early stage, but is being well supported by policy. The National Electric Vehicle Policy is based on the assumption of widespread adoption, expecting to see more than 2 million electric two-wheelers and 54,000 electric three-wheelers by 2030 (Ministry of Climate Change, 2019; Federal Board of Revenue, 2021). The government's </w:t>
      </w:r>
      <w:proofErr w:type="spellStart"/>
      <w:r>
        <w:t>subsidised</w:t>
      </w:r>
      <w:proofErr w:type="spellEnd"/>
      <w:r>
        <w:t xml:space="preserve"> schemes have proven to be successful, with hundreds of thousands of applications received by companies for electric two- and three-wheelers (Engineering Development Board, 2022).</w:t>
      </w:r>
    </w:p>
    <w:p w:rsidR="00174A33" w:rsidRDefault="00174A33" w:rsidP="00DB312F">
      <w:pPr>
        <w:jc w:val="both"/>
      </w:pPr>
      <w:r>
        <w:t>As this development unfolds, there is a growing need for accurate battery data. For the used EV, the buyer needs to know more than just the age and mileage of the vehicle; the State of Health (</w:t>
      </w:r>
      <w:proofErr w:type="spellStart"/>
      <w:r>
        <w:t>SoH</w:t>
      </w:r>
      <w:proofErr w:type="spellEnd"/>
      <w:r>
        <w:t>), charging history, and remaining capacity directly influence the vehicle residual value (Ahmadi et al., 2017). But there is no independent market standard to assess and communicate these battery attributes to consumers in Pakistan.</w:t>
      </w:r>
    </w:p>
    <w:p w:rsidR="00174A33" w:rsidRDefault="00174A33" w:rsidP="00DB312F">
      <w:pPr>
        <w:jc w:val="both"/>
      </w:pPr>
      <w:r>
        <w:t xml:space="preserve">This establishes a clear job for </w:t>
      </w:r>
      <w:proofErr w:type="spellStart"/>
      <w:r>
        <w:t>PakWheels</w:t>
      </w:r>
      <w:proofErr w:type="spellEnd"/>
      <w:r>
        <w:t xml:space="preserve">. As Pakistan's premier automotive platform, </w:t>
      </w:r>
      <w:proofErr w:type="spellStart"/>
      <w:r>
        <w:t>PakWheels</w:t>
      </w:r>
      <w:proofErr w:type="spellEnd"/>
      <w:r>
        <w:t xml:space="preserve"> attracts over 25 million annual visitors, generates 250 million page views, and facilitates hundreds of thousands of vehicle transactions yearly (</w:t>
      </w:r>
      <w:proofErr w:type="spellStart"/>
      <w:r>
        <w:t>PakWheels</w:t>
      </w:r>
      <w:proofErr w:type="spellEnd"/>
      <w:r>
        <w:t>, 2023). Its proven third-party vehicle inspection services offer a solid platform for developing battery diagnostics.</w:t>
      </w:r>
    </w:p>
    <w:p w:rsidR="00174A33" w:rsidRDefault="00174A33" w:rsidP="00DB312F">
      <w:pPr>
        <w:pStyle w:val="Heading1"/>
        <w:jc w:val="both"/>
      </w:pPr>
      <w:bookmarkStart w:id="3" w:name="_Toc242421394"/>
      <w:r>
        <w:t>3.0 Problem Statement</w:t>
      </w:r>
      <w:bookmarkEnd w:id="3"/>
    </w:p>
    <w:p w:rsidR="00174A33" w:rsidRDefault="00174A33" w:rsidP="00DB312F">
      <w:pPr>
        <w:jc w:val="both"/>
      </w:pPr>
      <w:r>
        <w:t>The main challenge is the lack of a reliable and standardized database of EV battery condition and residual value in the developing market of Pakistan. While traditional car sales experience information asymmetry (</w:t>
      </w:r>
      <w:proofErr w:type="spellStart"/>
      <w:r>
        <w:t>Akerlof</w:t>
      </w:r>
      <w:proofErr w:type="spellEnd"/>
      <w:r>
        <w:t>, 1970), EVs add another layer of complexity with battery degradation, which is not easily discerned through visual inspection. Battery health of two identical EVs can vary significantly depending on charging conditions, operating temperature, and usage (</w:t>
      </w:r>
      <w:proofErr w:type="spellStart"/>
      <w:r>
        <w:t>Bar</w:t>
      </w:r>
      <w:r w:rsidR="00B50C53">
        <w:t>ré</w:t>
      </w:r>
      <w:proofErr w:type="spellEnd"/>
      <w:r w:rsidR="00B50C53">
        <w:t xml:space="preserve"> et al., 2013).</w:t>
      </w:r>
    </w:p>
    <w:p w:rsidR="00174A33" w:rsidRDefault="00174A33" w:rsidP="00DB312F">
      <w:pPr>
        <w:jc w:val="both"/>
      </w:pPr>
      <w:r>
        <w:t>This uncertainty directly impacts on consumer confidence. When buyers are unaware of the value, they bid less for EVs to account for their perceived risk, resulting in a market failure whereby healthy EV owners don't sell their cars at discount prices (</w:t>
      </w:r>
      <w:proofErr w:type="spellStart"/>
      <w:r>
        <w:t>Akerlof</w:t>
      </w:r>
      <w:proofErr w:type="spellEnd"/>
      <w:r>
        <w:t xml:space="preserve">, 1970). The EU Battery Regulation, which will be implemented internationally by 2027, requires the introduction of digital battery passports for transparency (European Parliament, 2023). With the opportunity to set a commercially viable local market standard before the widespread adoption of EVs in the country, </w:t>
      </w:r>
      <w:proofErr w:type="spellStart"/>
      <w:r>
        <w:t>PakWheels</w:t>
      </w:r>
      <w:proofErr w:type="spellEnd"/>
      <w:r>
        <w:t xml:space="preserve"> has a chance to become the benchmark for the local EV market.</w:t>
      </w:r>
    </w:p>
    <w:p w:rsidR="00DB312F" w:rsidRDefault="00DB312F" w:rsidP="00DB312F">
      <w:pPr>
        <w:pStyle w:val="Heading1"/>
        <w:jc w:val="both"/>
      </w:pPr>
      <w:bookmarkStart w:id="4" w:name="_Toc242421395"/>
      <w:r>
        <w:t>4.0 Busines</w:t>
      </w:r>
      <w:r>
        <w:t>s Opportunity and Justification</w:t>
      </w:r>
      <w:bookmarkEnd w:id="4"/>
    </w:p>
    <w:p w:rsidR="00DB312F" w:rsidRDefault="00DB312F" w:rsidP="00DB312F">
      <w:pPr>
        <w:jc w:val="both"/>
      </w:pPr>
      <w:r>
        <w:t xml:space="preserve">The proposed business opportunity involves building an Integrated EV Battery Lifecycle Ecosystem in </w:t>
      </w:r>
      <w:proofErr w:type="spellStart"/>
      <w:r>
        <w:t>PakWheels</w:t>
      </w:r>
      <w:proofErr w:type="spellEnd"/>
      <w:r>
        <w:t>' automotive marketplace that includes battery-health certification, digital battery passports and residual-value assessment. The service would aid the business of the buyers and dealers to evaluate the condition of the battery, increase the transparency of used-EV transactions and help vehicle valuation. Revenue can come from certification fees, dealers' subscription fees, revenue sharing with diagnostic providers, financial institutions, insurers and battery recyclers. The digital battery passport may include information on battery health, warranty and ownership history, and second-life relationships might consider second-life applications for retired batteries in stationary energy storage (</w:t>
      </w:r>
      <w:proofErr w:type="spellStart"/>
      <w:r>
        <w:t>Bobba</w:t>
      </w:r>
      <w:proofErr w:type="spellEnd"/>
      <w:r>
        <w:t xml:space="preserve"> et al., 2018). In a partnership-led model, </w:t>
      </w:r>
      <w:proofErr w:type="spellStart"/>
      <w:r>
        <w:t>PakWheels</w:t>
      </w:r>
      <w:proofErr w:type="spellEnd"/>
      <w:r>
        <w:t xml:space="preserve"> wouldn't have to make a direct investment in specialist diagnostic infrastructure. But options from competitors, prices, customer demand, costs and financial viability need to be as</w:t>
      </w:r>
      <w:r>
        <w:t>sessed prior to implementation.</w:t>
      </w:r>
    </w:p>
    <w:p w:rsidR="00DB312F" w:rsidRPr="00DB312F" w:rsidRDefault="00DB312F" w:rsidP="00DB312F">
      <w:pPr>
        <w:pStyle w:val="Heading1"/>
        <w:jc w:val="both"/>
      </w:pPr>
      <w:bookmarkStart w:id="5" w:name="_Toc242421396"/>
      <w:r w:rsidRPr="00DB312F">
        <w:t>5.0 Review of Previous R</w:t>
      </w:r>
      <w:r w:rsidRPr="00DB312F">
        <w:t>esearch</w:t>
      </w:r>
      <w:bookmarkEnd w:id="5"/>
    </w:p>
    <w:p w:rsidR="00DB312F" w:rsidRDefault="00DB312F" w:rsidP="00DB312F">
      <w:pPr>
        <w:jc w:val="both"/>
      </w:pPr>
      <w:r>
        <w:t>The battery performance and degradation was highlighted as important factors in EV costs and resale value by previous research. Battery lifespan and health is influenced by a range of factors including charging habits, vehicle use and operating conditions, temperature, and usage; so, the age and mileage of a vehicle isn't necessarily a good indicator of battery health (IEA, 2025). Independent battery-health certification would increase transparency of information and help customers to make better b</w:t>
      </w:r>
      <w:r>
        <w:t>uying decisions.</w:t>
      </w:r>
    </w:p>
    <w:p w:rsidR="00DB312F" w:rsidRDefault="00DB312F" w:rsidP="00DB312F">
      <w:pPr>
        <w:jc w:val="both"/>
      </w:pPr>
      <w:r>
        <w:t>Second-life applications are also found in the research to prolong the usefulness of batteries beyond the electric-vehicle driving lifecycle. The commercial viability is however dependent on the testing, transportation, dismantling, repackaging, safety costs, relative to other energy-storage technologies (IEA, 2025). Other opportunities include: Digital battery passports which store information related to battery composition, performance and lifecycle. Battery traceability and battery lifecycle transparency is becoming increasingly significant, as illustrated by the EU battery regulations (European Parliament and Council, 2023). However, it doesn't mean a commercial service would be successful in Pakistan if there are technical and regulato</w:t>
      </w:r>
      <w:r>
        <w:t>ry developments.</w:t>
      </w:r>
    </w:p>
    <w:p w:rsidR="00DB312F" w:rsidRDefault="00DB312F" w:rsidP="00DB312F">
      <w:pPr>
        <w:pStyle w:val="Heading1"/>
        <w:jc w:val="both"/>
      </w:pPr>
      <w:bookmarkStart w:id="6" w:name="_Toc242421397"/>
      <w:r>
        <w:t>6.0 Research Gap</w:t>
      </w:r>
      <w:bookmarkEnd w:id="6"/>
    </w:p>
    <w:p w:rsidR="00DB312F" w:rsidRDefault="00DB312F" w:rsidP="00DB312F">
      <w:pPr>
        <w:jc w:val="both"/>
      </w:pPr>
      <w:r>
        <w:t xml:space="preserve">The current literature mainly focuses on the adoption of EVs, battery degradation, recycling and digital traceability, both from a technical and environmental and policy perspective. There is a need for further studies to understand the potential of these services to be part of an auto market and </w:t>
      </w:r>
      <w:proofErr w:type="spellStart"/>
      <w:r>
        <w:t>monetised</w:t>
      </w:r>
      <w:proofErr w:type="spellEnd"/>
      <w:r>
        <w:t xml:space="preserve"> in Pakistan. In particular, what commodity offerings are competing products, what sources of revenue are there, what pricing opportunities are available, what operational costs are involved, what partnership models and financial sustainability are possible. This study aims to bridge the gap with secondary research using the PESTLE Analysis, SWOT Analysis, Competitor Analysis, Porter's Five Forces and </w:t>
      </w:r>
      <w:proofErr w:type="spellStart"/>
      <w:r>
        <w:t>Ansoff's</w:t>
      </w:r>
      <w:proofErr w:type="spellEnd"/>
      <w:r>
        <w:t xml:space="preserve"> Matrix. The results will be used for thematic analysis and illustrative financial scenarios to determine if the proposed ecosystem is a viable business-development opportunity for </w:t>
      </w:r>
      <w:proofErr w:type="spellStart"/>
      <w:r>
        <w:t>PakWheels</w:t>
      </w:r>
      <w:proofErr w:type="spellEnd"/>
      <w:r>
        <w:t>.</w:t>
      </w:r>
    </w:p>
    <w:p w:rsidR="009B0692" w:rsidRDefault="00B50C53" w:rsidP="00DB312F">
      <w:pPr>
        <w:pStyle w:val="Heading1"/>
        <w:jc w:val="both"/>
      </w:pPr>
      <w:bookmarkStart w:id="7" w:name="_Toc242421398"/>
      <w:r>
        <w:t>7.0 Research Aim</w:t>
      </w:r>
      <w:bookmarkEnd w:id="7"/>
    </w:p>
    <w:p w:rsidR="009B0692" w:rsidRDefault="00B50C53" w:rsidP="00DB312F">
      <w:pPr>
        <w:jc w:val="both"/>
      </w:pPr>
      <w:r>
        <w:t>The aim of this research is:</w:t>
      </w:r>
    </w:p>
    <w:p w:rsidR="009B0692" w:rsidRDefault="009B0692" w:rsidP="00DB312F">
      <w:pPr>
        <w:jc w:val="both"/>
      </w:pPr>
      <w:r>
        <w:t>To evaluate the strategic and commercial feasibility of developing an integrated EV battery lifecycle ecosystem as a new business-growth opportu</w:t>
      </w:r>
      <w:r w:rsidR="00B50C53">
        <w:t xml:space="preserve">nity for </w:t>
      </w:r>
      <w:proofErr w:type="spellStart"/>
      <w:r w:rsidR="00B50C53">
        <w:t>PakWheels</w:t>
      </w:r>
      <w:proofErr w:type="spellEnd"/>
      <w:r w:rsidR="00B50C53">
        <w:t xml:space="preserve"> in Pakistan.</w:t>
      </w:r>
    </w:p>
    <w:p w:rsidR="00B557F2" w:rsidRDefault="00B557F2" w:rsidP="00DB312F">
      <w:pPr>
        <w:pStyle w:val="Heading2"/>
        <w:jc w:val="both"/>
      </w:pPr>
      <w:bookmarkStart w:id="8" w:name="_Toc242421399"/>
      <w:r>
        <w:t xml:space="preserve">8.0 </w:t>
      </w:r>
      <w:r>
        <w:t>Rese</w:t>
      </w:r>
      <w:r>
        <w:t>arch Objectives</w:t>
      </w:r>
      <w:bookmarkEnd w:id="8"/>
    </w:p>
    <w:p w:rsidR="00B557F2" w:rsidRDefault="00DB312F" w:rsidP="00DB312F">
      <w:pPr>
        <w:jc w:val="both"/>
      </w:pPr>
      <w:r>
        <w:t xml:space="preserve">1. </w:t>
      </w:r>
      <w:r w:rsidR="00B557F2">
        <w:t>To conduct a secondary market evidence based assessment of the potential market demand for independent EV battery-health certification and digital</w:t>
      </w:r>
      <w:r>
        <w:t xml:space="preserve"> battery passports in Pakistan.</w:t>
      </w:r>
    </w:p>
    <w:p w:rsidR="00B557F2" w:rsidRDefault="00B557F2" w:rsidP="00DB312F">
      <w:pPr>
        <w:jc w:val="both"/>
      </w:pPr>
      <w:r>
        <w:t xml:space="preserve">2. To evaluate the commercial and partnership potential of diagnostic providers, vehicle manufacturers, financial institutions and battery recyclers for a </w:t>
      </w:r>
      <w:r>
        <w:t>proposed revenue-sharing model.</w:t>
      </w:r>
    </w:p>
    <w:p w:rsidR="00B557F2" w:rsidRDefault="00B557F2" w:rsidP="00DB312F">
      <w:pPr>
        <w:jc w:val="both"/>
      </w:pPr>
      <w:r>
        <w:t>3.</w:t>
      </w:r>
      <w:r>
        <w:t xml:space="preserve">To conduct PESTLE Analysis, SWOT Analysis, Competitor Analysis, Porter's five forces and </w:t>
      </w:r>
      <w:proofErr w:type="spellStart"/>
      <w:r>
        <w:t>Ansoff</w:t>
      </w:r>
      <w:proofErr w:type="spellEnd"/>
      <w:r>
        <w:t xml:space="preserve"> Matrix to assess </w:t>
      </w:r>
      <w:proofErr w:type="spellStart"/>
      <w:r>
        <w:t>PakWheels</w:t>
      </w:r>
      <w:proofErr w:type="spellEnd"/>
      <w:r>
        <w:t xml:space="preserve">' competitive position </w:t>
      </w:r>
      <w:r>
        <w:t>and market entry opportunities.</w:t>
      </w:r>
    </w:p>
    <w:p w:rsidR="00B557F2" w:rsidRDefault="00B557F2" w:rsidP="00DB312F">
      <w:pPr>
        <w:jc w:val="both"/>
      </w:pPr>
      <w:r>
        <w:t xml:space="preserve">4. To assess the proposed ecosystem’s financial feasibility by estimating potential revenue streams, operational </w:t>
      </w:r>
      <w:r>
        <w:t>costs and break-even scenarios.</w:t>
      </w:r>
    </w:p>
    <w:p w:rsidR="00B557F2" w:rsidRDefault="00B557F2" w:rsidP="00DB312F">
      <w:pPr>
        <w:jc w:val="both"/>
      </w:pPr>
      <w:r>
        <w:t xml:space="preserve">5. To create a roadmap for implementation of </w:t>
      </w:r>
      <w:proofErr w:type="spellStart"/>
      <w:r>
        <w:t>PakWheels</w:t>
      </w:r>
      <w:proofErr w:type="spellEnd"/>
      <w:r>
        <w:t xml:space="preserve">, including strategic partnerships, financial analysis and </w:t>
      </w:r>
      <w:r>
        <w:t>key risk-mitigation strategies.</w:t>
      </w:r>
    </w:p>
    <w:p w:rsidR="00B557F2" w:rsidRDefault="00B557F2" w:rsidP="00DB312F">
      <w:pPr>
        <w:pStyle w:val="Heading1"/>
        <w:jc w:val="both"/>
      </w:pPr>
      <w:bookmarkStart w:id="9" w:name="_Toc242421400"/>
      <w:r>
        <w:t>9.0 Research Questions</w:t>
      </w:r>
      <w:bookmarkEnd w:id="9"/>
    </w:p>
    <w:p w:rsidR="00B557F2" w:rsidRDefault="00B557F2" w:rsidP="00DB312F">
      <w:pPr>
        <w:jc w:val="both"/>
      </w:pPr>
      <w:r>
        <w:t>1. What is the market potential for an integrated EV battery l</w:t>
      </w:r>
      <w:r>
        <w:t>ifecycle ecosystem in Pakistan?</w:t>
      </w:r>
    </w:p>
    <w:p w:rsidR="00B557F2" w:rsidRDefault="00B557F2" w:rsidP="00DB312F">
      <w:pPr>
        <w:jc w:val="both"/>
      </w:pPr>
      <w:r>
        <w:t>2</w:t>
      </w:r>
      <w:r>
        <w:t xml:space="preserve">. Will </w:t>
      </w:r>
      <w:proofErr w:type="spellStart"/>
      <w:r>
        <w:t>PakWheels</w:t>
      </w:r>
      <w:proofErr w:type="spellEnd"/>
      <w:r>
        <w:t xml:space="preserve"> be profitable and sustainable commercially and financially if the pro</w:t>
      </w:r>
      <w:r>
        <w:t>posed ecosystem is implemented?</w:t>
      </w:r>
    </w:p>
    <w:p w:rsidR="00B557F2" w:rsidRDefault="00B557F2" w:rsidP="00DB312F">
      <w:pPr>
        <w:jc w:val="both"/>
      </w:pPr>
      <w:r>
        <w:t xml:space="preserve">3. What competitive strategies, partnerships and resources would </w:t>
      </w:r>
      <w:proofErr w:type="spellStart"/>
      <w:r>
        <w:t>PakWheels</w:t>
      </w:r>
      <w:proofErr w:type="spellEnd"/>
      <w:r>
        <w:t xml:space="preserve"> require to implement the proposed ecosystem successfully?</w:t>
      </w:r>
    </w:p>
    <w:p w:rsidR="009B0692" w:rsidRDefault="009B0692" w:rsidP="00DB312F">
      <w:pPr>
        <w:pStyle w:val="Heading1"/>
        <w:jc w:val="both"/>
      </w:pPr>
      <w:bookmarkStart w:id="10" w:name="_Toc242421401"/>
      <w:r>
        <w:t>10.0 Research Methodology</w:t>
      </w:r>
      <w:bookmarkEnd w:id="10"/>
    </w:p>
    <w:p w:rsidR="0043745F" w:rsidRDefault="0043745F" w:rsidP="00DB312F">
      <w:pPr>
        <w:pStyle w:val="Heading2"/>
        <w:jc w:val="both"/>
      </w:pPr>
      <w:bookmarkStart w:id="11" w:name="_Toc242421402"/>
      <w:r>
        <w:t>Research Design</w:t>
      </w:r>
      <w:bookmarkEnd w:id="11"/>
    </w:p>
    <w:p w:rsidR="0043745F" w:rsidRDefault="0043745F" w:rsidP="00DB312F">
      <w:pPr>
        <w:jc w:val="both"/>
      </w:pPr>
      <w:r>
        <w:t xml:space="preserve">The approach for this study will be qualitative and secondary research-based with a case study of developing an integrated Electric Vehicle (EV) Battery Lifecycle Ecosystem for </w:t>
      </w:r>
      <w:proofErr w:type="spellStart"/>
      <w:r>
        <w:t>PakWheels</w:t>
      </w:r>
      <w:proofErr w:type="spellEnd"/>
      <w:r>
        <w:t xml:space="preserve"> in Pakistan. A case study is appropriate for examining a specific </w:t>
      </w:r>
      <w:proofErr w:type="spellStart"/>
      <w:r>
        <w:t>organisation</w:t>
      </w:r>
      <w:proofErr w:type="spellEnd"/>
      <w:r>
        <w:t xml:space="preserve"> and its potential business-development opportunity. Secondary research will enable the evaluation of market conditions, competition and commercial opportunities without collecting primary data (Saunde</w:t>
      </w:r>
      <w:r>
        <w:t>rs, Lewis and Thornhill, 2023).</w:t>
      </w:r>
    </w:p>
    <w:p w:rsidR="0043745F" w:rsidRDefault="0043745F" w:rsidP="00DB312F">
      <w:pPr>
        <w:pStyle w:val="Heading2"/>
        <w:jc w:val="both"/>
      </w:pPr>
      <w:r>
        <w:t xml:space="preserve"> </w:t>
      </w:r>
      <w:bookmarkStart w:id="12" w:name="_Toc242421403"/>
      <w:r>
        <w:t>Data Collection</w:t>
      </w:r>
      <w:bookmarkEnd w:id="12"/>
    </w:p>
    <w:p w:rsidR="0043745F" w:rsidRDefault="0043745F" w:rsidP="00DB312F">
      <w:pPr>
        <w:jc w:val="both"/>
      </w:pPr>
      <w:r>
        <w:t xml:space="preserve">Data sources will be sought from credible secondary sources such as government policy documents, International Energy Agency (IEA) reports, peer reviewed journal articles, </w:t>
      </w:r>
      <w:proofErr w:type="spellStart"/>
      <w:r>
        <w:t>PakWheels</w:t>
      </w:r>
      <w:proofErr w:type="spellEnd"/>
      <w:r>
        <w:t xml:space="preserve"> published data and public data from competitors. Sources published from 2023 to 2026 will be emphasized in the report for current market developments and the old academic sources of the past will be followed for the theoretical support. Sources will be evaluated based on their credibility, relevance, currency and transparency. The research will be conducted on the EV market in Pakistan, certification of battery health, digital battery records, competitor service</w:t>
      </w:r>
      <w:r>
        <w:t>s and possible revenue streams.</w:t>
      </w:r>
    </w:p>
    <w:p w:rsidR="0043745F" w:rsidRPr="0043745F" w:rsidRDefault="0043745F" w:rsidP="00DB312F">
      <w:pPr>
        <w:pStyle w:val="Heading2"/>
        <w:jc w:val="both"/>
      </w:pPr>
      <w:bookmarkStart w:id="13" w:name="_Toc242421404"/>
      <w:r w:rsidRPr="0043745F">
        <w:t>Data Analysis</w:t>
      </w:r>
      <w:bookmarkEnd w:id="13"/>
    </w:p>
    <w:p w:rsidR="0043745F" w:rsidRDefault="0043745F" w:rsidP="00DB312F">
      <w:pPr>
        <w:jc w:val="both"/>
      </w:pPr>
      <w:r>
        <w:t xml:space="preserve">Thematic analysis will be employed to extract patterns and themes from the collected data relevant to the proposed ecosystem. The analysis will take the Braun &amp; Clarke (2006) approach of </w:t>
      </w:r>
      <w:proofErr w:type="spellStart"/>
      <w:r>
        <w:t>familiarisation</w:t>
      </w:r>
      <w:proofErr w:type="spellEnd"/>
      <w:r>
        <w:t xml:space="preserve"> of documents, initial coding, theme identification, theme review and interpretation of themes. Some themes that may be explored include; market readiness, customer needs, competitive pressures, revenue opportunities, operational r</w:t>
      </w:r>
      <w:r>
        <w:t>isks and financial feasibility.</w:t>
      </w:r>
    </w:p>
    <w:p w:rsidR="0043745F" w:rsidRDefault="0043745F" w:rsidP="00DB312F">
      <w:pPr>
        <w:jc w:val="both"/>
      </w:pPr>
      <w:r>
        <w:t xml:space="preserve">The findings will be </w:t>
      </w:r>
      <w:proofErr w:type="spellStart"/>
      <w:r>
        <w:t>analysed</w:t>
      </w:r>
      <w:proofErr w:type="spellEnd"/>
      <w:r>
        <w:t xml:space="preserve"> with the help of following business analysis models: PESTLE Analysis, SWOT Analysis, Competitor Analysis, Porter's Five Forces and </w:t>
      </w:r>
      <w:proofErr w:type="spellStart"/>
      <w:r>
        <w:t>Ansoff</w:t>
      </w:r>
      <w:proofErr w:type="spellEnd"/>
      <w:r>
        <w:t xml:space="preserve"> Matrix. These models will be used to help explain the identified themes and findings by reviewing the external market conditions, </w:t>
      </w:r>
      <w:proofErr w:type="spellStart"/>
      <w:r>
        <w:t>PakWheels</w:t>
      </w:r>
      <w:proofErr w:type="spellEnd"/>
      <w:r>
        <w:t xml:space="preserve"> strategic fit, level of co</w:t>
      </w:r>
      <w:r>
        <w:t>mpetition and growth prospects.</w:t>
      </w:r>
    </w:p>
    <w:p w:rsidR="009B0692" w:rsidRDefault="0043745F" w:rsidP="00DB312F">
      <w:pPr>
        <w:jc w:val="both"/>
      </w:pPr>
      <w:r>
        <w:t>Conservative, base case and optimistic scenarios will be used to assess financial feasibility. Potential revenue from battery certification, dealer subscriptions and partnerships will be compared with diagnostic, software, marketing and operational costs. Simple assumptions will be used and contribution margins and break-even volumes will be determined to determine the commercial viability of a partnership-led pilot.</w:t>
      </w:r>
    </w:p>
    <w:p w:rsidR="007C4EF4" w:rsidRPr="007C4EF4" w:rsidRDefault="00B50C53" w:rsidP="00DB312F">
      <w:pPr>
        <w:pStyle w:val="Heading1"/>
        <w:jc w:val="both"/>
      </w:pPr>
      <w:bookmarkStart w:id="14" w:name="_Toc242421405"/>
      <w:r>
        <w:t>11</w:t>
      </w:r>
      <w:r w:rsidR="007C4EF4" w:rsidRPr="007C4EF4">
        <w:t>.0 Market Research and Validation</w:t>
      </w:r>
      <w:bookmarkEnd w:id="14"/>
    </w:p>
    <w:p w:rsidR="0043745F" w:rsidRDefault="0043745F" w:rsidP="00DB312F">
      <w:pPr>
        <w:jc w:val="both"/>
      </w:pPr>
      <w:r>
        <w:t xml:space="preserve">Market Validation: EV Battery Lifecycle Ecosystem for </w:t>
      </w:r>
      <w:proofErr w:type="spellStart"/>
      <w:r>
        <w:t>PakWheels</w:t>
      </w:r>
      <w:proofErr w:type="spellEnd"/>
      <w:r>
        <w:t>.</w:t>
      </w:r>
    </w:p>
    <w:p w:rsidR="0043745F" w:rsidRDefault="0043745F" w:rsidP="00DB312F">
      <w:pPr>
        <w:jc w:val="both"/>
      </w:pPr>
      <w:r>
        <w:t xml:space="preserve">The commercial viability of the launch of an integrated electric vehicle (EV) battery lifecycle ecosystem using </w:t>
      </w:r>
      <w:proofErr w:type="spellStart"/>
      <w:r>
        <w:t>PakWheels</w:t>
      </w:r>
      <w:proofErr w:type="spellEnd"/>
      <w:r>
        <w:t xml:space="preserve"> in Pakistan shall be undertaken through market validation. Five business models will be used for analysis of the market readiness, competitive positioning, strategic opportunities and financial viability. The Government of Pakistan has introduced the New Energy Vehicle (NEV) Policy 2025–30, which aims for 30% of all new vehicle sales to be powered by NEVs by 2030 (</w:t>
      </w:r>
      <w:r>
        <w:t xml:space="preserve">Government of Pakistan, 2025). </w:t>
      </w:r>
    </w:p>
    <w:p w:rsidR="0043745F" w:rsidRDefault="0043745F" w:rsidP="00DB312F">
      <w:pPr>
        <w:pStyle w:val="Heading2"/>
        <w:jc w:val="both"/>
      </w:pPr>
      <w:bookmarkStart w:id="15" w:name="_Toc242421406"/>
      <w:r>
        <w:t>1. PESTLE Analysis</w:t>
      </w:r>
      <w:bookmarkEnd w:id="15"/>
    </w:p>
    <w:p w:rsidR="0043745F" w:rsidRDefault="0043745F" w:rsidP="00DB312F">
      <w:pPr>
        <w:jc w:val="both"/>
      </w:pPr>
      <w:r>
        <w:t>Political and legal factors are government incentives, vehicle certification requirements and battery safety regulations. The policy aims to have around 2.2 million new energy vehicles on the road by 2030, providing incentives and infrastructure to ensure their adoption (</w:t>
      </w:r>
      <w:r>
        <w:t xml:space="preserve">Government of Pakistan, 2025). </w:t>
      </w:r>
    </w:p>
    <w:p w:rsidR="0043745F" w:rsidRDefault="0043745F" w:rsidP="00DB312F">
      <w:pPr>
        <w:jc w:val="both"/>
      </w:pPr>
      <w:r>
        <w:t xml:space="preserve"> From an economic perspective, replacement costs and price may play a role in decision making. Socially, there could be a boost in EV buyers' confidence with independent battery-health reports. The technological opportunities are diagnostic testing and digital battery records, and environmental opportunities are battery reuse and recycling. But the real demand for these services needs to be validated.</w:t>
      </w:r>
    </w:p>
    <w:p w:rsidR="0043745F" w:rsidRDefault="0043745F" w:rsidP="00DB312F">
      <w:pPr>
        <w:pStyle w:val="Heading2"/>
        <w:jc w:val="both"/>
      </w:pPr>
      <w:bookmarkStart w:id="16" w:name="_Toc242421407"/>
      <w:r>
        <w:t>2. SWOT Analysis</w:t>
      </w:r>
      <w:bookmarkEnd w:id="16"/>
    </w:p>
    <w:p w:rsidR="0043745F" w:rsidRDefault="0043745F" w:rsidP="00DB312F">
      <w:pPr>
        <w:jc w:val="both"/>
      </w:pPr>
      <w:proofErr w:type="spellStart"/>
      <w:r>
        <w:t>PakWheels</w:t>
      </w:r>
      <w:proofErr w:type="spellEnd"/>
      <w:r>
        <w:t>' brand-new vehicle platform could give access to vehicle purchasers and sellers, though the testing expertise of batteries needs verification</w:t>
      </w:r>
      <w:r>
        <w:t xml:space="preserve"> </w:t>
      </w:r>
      <w:r w:rsidRPr="0043745F">
        <w:t>(</w:t>
      </w:r>
      <w:proofErr w:type="spellStart"/>
      <w:r w:rsidRPr="0043745F">
        <w:t>PakWheels</w:t>
      </w:r>
      <w:proofErr w:type="spellEnd"/>
      <w:r w:rsidRPr="0043745F">
        <w:t>, 2021</w:t>
      </w:r>
      <w:proofErr w:type="gramStart"/>
      <w:r w:rsidRPr="0043745F">
        <w:t>)..</w:t>
      </w:r>
      <w:proofErr w:type="gramEnd"/>
      <w:r>
        <w:t xml:space="preserve"> The opportunities involve battery certification, dealer subscription and relationships with diagnostic service providers. Threats are technological change, and inadequate consumer knowledge and competing inspection services. The service should thus be assessed with a pilot, not by taking for granted that the influx of EVs will generate lucrative demand.</w:t>
      </w:r>
    </w:p>
    <w:p w:rsidR="0043745F" w:rsidRDefault="0043745F" w:rsidP="00DB312F">
      <w:pPr>
        <w:pStyle w:val="Heading2"/>
        <w:jc w:val="both"/>
      </w:pPr>
      <w:bookmarkStart w:id="17" w:name="_Toc242421408"/>
      <w:r>
        <w:t>3. Competitor Analysis</w:t>
      </w:r>
      <w:bookmarkEnd w:id="17"/>
    </w:p>
    <w:p w:rsidR="0043745F" w:rsidRDefault="0043745F" w:rsidP="00DB312F">
      <w:pPr>
        <w:jc w:val="both"/>
      </w:pPr>
      <w:r>
        <w:t xml:space="preserve">Currently </w:t>
      </w:r>
      <w:proofErr w:type="spellStart"/>
      <w:r>
        <w:t>PakWheels</w:t>
      </w:r>
      <w:proofErr w:type="spellEnd"/>
      <w:r>
        <w:t xml:space="preserve"> offers vehicle inspection and certification services, such as inspection of over 200 inspection points for eligible cer</w:t>
      </w:r>
      <w:r>
        <w:t>tified cars (</w:t>
      </w:r>
      <w:proofErr w:type="spellStart"/>
      <w:r>
        <w:t>PakWheels</w:t>
      </w:r>
      <w:proofErr w:type="spellEnd"/>
      <w:r>
        <w:t xml:space="preserve">, 2021). </w:t>
      </w:r>
    </w:p>
    <w:p w:rsidR="0043745F" w:rsidRDefault="0043745F" w:rsidP="00DB312F">
      <w:pPr>
        <w:jc w:val="both"/>
      </w:pPr>
      <w:r>
        <w:t xml:space="preserve"> This current capability could be a building block to expanding inspections into EV battery health. But a typical vehicle check is not the same as a state-of-health test of the batteries by a specialist. Comparisons of diagnostic accuracy, prices for certification, and report formats and dealer partnerships are among the factors to consider in competitor research. The research should be based on actual market share and competitor pricing (as established publicly) therefore making an assumption about an existing gap in the market without proof of evidence is not appropriate.</w:t>
      </w:r>
    </w:p>
    <w:p w:rsidR="0043745F" w:rsidRDefault="0043745F" w:rsidP="00DB312F">
      <w:pPr>
        <w:pStyle w:val="Heading2"/>
        <w:jc w:val="both"/>
      </w:pPr>
      <w:bookmarkStart w:id="18" w:name="_Toc242421409"/>
      <w:r>
        <w:t>4. Porter’s Five Forces</w:t>
      </w:r>
      <w:bookmarkEnd w:id="18"/>
    </w:p>
    <w:p w:rsidR="0043745F" w:rsidRDefault="0043745F" w:rsidP="00DB312F">
      <w:pPr>
        <w:jc w:val="both"/>
      </w:pPr>
      <w:r>
        <w:t xml:space="preserve">Competitive rivalry, new entrants, supplier power, buyer power and substitutes (Porter, 2008) will be examined using Porter's Five Forces. Ultimately, entry barriers may be created due to the use of technical expertise and specialist diagnostic equipment, while using third party testing suppliers might mean supplier bargaining power. If customers don't think the price is worth the certification, they might turn down the offer, and whenever they go to a dealership, they might get a battery examination done on their own. So, </w:t>
      </w:r>
      <w:proofErr w:type="spellStart"/>
      <w:r>
        <w:t>PakWheels</w:t>
      </w:r>
      <w:proofErr w:type="spellEnd"/>
      <w:r>
        <w:t xml:space="preserve"> should look at what the customers want and what the competitors offer before they decide on the fee and predict the income from subscription.</w:t>
      </w:r>
    </w:p>
    <w:p w:rsidR="0043745F" w:rsidRDefault="0043745F" w:rsidP="00DB312F">
      <w:pPr>
        <w:pStyle w:val="Heading2"/>
        <w:jc w:val="both"/>
      </w:pPr>
      <w:bookmarkStart w:id="19" w:name="_Toc242421410"/>
      <w:r>
        <w:t xml:space="preserve">5. </w:t>
      </w:r>
      <w:proofErr w:type="spellStart"/>
      <w:r>
        <w:t>Ansoff</w:t>
      </w:r>
      <w:proofErr w:type="spellEnd"/>
      <w:r>
        <w:t xml:space="preserve"> Matrix</w:t>
      </w:r>
      <w:bookmarkEnd w:id="19"/>
    </w:p>
    <w:p w:rsidR="0043745F" w:rsidRDefault="0043745F" w:rsidP="00DB312F">
      <w:pPr>
        <w:jc w:val="both"/>
      </w:pPr>
      <w:r>
        <w:t xml:space="preserve">The </w:t>
      </w:r>
      <w:proofErr w:type="spellStart"/>
      <w:r>
        <w:t>Ansoff</w:t>
      </w:r>
      <w:proofErr w:type="spellEnd"/>
      <w:r>
        <w:t xml:space="preserve"> Matrix will provide four growth options (</w:t>
      </w:r>
      <w:proofErr w:type="spellStart"/>
      <w:r>
        <w:t>Ansoff</w:t>
      </w:r>
      <w:proofErr w:type="spellEnd"/>
      <w:r>
        <w:t xml:space="preserve">, 1957). Riding a battery inspection would be encouraged by market penetration for existing </w:t>
      </w:r>
      <w:proofErr w:type="spellStart"/>
      <w:r>
        <w:t>PakWheels</w:t>
      </w:r>
      <w:proofErr w:type="spellEnd"/>
      <w:r>
        <w:t xml:space="preserve"> riders. Digital battery records and dealer subscriptions may be added to the product development. Market development may involve offering services beyond the pilot sites. One of the best examples of diversification is battery reuse and recycling partnerships, but there are extra technical and regulatory risks in reusing and recycling batteries.</w:t>
      </w:r>
    </w:p>
    <w:p w:rsidR="0043745F" w:rsidRDefault="0043745F" w:rsidP="00DB312F">
      <w:pPr>
        <w:jc w:val="both"/>
      </w:pPr>
      <w:r>
        <w:t xml:space="preserve">The government's policy target of 2,213,015 new energy vehicles for 2025–30 serves as an indicative planning target, rather than indicative sales or an addressable market for </w:t>
      </w:r>
      <w:proofErr w:type="spellStart"/>
      <w:r>
        <w:t>PakWheels</w:t>
      </w:r>
      <w:proofErr w:type="spellEnd"/>
      <w:r>
        <w:t xml:space="preserve"> (</w:t>
      </w:r>
      <w:r>
        <w:t xml:space="preserve">Government of Pakistan, 2025). </w:t>
      </w:r>
      <w:r>
        <w:t xml:space="preserve"> Commercial validation should thus be carried out using these 5 models with clear revenue/cost/break even situations.</w:t>
      </w:r>
    </w:p>
    <w:p w:rsidR="005613CD" w:rsidRPr="005613CD" w:rsidRDefault="00B50C53" w:rsidP="00DB312F">
      <w:pPr>
        <w:pStyle w:val="Heading2"/>
        <w:jc w:val="both"/>
      </w:pPr>
      <w:bookmarkStart w:id="20" w:name="_Toc242421411"/>
      <w:r>
        <w:t>12</w:t>
      </w:r>
      <w:r w:rsidR="005613CD" w:rsidRPr="005613CD">
        <w:t>.0 Key Risks</w:t>
      </w:r>
      <w:bookmarkEnd w:id="20"/>
    </w:p>
    <w:p w:rsidR="005613CD" w:rsidRPr="005613CD" w:rsidRDefault="005613CD" w:rsidP="00DB312F">
      <w:pPr>
        <w:jc w:val="both"/>
      </w:pPr>
      <w:r w:rsidRPr="005613CD">
        <w:t>The first risk is that Pakistan's EV adoption may develop more slowly than government targets. The NEV Policy itself acknowledges that the earlier 2019 EV policy did not meet its five-year targets (Ministry of Industries and Production, 2025). Consequently, the proposal should avoid assuming that policy targets will automatically translate into consumer demand.</w:t>
      </w:r>
    </w:p>
    <w:p w:rsidR="005613CD" w:rsidRPr="005613CD" w:rsidRDefault="005613CD" w:rsidP="00DB312F">
      <w:pPr>
        <w:jc w:val="both"/>
      </w:pPr>
      <w:r w:rsidRPr="005613CD">
        <w:t xml:space="preserve">The second risk is the absence of </w:t>
      </w:r>
      <w:proofErr w:type="spellStart"/>
      <w:r w:rsidRPr="005613CD">
        <w:t>standardised</w:t>
      </w:r>
      <w:proofErr w:type="spellEnd"/>
      <w:r w:rsidRPr="005613CD">
        <w:t xml:space="preserve"> battery diagnostic procedures. </w:t>
      </w:r>
      <w:proofErr w:type="spellStart"/>
      <w:r w:rsidRPr="005613CD">
        <w:t>PakWheels</w:t>
      </w:r>
      <w:proofErr w:type="spellEnd"/>
      <w:r w:rsidRPr="005613CD">
        <w:t xml:space="preserve"> would need technical partners and quality-control standards to ensure that certificates are trusted.</w:t>
      </w:r>
    </w:p>
    <w:p w:rsidR="005613CD" w:rsidRPr="005613CD" w:rsidRDefault="005613CD" w:rsidP="00DB312F">
      <w:pPr>
        <w:jc w:val="both"/>
      </w:pPr>
      <w:r w:rsidRPr="005613CD">
        <w:t>The third risk is liability associated with inaccurate battery assessments. Clear testing standards, disclaimers, professional accreditation and appropriate insurance would therefore be required.</w:t>
      </w:r>
    </w:p>
    <w:p w:rsidR="005613CD" w:rsidRDefault="005613CD" w:rsidP="00DB312F">
      <w:pPr>
        <w:jc w:val="both"/>
      </w:pPr>
      <w:r w:rsidRPr="005613CD">
        <w:t>The fourth risk is that second-life battery economics may remain weak. The business should therefore treat second-life applications as a later-stage opportunity rather than the initial revenue source.</w:t>
      </w:r>
    </w:p>
    <w:p w:rsidR="005613CD" w:rsidRPr="005613CD" w:rsidRDefault="00B50C53" w:rsidP="00DB312F">
      <w:pPr>
        <w:pStyle w:val="Heading1"/>
        <w:jc w:val="both"/>
      </w:pPr>
      <w:bookmarkStart w:id="21" w:name="_Toc242421412"/>
      <w:r>
        <w:t>13</w:t>
      </w:r>
      <w:r w:rsidR="005613CD" w:rsidRPr="005613CD">
        <w:t>.0 Research Timeline</w:t>
      </w:r>
      <w:bookmarkEnd w:id="21"/>
    </w:p>
    <w:tbl>
      <w:tblPr>
        <w:tblStyle w:val="TableGrid"/>
        <w:tblW w:w="10250" w:type="dxa"/>
        <w:tblLook w:val="04A0" w:firstRow="1" w:lastRow="0" w:firstColumn="1" w:lastColumn="0" w:noHBand="0" w:noVBand="1"/>
      </w:tblPr>
      <w:tblGrid>
        <w:gridCol w:w="2957"/>
        <w:gridCol w:w="1141"/>
        <w:gridCol w:w="994"/>
        <w:gridCol w:w="770"/>
        <w:gridCol w:w="824"/>
        <w:gridCol w:w="824"/>
        <w:gridCol w:w="861"/>
        <w:gridCol w:w="861"/>
        <w:gridCol w:w="1018"/>
      </w:tblGrid>
      <w:tr w:rsidR="005613CD" w:rsidRPr="005613CD" w:rsidTr="005613CD">
        <w:trPr>
          <w:trHeight w:val="825"/>
        </w:trPr>
        <w:tc>
          <w:tcPr>
            <w:tcW w:w="2957" w:type="dxa"/>
            <w:hideMark/>
          </w:tcPr>
          <w:p w:rsidR="005613CD" w:rsidRPr="005613CD" w:rsidRDefault="005613CD" w:rsidP="00DB312F">
            <w:pPr>
              <w:jc w:val="both"/>
              <w:rPr>
                <w:b/>
                <w:bCs/>
                <w:sz w:val="18"/>
                <w:szCs w:val="18"/>
              </w:rPr>
            </w:pPr>
            <w:r w:rsidRPr="005613CD">
              <w:rPr>
                <w:b/>
                <w:bCs/>
                <w:sz w:val="18"/>
                <w:szCs w:val="18"/>
              </w:rPr>
              <w:t>Activity</w:t>
            </w:r>
          </w:p>
        </w:tc>
        <w:tc>
          <w:tcPr>
            <w:tcW w:w="1141" w:type="dxa"/>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1–2</w:t>
            </w:r>
          </w:p>
        </w:tc>
        <w:tc>
          <w:tcPr>
            <w:tcW w:w="994" w:type="dxa"/>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3–4</w:t>
            </w:r>
          </w:p>
        </w:tc>
        <w:tc>
          <w:tcPr>
            <w:tcW w:w="770" w:type="dxa"/>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5–6</w:t>
            </w:r>
          </w:p>
        </w:tc>
        <w:tc>
          <w:tcPr>
            <w:tcW w:w="0" w:type="auto"/>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7–8</w:t>
            </w:r>
          </w:p>
        </w:tc>
        <w:tc>
          <w:tcPr>
            <w:tcW w:w="0" w:type="auto"/>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9–10</w:t>
            </w:r>
          </w:p>
        </w:tc>
        <w:tc>
          <w:tcPr>
            <w:tcW w:w="0" w:type="auto"/>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11–12</w:t>
            </w:r>
          </w:p>
        </w:tc>
        <w:tc>
          <w:tcPr>
            <w:tcW w:w="0" w:type="auto"/>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13–14</w:t>
            </w:r>
          </w:p>
        </w:tc>
        <w:tc>
          <w:tcPr>
            <w:tcW w:w="1018" w:type="dxa"/>
            <w:hideMark/>
          </w:tcPr>
          <w:p w:rsidR="005613CD" w:rsidRDefault="005613CD" w:rsidP="00DB312F">
            <w:pPr>
              <w:jc w:val="both"/>
              <w:rPr>
                <w:b/>
                <w:bCs/>
                <w:sz w:val="18"/>
                <w:szCs w:val="18"/>
              </w:rPr>
            </w:pPr>
            <w:r w:rsidRPr="005613CD">
              <w:rPr>
                <w:b/>
                <w:bCs/>
                <w:sz w:val="18"/>
                <w:szCs w:val="18"/>
              </w:rPr>
              <w:t>W</w:t>
            </w:r>
            <w:r>
              <w:rPr>
                <w:b/>
                <w:bCs/>
                <w:sz w:val="18"/>
                <w:szCs w:val="18"/>
              </w:rPr>
              <w:t>eek</w:t>
            </w:r>
          </w:p>
          <w:p w:rsidR="005613CD" w:rsidRPr="005613CD" w:rsidRDefault="005613CD" w:rsidP="00DB312F">
            <w:pPr>
              <w:jc w:val="both"/>
              <w:rPr>
                <w:b/>
                <w:bCs/>
                <w:sz w:val="18"/>
                <w:szCs w:val="18"/>
              </w:rPr>
            </w:pPr>
            <w:r w:rsidRPr="005613CD">
              <w:rPr>
                <w:b/>
                <w:bCs/>
                <w:sz w:val="18"/>
                <w:szCs w:val="18"/>
              </w:rPr>
              <w:t>15–16</w:t>
            </w: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Topic refinement and proposal planning</w:t>
            </w:r>
          </w:p>
        </w:tc>
        <w:tc>
          <w:tcPr>
            <w:tcW w:w="1141" w:type="dxa"/>
            <w:shd w:val="clear" w:color="auto" w:fill="ED7D31" w:themeFill="accent2"/>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Background research and literature review</w:t>
            </w:r>
          </w:p>
        </w:tc>
        <w:tc>
          <w:tcPr>
            <w:tcW w:w="1141" w:type="dxa"/>
            <w:shd w:val="clear" w:color="auto" w:fill="ED7D31" w:themeFill="accent2"/>
            <w:hideMark/>
          </w:tcPr>
          <w:p w:rsidR="005613CD" w:rsidRPr="005613CD" w:rsidRDefault="005613CD" w:rsidP="00DB312F">
            <w:pPr>
              <w:jc w:val="both"/>
              <w:rPr>
                <w:sz w:val="18"/>
                <w:szCs w:val="18"/>
              </w:rPr>
            </w:pPr>
          </w:p>
        </w:tc>
        <w:tc>
          <w:tcPr>
            <w:tcW w:w="994" w:type="dxa"/>
            <w:shd w:val="clear" w:color="auto" w:fill="ED7D31" w:themeFill="accent2"/>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10"/>
        </w:trPr>
        <w:tc>
          <w:tcPr>
            <w:tcW w:w="2957" w:type="dxa"/>
            <w:hideMark/>
          </w:tcPr>
          <w:p w:rsidR="005613CD" w:rsidRPr="005613CD" w:rsidRDefault="005613CD" w:rsidP="00DB312F">
            <w:pPr>
              <w:jc w:val="both"/>
              <w:rPr>
                <w:sz w:val="18"/>
                <w:szCs w:val="18"/>
              </w:rPr>
            </w:pPr>
            <w:r w:rsidRPr="005613CD">
              <w:rPr>
                <w:sz w:val="18"/>
                <w:szCs w:val="18"/>
              </w:rPr>
              <w:t>Pakistan EV market and policy research</w:t>
            </w:r>
          </w:p>
        </w:tc>
        <w:tc>
          <w:tcPr>
            <w:tcW w:w="1141" w:type="dxa"/>
            <w:hideMark/>
          </w:tcPr>
          <w:p w:rsidR="005613CD" w:rsidRPr="005613CD" w:rsidRDefault="005613CD" w:rsidP="00DB312F">
            <w:pPr>
              <w:jc w:val="both"/>
              <w:rPr>
                <w:sz w:val="18"/>
                <w:szCs w:val="18"/>
              </w:rPr>
            </w:pPr>
          </w:p>
        </w:tc>
        <w:tc>
          <w:tcPr>
            <w:tcW w:w="994" w:type="dxa"/>
            <w:shd w:val="clear" w:color="auto" w:fill="ED7D31" w:themeFill="accent2"/>
            <w:hideMark/>
          </w:tcPr>
          <w:p w:rsidR="005613CD" w:rsidRPr="005613CD" w:rsidRDefault="005613CD" w:rsidP="00DB312F">
            <w:pPr>
              <w:jc w:val="both"/>
              <w:rPr>
                <w:sz w:val="18"/>
                <w:szCs w:val="18"/>
              </w:rPr>
            </w:pPr>
          </w:p>
        </w:tc>
        <w:tc>
          <w:tcPr>
            <w:tcW w:w="770" w:type="dxa"/>
            <w:shd w:val="clear" w:color="auto" w:fill="ED7D31" w:themeFill="accent2"/>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Competitor and industry analysis</w:t>
            </w:r>
          </w:p>
        </w:tc>
        <w:tc>
          <w:tcPr>
            <w:tcW w:w="1141" w:type="dxa"/>
            <w:hideMark/>
          </w:tcPr>
          <w:p w:rsidR="005613CD" w:rsidRPr="005613CD" w:rsidRDefault="005613CD" w:rsidP="00DB312F">
            <w:pPr>
              <w:jc w:val="both"/>
              <w:rPr>
                <w:sz w:val="18"/>
                <w:szCs w:val="18"/>
              </w:rPr>
            </w:pPr>
          </w:p>
        </w:tc>
        <w:tc>
          <w:tcPr>
            <w:tcW w:w="994" w:type="dxa"/>
            <w:shd w:val="clear" w:color="auto" w:fill="ED7D31" w:themeFill="accent2"/>
            <w:hideMark/>
          </w:tcPr>
          <w:p w:rsidR="005613CD" w:rsidRPr="005613CD" w:rsidRDefault="005613CD" w:rsidP="00DB312F">
            <w:pPr>
              <w:jc w:val="both"/>
              <w:rPr>
                <w:sz w:val="18"/>
                <w:szCs w:val="18"/>
              </w:rPr>
            </w:pPr>
          </w:p>
        </w:tc>
        <w:tc>
          <w:tcPr>
            <w:tcW w:w="770" w:type="dxa"/>
            <w:shd w:val="clear" w:color="auto" w:fill="ED7D31" w:themeFill="accent2"/>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Research methodology design</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shd w:val="clear" w:color="auto" w:fill="ED7D31" w:themeFill="accent2"/>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405"/>
        </w:trPr>
        <w:tc>
          <w:tcPr>
            <w:tcW w:w="2957" w:type="dxa"/>
            <w:hideMark/>
          </w:tcPr>
          <w:p w:rsidR="005613CD" w:rsidRPr="005613CD" w:rsidRDefault="00B557F2" w:rsidP="00DB312F">
            <w:pPr>
              <w:jc w:val="both"/>
              <w:rPr>
                <w:sz w:val="18"/>
                <w:szCs w:val="18"/>
              </w:rPr>
            </w:pPr>
            <w:r>
              <w:rPr>
                <w:sz w:val="18"/>
                <w:szCs w:val="18"/>
              </w:rPr>
              <w:t>Secondar</w:t>
            </w:r>
            <w:r w:rsidR="005613CD" w:rsidRPr="005613CD">
              <w:rPr>
                <w:sz w:val="18"/>
                <w:szCs w:val="18"/>
              </w:rPr>
              <w:t>y data collection</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405"/>
        </w:trPr>
        <w:tc>
          <w:tcPr>
            <w:tcW w:w="2957" w:type="dxa"/>
            <w:hideMark/>
          </w:tcPr>
          <w:p w:rsidR="005613CD" w:rsidRPr="005613CD" w:rsidRDefault="005613CD" w:rsidP="00DB312F">
            <w:pPr>
              <w:jc w:val="both"/>
              <w:rPr>
                <w:sz w:val="18"/>
                <w:szCs w:val="18"/>
              </w:rPr>
            </w:pPr>
            <w:r w:rsidRPr="005613CD">
              <w:rPr>
                <w:sz w:val="18"/>
                <w:szCs w:val="18"/>
              </w:rPr>
              <w:t>Data analysis</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PESTEL, SWOT and VRIO analysis</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Business model development</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Financial feasibility and scenario analysis</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1230"/>
        </w:trPr>
        <w:tc>
          <w:tcPr>
            <w:tcW w:w="2957" w:type="dxa"/>
            <w:hideMark/>
          </w:tcPr>
          <w:p w:rsidR="005613CD" w:rsidRPr="005613CD" w:rsidRDefault="005613CD" w:rsidP="00DB312F">
            <w:pPr>
              <w:jc w:val="both"/>
              <w:rPr>
                <w:sz w:val="18"/>
                <w:szCs w:val="18"/>
              </w:rPr>
            </w:pPr>
            <w:r w:rsidRPr="005613CD">
              <w:rPr>
                <w:sz w:val="18"/>
                <w:szCs w:val="18"/>
              </w:rPr>
              <w:t>Risk and implementation analysis</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1018" w:type="dxa"/>
            <w:hideMark/>
          </w:tcPr>
          <w:p w:rsidR="005613CD" w:rsidRPr="005613CD" w:rsidRDefault="005613CD" w:rsidP="00DB312F">
            <w:pPr>
              <w:jc w:val="both"/>
              <w:rPr>
                <w:sz w:val="18"/>
                <w:szCs w:val="18"/>
              </w:rPr>
            </w:pPr>
          </w:p>
        </w:tc>
      </w:tr>
      <w:tr w:rsidR="005613CD" w:rsidRPr="005613CD" w:rsidTr="005613CD">
        <w:trPr>
          <w:trHeight w:val="405"/>
        </w:trPr>
        <w:tc>
          <w:tcPr>
            <w:tcW w:w="2957" w:type="dxa"/>
            <w:hideMark/>
          </w:tcPr>
          <w:p w:rsidR="005613CD" w:rsidRPr="005613CD" w:rsidRDefault="005613CD" w:rsidP="00DB312F">
            <w:pPr>
              <w:jc w:val="both"/>
              <w:rPr>
                <w:sz w:val="18"/>
                <w:szCs w:val="18"/>
              </w:rPr>
            </w:pPr>
            <w:r w:rsidRPr="005613CD">
              <w:rPr>
                <w:sz w:val="18"/>
                <w:szCs w:val="18"/>
              </w:rPr>
              <w:t>Proposal drafting</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shd w:val="clear" w:color="auto" w:fill="ED7D31" w:themeFill="accent2"/>
            <w:hideMark/>
          </w:tcPr>
          <w:p w:rsidR="005613CD" w:rsidRPr="005613CD" w:rsidRDefault="005613CD" w:rsidP="00DB312F">
            <w:pPr>
              <w:jc w:val="both"/>
              <w:rPr>
                <w:sz w:val="18"/>
                <w:szCs w:val="18"/>
              </w:rPr>
            </w:pPr>
          </w:p>
        </w:tc>
        <w:tc>
          <w:tcPr>
            <w:tcW w:w="1018" w:type="dxa"/>
            <w:shd w:val="clear" w:color="auto" w:fill="ED7D31" w:themeFill="accent2"/>
            <w:hideMark/>
          </w:tcPr>
          <w:p w:rsidR="005613CD" w:rsidRPr="005613CD" w:rsidRDefault="005613CD" w:rsidP="00DB312F">
            <w:pPr>
              <w:jc w:val="both"/>
              <w:rPr>
                <w:sz w:val="18"/>
                <w:szCs w:val="18"/>
              </w:rPr>
            </w:pPr>
          </w:p>
        </w:tc>
      </w:tr>
      <w:tr w:rsidR="005613CD" w:rsidRPr="005613CD" w:rsidTr="005613CD">
        <w:trPr>
          <w:trHeight w:val="825"/>
        </w:trPr>
        <w:tc>
          <w:tcPr>
            <w:tcW w:w="2957" w:type="dxa"/>
            <w:hideMark/>
          </w:tcPr>
          <w:p w:rsidR="005613CD" w:rsidRPr="005613CD" w:rsidRDefault="005613CD" w:rsidP="00DB312F">
            <w:pPr>
              <w:jc w:val="both"/>
              <w:rPr>
                <w:sz w:val="18"/>
                <w:szCs w:val="18"/>
              </w:rPr>
            </w:pPr>
            <w:r w:rsidRPr="005613CD">
              <w:rPr>
                <w:sz w:val="18"/>
                <w:szCs w:val="18"/>
              </w:rPr>
              <w:t>Critical review and amendments</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shd w:val="clear" w:color="auto" w:fill="ED7D31" w:themeFill="accent2"/>
            <w:hideMark/>
          </w:tcPr>
          <w:p w:rsidR="005613CD" w:rsidRPr="005613CD" w:rsidRDefault="005613CD" w:rsidP="00DB312F">
            <w:pPr>
              <w:jc w:val="both"/>
              <w:rPr>
                <w:sz w:val="18"/>
                <w:szCs w:val="18"/>
              </w:rPr>
            </w:pPr>
          </w:p>
        </w:tc>
      </w:tr>
      <w:tr w:rsidR="005613CD" w:rsidRPr="005613CD" w:rsidTr="005613CD">
        <w:trPr>
          <w:trHeight w:val="305"/>
        </w:trPr>
        <w:tc>
          <w:tcPr>
            <w:tcW w:w="2957" w:type="dxa"/>
            <w:hideMark/>
          </w:tcPr>
          <w:p w:rsidR="005613CD" w:rsidRPr="005613CD" w:rsidRDefault="005613CD" w:rsidP="00DB312F">
            <w:pPr>
              <w:jc w:val="both"/>
              <w:rPr>
                <w:sz w:val="18"/>
                <w:szCs w:val="18"/>
              </w:rPr>
            </w:pPr>
            <w:r w:rsidRPr="005613CD">
              <w:rPr>
                <w:sz w:val="18"/>
                <w:szCs w:val="18"/>
              </w:rPr>
              <w:t>Final proofreading and submission</w:t>
            </w:r>
          </w:p>
        </w:tc>
        <w:tc>
          <w:tcPr>
            <w:tcW w:w="1141" w:type="dxa"/>
            <w:hideMark/>
          </w:tcPr>
          <w:p w:rsidR="005613CD" w:rsidRPr="005613CD" w:rsidRDefault="005613CD" w:rsidP="00DB312F">
            <w:pPr>
              <w:jc w:val="both"/>
              <w:rPr>
                <w:sz w:val="18"/>
                <w:szCs w:val="18"/>
              </w:rPr>
            </w:pPr>
          </w:p>
        </w:tc>
        <w:tc>
          <w:tcPr>
            <w:tcW w:w="994" w:type="dxa"/>
            <w:hideMark/>
          </w:tcPr>
          <w:p w:rsidR="005613CD" w:rsidRPr="005613CD" w:rsidRDefault="005613CD" w:rsidP="00DB312F">
            <w:pPr>
              <w:jc w:val="both"/>
              <w:rPr>
                <w:sz w:val="18"/>
                <w:szCs w:val="18"/>
              </w:rPr>
            </w:pPr>
          </w:p>
        </w:tc>
        <w:tc>
          <w:tcPr>
            <w:tcW w:w="770" w:type="dxa"/>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0" w:type="auto"/>
            <w:hideMark/>
          </w:tcPr>
          <w:p w:rsidR="005613CD" w:rsidRPr="005613CD" w:rsidRDefault="005613CD" w:rsidP="00DB312F">
            <w:pPr>
              <w:jc w:val="both"/>
              <w:rPr>
                <w:sz w:val="18"/>
                <w:szCs w:val="18"/>
              </w:rPr>
            </w:pPr>
          </w:p>
        </w:tc>
        <w:tc>
          <w:tcPr>
            <w:tcW w:w="1018" w:type="dxa"/>
            <w:shd w:val="clear" w:color="auto" w:fill="ED7D31" w:themeFill="accent2"/>
            <w:hideMark/>
          </w:tcPr>
          <w:p w:rsidR="005613CD" w:rsidRPr="005613CD" w:rsidRDefault="005613CD" w:rsidP="00DB312F">
            <w:pPr>
              <w:jc w:val="both"/>
              <w:rPr>
                <w:sz w:val="18"/>
                <w:szCs w:val="18"/>
              </w:rPr>
            </w:pPr>
          </w:p>
        </w:tc>
      </w:tr>
    </w:tbl>
    <w:p w:rsidR="005613CD" w:rsidRPr="005613CD" w:rsidRDefault="005613CD" w:rsidP="00DB312F">
      <w:pPr>
        <w:jc w:val="both"/>
      </w:pPr>
    </w:p>
    <w:p w:rsidR="005613CD" w:rsidRPr="005613CD" w:rsidRDefault="00B50C53" w:rsidP="00DB312F">
      <w:pPr>
        <w:pStyle w:val="Heading1"/>
        <w:jc w:val="both"/>
      </w:pPr>
      <w:bookmarkStart w:id="22" w:name="_Toc242421413"/>
      <w:r>
        <w:t>14</w:t>
      </w:r>
      <w:r w:rsidR="005613CD" w:rsidRPr="005613CD">
        <w:t>.0 Conclusion</w:t>
      </w:r>
      <w:bookmarkEnd w:id="22"/>
    </w:p>
    <w:p w:rsidR="00DB312F" w:rsidRDefault="00DB312F" w:rsidP="00DB312F">
      <w:pPr>
        <w:jc w:val="both"/>
      </w:pPr>
      <w:r>
        <w:t xml:space="preserve">This </w:t>
      </w:r>
      <w:proofErr w:type="spellStart"/>
      <w:r>
        <w:t>reseach</w:t>
      </w:r>
      <w:proofErr w:type="spellEnd"/>
      <w:r>
        <w:t xml:space="preserve"> </w:t>
      </w:r>
      <w:r w:rsidRPr="00DB312F">
        <w:t xml:space="preserve">aims to evaluate the strategic and commercial feasibility of developing an integrated EV battery lifecycle ecosystem as a business-growth opportunity for </w:t>
      </w:r>
      <w:proofErr w:type="spellStart"/>
      <w:r w:rsidRPr="00DB312F">
        <w:t>PakWheels</w:t>
      </w:r>
      <w:proofErr w:type="spellEnd"/>
      <w:r w:rsidRPr="00DB312F">
        <w:t xml:space="preserve"> in Pakistan. The proposed ecosystem will include battery health certification, digital battery passports, residual value assessment and second life partnerships, enhancing transparency and enabling informed EV transactions. Secondary research and thematic analysis will be used for analysis of market conditions, competitor offerings, potential revenue streams, operational costs and financial viability. PESTLE Analysis, SWOT Analysis, Competitor Analysis, Porter's 5 Forces and </w:t>
      </w:r>
      <w:proofErr w:type="spellStart"/>
      <w:r w:rsidRPr="00DB312F">
        <w:t>Ansoff</w:t>
      </w:r>
      <w:proofErr w:type="spellEnd"/>
      <w:r w:rsidRPr="00DB312F">
        <w:t xml:space="preserve"> Matrix will be used to aid a systematic assessment of the opportunity. Various financial scenarios will also be evaluated for potential profitability and break-even evaluations. Finally, the study will supply the evidence-based recommendations for a realistic business model and phased implementation plan.</w:t>
      </w:r>
    </w:p>
    <w:p w:rsidR="005613CD" w:rsidRPr="005613CD" w:rsidRDefault="005613CD" w:rsidP="00B50C53">
      <w:pPr>
        <w:pStyle w:val="Heading1"/>
      </w:pPr>
      <w:bookmarkStart w:id="23" w:name="_Toc242421414"/>
      <w:r w:rsidRPr="005613CD">
        <w:t>References</w:t>
      </w:r>
      <w:bookmarkEnd w:id="23"/>
    </w:p>
    <w:p w:rsidR="00B50C53" w:rsidRPr="00B50C53" w:rsidRDefault="00B50C53" w:rsidP="00B50C53">
      <w:r w:rsidRPr="00B50C53">
        <w:t xml:space="preserve">Ahmadi, L., Young, S.B., Fowler, M., Fraser, R.A. and Gaffney, B. (2017) 'Techno-economic feasibility of battery second-life applications in electric vehicles', </w:t>
      </w:r>
      <w:r w:rsidRPr="00B50C53">
        <w:rPr>
          <w:i/>
          <w:iCs/>
        </w:rPr>
        <w:t>IEEE Transactions on Smart Grid</w:t>
      </w:r>
      <w:r w:rsidRPr="00B50C53">
        <w:t>, 8(3), pp. 1010–1021.</w:t>
      </w:r>
    </w:p>
    <w:p w:rsidR="00B50C53" w:rsidRPr="00B50C53" w:rsidRDefault="00B50C53" w:rsidP="00B50C53">
      <w:proofErr w:type="spellStart"/>
      <w:r w:rsidRPr="00B50C53">
        <w:t>Akerlof</w:t>
      </w:r>
      <w:proofErr w:type="spellEnd"/>
      <w:r w:rsidRPr="00B50C53">
        <w:t xml:space="preserve">, G.A. (1970) 'The market for "lemons": Quality uncertainty and the market mechanism', </w:t>
      </w:r>
      <w:r w:rsidRPr="00B50C53">
        <w:rPr>
          <w:i/>
          <w:iCs/>
        </w:rPr>
        <w:t>The Quarterly Journal of Economics</w:t>
      </w:r>
      <w:r w:rsidRPr="00B50C53">
        <w:t>, 84(3), pp. 488–500.</w:t>
      </w:r>
    </w:p>
    <w:p w:rsidR="00B50C53" w:rsidRPr="00B50C53" w:rsidRDefault="00B50C53" w:rsidP="00B50C53">
      <w:proofErr w:type="spellStart"/>
      <w:r w:rsidRPr="00B50C53">
        <w:t>Barré</w:t>
      </w:r>
      <w:proofErr w:type="spellEnd"/>
      <w:r w:rsidRPr="00B50C53">
        <w:t xml:space="preserve">, A., </w:t>
      </w:r>
      <w:proofErr w:type="spellStart"/>
      <w:r w:rsidRPr="00B50C53">
        <w:t>Deguilhem</w:t>
      </w:r>
      <w:proofErr w:type="spellEnd"/>
      <w:r w:rsidRPr="00B50C53">
        <w:t xml:space="preserve">, B., </w:t>
      </w:r>
      <w:proofErr w:type="spellStart"/>
      <w:r w:rsidRPr="00B50C53">
        <w:t>Grolleau</w:t>
      </w:r>
      <w:proofErr w:type="spellEnd"/>
      <w:r w:rsidRPr="00B50C53">
        <w:t xml:space="preserve">, S., Gérard, M., </w:t>
      </w:r>
      <w:proofErr w:type="spellStart"/>
      <w:r w:rsidRPr="00B50C53">
        <w:t>Suard</w:t>
      </w:r>
      <w:proofErr w:type="spellEnd"/>
      <w:r w:rsidRPr="00B50C53">
        <w:t xml:space="preserve">, F. and </w:t>
      </w:r>
      <w:proofErr w:type="spellStart"/>
      <w:r w:rsidRPr="00B50C53">
        <w:t>Riu</w:t>
      </w:r>
      <w:proofErr w:type="spellEnd"/>
      <w:r w:rsidRPr="00B50C53">
        <w:t xml:space="preserve">, D. (2013) 'A review on lithium-ion battery ageing mechanisms and state of health estimation methods', </w:t>
      </w:r>
      <w:r w:rsidRPr="00B50C53">
        <w:rPr>
          <w:i/>
          <w:iCs/>
        </w:rPr>
        <w:t>Journal of Power Sources</w:t>
      </w:r>
      <w:r w:rsidRPr="00B50C53">
        <w:t>, 241, pp. 680–689.</w:t>
      </w:r>
    </w:p>
    <w:p w:rsidR="00B50C53" w:rsidRPr="00B50C53" w:rsidRDefault="00B50C53" w:rsidP="00B50C53">
      <w:proofErr w:type="spellStart"/>
      <w:r w:rsidRPr="00B50C53">
        <w:t>Bobba</w:t>
      </w:r>
      <w:proofErr w:type="spellEnd"/>
      <w:r w:rsidRPr="00B50C53">
        <w:t xml:space="preserve">, S., </w:t>
      </w:r>
      <w:proofErr w:type="spellStart"/>
      <w:r w:rsidRPr="00B50C53">
        <w:t>Podias</w:t>
      </w:r>
      <w:proofErr w:type="spellEnd"/>
      <w:r w:rsidRPr="00B50C53">
        <w:t xml:space="preserve">, C., Di </w:t>
      </w:r>
      <w:proofErr w:type="spellStart"/>
      <w:r w:rsidRPr="00B50C53">
        <w:t>Persio</w:t>
      </w:r>
      <w:proofErr w:type="spellEnd"/>
      <w:r w:rsidRPr="00B50C53">
        <w:t xml:space="preserve">, F., </w:t>
      </w:r>
      <w:proofErr w:type="spellStart"/>
      <w:r w:rsidRPr="00B50C53">
        <w:t>Messagie</w:t>
      </w:r>
      <w:proofErr w:type="spellEnd"/>
      <w:r w:rsidRPr="00B50C53">
        <w:t xml:space="preserve">, M., </w:t>
      </w:r>
      <w:proofErr w:type="spellStart"/>
      <w:r w:rsidRPr="00B50C53">
        <w:t>Tecchio</w:t>
      </w:r>
      <w:proofErr w:type="spellEnd"/>
      <w:r w:rsidRPr="00B50C53">
        <w:t xml:space="preserve">, P. and </w:t>
      </w:r>
      <w:proofErr w:type="spellStart"/>
      <w:r w:rsidRPr="00B50C53">
        <w:t>Mathieux</w:t>
      </w:r>
      <w:proofErr w:type="spellEnd"/>
      <w:r w:rsidRPr="00B50C53">
        <w:t xml:space="preserve">, F. (2018) </w:t>
      </w:r>
      <w:r w:rsidRPr="00B50C53">
        <w:rPr>
          <w:i/>
          <w:iCs/>
        </w:rPr>
        <w:t>Sustainability Assessment of Second-Life Application of Automotive Batteries (JRC Science for Policy Report)</w:t>
      </w:r>
      <w:r w:rsidRPr="00B50C53">
        <w:t>. Luxembourg: Publications Office of the European Union.</w:t>
      </w:r>
    </w:p>
    <w:p w:rsidR="00B50C53" w:rsidRPr="00B50C53" w:rsidRDefault="00B50C53" w:rsidP="00B50C53">
      <w:r w:rsidRPr="00B50C53">
        <w:t xml:space="preserve">Engineering Development Board (2022) </w:t>
      </w:r>
      <w:r w:rsidRPr="00B50C53">
        <w:rPr>
          <w:i/>
          <w:iCs/>
        </w:rPr>
        <w:t>Electric Vehicle Policy Implementation in Pakistan: Status and Targets</w:t>
      </w:r>
      <w:r w:rsidRPr="00B50C53">
        <w:t>. Islamabad: Ministry of Industries and Production, Government of Pakistan.</w:t>
      </w:r>
    </w:p>
    <w:p w:rsidR="00B50C53" w:rsidRPr="00B50C53" w:rsidRDefault="00B50C53" w:rsidP="00B50C53">
      <w:r w:rsidRPr="00B50C53">
        <w:t xml:space="preserve">European Commission (2026) </w:t>
      </w:r>
      <w:r w:rsidRPr="00B50C53">
        <w:rPr>
          <w:i/>
          <w:iCs/>
        </w:rPr>
        <w:t>Digital Product Passport – Batteries</w:t>
      </w:r>
      <w:r w:rsidRPr="00B50C53">
        <w:t>. European Commission.</w:t>
      </w:r>
    </w:p>
    <w:p w:rsidR="00B50C53" w:rsidRPr="00B50C53" w:rsidRDefault="00B50C53" w:rsidP="00B50C53">
      <w:r w:rsidRPr="00B50C53">
        <w:t xml:space="preserve">European Parliament (2023) </w:t>
      </w:r>
      <w:r w:rsidRPr="00B50C53">
        <w:rPr>
          <w:i/>
          <w:iCs/>
        </w:rPr>
        <w:t>Regulation (EU) 2023/1542 of the European Parliament and of the Council of 12 July 2023 concerning batteries and waste batteries</w:t>
      </w:r>
      <w:r w:rsidRPr="00B50C53">
        <w:t xml:space="preserve">. </w:t>
      </w:r>
      <w:r w:rsidRPr="00B50C53">
        <w:rPr>
          <w:i/>
          <w:iCs/>
        </w:rPr>
        <w:t>Official Journal of the European Union</w:t>
      </w:r>
      <w:r w:rsidRPr="00B50C53">
        <w:t>, L 191/1.</w:t>
      </w:r>
    </w:p>
    <w:p w:rsidR="00B50C53" w:rsidRPr="00B50C53" w:rsidRDefault="00B50C53" w:rsidP="00B50C53">
      <w:r w:rsidRPr="00B50C53">
        <w:t xml:space="preserve">Federal Board of Revenue (2021) </w:t>
      </w:r>
      <w:r w:rsidRPr="00B50C53">
        <w:rPr>
          <w:i/>
          <w:iCs/>
        </w:rPr>
        <w:t>Customs Duty and Tax Concessions under the Electric Vehicle Policy</w:t>
      </w:r>
      <w:r w:rsidRPr="00B50C53">
        <w:t>. Islamabad: Government of Pakistan.</w:t>
      </w:r>
    </w:p>
    <w:p w:rsidR="00B50C53" w:rsidRPr="00B50C53" w:rsidRDefault="00B50C53" w:rsidP="00B50C53">
      <w:r w:rsidRPr="00B50C53">
        <w:t xml:space="preserve">Government of Pakistan (2025a) </w:t>
      </w:r>
      <w:r w:rsidRPr="00B50C53">
        <w:rPr>
          <w:i/>
          <w:iCs/>
        </w:rPr>
        <w:t>National Electric Vehicle Policy 2025–30</w:t>
      </w:r>
      <w:r w:rsidRPr="00B50C53">
        <w:t>. Ministry of Industries and Production.</w:t>
      </w:r>
    </w:p>
    <w:p w:rsidR="00B50C53" w:rsidRPr="00B50C53" w:rsidRDefault="00B50C53" w:rsidP="00B50C53">
      <w:r w:rsidRPr="00B50C53">
        <w:t xml:space="preserve">Government of Pakistan (2025b) </w:t>
      </w:r>
      <w:r w:rsidRPr="00B50C53">
        <w:rPr>
          <w:i/>
          <w:iCs/>
        </w:rPr>
        <w:t>Federal Secretary Initiates Pakistan's First E-Balloting for Electric Vehicles under PAVE Scheme</w:t>
      </w:r>
      <w:r w:rsidRPr="00B50C53">
        <w:t>. Press Information Department.</w:t>
      </w:r>
    </w:p>
    <w:p w:rsidR="00B50C53" w:rsidRPr="00B50C53" w:rsidRDefault="00B50C53" w:rsidP="00B50C53">
      <w:r w:rsidRPr="00B50C53">
        <w:t xml:space="preserve">International Energy Agency (IEA) (2024) </w:t>
      </w:r>
      <w:r w:rsidRPr="00B50C53">
        <w:rPr>
          <w:i/>
          <w:iCs/>
        </w:rPr>
        <w:t>Global EV Outlook 2024: Moving towards low-emission mobility</w:t>
      </w:r>
      <w:r w:rsidRPr="00B50C53">
        <w:t xml:space="preserve">. Paris: IEA. Available at: </w:t>
      </w:r>
      <w:hyperlink r:id="rId6" w:history="1">
        <w:r w:rsidRPr="00B50C53">
          <w:rPr>
            <w:rStyle w:val="Hyperlink"/>
          </w:rPr>
          <w:t>https://www.iea.org/reports/global-ev-outlook-2024</w:t>
        </w:r>
      </w:hyperlink>
      <w:r w:rsidRPr="00B50C53">
        <w:t xml:space="preserve"> (Accessed: 26 September 2026).</w:t>
      </w:r>
    </w:p>
    <w:p w:rsidR="00B50C53" w:rsidRPr="00B50C53" w:rsidRDefault="00B50C53" w:rsidP="00B50C53">
      <w:r w:rsidRPr="00B50C53">
        <w:t xml:space="preserve">International Energy Agency (IEA) (2025) </w:t>
      </w:r>
      <w:r w:rsidRPr="00B50C53">
        <w:rPr>
          <w:i/>
          <w:iCs/>
        </w:rPr>
        <w:t>Global EV Outlook 2025</w:t>
      </w:r>
      <w:r w:rsidRPr="00B50C53">
        <w:t>. Paris: IEA.</w:t>
      </w:r>
    </w:p>
    <w:p w:rsidR="00B50C53" w:rsidRPr="00B50C53" w:rsidRDefault="00B50C53" w:rsidP="00B50C53">
      <w:r w:rsidRPr="00B50C53">
        <w:t xml:space="preserve">Ministry of Climate Change (2019) </w:t>
      </w:r>
      <w:r w:rsidRPr="00B50C53">
        <w:rPr>
          <w:i/>
          <w:iCs/>
        </w:rPr>
        <w:t>National Electric Vehicle Policy (NEVP) 2019–2030</w:t>
      </w:r>
      <w:r w:rsidRPr="00B50C53">
        <w:t>. Islamabad: Government of Pakistan.</w:t>
      </w:r>
    </w:p>
    <w:p w:rsidR="00B50C53" w:rsidRPr="00B50C53" w:rsidRDefault="00B50C53" w:rsidP="00B50C53">
      <w:r w:rsidRPr="00B50C53">
        <w:t xml:space="preserve">Ministry of Industries and Production (2025) </w:t>
      </w:r>
      <w:r w:rsidRPr="00B50C53">
        <w:rPr>
          <w:i/>
          <w:iCs/>
        </w:rPr>
        <w:t>New Energy Vehicles Policy 2025–30</w:t>
      </w:r>
      <w:r w:rsidRPr="00B50C53">
        <w:t>. Government of Pakistan.</w:t>
      </w:r>
    </w:p>
    <w:p w:rsidR="00B50C53" w:rsidRPr="00B50C53" w:rsidRDefault="00B50C53" w:rsidP="00B50C53">
      <w:proofErr w:type="spellStart"/>
      <w:r w:rsidRPr="00B50C53">
        <w:t>PakWheels</w:t>
      </w:r>
      <w:proofErr w:type="spellEnd"/>
      <w:r w:rsidRPr="00B50C53">
        <w:t xml:space="preserve"> (2023) </w:t>
      </w:r>
      <w:proofErr w:type="spellStart"/>
      <w:r w:rsidRPr="00B50C53">
        <w:rPr>
          <w:i/>
          <w:iCs/>
        </w:rPr>
        <w:t>PakWheels</w:t>
      </w:r>
      <w:proofErr w:type="spellEnd"/>
      <w:r w:rsidRPr="00B50C53">
        <w:rPr>
          <w:i/>
          <w:iCs/>
        </w:rPr>
        <w:t xml:space="preserve"> Inspection Service and Platform Statistics Report 2023</w:t>
      </w:r>
      <w:r w:rsidRPr="00B50C53">
        <w:t xml:space="preserve">. Lahore: </w:t>
      </w:r>
      <w:proofErr w:type="spellStart"/>
      <w:r w:rsidRPr="00B50C53">
        <w:t>PakWheels</w:t>
      </w:r>
      <w:proofErr w:type="spellEnd"/>
      <w:r w:rsidRPr="00B50C53">
        <w:t>.</w:t>
      </w:r>
    </w:p>
    <w:p w:rsidR="00B50C53" w:rsidRPr="00B50C53" w:rsidRDefault="00B50C53" w:rsidP="00B50C53">
      <w:proofErr w:type="spellStart"/>
      <w:r w:rsidRPr="00B50C53">
        <w:t>PakWheels</w:t>
      </w:r>
      <w:proofErr w:type="spellEnd"/>
      <w:r w:rsidRPr="00B50C53">
        <w:t xml:space="preserve"> (2023) </w:t>
      </w:r>
      <w:proofErr w:type="spellStart"/>
      <w:r w:rsidRPr="00B50C53">
        <w:rPr>
          <w:i/>
          <w:iCs/>
        </w:rPr>
        <w:t>PakWheels</w:t>
      </w:r>
      <w:proofErr w:type="spellEnd"/>
      <w:r w:rsidRPr="00B50C53">
        <w:rPr>
          <w:i/>
          <w:iCs/>
        </w:rPr>
        <w:t xml:space="preserve"> – 20 Years of Excellence, Service &amp; </w:t>
      </w:r>
      <w:proofErr w:type="spellStart"/>
      <w:r w:rsidRPr="00B50C53">
        <w:rPr>
          <w:i/>
          <w:iCs/>
        </w:rPr>
        <w:t>Gari</w:t>
      </w:r>
      <w:proofErr w:type="spellEnd"/>
      <w:r w:rsidRPr="00B50C53">
        <w:rPr>
          <w:i/>
          <w:iCs/>
        </w:rPr>
        <w:t xml:space="preserve"> Ki Deals</w:t>
      </w:r>
      <w:r w:rsidRPr="00B50C53">
        <w:t xml:space="preserve">. </w:t>
      </w:r>
      <w:proofErr w:type="spellStart"/>
      <w:r w:rsidRPr="00B50C53">
        <w:t>PakWheels</w:t>
      </w:r>
      <w:proofErr w:type="spellEnd"/>
      <w:r w:rsidRPr="00B50C53">
        <w:t>.</w:t>
      </w:r>
    </w:p>
    <w:p w:rsidR="00B50C53" w:rsidRPr="00B50C53" w:rsidRDefault="00B50C53" w:rsidP="00B50C53">
      <w:proofErr w:type="spellStart"/>
      <w:r w:rsidRPr="00B50C53">
        <w:t>PakWheels</w:t>
      </w:r>
      <w:proofErr w:type="spellEnd"/>
      <w:r w:rsidRPr="00B50C53">
        <w:t xml:space="preserve"> (2026a) </w:t>
      </w:r>
      <w:r w:rsidRPr="00B50C53">
        <w:rPr>
          <w:i/>
          <w:iCs/>
        </w:rPr>
        <w:t>About Us</w:t>
      </w:r>
      <w:r w:rsidRPr="00B50C53">
        <w:t xml:space="preserve">. </w:t>
      </w:r>
      <w:proofErr w:type="spellStart"/>
      <w:r w:rsidRPr="00B50C53">
        <w:t>PakWheels</w:t>
      </w:r>
      <w:proofErr w:type="spellEnd"/>
      <w:r w:rsidRPr="00B50C53">
        <w:t>.</w:t>
      </w:r>
    </w:p>
    <w:p w:rsidR="00936787" w:rsidRDefault="00DB312F"/>
    <w:sectPr w:rsidR="00936787" w:rsidSect="00B50C5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D53C7"/>
    <w:multiLevelType w:val="multilevel"/>
    <w:tmpl w:val="637AB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875375"/>
    <w:multiLevelType w:val="hybridMultilevel"/>
    <w:tmpl w:val="FB220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B20F64"/>
    <w:multiLevelType w:val="hybridMultilevel"/>
    <w:tmpl w:val="1E58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3CD"/>
    <w:rsid w:val="000348D9"/>
    <w:rsid w:val="00174A33"/>
    <w:rsid w:val="00410A1A"/>
    <w:rsid w:val="0043745F"/>
    <w:rsid w:val="005613CD"/>
    <w:rsid w:val="00644687"/>
    <w:rsid w:val="007C4EF4"/>
    <w:rsid w:val="00834185"/>
    <w:rsid w:val="009B0692"/>
    <w:rsid w:val="00B22B71"/>
    <w:rsid w:val="00B50C53"/>
    <w:rsid w:val="00B557F2"/>
    <w:rsid w:val="00DB3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39380"/>
  <w15:chartTrackingRefBased/>
  <w15:docId w15:val="{DA1F103B-DC5C-4503-A7C6-5A2586A16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185"/>
    <w:pPr>
      <w:spacing w:line="360" w:lineRule="auto"/>
    </w:pPr>
    <w:rPr>
      <w:rFonts w:ascii="Arial" w:hAnsi="Arial"/>
      <w:sz w:val="24"/>
    </w:rPr>
  </w:style>
  <w:style w:type="paragraph" w:styleId="Heading1">
    <w:name w:val="heading 1"/>
    <w:basedOn w:val="Normal"/>
    <w:next w:val="Normal"/>
    <w:link w:val="Heading1Char"/>
    <w:autoRedefine/>
    <w:uiPriority w:val="9"/>
    <w:qFormat/>
    <w:rsid w:val="00B50C5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834185"/>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C53"/>
    <w:rPr>
      <w:rFonts w:ascii="Arial" w:eastAsiaTheme="majorEastAsia" w:hAnsi="Arial" w:cstheme="majorBidi"/>
      <w:b/>
      <w:color w:val="2E74B5" w:themeColor="accent1" w:themeShade="BF"/>
      <w:sz w:val="28"/>
      <w:szCs w:val="32"/>
    </w:rPr>
  </w:style>
  <w:style w:type="character" w:customStyle="1" w:styleId="Heading2Char">
    <w:name w:val="Heading 2 Char"/>
    <w:basedOn w:val="DefaultParagraphFont"/>
    <w:link w:val="Heading2"/>
    <w:uiPriority w:val="9"/>
    <w:rsid w:val="00834185"/>
    <w:rPr>
      <w:rFonts w:ascii="Arial" w:eastAsiaTheme="majorEastAsia" w:hAnsi="Arial" w:cstheme="majorBidi"/>
      <w:b/>
      <w:color w:val="2E74B5" w:themeColor="accent1" w:themeShade="BF"/>
      <w:sz w:val="26"/>
      <w:szCs w:val="26"/>
    </w:rPr>
  </w:style>
  <w:style w:type="paragraph" w:styleId="ListParagraph">
    <w:name w:val="List Paragraph"/>
    <w:basedOn w:val="Normal"/>
    <w:uiPriority w:val="34"/>
    <w:qFormat/>
    <w:rsid w:val="005613CD"/>
    <w:pPr>
      <w:ind w:left="720"/>
      <w:contextualSpacing/>
    </w:pPr>
  </w:style>
  <w:style w:type="table" w:styleId="TableGrid">
    <w:name w:val="Table Grid"/>
    <w:basedOn w:val="TableNormal"/>
    <w:uiPriority w:val="39"/>
    <w:rsid w:val="005613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0C53"/>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B50C53"/>
    <w:pPr>
      <w:spacing w:after="100"/>
    </w:pPr>
  </w:style>
  <w:style w:type="paragraph" w:styleId="TOC2">
    <w:name w:val="toc 2"/>
    <w:basedOn w:val="Normal"/>
    <w:next w:val="Normal"/>
    <w:autoRedefine/>
    <w:uiPriority w:val="39"/>
    <w:unhideWhenUsed/>
    <w:rsid w:val="00B50C53"/>
    <w:pPr>
      <w:spacing w:after="100"/>
      <w:ind w:left="240"/>
    </w:pPr>
  </w:style>
  <w:style w:type="character" w:styleId="Hyperlink">
    <w:name w:val="Hyperlink"/>
    <w:basedOn w:val="DefaultParagraphFont"/>
    <w:uiPriority w:val="99"/>
    <w:unhideWhenUsed/>
    <w:rsid w:val="00B50C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777667">
      <w:bodyDiv w:val="1"/>
      <w:marLeft w:val="0"/>
      <w:marRight w:val="0"/>
      <w:marTop w:val="0"/>
      <w:marBottom w:val="0"/>
      <w:divBdr>
        <w:top w:val="none" w:sz="0" w:space="0" w:color="auto"/>
        <w:left w:val="none" w:sz="0" w:space="0" w:color="auto"/>
        <w:bottom w:val="none" w:sz="0" w:space="0" w:color="auto"/>
        <w:right w:val="none" w:sz="0" w:space="0" w:color="auto"/>
      </w:divBdr>
    </w:div>
    <w:div w:id="576331854">
      <w:bodyDiv w:val="1"/>
      <w:marLeft w:val="0"/>
      <w:marRight w:val="0"/>
      <w:marTop w:val="0"/>
      <w:marBottom w:val="0"/>
      <w:divBdr>
        <w:top w:val="none" w:sz="0" w:space="0" w:color="auto"/>
        <w:left w:val="none" w:sz="0" w:space="0" w:color="auto"/>
        <w:bottom w:val="none" w:sz="0" w:space="0" w:color="auto"/>
        <w:right w:val="none" w:sz="0" w:space="0" w:color="auto"/>
      </w:divBdr>
    </w:div>
    <w:div w:id="614142137">
      <w:bodyDiv w:val="1"/>
      <w:marLeft w:val="0"/>
      <w:marRight w:val="0"/>
      <w:marTop w:val="0"/>
      <w:marBottom w:val="0"/>
      <w:divBdr>
        <w:top w:val="none" w:sz="0" w:space="0" w:color="auto"/>
        <w:left w:val="none" w:sz="0" w:space="0" w:color="auto"/>
        <w:bottom w:val="none" w:sz="0" w:space="0" w:color="auto"/>
        <w:right w:val="none" w:sz="0" w:space="0" w:color="auto"/>
      </w:divBdr>
    </w:div>
    <w:div w:id="1505045687">
      <w:bodyDiv w:val="1"/>
      <w:marLeft w:val="0"/>
      <w:marRight w:val="0"/>
      <w:marTop w:val="0"/>
      <w:marBottom w:val="0"/>
      <w:divBdr>
        <w:top w:val="none" w:sz="0" w:space="0" w:color="auto"/>
        <w:left w:val="none" w:sz="0" w:space="0" w:color="auto"/>
        <w:bottom w:val="none" w:sz="0" w:space="0" w:color="auto"/>
        <w:right w:val="none" w:sz="0" w:space="0" w:color="auto"/>
      </w:divBdr>
    </w:div>
    <w:div w:id="2009015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ea.org/reports/global-ev-outlook-20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3FE8C68-270A-43BA-9801-8464FE99C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3540</Words>
  <Characters>20179</Characters>
  <Application>Microsoft Office Word</Application>
  <DocSecurity>0</DocSecurity>
  <Lines>168</Lines>
  <Paragraphs>47</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
      <vt:lpstr>1.0 Introduction</vt:lpstr>
      <vt:lpstr>2.0 Research Background</vt:lpstr>
      <vt:lpstr>3.0 Problem Statement</vt:lpstr>
      <vt:lpstr>4.0 Business Opportunity and Justification</vt:lpstr>
      <vt:lpstr>5.0 Review of Previous Research</vt:lpstr>
      <vt:lpstr>6.0 Research Gap</vt:lpstr>
      <vt:lpstr>7.0 Research Aim</vt:lpstr>
      <vt:lpstr>    8.0 Research Objectives</vt:lpstr>
      <vt:lpstr>9.0 Research Questions</vt:lpstr>
      <vt:lpstr>10.0 Research Methodology</vt:lpstr>
      <vt:lpstr>    Research Design</vt:lpstr>
      <vt:lpstr>    Data Collection</vt:lpstr>
      <vt:lpstr>    Data Analysis</vt:lpstr>
      <vt:lpstr>11.0 Market Research and Validation</vt:lpstr>
      <vt:lpstr>    1. PESTLE Analysis</vt:lpstr>
      <vt:lpstr>    2. SWOT Analysis</vt:lpstr>
      <vt:lpstr>    3. Competitor Analysis</vt:lpstr>
      <vt:lpstr>    4. Porter’s Five Forces</vt:lpstr>
      <vt:lpstr>    5. Ansoff Matrix</vt:lpstr>
      <vt:lpstr>    12.0 Key Risks</vt:lpstr>
      <vt:lpstr>13.0 Research Timeline</vt:lpstr>
      <vt:lpstr>14.0 Conclusion</vt:lpstr>
      <vt:lpstr>References</vt:lpstr>
    </vt:vector>
  </TitlesOfParts>
  <Company/>
  <LinksUpToDate>false</LinksUpToDate>
  <CharactersWithSpaces>23672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5A_Traders</dc:creator>
  <cp:keywords/>
  <dc:description/>
  <cp:lastModifiedBy>5A_Traders</cp:lastModifiedBy>
  <cp:revision>2</cp:revision>
  <dcterms:created xsi:type="dcterms:W3CDTF">2026-10-09T01:56:00Z</dcterms:created>
  <dcterms:modified xsi:type="dcterms:W3CDTF">2026-10-09T01:56:00Z</dcterms:modified>
</cp:coreProperties>
</file>