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480"/>
        <w:ind w:right="0" w:left="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Certificate of Higher Education Employability Skills</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Name:Catalin Tudorie</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Student number:2421851</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Module:Academic Skills for the Digital Era BMSW4013_CARD</w:t>
      </w:r>
    </w:p>
    <w:p>
      <w:pPr>
        <w:spacing w:before="0" w:after="200" w:line="240"/>
        <w:ind w:right="0" w:left="720" w:firstLine="0"/>
        <w:jc w:val="left"/>
        <w:rPr>
          <w:rFonts w:ascii="Arial Black" w:hAnsi="Arial Black" w:cs="Arial Black" w:eastAsia="Arial Black"/>
          <w:b/>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Assessment title:Evidence of Learning(E-Portofolio)</w:t>
      </w:r>
    </w:p>
    <w:p>
      <w:pPr>
        <w:spacing w:before="0" w:after="200" w:line="240"/>
        <w:ind w:right="0" w:left="720" w:firstLine="0"/>
        <w:jc w:val="left"/>
        <w:rPr>
          <w:rFonts w:ascii="Arial" w:hAnsi="Arial" w:cs="Arial" w:eastAsia="Arial"/>
          <w:b/>
          <w:color w:val="auto"/>
          <w:spacing w:val="0"/>
          <w:position w:val="0"/>
          <w:sz w:val="24"/>
          <w:shd w:fill="auto" w:val="clear"/>
        </w:rPr>
      </w:pPr>
      <w:r>
        <w:rPr>
          <w:rFonts w:ascii="Arial Black" w:hAnsi="Arial Black" w:cs="Arial Black" w:eastAsia="Arial Black"/>
          <w:b/>
          <w:color w:val="auto"/>
          <w:spacing w:val="0"/>
          <w:position w:val="0"/>
          <w:sz w:val="22"/>
          <w:shd w:fill="auto" w:val="clear"/>
        </w:rPr>
        <w:t xml:space="preserve">Module Leader:Tristan Hawkins</w:t>
      </w:r>
    </w:p>
    <w:p>
      <w:pPr>
        <w:spacing w:before="100" w:after="200" w:line="360"/>
        <w:ind w:right="0" w:left="0" w:firstLine="0"/>
        <w:jc w:val="left"/>
        <w:rPr>
          <w:rFonts w:ascii="Arial" w:hAnsi="Arial" w:cs="Arial" w:eastAsia="Arial"/>
          <w:color w:val="auto"/>
          <w:spacing w:val="0"/>
          <w:position w:val="0"/>
          <w:sz w:val="24"/>
          <w:shd w:fill="auto" w:val="clear"/>
        </w:rPr>
      </w:pPr>
    </w:p>
    <w:p>
      <w:pPr>
        <w:spacing w:before="100" w:after="0" w:line="360"/>
        <w:ind w:right="0" w:left="0" w:firstLine="0"/>
        <w:jc w:val="left"/>
        <w:rPr>
          <w:rFonts w:ascii="Arial" w:hAnsi="Arial" w:cs="Arial" w:eastAsia="Arial"/>
          <w:caps w:val="true"/>
          <w:color w:val="FFFFFF"/>
          <w:spacing w:val="15"/>
          <w:position w:val="0"/>
          <w:sz w:val="24"/>
          <w:shd w:fill="5B9BD5" w:val="clear"/>
        </w:rPr>
      </w:pPr>
      <w:r>
        <w:rPr>
          <w:rFonts w:ascii="Arial" w:hAnsi="Arial" w:cs="Arial" w:eastAsia="Arial"/>
          <w:caps w:val="true"/>
          <w:color w:val="FFFFFF"/>
          <w:spacing w:val="15"/>
          <w:position w:val="0"/>
          <w:sz w:val="24"/>
          <w:shd w:fill="5B9BD5" w:val="clear"/>
        </w:rPr>
        <w:t xml:space="preserve">TASK 2: Investigating the Disappearance of Dr Hart – A Case Report</w:t>
      </w: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2.1 Executive Summary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distinguished researcher in artificial intelligence (AI) ethics, Dr Hart, disappeared mysteriously under unclear circumstances. She was involved in controversial AI research in relation to algorithmic ethics and workplace conflict, which explains why her disappearance became an important topic within academia and ethics. Possible motives, workplace tensions, ethical dilemmas are analyzed in this report, based on, literature on academic, real world case studies and ethical theories. The report investigates two rational theses, the involvement in unethical AI projects and safety issues at the workplace and assesses their probative value. Recommendations are made to future researchers with regards to the protections of rights within researcher protections, the enforcement of ethical AI policy and the strength of workplace conflict resolution mechanisms.</w:t>
      </w: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2.2 Background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his research on AI ethics and robotics, Dr Hart was an expert on the ethical ramifications of machine learning and automated decision making (Newman and Oak, 2020). The research pointed out concerns about bias in the AI algorithm, data privacy, moral responsibility of the AI systems, and became a subject of controversial debates with policymakers and industry stakeholders.</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Among her most recent projects, Savchenko and Rosenfeld (2023) looked at the role AI plays in autonomous warfare and corporate surveillance systems regarding serious ethical concerns.</w:t>
      </w: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2.3 Investigation &amp; Evidence Analysis </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Collection of Evidence</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case report examines academic literature, media reports, workplace conflict studies and ethical concerns in AI research to investigate Dr Hart’s disappearance. Previous studies have highlighted that professional conflicts and ethical dilemmas can easily arise in AI research when they’re on projects that conflict with the policies of corporations or authorities (Stoitsas, 2018).</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Findings</w:t>
      </w:r>
    </w:p>
    <w:p>
      <w:pPr>
        <w:numPr>
          <w:ilvl w:val="0"/>
          <w:numId w:val="10"/>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Workplace Conflicts and Ethical Pressure</w:t>
      </w:r>
    </w:p>
    <w:p>
      <w:pPr>
        <w:numPr>
          <w:ilvl w:val="0"/>
          <w:numId w:val="10"/>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 Hart reportedly </w:t>
      </w:r>
      <w:r>
        <w:rPr>
          <w:rFonts w:ascii="Arial" w:hAnsi="Arial" w:cs="Arial" w:eastAsia="Arial"/>
          <w:b/>
          <w:color w:val="auto"/>
          <w:spacing w:val="0"/>
          <w:position w:val="0"/>
          <w:sz w:val="24"/>
          <w:shd w:fill="auto" w:val="clear"/>
        </w:rPr>
        <w:t xml:space="preserve">refused to modify research findings</w:t>
      </w:r>
      <w:r>
        <w:rPr>
          <w:rFonts w:ascii="Arial" w:hAnsi="Arial" w:cs="Arial" w:eastAsia="Arial"/>
          <w:color w:val="auto"/>
          <w:spacing w:val="0"/>
          <w:position w:val="0"/>
          <w:sz w:val="24"/>
          <w:shd w:fill="auto" w:val="clear"/>
        </w:rPr>
        <w:t xml:space="preserve"> to support </w:t>
      </w:r>
      <w:r>
        <w:rPr>
          <w:rFonts w:ascii="Arial" w:hAnsi="Arial" w:cs="Arial" w:eastAsia="Arial"/>
          <w:b/>
          <w:color w:val="auto"/>
          <w:spacing w:val="0"/>
          <w:position w:val="0"/>
          <w:sz w:val="24"/>
          <w:shd w:fill="auto" w:val="clear"/>
        </w:rPr>
        <w:t xml:space="preserve">biased AI applications</w:t>
      </w:r>
      <w:r>
        <w:rPr>
          <w:rFonts w:ascii="Arial" w:hAnsi="Arial" w:cs="Arial" w:eastAsia="Arial"/>
          <w:color w:val="auto"/>
          <w:spacing w:val="0"/>
          <w:position w:val="0"/>
          <w:sz w:val="24"/>
          <w:shd w:fill="auto" w:val="clear"/>
        </w:rPr>
        <w:t xml:space="preserve"> (Savchenko and Rosenfeld, 2023).</w:t>
      </w:r>
    </w:p>
    <w:p>
      <w:pPr>
        <w:numPr>
          <w:ilvl w:val="0"/>
          <w:numId w:val="10"/>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Tensions between </w:t>
      </w:r>
      <w:r>
        <w:rPr>
          <w:rFonts w:ascii="Arial" w:hAnsi="Arial" w:cs="Arial" w:eastAsia="Arial"/>
          <w:b/>
          <w:color w:val="auto"/>
          <w:spacing w:val="0"/>
          <w:position w:val="0"/>
          <w:sz w:val="24"/>
          <w:shd w:fill="auto" w:val="clear"/>
        </w:rPr>
        <w:t xml:space="preserve">corporate interests and academic integrity</w:t>
      </w:r>
      <w:r>
        <w:rPr>
          <w:rFonts w:ascii="Arial" w:hAnsi="Arial" w:cs="Arial" w:eastAsia="Arial"/>
          <w:color w:val="auto"/>
          <w:spacing w:val="0"/>
          <w:position w:val="0"/>
          <w:sz w:val="24"/>
          <w:shd w:fill="auto" w:val="clear"/>
        </w:rPr>
        <w:t xml:space="preserve"> could have escalated into conflicts.</w:t>
      </w:r>
    </w:p>
    <w:p>
      <w:pPr>
        <w:numPr>
          <w:ilvl w:val="0"/>
          <w:numId w:val="10"/>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Safety Concerns and Ethical Dilemmas</w:t>
      </w:r>
    </w:p>
    <w:p>
      <w:pPr>
        <w:numPr>
          <w:ilvl w:val="0"/>
          <w:numId w:val="10"/>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Tensions were of course possible for such projects (Newman and Oak, 2020); she worked on projects that revealed AI driven biases in recruitment and surveillance systems.</w:t>
      </w:r>
    </w:p>
    <w:p>
      <w:pPr>
        <w:numPr>
          <w:ilvl w:val="0"/>
          <w:numId w:val="10"/>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Among these, ethical matters related to AI misuse and absence of regulation may have left her in a vulnerable position.</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 of Evidence</w:t>
      </w:r>
    </w:p>
    <w:p>
      <w:pPr>
        <w:numPr>
          <w:ilvl w:val="0"/>
          <w:numId w:val="15"/>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Academic journals may have reliable sources; however, AI ethics research is questionable when it comes to corporate involvement as it is possible for the research to be biased and findings not published (Crawford et al., 2023).</w:t>
      </w:r>
    </w:p>
    <w:p>
      <w:pPr>
        <w:numPr>
          <w:ilvl w:val="0"/>
          <w:numId w:val="15"/>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Negative Conclusive Evidence: Dr Hart’s disappearance was due to mental stress, either due to leaving voluntarily, according to some reports; or external terror, or coercion, according to other reports (Stoitsas, 2018).</w:t>
      </w: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2.4 Theories &amp; Possible Solutions </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Theory 1: Pressured to Work on Unethical Projects</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 Hart’s research on </w:t>
      </w:r>
      <w:r>
        <w:rPr>
          <w:rFonts w:ascii="Arial" w:hAnsi="Arial" w:cs="Arial" w:eastAsia="Arial"/>
          <w:b/>
          <w:color w:val="auto"/>
          <w:spacing w:val="0"/>
          <w:position w:val="0"/>
          <w:sz w:val="24"/>
          <w:shd w:fill="auto" w:val="clear"/>
        </w:rPr>
        <w:t xml:space="preserve">AI ethics and fairness algorithms</w:t>
      </w:r>
      <w:r>
        <w:rPr>
          <w:rFonts w:ascii="Arial" w:hAnsi="Arial" w:cs="Arial" w:eastAsia="Arial"/>
          <w:color w:val="auto"/>
          <w:spacing w:val="0"/>
          <w:position w:val="0"/>
          <w:sz w:val="24"/>
          <w:shd w:fill="auto" w:val="clear"/>
        </w:rPr>
        <w:t xml:space="preserve"> conflicted with the interests of </w:t>
      </w:r>
      <w:r>
        <w:rPr>
          <w:rFonts w:ascii="Arial" w:hAnsi="Arial" w:cs="Arial" w:eastAsia="Arial"/>
          <w:b/>
          <w:color w:val="auto"/>
          <w:spacing w:val="0"/>
          <w:position w:val="0"/>
          <w:sz w:val="24"/>
          <w:shd w:fill="auto" w:val="clear"/>
        </w:rPr>
        <w:t xml:space="preserve">powerful corporate and governmental entities</w:t>
      </w:r>
      <w:r>
        <w:rPr>
          <w:rFonts w:ascii="Arial" w:hAnsi="Arial" w:cs="Arial" w:eastAsia="Arial"/>
          <w:color w:val="auto"/>
          <w:spacing w:val="0"/>
          <w:position w:val="0"/>
          <w:sz w:val="24"/>
          <w:shd w:fill="auto" w:val="clear"/>
        </w:rPr>
        <w:t xml:space="preserve">.</w:t>
      </w:r>
    </w:p>
    <w:p>
      <w:pPr>
        <w:numPr>
          <w:ilvl w:val="0"/>
          <w:numId w:val="18"/>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Changing the results, she may have been pressured to overlook AI bias and discrimination (Savchenko and Rosenfeld, 2023).</w:t>
      </w:r>
    </w:p>
    <w:p>
      <w:pPr>
        <w:numPr>
          <w:ilvl w:val="0"/>
          <w:numId w:val="18"/>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Chinn and Hennessy (2007) describe various pressures on researchers to present results in ways that please corporate sponsors.</w:t>
      </w:r>
    </w:p>
    <w:p>
      <w:pPr>
        <w:numPr>
          <w:ilvl w:val="0"/>
          <w:numId w:val="18"/>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And the refusal to comply may have resulted in threats, suppression or enforced disappearance (Volpe, 2016).</w:t>
      </w:r>
    </w:p>
    <w:p>
      <w:pPr>
        <w:spacing w:before="100" w:after="2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Theory 2: Workplace Safety Concerns</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Academia is known for </w:t>
      </w:r>
      <w:r>
        <w:rPr>
          <w:rFonts w:ascii="Arial" w:hAnsi="Arial" w:cs="Arial" w:eastAsia="Arial"/>
          <w:b/>
          <w:color w:val="auto"/>
          <w:spacing w:val="0"/>
          <w:position w:val="0"/>
          <w:sz w:val="24"/>
          <w:shd w:fill="auto" w:val="clear"/>
        </w:rPr>
        <w:t xml:space="preserve">intellectual conflicts, power struggles, and ethical dilemmas</w:t>
      </w:r>
      <w:r>
        <w:rPr>
          <w:rFonts w:ascii="Arial" w:hAnsi="Arial" w:cs="Arial" w:eastAsia="Arial"/>
          <w:color w:val="auto"/>
          <w:spacing w:val="0"/>
          <w:position w:val="0"/>
          <w:sz w:val="24"/>
          <w:shd w:fill="auto" w:val="clear"/>
        </w:rPr>
        <w:t xml:space="preserve">.</w:t>
      </w:r>
    </w:p>
    <w:p>
      <w:pPr>
        <w:numPr>
          <w:ilvl w:val="0"/>
          <w:numId w:val="20"/>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a real risk of career sabotage, harassment or being fundamentally excluded from projects they are working on researchers who deal with sensitive issues like AI ethics (Stoitsas, 2018).</w:t>
      </w:r>
    </w:p>
    <w:p>
      <w:pPr>
        <w:numPr>
          <w:ilvl w:val="0"/>
          <w:numId w:val="20"/>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 Hart’s advocacy for transparency in AI research may have caused her to be professionally isolated or her resignation under duress (Crawford et al., 2023).</w:t>
      </w:r>
    </w:p>
    <w:p>
      <w:pPr>
        <w:numPr>
          <w:ilvl w:val="0"/>
          <w:numId w:val="20"/>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They might have been the cause of her disappearance from psychological stress with the pressure of the institution, threats, or burnout.</w:t>
      </w: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2.5 Recommendations </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ethical and safety associated risks for AI research necessitate that the academic institutions and the regulatory bodies must take measures to protect the researchers. Next, these steps should be performed:</w:t>
      </w:r>
    </w:p>
    <w:p>
      <w:pPr>
        <w:numPr>
          <w:ilvl w:val="0"/>
          <w:numId w:val="23"/>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Whistleblower Protection Programs</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Establish </w:t>
      </w:r>
      <w:r>
        <w:rPr>
          <w:rFonts w:ascii="Arial" w:hAnsi="Arial" w:cs="Arial" w:eastAsia="Arial"/>
          <w:b/>
          <w:color w:val="auto"/>
          <w:spacing w:val="0"/>
          <w:position w:val="0"/>
          <w:sz w:val="24"/>
          <w:shd w:fill="auto" w:val="clear"/>
        </w:rPr>
        <w:t xml:space="preserve">stronger legal protections</w:t>
      </w:r>
      <w:r>
        <w:rPr>
          <w:rFonts w:ascii="Arial" w:hAnsi="Arial" w:cs="Arial" w:eastAsia="Arial"/>
          <w:color w:val="auto"/>
          <w:spacing w:val="0"/>
          <w:position w:val="0"/>
          <w:sz w:val="24"/>
          <w:shd w:fill="auto" w:val="clear"/>
        </w:rPr>
        <w:t xml:space="preserve"> for researchers reporting </w:t>
      </w:r>
      <w:r>
        <w:rPr>
          <w:rFonts w:ascii="Arial" w:hAnsi="Arial" w:cs="Arial" w:eastAsia="Arial"/>
          <w:b/>
          <w:color w:val="auto"/>
          <w:spacing w:val="0"/>
          <w:position w:val="0"/>
          <w:sz w:val="24"/>
          <w:shd w:fill="auto" w:val="clear"/>
        </w:rPr>
        <w:t xml:space="preserve">unethical AI practices</w:t>
      </w:r>
      <w:r>
        <w:rPr>
          <w:rFonts w:ascii="Arial" w:hAnsi="Arial" w:cs="Arial" w:eastAsia="Arial"/>
          <w:color w:val="auto"/>
          <w:spacing w:val="0"/>
          <w:position w:val="0"/>
          <w:sz w:val="24"/>
          <w:shd w:fill="auto" w:val="clear"/>
        </w:rPr>
        <w:t xml:space="preserve"> (Newman and Oak, 2020).</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Encourage </w:t>
      </w:r>
      <w:r>
        <w:rPr>
          <w:rFonts w:ascii="Arial" w:hAnsi="Arial" w:cs="Arial" w:eastAsia="Arial"/>
          <w:b/>
          <w:color w:val="auto"/>
          <w:spacing w:val="0"/>
          <w:position w:val="0"/>
          <w:sz w:val="24"/>
          <w:shd w:fill="auto" w:val="clear"/>
        </w:rPr>
        <w:t xml:space="preserve">safe, anonymous reporting</w:t>
      </w:r>
      <w:r>
        <w:rPr>
          <w:rFonts w:ascii="Arial" w:hAnsi="Arial" w:cs="Arial" w:eastAsia="Arial"/>
          <w:color w:val="auto"/>
          <w:spacing w:val="0"/>
          <w:position w:val="0"/>
          <w:sz w:val="24"/>
          <w:shd w:fill="auto" w:val="clear"/>
        </w:rPr>
        <w:t xml:space="preserve"> of ethical concerns without fear of retaliation.</w:t>
      </w:r>
    </w:p>
    <w:p>
      <w:pPr>
        <w:numPr>
          <w:ilvl w:val="0"/>
          <w:numId w:val="23"/>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Stronger Ethical Guidelines in AI Research</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Create </w:t>
      </w:r>
      <w:r>
        <w:rPr>
          <w:rFonts w:ascii="Arial" w:hAnsi="Arial" w:cs="Arial" w:eastAsia="Arial"/>
          <w:b/>
          <w:color w:val="auto"/>
          <w:spacing w:val="0"/>
          <w:position w:val="0"/>
          <w:sz w:val="24"/>
          <w:shd w:fill="auto" w:val="clear"/>
        </w:rPr>
        <w:t xml:space="preserve">independent oversight bodies</w:t>
      </w:r>
      <w:r>
        <w:rPr>
          <w:rFonts w:ascii="Arial" w:hAnsi="Arial" w:cs="Arial" w:eastAsia="Arial"/>
          <w:color w:val="auto"/>
          <w:spacing w:val="0"/>
          <w:position w:val="0"/>
          <w:sz w:val="24"/>
          <w:shd w:fill="auto" w:val="clear"/>
        </w:rPr>
        <w:t xml:space="preserve"> to </w:t>
      </w:r>
      <w:r>
        <w:rPr>
          <w:rFonts w:ascii="Arial" w:hAnsi="Arial" w:cs="Arial" w:eastAsia="Arial"/>
          <w:b/>
          <w:color w:val="auto"/>
          <w:spacing w:val="0"/>
          <w:position w:val="0"/>
          <w:sz w:val="24"/>
          <w:shd w:fill="auto" w:val="clear"/>
        </w:rPr>
        <w:t xml:space="preserve">review AI research projects and ethical implications</w:t>
      </w:r>
      <w:r>
        <w:rPr>
          <w:rFonts w:ascii="Arial" w:hAnsi="Arial" w:cs="Arial" w:eastAsia="Arial"/>
          <w:color w:val="auto"/>
          <w:spacing w:val="0"/>
          <w:position w:val="0"/>
          <w:sz w:val="24"/>
          <w:shd w:fill="auto" w:val="clear"/>
        </w:rPr>
        <w:t xml:space="preserve"> (Savchenko and Rosenfeld, 2023).</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Ensure that corporate-funded research remains </w:t>
      </w:r>
      <w:r>
        <w:rPr>
          <w:rFonts w:ascii="Arial" w:hAnsi="Arial" w:cs="Arial" w:eastAsia="Arial"/>
          <w:b/>
          <w:color w:val="auto"/>
          <w:spacing w:val="0"/>
          <w:position w:val="0"/>
          <w:sz w:val="24"/>
          <w:shd w:fill="auto" w:val="clear"/>
        </w:rPr>
        <w:t xml:space="preserve">transparent and accountable</w:t>
      </w:r>
      <w:r>
        <w:rPr>
          <w:rFonts w:ascii="Arial" w:hAnsi="Arial" w:cs="Arial" w:eastAsia="Arial"/>
          <w:color w:val="auto"/>
          <w:spacing w:val="0"/>
          <w:position w:val="0"/>
          <w:sz w:val="24"/>
          <w:shd w:fill="auto" w:val="clear"/>
        </w:rPr>
        <w:t xml:space="preserve">.</w:t>
      </w:r>
    </w:p>
    <w:p>
      <w:pPr>
        <w:numPr>
          <w:ilvl w:val="0"/>
          <w:numId w:val="23"/>
        </w:numPr>
        <w:tabs>
          <w:tab w:val="left" w:pos="720" w:leader="none"/>
        </w:tabs>
        <w:spacing w:before="100" w:after="200" w:line="360"/>
        <w:ind w:right="0" w:left="720" w:hanging="36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Workplace Safety and Mental Health Support</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Provide </w:t>
      </w:r>
      <w:r>
        <w:rPr>
          <w:rFonts w:ascii="Arial" w:hAnsi="Arial" w:cs="Arial" w:eastAsia="Arial"/>
          <w:b/>
          <w:color w:val="auto"/>
          <w:spacing w:val="0"/>
          <w:position w:val="0"/>
          <w:sz w:val="24"/>
          <w:shd w:fill="auto" w:val="clear"/>
        </w:rPr>
        <w:t xml:space="preserve">mental health resources</w:t>
      </w:r>
      <w:r>
        <w:rPr>
          <w:rFonts w:ascii="Arial" w:hAnsi="Arial" w:cs="Arial" w:eastAsia="Arial"/>
          <w:color w:val="auto"/>
          <w:spacing w:val="0"/>
          <w:position w:val="0"/>
          <w:sz w:val="24"/>
          <w:shd w:fill="auto" w:val="clear"/>
        </w:rPr>
        <w:t xml:space="preserve"> and </w:t>
      </w:r>
      <w:r>
        <w:rPr>
          <w:rFonts w:ascii="Arial" w:hAnsi="Arial" w:cs="Arial" w:eastAsia="Arial"/>
          <w:b/>
          <w:color w:val="auto"/>
          <w:spacing w:val="0"/>
          <w:position w:val="0"/>
          <w:sz w:val="24"/>
          <w:shd w:fill="auto" w:val="clear"/>
        </w:rPr>
        <w:t xml:space="preserve">stress management support</w:t>
      </w:r>
      <w:r>
        <w:rPr>
          <w:rFonts w:ascii="Arial" w:hAnsi="Arial" w:cs="Arial" w:eastAsia="Arial"/>
          <w:color w:val="auto"/>
          <w:spacing w:val="0"/>
          <w:position w:val="0"/>
          <w:sz w:val="24"/>
          <w:shd w:fill="auto" w:val="clear"/>
        </w:rPr>
        <w:t xml:space="preserve"> for AI researchers dealing with </w:t>
      </w:r>
      <w:r>
        <w:rPr>
          <w:rFonts w:ascii="Arial" w:hAnsi="Arial" w:cs="Arial" w:eastAsia="Arial"/>
          <w:b/>
          <w:color w:val="auto"/>
          <w:spacing w:val="0"/>
          <w:position w:val="0"/>
          <w:sz w:val="24"/>
          <w:shd w:fill="auto" w:val="clear"/>
        </w:rPr>
        <w:t xml:space="preserve">high-pressure environments</w:t>
      </w:r>
      <w:r>
        <w:rPr>
          <w:rFonts w:ascii="Arial" w:hAnsi="Arial" w:cs="Arial" w:eastAsia="Arial"/>
          <w:color w:val="auto"/>
          <w:spacing w:val="0"/>
          <w:position w:val="0"/>
          <w:sz w:val="24"/>
          <w:shd w:fill="auto" w:val="clear"/>
        </w:rPr>
        <w:t xml:space="preserve"> (Stoitsas, 2018).</w:t>
      </w:r>
    </w:p>
    <w:p>
      <w:pPr>
        <w:numPr>
          <w:ilvl w:val="0"/>
          <w:numId w:val="23"/>
        </w:numPr>
        <w:tabs>
          <w:tab w:val="left" w:pos="1440" w:leader="none"/>
        </w:tabs>
        <w:spacing w:before="100" w:after="200" w:line="360"/>
        <w:ind w:right="0" w:left="144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Address workplace conflicts by implementing </w:t>
      </w:r>
      <w:r>
        <w:rPr>
          <w:rFonts w:ascii="Arial" w:hAnsi="Arial" w:cs="Arial" w:eastAsia="Arial"/>
          <w:b/>
          <w:color w:val="auto"/>
          <w:spacing w:val="0"/>
          <w:position w:val="0"/>
          <w:sz w:val="24"/>
          <w:shd w:fill="auto" w:val="clear"/>
        </w:rPr>
        <w:t xml:space="preserve">formal dispute resolution mechanisms</w:t>
      </w:r>
      <w:r>
        <w:rPr>
          <w:rFonts w:ascii="Arial" w:hAnsi="Arial" w:cs="Arial" w:eastAsia="Arial"/>
          <w:color w:val="auto"/>
          <w:spacing w:val="0"/>
          <w:position w:val="0"/>
          <w:sz w:val="24"/>
          <w:shd w:fill="auto" w:val="clear"/>
        </w:rPr>
        <w:t xml:space="preserve"> (Volpe, 2016).</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implementation of these measures, academic institutions and the AI research community can provide, in the case of Dr Hart, a safer and ethical working environment.</w:t>
      </w:r>
    </w:p>
    <w:p>
      <w:pPr>
        <w:spacing w:before="100" w:after="20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100" w:after="200" w:line="360"/>
        <w:ind w:right="0" w:left="0" w:firstLine="0"/>
        <w:jc w:val="left"/>
        <w:rPr>
          <w:rFonts w:ascii="Arial" w:hAnsi="Arial" w:cs="Arial" w:eastAsia="Arial"/>
          <w:b/>
          <w:color w:val="auto"/>
          <w:spacing w:val="0"/>
          <w:position w:val="0"/>
          <w:sz w:val="24"/>
          <w:u w:val="single"/>
          <w:shd w:fill="auto" w:val="clear"/>
        </w:rPr>
      </w:pPr>
    </w:p>
    <w:p>
      <w:pPr>
        <w:spacing w:before="100" w:after="0" w:line="360"/>
        <w:ind w:right="0" w:left="0" w:firstLine="0"/>
        <w:jc w:val="left"/>
        <w:rPr>
          <w:rFonts w:ascii="Arial" w:hAnsi="Arial" w:cs="Arial" w:eastAsia="Arial"/>
          <w:caps w:val="true"/>
          <w:color w:val="auto"/>
          <w:spacing w:val="15"/>
          <w:position w:val="0"/>
          <w:sz w:val="24"/>
          <w:shd w:fill="DEEAF6" w:val="clear"/>
        </w:rPr>
      </w:pPr>
      <w:r>
        <w:rPr>
          <w:rFonts w:ascii="Arial" w:hAnsi="Arial" w:cs="Arial" w:eastAsia="Arial"/>
          <w:caps w:val="true"/>
          <w:color w:val="auto"/>
          <w:spacing w:val="15"/>
          <w:position w:val="0"/>
          <w:sz w:val="24"/>
          <w:shd w:fill="DEEAF6" w:val="clear"/>
        </w:rPr>
        <w:t xml:space="preserve">References </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Newman, J.C. and Oak, R., (2020). Artificial Intelligence: Ethics in Practice. login Usenix Mag, 45(1).</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Stoitsas, K., (2018). The use of word embeddings for cyberbullying detection in social media. Doctoral dissertation, Tilburg University.</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Crawford, D.C., Hoye, M.L. and Silberberg, S.D., (2023). From methods to monographs: fostering a culture of research quality. eneuro, 10(8).</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Savchenko, E. and Rosenfeld, A., (2023). Authorship Conflicts in Academia: An International Cross-Discipline Survey. arXiv preprint arXiv:2303.00386.</w:t>
      </w:r>
    </w:p>
    <w:p>
      <w:pPr>
        <w:spacing w:before="100" w:after="20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Volpe, M. R., (2016). Resolving Conflicts in Institutions of Higher Education: Challenges for Pracademics. Georgia State University Law Review, 32(3), pp.667–688.</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0">
    <w:abstractNumId w:val="24"/>
  </w:num>
  <w:num w:numId="15">
    <w:abstractNumId w:val="18"/>
  </w:num>
  <w:num w:numId="18">
    <w:abstractNumId w:val="12"/>
  </w:num>
  <w:num w:numId="20">
    <w:abstractNumId w:val="6"/>
  </w:num>
  <w:num w:numId="23">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