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F731E5" w14:textId="4412D41A" w:rsidR="00C9629E" w:rsidRPr="00A37F7D" w:rsidRDefault="00C9629E" w:rsidP="005560DC">
      <w:pPr>
        <w:jc w:val="center"/>
        <w:rPr>
          <w:sz w:val="23"/>
          <w:szCs w:val="23"/>
          <w:u w:val="single"/>
        </w:rPr>
      </w:pPr>
      <w:r w:rsidRPr="00A37F7D">
        <w:rPr>
          <w:sz w:val="23"/>
          <w:szCs w:val="23"/>
          <w:u w:val="single"/>
        </w:rPr>
        <w:t xml:space="preserve">Reflect on your experience of giving and receiving feedback to </w:t>
      </w:r>
      <w:proofErr w:type="gramStart"/>
      <w:r w:rsidRPr="00A37F7D">
        <w:rPr>
          <w:sz w:val="23"/>
          <w:szCs w:val="23"/>
          <w:u w:val="single"/>
        </w:rPr>
        <w:t>identify</w:t>
      </w:r>
      <w:proofErr w:type="gramEnd"/>
      <w:r w:rsidRPr="00A37F7D">
        <w:rPr>
          <w:sz w:val="23"/>
          <w:szCs w:val="23"/>
          <w:u w:val="single"/>
        </w:rPr>
        <w:t xml:space="preserve"> what makes for effective communication, and review examples where feedback has led to improved outcomes</w:t>
      </w:r>
    </w:p>
    <w:p w14:paraId="4341E8BF" w14:textId="1F82ADC2" w:rsidR="00C9629E" w:rsidRPr="00A37F7D" w:rsidRDefault="00C9629E" w:rsidP="00DB3064">
      <w:pPr>
        <w:jc w:val="both"/>
        <w:rPr>
          <w:sz w:val="23"/>
          <w:szCs w:val="23"/>
        </w:rPr>
      </w:pPr>
      <w:r w:rsidRPr="00A37F7D">
        <w:rPr>
          <w:sz w:val="23"/>
          <w:szCs w:val="23"/>
        </w:rPr>
        <w:t>When I first began writing archaeological reports, I felt a significant amount of insecurity about my knowledge and capability.</w:t>
      </w:r>
      <w:r w:rsidR="00DB3064" w:rsidRPr="00A37F7D">
        <w:rPr>
          <w:sz w:val="23"/>
          <w:szCs w:val="23"/>
        </w:rPr>
        <w:t xml:space="preserve"> During my first assessment with my line-manager,</w:t>
      </w:r>
      <w:r w:rsidRPr="00A37F7D">
        <w:rPr>
          <w:sz w:val="23"/>
          <w:szCs w:val="23"/>
        </w:rPr>
        <w:t xml:space="preserve"> I was </w:t>
      </w:r>
      <w:r w:rsidR="00DB3064" w:rsidRPr="00A37F7D">
        <w:rPr>
          <w:sz w:val="23"/>
          <w:szCs w:val="23"/>
        </w:rPr>
        <w:t>given a</w:t>
      </w:r>
      <w:r w:rsidRPr="00A37F7D">
        <w:rPr>
          <w:sz w:val="23"/>
          <w:szCs w:val="23"/>
        </w:rPr>
        <w:t xml:space="preserve"> balance of positive reinforcement that imbued me with a reaffirmed feeling of confidence and specific constructive criticisms that made me reflect on how I can improve my work. The criticisms were not relayed as personal shortcomings, instead they were simply conveyed as comments on a particular action; such feedback reduces the risk of recipients feeling personally attacked. While reducing the likelihood of the recipient becoming disheartened, the inclusion of positives in feedback – even if the feedback is </w:t>
      </w:r>
      <w:proofErr w:type="gramStart"/>
      <w:r w:rsidRPr="00A37F7D">
        <w:rPr>
          <w:sz w:val="23"/>
          <w:szCs w:val="23"/>
        </w:rPr>
        <w:t>largely negative</w:t>
      </w:r>
      <w:proofErr w:type="gramEnd"/>
      <w:r w:rsidR="005D61AF" w:rsidRPr="00A37F7D">
        <w:rPr>
          <w:sz w:val="23"/>
          <w:szCs w:val="23"/>
        </w:rPr>
        <w:t xml:space="preserve">, </w:t>
      </w:r>
      <w:r w:rsidRPr="00A37F7D">
        <w:rPr>
          <w:sz w:val="23"/>
          <w:szCs w:val="23"/>
        </w:rPr>
        <w:t>like</w:t>
      </w:r>
      <w:r w:rsidR="00CB6CF0" w:rsidRPr="00A37F7D">
        <w:rPr>
          <w:sz w:val="23"/>
          <w:szCs w:val="23"/>
        </w:rPr>
        <w:t xml:space="preserve"> </w:t>
      </w:r>
      <w:r w:rsidRPr="00A37F7D">
        <w:rPr>
          <w:sz w:val="23"/>
          <w:szCs w:val="23"/>
        </w:rPr>
        <w:t xml:space="preserve">it was on </w:t>
      </w:r>
      <w:r w:rsidR="00B3651F" w:rsidRPr="00A37F7D">
        <w:rPr>
          <w:sz w:val="23"/>
          <w:szCs w:val="23"/>
        </w:rPr>
        <w:t>this</w:t>
      </w:r>
      <w:r w:rsidRPr="00A37F7D">
        <w:rPr>
          <w:sz w:val="23"/>
          <w:szCs w:val="23"/>
        </w:rPr>
        <w:t xml:space="preserve"> occasion – reinforces good practice. Indeed, high-performing teams tend to share more positive feedback (</w:t>
      </w:r>
      <w:proofErr w:type="spellStart"/>
      <w:r w:rsidRPr="00A37F7D">
        <w:rPr>
          <w:sz w:val="23"/>
          <w:szCs w:val="23"/>
        </w:rPr>
        <w:t>Losada</w:t>
      </w:r>
      <w:proofErr w:type="spellEnd"/>
      <w:r w:rsidRPr="00A37F7D">
        <w:rPr>
          <w:sz w:val="23"/>
          <w:szCs w:val="23"/>
        </w:rPr>
        <w:t xml:space="preserve"> and </w:t>
      </w:r>
      <w:proofErr w:type="spellStart"/>
      <w:r w:rsidRPr="00A37F7D">
        <w:rPr>
          <w:sz w:val="23"/>
          <w:szCs w:val="23"/>
        </w:rPr>
        <w:t>Heaphy</w:t>
      </w:r>
      <w:proofErr w:type="spellEnd"/>
      <w:r w:rsidRPr="00A37F7D">
        <w:rPr>
          <w:sz w:val="23"/>
          <w:szCs w:val="23"/>
        </w:rPr>
        <w:t xml:space="preserve"> 2004). Although </w:t>
      </w:r>
      <w:proofErr w:type="gramStart"/>
      <w:r w:rsidRPr="00A37F7D">
        <w:rPr>
          <w:sz w:val="23"/>
          <w:szCs w:val="23"/>
        </w:rPr>
        <w:t xml:space="preserve">probably </w:t>
      </w:r>
      <w:r w:rsidR="00E04378" w:rsidRPr="00A37F7D">
        <w:rPr>
          <w:sz w:val="23"/>
          <w:szCs w:val="23"/>
        </w:rPr>
        <w:t>unintentionally</w:t>
      </w:r>
      <w:proofErr w:type="gramEnd"/>
      <w:r w:rsidRPr="00A37F7D">
        <w:rPr>
          <w:sz w:val="23"/>
          <w:szCs w:val="23"/>
        </w:rPr>
        <w:t>, my line-manager employed the “</w:t>
      </w:r>
      <w:proofErr w:type="spellStart"/>
      <w:r w:rsidRPr="00A37F7D">
        <w:rPr>
          <w:sz w:val="23"/>
          <w:szCs w:val="23"/>
        </w:rPr>
        <w:t>evidence+communication</w:t>
      </w:r>
      <w:proofErr w:type="spellEnd"/>
      <w:r w:rsidRPr="00A37F7D">
        <w:rPr>
          <w:sz w:val="23"/>
          <w:szCs w:val="23"/>
        </w:rPr>
        <w:t xml:space="preserve"> tactic”</w:t>
      </w:r>
      <w:r w:rsidR="00C63C83">
        <w:rPr>
          <w:sz w:val="23"/>
          <w:szCs w:val="23"/>
        </w:rPr>
        <w:t xml:space="preserve"> of </w:t>
      </w:r>
      <w:r w:rsidR="005A63CA">
        <w:rPr>
          <w:sz w:val="23"/>
          <w:szCs w:val="23"/>
        </w:rPr>
        <w:t>interaction</w:t>
      </w:r>
      <w:r w:rsidRPr="00A37F7D">
        <w:rPr>
          <w:sz w:val="23"/>
          <w:szCs w:val="23"/>
        </w:rPr>
        <w:t xml:space="preserve"> (Brown </w:t>
      </w:r>
      <w:r w:rsidRPr="00A37F7D">
        <w:rPr>
          <w:i/>
          <w:iCs/>
          <w:sz w:val="23"/>
          <w:szCs w:val="23"/>
        </w:rPr>
        <w:t>et al</w:t>
      </w:r>
      <w:r w:rsidRPr="00A37F7D">
        <w:rPr>
          <w:sz w:val="23"/>
          <w:szCs w:val="23"/>
        </w:rPr>
        <w:t xml:space="preserve"> 2016), whereby </w:t>
      </w:r>
      <w:r w:rsidR="005D79C4" w:rsidRPr="00A37F7D">
        <w:rPr>
          <w:sz w:val="23"/>
          <w:szCs w:val="23"/>
        </w:rPr>
        <w:t>errors</w:t>
      </w:r>
      <w:r w:rsidRPr="00A37F7D">
        <w:rPr>
          <w:sz w:val="23"/>
          <w:szCs w:val="23"/>
        </w:rPr>
        <w:t xml:space="preserve"> are candidly relayed using demonstrable examples and the employee is </w:t>
      </w:r>
      <w:r w:rsidR="002611B3" w:rsidRPr="00A37F7D">
        <w:rPr>
          <w:sz w:val="23"/>
          <w:szCs w:val="23"/>
        </w:rPr>
        <w:t>urged</w:t>
      </w:r>
      <w:r w:rsidRPr="00A37F7D">
        <w:rPr>
          <w:sz w:val="23"/>
          <w:szCs w:val="23"/>
        </w:rPr>
        <w:t xml:space="preserve"> to self-assess their performance. This made the process collaborative and educational, as opposed to passive and condemnatory. The way in which my mistakes were relayed</w:t>
      </w:r>
      <w:proofErr w:type="gramStart"/>
      <w:r w:rsidRPr="00A37F7D">
        <w:rPr>
          <w:sz w:val="23"/>
          <w:szCs w:val="23"/>
        </w:rPr>
        <w:t>, in particular, imparted</w:t>
      </w:r>
      <w:proofErr w:type="gramEnd"/>
      <w:r w:rsidRPr="00A37F7D">
        <w:rPr>
          <w:sz w:val="23"/>
          <w:szCs w:val="23"/>
        </w:rPr>
        <w:t xml:space="preserve"> the need for consistency and exactness – qualities that I was subsequently commended for in later feedback.</w:t>
      </w:r>
    </w:p>
    <w:p w14:paraId="734A0602" w14:textId="0CCF6B0A" w:rsidR="00C4229D" w:rsidRPr="00A37F7D" w:rsidRDefault="005560DC" w:rsidP="00C9629E">
      <w:pPr>
        <w:jc w:val="both"/>
        <w:rPr>
          <w:sz w:val="23"/>
          <w:szCs w:val="23"/>
        </w:rPr>
      </w:pPr>
      <w:r w:rsidRPr="00A37F7D">
        <w:rPr>
          <w:sz w:val="23"/>
          <w:szCs w:val="23"/>
        </w:rPr>
        <w:t xml:space="preserve">I am perpetually concerned about </w:t>
      </w:r>
      <w:r w:rsidR="004A2F47" w:rsidRPr="00A37F7D">
        <w:rPr>
          <w:sz w:val="23"/>
          <w:szCs w:val="23"/>
        </w:rPr>
        <w:t>offending people</w:t>
      </w:r>
      <w:r w:rsidR="00DE2997" w:rsidRPr="00A37F7D">
        <w:rPr>
          <w:sz w:val="23"/>
          <w:szCs w:val="23"/>
        </w:rPr>
        <w:t xml:space="preserve"> when giving feedback</w:t>
      </w:r>
      <w:r w:rsidR="004A2F47" w:rsidRPr="00A37F7D">
        <w:rPr>
          <w:sz w:val="23"/>
          <w:szCs w:val="23"/>
        </w:rPr>
        <w:t xml:space="preserve">. </w:t>
      </w:r>
      <w:proofErr w:type="gramStart"/>
      <w:r w:rsidR="00E33684" w:rsidRPr="00A37F7D">
        <w:rPr>
          <w:sz w:val="23"/>
          <w:szCs w:val="23"/>
        </w:rPr>
        <w:t>Th</w:t>
      </w:r>
      <w:r w:rsidR="00DE2997" w:rsidRPr="00A37F7D">
        <w:rPr>
          <w:sz w:val="23"/>
          <w:szCs w:val="23"/>
        </w:rPr>
        <w:t>is</w:t>
      </w:r>
      <w:r w:rsidR="00E33684" w:rsidRPr="00A37F7D">
        <w:rPr>
          <w:sz w:val="23"/>
          <w:szCs w:val="23"/>
        </w:rPr>
        <w:t xml:space="preserve"> is why</w:t>
      </w:r>
      <w:proofErr w:type="gramEnd"/>
      <w:r w:rsidR="00E33684" w:rsidRPr="00A37F7D">
        <w:rPr>
          <w:sz w:val="23"/>
          <w:szCs w:val="23"/>
        </w:rPr>
        <w:t xml:space="preserve"> I believe</w:t>
      </w:r>
      <w:r w:rsidR="00DE2997" w:rsidRPr="00A37F7D">
        <w:rPr>
          <w:sz w:val="23"/>
          <w:szCs w:val="23"/>
        </w:rPr>
        <w:t xml:space="preserve"> </w:t>
      </w:r>
      <w:r w:rsidR="00E33684" w:rsidRPr="00A37F7D">
        <w:rPr>
          <w:sz w:val="23"/>
          <w:szCs w:val="23"/>
        </w:rPr>
        <w:t xml:space="preserve">it is important to </w:t>
      </w:r>
      <w:r w:rsidR="00DE2997" w:rsidRPr="00A37F7D">
        <w:rPr>
          <w:sz w:val="23"/>
          <w:szCs w:val="23"/>
        </w:rPr>
        <w:t>be ‘vulnerable’ and human</w:t>
      </w:r>
      <w:r w:rsidR="00C63C83">
        <w:rPr>
          <w:sz w:val="23"/>
          <w:szCs w:val="23"/>
        </w:rPr>
        <w:t xml:space="preserve"> when communicating</w:t>
      </w:r>
      <w:r w:rsidR="00DE2997" w:rsidRPr="00A37F7D">
        <w:rPr>
          <w:sz w:val="23"/>
          <w:szCs w:val="23"/>
        </w:rPr>
        <w:t xml:space="preserve"> so that a trusting partnership can be formed – caring personally, while challenging directly. I practiced this when giving feedback on a report in 2021 to a </w:t>
      </w:r>
      <w:proofErr w:type="gramStart"/>
      <w:r w:rsidR="00DE2997" w:rsidRPr="00A37F7D">
        <w:rPr>
          <w:sz w:val="23"/>
          <w:szCs w:val="23"/>
        </w:rPr>
        <w:t>new-starter</w:t>
      </w:r>
      <w:proofErr w:type="gramEnd"/>
      <w:r w:rsidR="00DE2997" w:rsidRPr="00A37F7D">
        <w:rPr>
          <w:sz w:val="23"/>
          <w:szCs w:val="23"/>
        </w:rPr>
        <w:t xml:space="preserve"> (Fig.1). This created a collaborative relationship with the recipient, who actioned </w:t>
      </w:r>
      <w:r w:rsidR="00F60E0B" w:rsidRPr="00A37F7D">
        <w:rPr>
          <w:sz w:val="23"/>
          <w:szCs w:val="23"/>
        </w:rPr>
        <w:t>most of</w:t>
      </w:r>
      <w:r w:rsidR="00DE2997" w:rsidRPr="00A37F7D">
        <w:rPr>
          <w:sz w:val="23"/>
          <w:szCs w:val="23"/>
        </w:rPr>
        <w:t xml:space="preserve"> the suggestions in their </w:t>
      </w:r>
      <w:proofErr w:type="gramStart"/>
      <w:r w:rsidR="00DE2997" w:rsidRPr="00A37F7D">
        <w:rPr>
          <w:sz w:val="23"/>
          <w:szCs w:val="23"/>
        </w:rPr>
        <w:t>subsequent</w:t>
      </w:r>
      <w:proofErr w:type="gramEnd"/>
      <w:r w:rsidR="00DE2997" w:rsidRPr="00A37F7D">
        <w:rPr>
          <w:sz w:val="23"/>
          <w:szCs w:val="23"/>
        </w:rPr>
        <w:t xml:space="preserve"> report. </w:t>
      </w:r>
      <w:r w:rsidRPr="00A37F7D">
        <w:rPr>
          <w:sz w:val="23"/>
          <w:szCs w:val="23"/>
        </w:rPr>
        <w:t>Whenever possible, I also give the feedback as soon as possible. Feedback should be proffered while it is still fresh in the mind</w:t>
      </w:r>
      <w:r w:rsidR="0007650D" w:rsidRPr="00A37F7D">
        <w:rPr>
          <w:sz w:val="23"/>
          <w:szCs w:val="23"/>
        </w:rPr>
        <w:t xml:space="preserve"> </w:t>
      </w:r>
      <w:r w:rsidRPr="00A37F7D">
        <w:rPr>
          <w:sz w:val="23"/>
          <w:szCs w:val="23"/>
        </w:rPr>
        <w:t xml:space="preserve">– while there is still time to adjust their practice and while the feedback is still </w:t>
      </w:r>
      <w:proofErr w:type="gramStart"/>
      <w:r w:rsidRPr="00A37F7D">
        <w:rPr>
          <w:sz w:val="23"/>
          <w:szCs w:val="23"/>
        </w:rPr>
        <w:t>an accurate</w:t>
      </w:r>
      <w:proofErr w:type="gramEnd"/>
      <w:r w:rsidRPr="00A37F7D">
        <w:rPr>
          <w:sz w:val="23"/>
          <w:szCs w:val="23"/>
        </w:rPr>
        <w:t xml:space="preserve"> representation of their work (</w:t>
      </w:r>
      <w:proofErr w:type="spellStart"/>
      <w:r w:rsidRPr="00A37F7D">
        <w:rPr>
          <w:sz w:val="23"/>
          <w:szCs w:val="23"/>
        </w:rPr>
        <w:t>Bindal</w:t>
      </w:r>
      <w:proofErr w:type="spellEnd"/>
      <w:r w:rsidRPr="00A37F7D">
        <w:rPr>
          <w:sz w:val="23"/>
          <w:szCs w:val="23"/>
        </w:rPr>
        <w:t xml:space="preserve"> et al 2011; Baker et al 2013).</w:t>
      </w:r>
    </w:p>
    <w:p w14:paraId="4A4A5C0E" w14:textId="76930846" w:rsidR="005560DC" w:rsidRPr="00A37F7D" w:rsidRDefault="00C4229D" w:rsidP="00C4229D">
      <w:pPr>
        <w:jc w:val="center"/>
        <w:rPr>
          <w:sz w:val="23"/>
          <w:szCs w:val="23"/>
        </w:rPr>
      </w:pPr>
      <w:r w:rsidRPr="00A37F7D">
        <w:rPr>
          <w:noProof/>
          <w:sz w:val="23"/>
          <w:szCs w:val="23"/>
        </w:rPr>
        <w:drawing>
          <wp:inline distT="0" distB="0" distL="0" distR="0" wp14:anchorId="709E37C6" wp14:editId="3B16B573">
            <wp:extent cx="5710338" cy="2806036"/>
            <wp:effectExtent l="19050" t="19050" r="5080" b="0"/>
            <wp:docPr id="1" name="Picture 1" descr="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8710" cy="28101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E36C792" w14:textId="6811FF9A" w:rsidR="00C4229D" w:rsidRPr="00A37F7D" w:rsidRDefault="00C4229D" w:rsidP="00C4229D">
      <w:pPr>
        <w:jc w:val="center"/>
        <w:rPr>
          <w:sz w:val="23"/>
          <w:szCs w:val="23"/>
        </w:rPr>
      </w:pPr>
      <w:r w:rsidRPr="00A37F7D">
        <w:rPr>
          <w:sz w:val="23"/>
          <w:szCs w:val="23"/>
        </w:rPr>
        <w:t xml:space="preserve">Fig.1: An excerpt from </w:t>
      </w:r>
      <w:r w:rsidR="003637F3" w:rsidRPr="00A37F7D">
        <w:rPr>
          <w:sz w:val="23"/>
          <w:szCs w:val="23"/>
        </w:rPr>
        <w:t>a</w:t>
      </w:r>
      <w:r w:rsidRPr="00A37F7D">
        <w:rPr>
          <w:sz w:val="23"/>
          <w:szCs w:val="23"/>
        </w:rPr>
        <w:t xml:space="preserve"> feedback form (Podbury 2021)</w:t>
      </w:r>
    </w:p>
    <w:p w14:paraId="528AB6F6" w14:textId="7BD82B00" w:rsidR="00C9629E" w:rsidRPr="00A37F7D" w:rsidRDefault="00076586" w:rsidP="00C9629E">
      <w:pPr>
        <w:jc w:val="both"/>
        <w:rPr>
          <w:sz w:val="23"/>
          <w:szCs w:val="23"/>
        </w:rPr>
      </w:pPr>
      <w:r w:rsidRPr="00A37F7D">
        <w:rPr>
          <w:sz w:val="23"/>
          <w:szCs w:val="23"/>
        </w:rPr>
        <w:t>t</w:t>
      </w:r>
      <w:r w:rsidR="00C9629E" w:rsidRPr="00A37F7D">
        <w:rPr>
          <w:sz w:val="23"/>
          <w:szCs w:val="23"/>
        </w:rPr>
        <w:t xml:space="preserve">he most memorable piece of feedback I have received was during the peer-review of a forthcoming article (Podbury </w:t>
      </w:r>
      <w:r w:rsidR="00C9629E" w:rsidRPr="00A37F7D">
        <w:rPr>
          <w:i/>
          <w:iCs/>
          <w:sz w:val="23"/>
          <w:szCs w:val="23"/>
        </w:rPr>
        <w:t>forthcoming</w:t>
      </w:r>
      <w:r w:rsidR="00C9629E" w:rsidRPr="00A37F7D">
        <w:rPr>
          <w:sz w:val="23"/>
          <w:szCs w:val="23"/>
        </w:rPr>
        <w:t xml:space="preserve">). What initially struck me were a small number of </w:t>
      </w:r>
      <w:r w:rsidR="00C9629E" w:rsidRPr="00A37F7D">
        <w:rPr>
          <w:sz w:val="23"/>
          <w:szCs w:val="23"/>
        </w:rPr>
        <w:lastRenderedPageBreak/>
        <w:t xml:space="preserve">sentences that were highlighted and accompanied by a comment </w:t>
      </w:r>
      <w:proofErr w:type="gramStart"/>
      <w:r w:rsidR="00C9629E" w:rsidRPr="00A37F7D">
        <w:rPr>
          <w:sz w:val="23"/>
          <w:szCs w:val="23"/>
        </w:rPr>
        <w:t>comprising</w:t>
      </w:r>
      <w:proofErr w:type="gramEnd"/>
      <w:r w:rsidR="00C9629E" w:rsidRPr="00A37F7D">
        <w:rPr>
          <w:sz w:val="23"/>
          <w:szCs w:val="23"/>
        </w:rPr>
        <w:t xml:space="preserve"> a single question-mark. I found this ‘feedback’ unhelpful and time-consuming, as the nature of the mistakes were not initially </w:t>
      </w:r>
      <w:proofErr w:type="gramStart"/>
      <w:r w:rsidR="00C9629E" w:rsidRPr="00A37F7D">
        <w:rPr>
          <w:sz w:val="23"/>
          <w:szCs w:val="23"/>
        </w:rPr>
        <w:t>apparent</w:t>
      </w:r>
      <w:proofErr w:type="gramEnd"/>
      <w:r w:rsidR="00C9629E" w:rsidRPr="00A37F7D">
        <w:rPr>
          <w:sz w:val="23"/>
          <w:szCs w:val="23"/>
        </w:rPr>
        <w:t xml:space="preserve">. </w:t>
      </w:r>
      <w:r w:rsidR="00C63C83">
        <w:rPr>
          <w:sz w:val="23"/>
          <w:szCs w:val="23"/>
        </w:rPr>
        <w:t>The communication of f</w:t>
      </w:r>
      <w:r w:rsidR="00C9629E" w:rsidRPr="00A37F7D">
        <w:rPr>
          <w:sz w:val="23"/>
          <w:szCs w:val="23"/>
        </w:rPr>
        <w:t xml:space="preserve">eedback should be clear and unambiguous, as the recipient needs to undoubtedly understand the way in which their performance can be improved </w:t>
      </w:r>
      <w:r w:rsidR="00C4229D" w:rsidRPr="00A37F7D">
        <w:rPr>
          <w:sz w:val="23"/>
          <w:szCs w:val="23"/>
        </w:rPr>
        <w:t xml:space="preserve">(Kluger and </w:t>
      </w:r>
      <w:proofErr w:type="spellStart"/>
      <w:r w:rsidR="00C4229D" w:rsidRPr="00A37F7D">
        <w:rPr>
          <w:sz w:val="23"/>
          <w:szCs w:val="23"/>
        </w:rPr>
        <w:t>DeNisi</w:t>
      </w:r>
      <w:proofErr w:type="spellEnd"/>
      <w:r w:rsidR="00C4229D" w:rsidRPr="00A37F7D">
        <w:rPr>
          <w:sz w:val="23"/>
          <w:szCs w:val="23"/>
        </w:rPr>
        <w:t xml:space="preserve"> 1996; Goodman and Wood 2004)</w:t>
      </w:r>
      <w:r w:rsidR="00C9629E" w:rsidRPr="00A37F7D">
        <w:rPr>
          <w:sz w:val="23"/>
          <w:szCs w:val="23"/>
        </w:rPr>
        <w:t xml:space="preserve">. Most of the feedback, nonetheless, was clearly and unambiguously communicated. The reviewer succinctly noted that several passages were not particularly concise and included unnecessary preambles; this insight was completely correct upon re-reading. </w:t>
      </w:r>
      <w:r w:rsidR="009C2529" w:rsidRPr="00A37F7D">
        <w:rPr>
          <w:sz w:val="23"/>
          <w:szCs w:val="23"/>
        </w:rPr>
        <w:t>A</w:t>
      </w:r>
      <w:r w:rsidR="00C9629E" w:rsidRPr="00A37F7D">
        <w:rPr>
          <w:sz w:val="23"/>
          <w:szCs w:val="23"/>
        </w:rPr>
        <w:t xml:space="preserve">s a result of this perspicuous feedback, I am much more conscious of my </w:t>
      </w:r>
      <w:proofErr w:type="gramStart"/>
      <w:r w:rsidR="00C9629E" w:rsidRPr="00A37F7D">
        <w:rPr>
          <w:sz w:val="23"/>
          <w:szCs w:val="23"/>
        </w:rPr>
        <w:t>conciseness</w:t>
      </w:r>
      <w:proofErr w:type="gramEnd"/>
      <w:r w:rsidR="00C9629E" w:rsidRPr="00A37F7D">
        <w:rPr>
          <w:sz w:val="23"/>
          <w:szCs w:val="23"/>
        </w:rPr>
        <w:t xml:space="preserve"> and I believe this is reflected in my writing. </w:t>
      </w:r>
      <w:proofErr w:type="gramStart"/>
      <w:r w:rsidR="00C9629E" w:rsidRPr="00A37F7D">
        <w:rPr>
          <w:sz w:val="23"/>
          <w:szCs w:val="23"/>
        </w:rPr>
        <w:t>This is why</w:t>
      </w:r>
      <w:proofErr w:type="gramEnd"/>
      <w:r w:rsidR="00C9629E" w:rsidRPr="00A37F7D">
        <w:rPr>
          <w:sz w:val="23"/>
          <w:szCs w:val="23"/>
        </w:rPr>
        <w:t>, when I have given feedback on archaeological report writing, I initially communicate it via a feedback form and subsequently follow-up with the recipient in person (Fig. 1)</w:t>
      </w:r>
      <w:r w:rsidR="00F56C87" w:rsidRPr="00A37F7D">
        <w:rPr>
          <w:sz w:val="23"/>
          <w:szCs w:val="23"/>
        </w:rPr>
        <w:t>.</w:t>
      </w:r>
      <w:r w:rsidR="00C9629E" w:rsidRPr="00A37F7D">
        <w:rPr>
          <w:sz w:val="23"/>
          <w:szCs w:val="23"/>
        </w:rPr>
        <w:t xml:space="preserve"> </w:t>
      </w:r>
      <w:r w:rsidR="00F56C87" w:rsidRPr="00A37F7D">
        <w:rPr>
          <w:sz w:val="23"/>
          <w:szCs w:val="23"/>
        </w:rPr>
        <w:t>T</w:t>
      </w:r>
      <w:r w:rsidR="00C9629E" w:rsidRPr="00A37F7D">
        <w:rPr>
          <w:sz w:val="23"/>
          <w:szCs w:val="23"/>
        </w:rPr>
        <w:t>his gives the recipient</w:t>
      </w:r>
      <w:r w:rsidR="00913744" w:rsidRPr="00A37F7D">
        <w:rPr>
          <w:sz w:val="23"/>
          <w:szCs w:val="23"/>
        </w:rPr>
        <w:t xml:space="preserve"> a re-examinable written account</w:t>
      </w:r>
      <w:r w:rsidR="00F56C87" w:rsidRPr="00A37F7D">
        <w:rPr>
          <w:sz w:val="23"/>
          <w:szCs w:val="23"/>
        </w:rPr>
        <w:t xml:space="preserve"> that they can</w:t>
      </w:r>
      <w:r w:rsidR="00913744" w:rsidRPr="00A37F7D">
        <w:rPr>
          <w:sz w:val="23"/>
          <w:szCs w:val="23"/>
        </w:rPr>
        <w:t xml:space="preserve"> </w:t>
      </w:r>
      <w:proofErr w:type="gramStart"/>
      <w:r w:rsidR="00F56C87" w:rsidRPr="00A37F7D">
        <w:rPr>
          <w:sz w:val="23"/>
          <w:szCs w:val="23"/>
        </w:rPr>
        <w:t>subsequently</w:t>
      </w:r>
      <w:proofErr w:type="gramEnd"/>
      <w:r w:rsidR="00C9629E" w:rsidRPr="00A37F7D">
        <w:rPr>
          <w:sz w:val="23"/>
          <w:szCs w:val="23"/>
        </w:rPr>
        <w:t xml:space="preserve"> ask questions</w:t>
      </w:r>
      <w:r w:rsidR="00F56C87" w:rsidRPr="00A37F7D">
        <w:rPr>
          <w:sz w:val="23"/>
          <w:szCs w:val="23"/>
        </w:rPr>
        <w:t xml:space="preserve"> of</w:t>
      </w:r>
      <w:r w:rsidR="005D61AF" w:rsidRPr="00A37F7D">
        <w:rPr>
          <w:sz w:val="23"/>
          <w:szCs w:val="23"/>
        </w:rPr>
        <w:t xml:space="preserve"> for clarity</w:t>
      </w:r>
      <w:r w:rsidRPr="00A37F7D">
        <w:rPr>
          <w:sz w:val="23"/>
          <w:szCs w:val="23"/>
        </w:rPr>
        <w:t>,</w:t>
      </w:r>
      <w:r w:rsidR="00C9629E" w:rsidRPr="00A37F7D">
        <w:rPr>
          <w:sz w:val="23"/>
          <w:szCs w:val="23"/>
        </w:rPr>
        <w:t xml:space="preserve"> and me an opportunity to belay any concerns</w:t>
      </w:r>
      <w:r w:rsidRPr="00A37F7D">
        <w:rPr>
          <w:sz w:val="23"/>
          <w:szCs w:val="23"/>
        </w:rPr>
        <w:t xml:space="preserve"> in person</w:t>
      </w:r>
      <w:r w:rsidR="00C9629E" w:rsidRPr="00A37F7D">
        <w:rPr>
          <w:sz w:val="23"/>
          <w:szCs w:val="23"/>
        </w:rPr>
        <w:t xml:space="preserve">. </w:t>
      </w:r>
    </w:p>
    <w:p w14:paraId="272A9497" w14:textId="7852C02E" w:rsidR="00C9629E" w:rsidRPr="005D79C4" w:rsidRDefault="005D79C4" w:rsidP="005D79C4">
      <w:pPr>
        <w:jc w:val="both"/>
        <w:rPr>
          <w:b/>
          <w:bCs/>
        </w:rPr>
      </w:pPr>
      <w:r w:rsidRPr="005D79C4">
        <w:rPr>
          <w:b/>
          <w:bCs/>
        </w:rPr>
        <w:t>Bibliography</w:t>
      </w:r>
    </w:p>
    <w:p w14:paraId="04F17536" w14:textId="77777777" w:rsidR="005D79C4" w:rsidRDefault="005D79C4" w:rsidP="005D79C4">
      <w:pPr>
        <w:ind w:left="720" w:hanging="720"/>
        <w:jc w:val="both"/>
      </w:pPr>
      <w:r>
        <w:t xml:space="preserve">Baker, A., Perreault, D., Reid, A. and Blanchard, C. (2013) ‘Feedback and Organizations: Feedback is Good, Feedback-Friendly Culture is Better’, </w:t>
      </w:r>
      <w:r w:rsidRPr="00C9629E">
        <w:rPr>
          <w:i/>
          <w:iCs/>
        </w:rPr>
        <w:t>Canadian Psychology</w:t>
      </w:r>
      <w:r>
        <w:t>, 54(4), pp.260-268.</w:t>
      </w:r>
    </w:p>
    <w:p w14:paraId="3E2A5ADB" w14:textId="77777777" w:rsidR="005D79C4" w:rsidRDefault="005D79C4" w:rsidP="005D79C4">
      <w:pPr>
        <w:ind w:left="720" w:hanging="720"/>
        <w:jc w:val="both"/>
      </w:pPr>
      <w:proofErr w:type="spellStart"/>
      <w:r>
        <w:t>Bindal</w:t>
      </w:r>
      <w:proofErr w:type="spellEnd"/>
      <w:r>
        <w:t xml:space="preserve">, T., Wall, D. and Goodyear, H.M. (2011) ‘Trainee doctors’ views on workplace-based assessments: Are they just a tick box exercise?’, </w:t>
      </w:r>
      <w:r w:rsidRPr="00C9629E">
        <w:rPr>
          <w:i/>
          <w:iCs/>
        </w:rPr>
        <w:t>Medical Teacher</w:t>
      </w:r>
      <w:r>
        <w:t>, 33, pp.919-927.</w:t>
      </w:r>
    </w:p>
    <w:p w14:paraId="79EC4CE9" w14:textId="77777777" w:rsidR="005D79C4" w:rsidRDefault="005D79C4" w:rsidP="005D79C4">
      <w:pPr>
        <w:ind w:left="720" w:hanging="720"/>
        <w:jc w:val="both"/>
      </w:pPr>
      <w:r>
        <w:t xml:space="preserve">Brown, M., Kulik, T. and Lim, V. (2016) ‘Managerial Tactics for Communicating Negative Performance Feedback’, </w:t>
      </w:r>
      <w:r w:rsidRPr="00C9629E">
        <w:rPr>
          <w:i/>
          <w:iCs/>
        </w:rPr>
        <w:t>Personnel Review</w:t>
      </w:r>
      <w:r>
        <w:t>, 45(5), pp.969-987.</w:t>
      </w:r>
    </w:p>
    <w:p w14:paraId="794F802D" w14:textId="77777777" w:rsidR="005D79C4" w:rsidRDefault="005D79C4" w:rsidP="005D79C4">
      <w:pPr>
        <w:ind w:left="720" w:hanging="720"/>
        <w:jc w:val="both"/>
      </w:pPr>
      <w:r>
        <w:t>Goodman, J.S. and Wood, R.E. (2004) ‘Feedback Specificity, Learning Opportunities, and Learning’,</w:t>
      </w:r>
      <w:r>
        <w:rPr>
          <w:i/>
          <w:iCs/>
        </w:rPr>
        <w:t xml:space="preserve"> Journal of Applied Psychology</w:t>
      </w:r>
      <w:r>
        <w:t>, 89(5), pp.809-821.</w:t>
      </w:r>
    </w:p>
    <w:p w14:paraId="79F53029" w14:textId="77777777" w:rsidR="005D79C4" w:rsidRPr="00DB3064" w:rsidRDefault="005D79C4" w:rsidP="005D79C4">
      <w:pPr>
        <w:ind w:left="720" w:hanging="720"/>
        <w:jc w:val="both"/>
      </w:pPr>
      <w:r>
        <w:t xml:space="preserve">Kluger, A.N. and </w:t>
      </w:r>
      <w:proofErr w:type="spellStart"/>
      <w:r>
        <w:t>DeNisi</w:t>
      </w:r>
      <w:proofErr w:type="spellEnd"/>
      <w:r>
        <w:t xml:space="preserve">, A. (1996) ‘The Effects of Feedback Interventions on Performance: A Historical Review, a Meta-analysis and a Preliminary Feedback Intervention Theory’, </w:t>
      </w:r>
      <w:r>
        <w:rPr>
          <w:i/>
          <w:iCs/>
        </w:rPr>
        <w:t>Psychological Bulletin</w:t>
      </w:r>
      <w:r>
        <w:t>, 119, pp.254-284.</w:t>
      </w:r>
    </w:p>
    <w:p w14:paraId="4E4591CD" w14:textId="77777777" w:rsidR="005D79C4" w:rsidRDefault="005D79C4" w:rsidP="005D79C4">
      <w:pPr>
        <w:ind w:left="720" w:hanging="720"/>
        <w:jc w:val="both"/>
      </w:pPr>
      <w:proofErr w:type="spellStart"/>
      <w:r>
        <w:t>Losada</w:t>
      </w:r>
      <w:proofErr w:type="spellEnd"/>
      <w:r>
        <w:t xml:space="preserve">, M. and </w:t>
      </w:r>
      <w:proofErr w:type="spellStart"/>
      <w:r>
        <w:t>Heapthy</w:t>
      </w:r>
      <w:proofErr w:type="spellEnd"/>
      <w:r>
        <w:t xml:space="preserve">, E. (2004) ‘The Role of Positivity and Connectivity in the Performance of Business Teams: A Nonlinear Dynamics Model’, </w:t>
      </w:r>
      <w:r w:rsidRPr="00C9629E">
        <w:rPr>
          <w:i/>
          <w:iCs/>
        </w:rPr>
        <w:t>American Behavioural Scientist</w:t>
      </w:r>
      <w:r>
        <w:t>, 47(6), pp.740-765.</w:t>
      </w:r>
    </w:p>
    <w:p w14:paraId="5DF73785" w14:textId="77777777" w:rsidR="005D79C4" w:rsidRPr="005560DC" w:rsidRDefault="005D79C4" w:rsidP="005D79C4">
      <w:pPr>
        <w:ind w:left="720" w:hanging="720"/>
        <w:jc w:val="both"/>
      </w:pPr>
      <w:r w:rsidRPr="00C9629E">
        <w:t>Podbury, L. (</w:t>
      </w:r>
      <w:r>
        <w:t>2021</w:t>
      </w:r>
      <w:r w:rsidRPr="00C9629E">
        <w:t xml:space="preserve">) </w:t>
      </w:r>
      <w:r>
        <w:rPr>
          <w:i/>
          <w:iCs/>
        </w:rPr>
        <w:t>BE10228 Strawberry Farm, Great Abington: Feedback Form</w:t>
      </w:r>
      <w:r>
        <w:t>. Wardell Armstrong report. Unpublished.</w:t>
      </w:r>
    </w:p>
    <w:p w14:paraId="7019BF2E" w14:textId="77777777" w:rsidR="005D79C4" w:rsidRDefault="005D79C4" w:rsidP="005D79C4">
      <w:pPr>
        <w:ind w:left="720" w:hanging="720"/>
        <w:jc w:val="both"/>
      </w:pPr>
      <w:r>
        <w:t>Podbury, L. (</w:t>
      </w:r>
      <w:r w:rsidRPr="00C9629E">
        <w:t>forthcoming</w:t>
      </w:r>
      <w:r>
        <w:t xml:space="preserve">) ‘Roman and Medieval Activity and Alexandra Works, Fincham’, </w:t>
      </w:r>
      <w:r w:rsidRPr="00C9629E">
        <w:rPr>
          <w:i/>
          <w:iCs/>
        </w:rPr>
        <w:t>Norfolk Archaeology</w:t>
      </w:r>
      <w:r>
        <w:t>.</w:t>
      </w:r>
    </w:p>
    <w:sectPr w:rsidR="005D79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29E"/>
    <w:rsid w:val="0007650D"/>
    <w:rsid w:val="00076586"/>
    <w:rsid w:val="002611B3"/>
    <w:rsid w:val="003637F3"/>
    <w:rsid w:val="003922D1"/>
    <w:rsid w:val="004A2F47"/>
    <w:rsid w:val="005560DC"/>
    <w:rsid w:val="005A63CA"/>
    <w:rsid w:val="005D61AF"/>
    <w:rsid w:val="005D79C4"/>
    <w:rsid w:val="00793784"/>
    <w:rsid w:val="00913744"/>
    <w:rsid w:val="00981DB1"/>
    <w:rsid w:val="009C2529"/>
    <w:rsid w:val="00A24DCA"/>
    <w:rsid w:val="00A37F7D"/>
    <w:rsid w:val="00B3651F"/>
    <w:rsid w:val="00C4229D"/>
    <w:rsid w:val="00C63C83"/>
    <w:rsid w:val="00C9629E"/>
    <w:rsid w:val="00CB6CF0"/>
    <w:rsid w:val="00DB3064"/>
    <w:rsid w:val="00DE2997"/>
    <w:rsid w:val="00E04378"/>
    <w:rsid w:val="00E33684"/>
    <w:rsid w:val="00E77D14"/>
    <w:rsid w:val="00F1038F"/>
    <w:rsid w:val="00F566DB"/>
    <w:rsid w:val="00F56C87"/>
    <w:rsid w:val="00F60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9CF31F"/>
  <w15:chartTrackingRefBased/>
  <w15:docId w15:val="{E17A42F1-B3AD-4B92-B11B-99EB451E2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749</Words>
  <Characters>4270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Podbury, Liam</dc:creator>
  <cp:keywords/>
  <dc:description/>
  <cp:lastModifiedBy>Podbury, Liam</cp:lastModifiedBy>
  <cp:revision>3</cp:revision>
  <dcterms:created xsi:type="dcterms:W3CDTF">2023-01-18T13:12:00Z</dcterms:created>
  <dcterms:modified xsi:type="dcterms:W3CDTF">2023-01-18T13:13:00Z</dcterms:modified>
</cp:coreProperties>
</file>