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D9EFA1" w14:textId="77777777" w:rsidR="009470A0" w:rsidRDefault="009470A0" w:rsidP="009470A0">
      <w:pPr>
        <w:spacing w:before="100" w:beforeAutospacing="1" w:after="100" w:afterAutospacing="1" w:line="360" w:lineRule="auto"/>
        <w:rPr>
          <w:rFonts w:ascii="Arial" w:eastAsia="Times New Roman" w:hAnsi="Arial" w:cs="Arial"/>
          <w:kern w:val="0"/>
          <w:sz w:val="32"/>
          <w:szCs w:val="32"/>
          <w14:ligatures w14:val="none"/>
        </w:rPr>
      </w:pPr>
      <w:r>
        <w:rPr>
          <w:rFonts w:ascii="Arial" w:eastAsia="Times New Roman" w:hAnsi="Arial" w:cs="Arial"/>
          <w:kern w:val="0"/>
          <w:sz w:val="32"/>
          <w:szCs w:val="32"/>
          <w14:ligatures w14:val="none"/>
        </w:rPr>
        <w:t xml:space="preserve">Student Name: Esther </w:t>
      </w:r>
      <w:proofErr w:type="spellStart"/>
      <w:r>
        <w:rPr>
          <w:rFonts w:ascii="Arial" w:eastAsia="Times New Roman" w:hAnsi="Arial" w:cs="Arial"/>
          <w:kern w:val="0"/>
          <w:sz w:val="32"/>
          <w:szCs w:val="32"/>
          <w14:ligatures w14:val="none"/>
        </w:rPr>
        <w:t>Uyi</w:t>
      </w:r>
      <w:proofErr w:type="spellEnd"/>
      <w:r>
        <w:rPr>
          <w:rFonts w:ascii="Arial" w:eastAsia="Times New Roman" w:hAnsi="Arial" w:cs="Arial"/>
          <w:kern w:val="0"/>
          <w:sz w:val="32"/>
          <w:szCs w:val="32"/>
          <w14:ligatures w14:val="none"/>
        </w:rPr>
        <w:t xml:space="preserve"> </w:t>
      </w:r>
      <w:proofErr w:type="spellStart"/>
      <w:r>
        <w:rPr>
          <w:rFonts w:ascii="Arial" w:eastAsia="Times New Roman" w:hAnsi="Arial" w:cs="Arial"/>
          <w:kern w:val="0"/>
          <w:sz w:val="32"/>
          <w:szCs w:val="32"/>
          <w14:ligatures w14:val="none"/>
        </w:rPr>
        <w:t>Okhilu</w:t>
      </w:r>
      <w:proofErr w:type="spellEnd"/>
    </w:p>
    <w:p w14:paraId="62CAD112" w14:textId="77777777" w:rsidR="009470A0" w:rsidRDefault="009470A0" w:rsidP="009470A0">
      <w:pPr>
        <w:spacing w:before="100" w:beforeAutospacing="1" w:after="100" w:afterAutospacing="1" w:line="360" w:lineRule="auto"/>
        <w:rPr>
          <w:rFonts w:ascii="Arial" w:eastAsia="Times New Roman" w:hAnsi="Arial" w:cs="Arial"/>
          <w:kern w:val="0"/>
          <w:sz w:val="32"/>
          <w:szCs w:val="32"/>
          <w14:ligatures w14:val="none"/>
        </w:rPr>
      </w:pPr>
      <w:r>
        <w:rPr>
          <w:rFonts w:ascii="Arial" w:eastAsia="Times New Roman" w:hAnsi="Arial" w:cs="Arial"/>
          <w:kern w:val="0"/>
          <w:sz w:val="32"/>
          <w:szCs w:val="32"/>
          <w14:ligatures w14:val="none"/>
        </w:rPr>
        <w:br/>
        <w:t>Student ID</w:t>
      </w:r>
      <w:r>
        <w:rPr>
          <w:rFonts w:ascii="Arial" w:eastAsia="Times New Roman" w:hAnsi="Arial" w:cs="Arial"/>
          <w:b/>
          <w:bCs/>
          <w:kern w:val="0"/>
          <w:sz w:val="32"/>
          <w:szCs w:val="32"/>
          <w14:ligatures w14:val="none"/>
        </w:rPr>
        <w:t>:</w:t>
      </w:r>
      <w:r>
        <w:rPr>
          <w:rFonts w:ascii="Arial" w:eastAsia="Times New Roman" w:hAnsi="Arial" w:cs="Arial"/>
          <w:kern w:val="0"/>
          <w:sz w:val="32"/>
          <w:szCs w:val="32"/>
          <w14:ligatures w14:val="none"/>
        </w:rPr>
        <w:t xml:space="preserve"> 2433459</w:t>
      </w:r>
    </w:p>
    <w:p w14:paraId="19C39AB9" w14:textId="02BB2C6F" w:rsidR="009470A0" w:rsidRDefault="009470A0" w:rsidP="009470A0">
      <w:pPr>
        <w:spacing w:before="100" w:beforeAutospacing="1" w:after="100" w:afterAutospacing="1" w:line="360" w:lineRule="auto"/>
        <w:rPr>
          <w:rFonts w:ascii="Arial" w:eastAsia="Times New Roman" w:hAnsi="Arial" w:cs="Arial"/>
          <w:kern w:val="0"/>
          <w:sz w:val="32"/>
          <w:szCs w:val="32"/>
          <w14:ligatures w14:val="none"/>
        </w:rPr>
      </w:pPr>
      <w:r>
        <w:rPr>
          <w:rFonts w:ascii="Arial" w:eastAsia="Times New Roman" w:hAnsi="Arial" w:cs="Arial"/>
          <w:kern w:val="0"/>
          <w:sz w:val="32"/>
          <w:szCs w:val="32"/>
          <w14:ligatures w14:val="none"/>
        </w:rPr>
        <w:br/>
        <w:t xml:space="preserve">Module Code: </w:t>
      </w:r>
      <w:r>
        <w:rPr>
          <w:rFonts w:ascii="Arial" w:hAnsi="Arial" w:cs="Arial"/>
          <w:sz w:val="32"/>
          <w:szCs w:val="32"/>
          <w:lang w:val="en-GB"/>
        </w:rPr>
        <w:t>BMHP5016</w:t>
      </w:r>
      <w:r>
        <w:rPr>
          <w:rFonts w:ascii="Arial" w:hAnsi="Arial" w:cs="Arial"/>
          <w:sz w:val="32"/>
          <w:szCs w:val="32"/>
          <w:lang w:val="en-GB"/>
        </w:rPr>
        <w:t xml:space="preserve"> (Component 2)</w:t>
      </w:r>
    </w:p>
    <w:p w14:paraId="0013765D" w14:textId="7A9AD57C" w:rsidR="009470A0" w:rsidRDefault="009470A0" w:rsidP="009470A0">
      <w:pPr>
        <w:spacing w:before="100" w:beforeAutospacing="1" w:after="100" w:afterAutospacing="1" w:line="360" w:lineRule="auto"/>
        <w:rPr>
          <w:rFonts w:ascii="Arial" w:hAnsi="Arial" w:cs="Arial"/>
        </w:rPr>
      </w:pPr>
      <w:r>
        <w:rPr>
          <w:rFonts w:ascii="Arial" w:eastAsia="Times New Roman" w:hAnsi="Arial" w:cs="Arial"/>
          <w:kern w:val="0"/>
          <w:sz w:val="32"/>
          <w:szCs w:val="32"/>
          <w14:ligatures w14:val="none"/>
        </w:rPr>
        <w:br/>
        <w:t>Module Title</w:t>
      </w:r>
      <w:r>
        <w:rPr>
          <w:rFonts w:ascii="Arial" w:eastAsia="Times New Roman" w:hAnsi="Arial" w:cs="Arial"/>
          <w:b/>
          <w:bCs/>
          <w:kern w:val="0"/>
          <w:sz w:val="32"/>
          <w:szCs w:val="32"/>
          <w14:ligatures w14:val="none"/>
        </w:rPr>
        <w:t>:</w:t>
      </w:r>
      <w:r>
        <w:rPr>
          <w:rFonts w:ascii="Arial" w:eastAsia="Times New Roman" w:hAnsi="Arial" w:cs="Arial"/>
          <w:kern w:val="0"/>
          <w:sz w:val="32"/>
          <w:szCs w:val="32"/>
          <w14:ligatures w14:val="none"/>
        </w:rPr>
        <w:t xml:space="preserve"> </w:t>
      </w:r>
      <w:r w:rsidR="006E31BC" w:rsidRPr="006E31BC">
        <w:rPr>
          <w:rFonts w:ascii="Times New Roman" w:hAnsi="Times New Roman" w:cs="Times New Roman"/>
          <w:bCs/>
          <w:sz w:val="32"/>
          <w:szCs w:val="32"/>
        </w:rPr>
        <w:t>Principles of Health and Social Care Practice</w:t>
      </w:r>
    </w:p>
    <w:p w14:paraId="05B08862" w14:textId="76CFB977" w:rsidR="009470A0" w:rsidRDefault="009470A0" w:rsidP="009470A0">
      <w:pPr>
        <w:spacing w:line="360" w:lineRule="auto"/>
        <w:rPr>
          <w:rFonts w:ascii="Arial" w:eastAsia="Times New Roman" w:hAnsi="Arial" w:cs="Arial"/>
          <w:kern w:val="0"/>
          <w:sz w:val="32"/>
          <w:szCs w:val="32"/>
          <w14:ligatures w14:val="none"/>
        </w:rPr>
      </w:pPr>
      <w:r>
        <w:rPr>
          <w:rFonts w:ascii="Arial" w:eastAsia="Times New Roman" w:hAnsi="Arial" w:cs="Arial"/>
          <w:kern w:val="0"/>
          <w:sz w:val="32"/>
          <w:szCs w:val="32"/>
          <w14:ligatures w14:val="none"/>
        </w:rPr>
        <w:br/>
        <w:t xml:space="preserve">Lecturer: </w:t>
      </w:r>
      <w:r w:rsidR="00852DB0" w:rsidRPr="00852DB0">
        <w:rPr>
          <w:rFonts w:ascii="Times New Roman" w:eastAsia="Times New Roman" w:hAnsi="Times New Roman" w:cs="Times New Roman"/>
          <w:kern w:val="0"/>
          <w:sz w:val="32"/>
          <w:szCs w:val="32"/>
          <w14:ligatures w14:val="none"/>
        </w:rPr>
        <w:t>Azida Zainol</w:t>
      </w:r>
    </w:p>
    <w:p w14:paraId="32842E6F" w14:textId="77777777" w:rsidR="009470A0" w:rsidRDefault="009470A0" w:rsidP="009470A0">
      <w:pPr>
        <w:spacing w:line="360" w:lineRule="auto"/>
        <w:rPr>
          <w:rFonts w:ascii="Arial" w:eastAsia="Times New Roman" w:hAnsi="Arial" w:cs="Arial"/>
          <w:kern w:val="0"/>
          <w:sz w:val="32"/>
          <w:szCs w:val="32"/>
          <w14:ligatures w14:val="none"/>
        </w:rPr>
      </w:pPr>
    </w:p>
    <w:p w14:paraId="643D65F7" w14:textId="03F26657" w:rsidR="009470A0" w:rsidRDefault="009470A0" w:rsidP="009470A0">
      <w:pPr>
        <w:spacing w:line="360" w:lineRule="auto"/>
        <w:rPr>
          <w:rFonts w:ascii="Arial" w:eastAsia="Times New Roman" w:hAnsi="Arial" w:cs="Arial"/>
          <w:kern w:val="0"/>
          <w:sz w:val="32"/>
          <w:szCs w:val="32"/>
          <w14:ligatures w14:val="none"/>
        </w:rPr>
      </w:pPr>
      <w:r>
        <w:rPr>
          <w:rFonts w:ascii="Arial" w:eastAsia="Times New Roman" w:hAnsi="Arial" w:cs="Arial"/>
          <w:kern w:val="0"/>
          <w:sz w:val="32"/>
          <w:szCs w:val="32"/>
          <w14:ligatures w14:val="none"/>
        </w:rPr>
        <w:t>Word Count: 2191</w:t>
      </w:r>
    </w:p>
    <w:p w14:paraId="32E05B69" w14:textId="77777777" w:rsidR="006E31BC" w:rsidRDefault="006E31BC" w:rsidP="009470A0">
      <w:pPr>
        <w:spacing w:line="360" w:lineRule="auto"/>
        <w:rPr>
          <w:rFonts w:ascii="Arial" w:eastAsia="Times New Roman" w:hAnsi="Arial" w:cs="Arial"/>
          <w:kern w:val="0"/>
          <w:sz w:val="32"/>
          <w:szCs w:val="32"/>
          <w14:ligatures w14:val="none"/>
        </w:rPr>
      </w:pPr>
    </w:p>
    <w:p w14:paraId="2ABD4B49" w14:textId="6F019531" w:rsidR="006E31BC" w:rsidRPr="006E31BC" w:rsidRDefault="006E31BC" w:rsidP="009470A0">
      <w:pPr>
        <w:spacing w:line="360" w:lineRule="auto"/>
        <w:rPr>
          <w:rFonts w:ascii="Arial" w:eastAsia="Times New Roman" w:hAnsi="Arial" w:cs="Arial"/>
          <w:kern w:val="0"/>
          <w:sz w:val="32"/>
          <w:szCs w:val="32"/>
          <w14:ligatures w14:val="none"/>
        </w:rPr>
      </w:pPr>
      <w:r>
        <w:rPr>
          <w:rFonts w:ascii="Arial" w:eastAsia="Times New Roman" w:hAnsi="Arial" w:cs="Arial"/>
          <w:kern w:val="0"/>
          <w:sz w:val="32"/>
          <w:szCs w:val="32"/>
          <w14:ligatures w14:val="none"/>
        </w:rPr>
        <w:t>TOPIC:</w:t>
      </w:r>
      <w:r>
        <w:rPr>
          <w:rFonts w:ascii="Arial" w:eastAsia="Times New Roman" w:hAnsi="Arial" w:cs="Arial"/>
          <w:kern w:val="0"/>
          <w:sz w:val="32"/>
          <w:szCs w:val="32"/>
          <w14:ligatures w14:val="none"/>
        </w:rPr>
        <w:br/>
      </w:r>
      <w:r w:rsidRPr="006E31BC">
        <w:rPr>
          <w:rFonts w:ascii="Times New Roman" w:hAnsi="Times New Roman" w:cs="Times New Roman"/>
          <w:sz w:val="36"/>
          <w:szCs w:val="36"/>
        </w:rPr>
        <w:t>A Critical Evaluation of Person-Centred Care and Partnership Working in Health and Social Care</w:t>
      </w:r>
    </w:p>
    <w:p w14:paraId="606CCCBA" w14:textId="77777777" w:rsidR="009470A0" w:rsidRDefault="009470A0" w:rsidP="009470A0">
      <w:pPr>
        <w:spacing w:line="360" w:lineRule="auto"/>
        <w:rPr>
          <w:rFonts w:ascii="Arial" w:hAnsi="Arial" w:cs="Arial"/>
        </w:rPr>
      </w:pPr>
    </w:p>
    <w:p w14:paraId="48F6DABF" w14:textId="77777777" w:rsidR="009470A0" w:rsidRDefault="009470A0" w:rsidP="009470A0">
      <w:pPr>
        <w:spacing w:line="360" w:lineRule="auto"/>
        <w:rPr>
          <w:rFonts w:ascii="Arial" w:hAnsi="Arial" w:cs="Arial"/>
        </w:rPr>
      </w:pPr>
    </w:p>
    <w:p w14:paraId="5A4592EA" w14:textId="77777777" w:rsidR="00CA20CD" w:rsidRDefault="00CA20CD" w:rsidP="00CA20CD">
      <w:pPr>
        <w:spacing w:line="360" w:lineRule="auto"/>
        <w:rPr>
          <w:rFonts w:ascii="Times New Roman" w:hAnsi="Times New Roman" w:cs="Times New Roman"/>
          <w:sz w:val="32"/>
          <w:szCs w:val="32"/>
        </w:rPr>
      </w:pPr>
    </w:p>
    <w:p w14:paraId="1F302916" w14:textId="77777777" w:rsidR="00CA20CD" w:rsidRDefault="00CA20CD" w:rsidP="00CA20CD">
      <w:pPr>
        <w:spacing w:line="360" w:lineRule="auto"/>
        <w:rPr>
          <w:rFonts w:ascii="Times New Roman" w:hAnsi="Times New Roman" w:cs="Times New Roman"/>
          <w:sz w:val="32"/>
          <w:szCs w:val="32"/>
        </w:rPr>
      </w:pPr>
    </w:p>
    <w:p w14:paraId="0DF25AF8" w14:textId="31F500E5" w:rsidR="00DB3DAA" w:rsidRPr="005D7F1A" w:rsidRDefault="00DB3DAA" w:rsidP="00CA20CD">
      <w:pPr>
        <w:spacing w:line="360" w:lineRule="auto"/>
        <w:rPr>
          <w:rFonts w:ascii="Times New Roman" w:hAnsi="Times New Roman" w:cs="Times New Roman"/>
          <w:sz w:val="32"/>
          <w:szCs w:val="32"/>
        </w:rPr>
      </w:pPr>
      <w:r w:rsidRPr="005D7F1A">
        <w:rPr>
          <w:rFonts w:ascii="Times New Roman" w:hAnsi="Times New Roman" w:cs="Times New Roman"/>
          <w:sz w:val="32"/>
          <w:szCs w:val="32"/>
        </w:rPr>
        <w:lastRenderedPageBreak/>
        <w:t xml:space="preserve"> Introduction</w:t>
      </w:r>
    </w:p>
    <w:p w14:paraId="259889E0" w14:textId="58784B43" w:rsidR="00DB3DAA" w:rsidRDefault="00DB3DAA" w:rsidP="00CA20CD">
      <w:pPr>
        <w:pStyle w:val="NormalWeb"/>
        <w:spacing w:line="360" w:lineRule="auto"/>
      </w:pPr>
      <w:r>
        <w:t>Person-centred care (PCC) has become a defining principle of contemporary health and social care in the United Kingdom, reflecting a shift from traditional disease-focused care towards approaches that recognise individuals' values, preferences, and active participation in decisions affecting their health (NHS England, 20</w:t>
      </w:r>
      <w:r w:rsidR="006E31BC">
        <w:t>19</w:t>
      </w:r>
      <w:r>
        <w:t>).</w:t>
      </w:r>
      <w:r w:rsidR="00A37CEC" w:rsidRPr="00A37CEC">
        <w:t xml:space="preserve"> </w:t>
      </w:r>
      <w:r w:rsidR="00A37CEC">
        <w:t>Partnership working is essential for meeting the complex needs of older adults and people with long-term conditions</w:t>
      </w:r>
      <w:r>
        <w:t>. Effective collaboration between healthcare professionals, social care providers, patients, carers, and voluntary organisations is essential for delivering coordinated, safe, and high-quality services (Department of Health and Social Care, 2022).</w:t>
      </w:r>
    </w:p>
    <w:p w14:paraId="67EE2F8A" w14:textId="77777777" w:rsidR="00DB3DAA" w:rsidRDefault="00DB3DAA" w:rsidP="00CA20CD">
      <w:pPr>
        <w:pStyle w:val="NormalWeb"/>
        <w:spacing w:line="360" w:lineRule="auto"/>
      </w:pPr>
      <w:r>
        <w:t>This report critically evaluates the principles of person-centred care and partnership working within UK health and social care practice. It examines the theoretical framework underpinning person-centred care, analyses the ethical principles informing professional practice, evaluates partnership working within an older adult hospital setting, critically discusses relevant legislation and policy, and proposes recommendations to strengthen future practice. Throughout, the report argues that effective person-centred care depends not only on professional competence but also on organisational commitment, integrated services, and meaningful patient involvement.</w:t>
      </w:r>
    </w:p>
    <w:p w14:paraId="365CAF29" w14:textId="7E2A3CF2" w:rsidR="00A37CEC" w:rsidRPr="005D7F1A" w:rsidRDefault="00A37CEC" w:rsidP="00CA20CD">
      <w:pPr>
        <w:spacing w:line="360" w:lineRule="auto"/>
        <w:rPr>
          <w:rFonts w:ascii="Times New Roman" w:hAnsi="Times New Roman" w:cs="Times New Roman"/>
          <w:sz w:val="32"/>
          <w:szCs w:val="32"/>
        </w:rPr>
      </w:pPr>
      <w:r w:rsidRPr="005D7F1A">
        <w:rPr>
          <w:rFonts w:ascii="Times New Roman" w:hAnsi="Times New Roman" w:cs="Times New Roman"/>
          <w:sz w:val="32"/>
          <w:szCs w:val="32"/>
        </w:rPr>
        <w:t>Person-Centred Care: Definition, Benefits and Limitations</w:t>
      </w:r>
    </w:p>
    <w:p w14:paraId="07A7DF15" w14:textId="66A32B0B" w:rsidR="00A37CEC" w:rsidRDefault="00A37CEC" w:rsidP="00CA20CD">
      <w:pPr>
        <w:pStyle w:val="NormalWeb"/>
        <w:spacing w:line="360" w:lineRule="auto"/>
      </w:pPr>
      <w:r>
        <w:t>Person-centred care (PCC) is an approach to healthcare that recognises individuals as active partners in decisions about their care, ensuring that services are tailored to their values, preferences, and circumstances rather than focusing solely on disease management (National Institute for Health and Care Excellence (NICE), 2021). The approach reflects a shift from the traditional biomedical model towards a holistic perspective that considers the physical, psychological, social, and emotional factors influencing health (McCormack and McCance, 2021).</w:t>
      </w:r>
      <w:r w:rsidR="005D7F1A">
        <w:br/>
      </w:r>
      <w:r>
        <w:t xml:space="preserve">Evidence indicates that PCC improves patient satisfaction, treatment adherence, and health outcomes by promoting shared decision-making and strengthening relationships between healthcare professionals and service users (Barry and Edgman-Levitan, 2012). For older adults with multiple long-term conditions, involving patients and their families in care planning can </w:t>
      </w:r>
      <w:r>
        <w:lastRenderedPageBreak/>
        <w:t xml:space="preserve">improve continuity of care, support safer discharge, and reduce avoidable hospital readmissions (Coulter, </w:t>
      </w:r>
      <w:proofErr w:type="gramStart"/>
      <w:r>
        <w:t>Roberts</w:t>
      </w:r>
      <w:proofErr w:type="gramEnd"/>
      <w:r>
        <w:t xml:space="preserve"> and Dixon, 2015). Person-centred approaches also improve communication, self-management, and efficient use of healthcare resources</w:t>
      </w:r>
      <w:r w:rsidR="005D7F1A">
        <w:t>.</w:t>
      </w:r>
      <w:r w:rsidR="005D7F1A">
        <w:br/>
      </w:r>
      <w:r>
        <w:t>However, despite widespread policy support, implementing PCC consistently remains challenging. Workforce shortages, increasing service demand, and limited consultation time frequently restrict opportunities for meaningful patient engagement, resulting in care that prioritises organisational targets over individual preferences (The King's Fund, 2022). These challenges suggest that person-centred care cannot be achieved solely through professional commitment but also requires supportive organisational structures and adequate resources.</w:t>
      </w:r>
    </w:p>
    <w:p w14:paraId="1CFB4F2C" w14:textId="6F9C3DAA" w:rsidR="00A37CEC" w:rsidRDefault="00A37CEC" w:rsidP="00CA20CD">
      <w:pPr>
        <w:pStyle w:val="NormalWeb"/>
        <w:spacing w:line="360" w:lineRule="auto"/>
      </w:pPr>
      <w:r>
        <w:t>Implementation may also be constrained when individuals experience cognitive impairment, communication difficulties, or reduced decision-making capacity. Although the Mental Capacity Act 2005 provides a legal framework for supporting individuals who lack capacity, healthcare professionals must balance respect for patient autonomy with their responsibility to act in the person's best interests. Consequently, person-centred care often involves complex ethical and clinical judgements rather than straightforward application of policy.</w:t>
      </w:r>
      <w:r w:rsidR="00CA20CD">
        <w:br/>
      </w:r>
      <w:r>
        <w:t xml:space="preserve">Critically, while PCC is </w:t>
      </w:r>
      <w:proofErr w:type="spellStart"/>
      <w:r>
        <w:t>recognised</w:t>
      </w:r>
      <w:proofErr w:type="spellEnd"/>
      <w:r>
        <w:t xml:space="preserve"> as the benchmark for high-quality healthcare, its effectiveness depends on organisational culture, leadership, and multidisciplinary collaboration. Without these enabling factors, person-centred care risks becoming a policy aspiration rather than a consistently embedded practice. Therefore, sustainable implementation requires investment in workforce development, integrated services, and systems that support genuine patient involvement.</w:t>
      </w:r>
    </w:p>
    <w:p w14:paraId="0F333BB0" w14:textId="3911F1FA" w:rsidR="00A37CEC" w:rsidRPr="005D7F1A" w:rsidRDefault="00A37CEC" w:rsidP="00CA20CD">
      <w:pPr>
        <w:spacing w:line="360" w:lineRule="auto"/>
        <w:rPr>
          <w:rFonts w:ascii="Times New Roman" w:hAnsi="Times New Roman" w:cs="Times New Roman"/>
          <w:sz w:val="32"/>
          <w:szCs w:val="32"/>
        </w:rPr>
      </w:pPr>
      <w:r w:rsidRPr="005D7F1A">
        <w:rPr>
          <w:rFonts w:ascii="Times New Roman" w:hAnsi="Times New Roman" w:cs="Times New Roman"/>
          <w:sz w:val="32"/>
          <w:szCs w:val="32"/>
        </w:rPr>
        <w:t>Critically Examining the McCormack and McCance Person-Centred Practice Framework</w:t>
      </w:r>
    </w:p>
    <w:p w14:paraId="3B8595E5" w14:textId="77777777" w:rsidR="00A37CEC" w:rsidRDefault="00A37CEC" w:rsidP="00CA20CD">
      <w:pPr>
        <w:pStyle w:val="NormalWeb"/>
        <w:spacing w:line="360" w:lineRule="auto"/>
      </w:pPr>
      <w:r>
        <w:t xml:space="preserve">The McCormack and McCance Person-Centred Practice Framework is widely </w:t>
      </w:r>
      <w:proofErr w:type="spellStart"/>
      <w:r>
        <w:t>recognised</w:t>
      </w:r>
      <w:proofErr w:type="spellEnd"/>
      <w:r>
        <w:t xml:space="preserve"> as a leading theoretical model underpinning person-centred care. The framework proposes that high-quality care is achieved through the interaction of four key elements: professionally competent staff (prerequisites), a supportive care environment, person-centred processes, and positive care outcomes (McCormack and McCance, 2021). Unlike traditional biomedical models that </w:t>
      </w:r>
      <w:proofErr w:type="spellStart"/>
      <w:r>
        <w:lastRenderedPageBreak/>
        <w:t>prioritise</w:t>
      </w:r>
      <w:proofErr w:type="spellEnd"/>
      <w:r>
        <w:t xml:space="preserve"> disease management, the framework </w:t>
      </w:r>
      <w:proofErr w:type="spellStart"/>
      <w:r>
        <w:t>emphasises</w:t>
      </w:r>
      <w:proofErr w:type="spellEnd"/>
      <w:r>
        <w:t xml:space="preserve"> therapeutic relationships, shared decision-making, and holistic care.</w:t>
      </w:r>
    </w:p>
    <w:p w14:paraId="20860B5C" w14:textId="3A712F08" w:rsidR="00A37CEC" w:rsidRDefault="00A37CEC" w:rsidP="00CA20CD">
      <w:pPr>
        <w:pStyle w:val="NormalWeb"/>
        <w:spacing w:line="360" w:lineRule="auto"/>
      </w:pPr>
      <w:r>
        <w:t>A major strength of the framework is its recognition that delivering person-centred care requires organisational as well as individual commitment.</w:t>
      </w:r>
      <w:r w:rsidRPr="00A37CEC">
        <w:t xml:space="preserve"> </w:t>
      </w:r>
      <w:r>
        <w:t>The framework recognises that compassionate care depends on leadership, organisational culture, staffing, and collaboration. This systems-based perspective aligns with the Care Quality Commission's emphasis on well-led services and organisational cultures that support safe, responsive, and person-centred care (Care Quality Commission, 2023).</w:t>
      </w:r>
      <w:r w:rsidR="00852DB0">
        <w:br/>
      </w:r>
      <w:r>
        <w:t xml:space="preserve">The framework is particularly applicable to older adult hospital care, where patients often require coordinated input from multidisciplinary teams. Encouraging collaboration between healthcare professionals, patients, and carers supports comprehensive assessment, </w:t>
      </w:r>
      <w:proofErr w:type="spellStart"/>
      <w:r>
        <w:t>personalised</w:t>
      </w:r>
      <w:proofErr w:type="spellEnd"/>
      <w:r>
        <w:t xml:space="preserve"> care planning, and safer discharge decisions. Such an approach reflects contemporary evidence that integrated, person-centred practice improves patient experiences and continuity of care (NICE, 2021).</w:t>
      </w:r>
      <w:r w:rsidR="005D7F1A">
        <w:br/>
      </w:r>
      <w:r>
        <w:t>However, the framework assumes that organisations possess sufficient staffing, resources, and leadership to implement person-centred practice consistently. Within the NHS, workforce shortages, increasing service demand, and operational pressures frequently limit opportunities for meaningful patient engagement, reducing the practicality of fully implementing the model (The King's Fund, 2022). Consequently, its effectiveness may vary considerably across healthcare settings.</w:t>
      </w:r>
      <w:r w:rsidR="005D7F1A">
        <w:br/>
      </w:r>
      <w:r>
        <w:t>Critically, the framework remains highly relevant because it recognises that person-centred care is shaped by organisational culture as much as professional competence. Nevertheless, achieving its intended outcomes requires sustained investment in workforce development, collaborative leadership, and integrated partnership working. Therefore, while the framework provides a robust foundation for person-centred practice, its success ultimately depends on the healthcare system's capacity to translate theory into everyday clinical practice.</w:t>
      </w:r>
    </w:p>
    <w:p w14:paraId="703C7842" w14:textId="4400EF20" w:rsidR="00A37CEC" w:rsidRPr="005D7F1A" w:rsidRDefault="00A37CEC" w:rsidP="00CA20CD">
      <w:pPr>
        <w:spacing w:line="360" w:lineRule="auto"/>
        <w:rPr>
          <w:rFonts w:ascii="Times New Roman" w:hAnsi="Times New Roman" w:cs="Times New Roman"/>
          <w:sz w:val="32"/>
          <w:szCs w:val="32"/>
        </w:rPr>
      </w:pPr>
      <w:proofErr w:type="spellStart"/>
      <w:r w:rsidRPr="005D7F1A">
        <w:rPr>
          <w:rFonts w:ascii="Times New Roman" w:hAnsi="Times New Roman" w:cs="Times New Roman"/>
          <w:sz w:val="32"/>
          <w:szCs w:val="32"/>
        </w:rPr>
        <w:t>Analysing</w:t>
      </w:r>
      <w:proofErr w:type="spellEnd"/>
      <w:r w:rsidRPr="005D7F1A">
        <w:rPr>
          <w:rFonts w:ascii="Times New Roman" w:hAnsi="Times New Roman" w:cs="Times New Roman"/>
          <w:sz w:val="32"/>
          <w:szCs w:val="32"/>
        </w:rPr>
        <w:t xml:space="preserve"> the Ethical Principles Underpinning Health and Social Care</w:t>
      </w:r>
    </w:p>
    <w:p w14:paraId="28724AF5" w14:textId="0909EF26" w:rsidR="00A37CEC" w:rsidRDefault="00A37CEC" w:rsidP="00CA20CD">
      <w:pPr>
        <w:pStyle w:val="NormalWeb"/>
        <w:spacing w:line="360" w:lineRule="auto"/>
      </w:pPr>
      <w:r>
        <w:t xml:space="preserve">Ethical principles provide the foundation for safe, lawful, and person-centred health and social care practice by guiding professional decision-making in situations where clinical, legal, and </w:t>
      </w:r>
      <w:r>
        <w:lastRenderedPageBreak/>
        <w:t>moral responsibilities intersect. The four principles of biomedical ethics</w:t>
      </w:r>
      <w:r>
        <w:t xml:space="preserve"> </w:t>
      </w:r>
      <w:r>
        <w:t>autonomy, beneficence, non-maleficence, and justice</w:t>
      </w:r>
      <w:r w:rsidR="00CA20CD">
        <w:t xml:space="preserve"> </w:t>
      </w:r>
      <w:r>
        <w:t>are particularly relevant to delivering compassionate and equitable care (Beauchamp and Childress, 2019).</w:t>
      </w:r>
      <w:r w:rsidR="00852DB0">
        <w:br/>
      </w:r>
      <w:r>
        <w:t xml:space="preserve">Respect for </w:t>
      </w:r>
      <w:r w:rsidRPr="00CA20CD">
        <w:rPr>
          <w:rStyle w:val="Strong"/>
          <w:b w:val="0"/>
          <w:bCs w:val="0"/>
        </w:rPr>
        <w:t>autonomy</w:t>
      </w:r>
      <w:r>
        <w:t xml:space="preserve"> requires healthcare professionals to support individuals in making informed decisions about their care through effective communication and shared decision-making (National Institute for Health and Care Excellence (NICE), 2021). However, autonomy is not absolute. In older adult hospital care, professionals may need to balance patient choice with legal responsibilities when cognitive impairment affects decision-making capacity. The Mental Capacity Act 2005 provides a framework for ensuring that decisions made on behalf of individuals who lack capacity are undertaken in their best interests while preserving their rights wherever possible.</w:t>
      </w:r>
      <w:r w:rsidR="005D7F1A">
        <w:br/>
      </w:r>
      <w:r>
        <w:t xml:space="preserve">The principles of </w:t>
      </w:r>
      <w:r w:rsidRPr="005D7F1A">
        <w:rPr>
          <w:rStyle w:val="Strong"/>
          <w:b w:val="0"/>
          <w:bCs w:val="0"/>
        </w:rPr>
        <w:t>beneficence</w:t>
      </w:r>
      <w:r w:rsidRPr="005D7F1A">
        <w:rPr>
          <w:b/>
          <w:bCs/>
        </w:rPr>
        <w:t xml:space="preserve"> </w:t>
      </w:r>
      <w:r w:rsidRPr="005D7F1A">
        <w:t xml:space="preserve">and </w:t>
      </w:r>
      <w:r w:rsidRPr="005D7F1A">
        <w:rPr>
          <w:rStyle w:val="Strong"/>
          <w:b w:val="0"/>
          <w:bCs w:val="0"/>
        </w:rPr>
        <w:t>non-maleficence</w:t>
      </w:r>
      <w:r>
        <w:t xml:space="preserve"> require professionals to maximise patient wellbeing while avoiding unnecessary harm. These principles reinforce multidisciplinary collaboration, as effective communication between healthcare professionals reduces clinical errors, improves patient safety, and supports coordinated care</w:t>
      </w:r>
      <w:r w:rsidRPr="005D7F1A">
        <w:rPr>
          <w:b/>
          <w:bCs/>
        </w:rPr>
        <w:t xml:space="preserve">. </w:t>
      </w:r>
      <w:r w:rsidRPr="005D7F1A">
        <w:rPr>
          <w:rStyle w:val="Strong"/>
          <w:b w:val="0"/>
          <w:bCs w:val="0"/>
        </w:rPr>
        <w:t>Justice</w:t>
      </w:r>
      <w:r>
        <w:t xml:space="preserve"> complements these principles by promoting fair and equitable access to healthcare regardless of age, disability, ethnicity, or socioeconomic status, consistent with the Equality Act 2010.</w:t>
      </w:r>
    </w:p>
    <w:p w14:paraId="43B25CD0" w14:textId="1528726B" w:rsidR="00A37CEC" w:rsidRDefault="00A37CEC" w:rsidP="00CA20CD">
      <w:pPr>
        <w:pStyle w:val="NormalWeb"/>
        <w:spacing w:line="360" w:lineRule="auto"/>
      </w:pPr>
      <w:r>
        <w:t>Critically, ethical principles rarely operate independently. Healthcare professionals frequently encounter situations where respecting patient autonomy may conflict with beneficence or where limited resources challenge the equitable allocation of care.</w:t>
      </w:r>
      <w:r w:rsidRPr="00A37CEC">
        <w:t xml:space="preserve"> </w:t>
      </w:r>
      <w:r>
        <w:t>Ethical decision-making therefore requires professional judgement, collaboration, and legal compliance</w:t>
      </w:r>
      <w:r>
        <w:t>.</w:t>
      </w:r>
      <w:r>
        <w:t xml:space="preserve"> Therefore, ethics remains central to delivering person-centred care that is both compassionate and accountable.</w:t>
      </w:r>
    </w:p>
    <w:p w14:paraId="7EC6B21D" w14:textId="4EA5870F" w:rsidR="00A37CEC" w:rsidRPr="005D7F1A" w:rsidRDefault="00A37CEC" w:rsidP="00CA20CD">
      <w:pPr>
        <w:spacing w:line="360" w:lineRule="auto"/>
        <w:rPr>
          <w:rFonts w:ascii="Times New Roman" w:hAnsi="Times New Roman" w:cs="Times New Roman"/>
          <w:sz w:val="32"/>
          <w:szCs w:val="32"/>
        </w:rPr>
      </w:pPr>
      <w:r w:rsidRPr="005D7F1A">
        <w:rPr>
          <w:rFonts w:ascii="Times New Roman" w:hAnsi="Times New Roman" w:cs="Times New Roman"/>
          <w:sz w:val="32"/>
          <w:szCs w:val="32"/>
        </w:rPr>
        <w:t>Critically Evaluating Partnership Working in Health and Social Care</w:t>
      </w:r>
    </w:p>
    <w:p w14:paraId="0ACFB6FB" w14:textId="2D566F36" w:rsidR="00A37CEC" w:rsidRDefault="00A37CEC" w:rsidP="00CA20CD">
      <w:pPr>
        <w:pStyle w:val="NormalWeb"/>
        <w:spacing w:line="360" w:lineRule="auto"/>
      </w:pPr>
      <w:r>
        <w:t xml:space="preserve">Partnership working is the collaborative process through which health professionals, social care practitioners, patients, carers, and voluntary organisations coordinate their expertise to deliver integrated, person-centred care. It has become a fundamental principle of UK health and social care policy because many individuals, particularly older adults with complex health needs, require services that extend beyond the expertise of a single professional or </w:t>
      </w:r>
      <w:proofErr w:type="spellStart"/>
      <w:r>
        <w:t>organisation</w:t>
      </w:r>
      <w:proofErr w:type="spellEnd"/>
      <w:r>
        <w:t xml:space="preserve"> (Department of Health and Social Care, 2022).</w:t>
      </w:r>
      <w:r w:rsidR="00CA20CD">
        <w:br/>
      </w:r>
      <w:r>
        <w:lastRenderedPageBreak/>
        <w:t xml:space="preserve">Effective partnership working improves continuity through shared decision-making, coordinated care planning, and information sharing. Multidisciplinary teams (MDTs) enable healthcare providers to address patients' physical, psychological, and social needs holistically, reducing fragmented care and supporting safer hospital discharge (Reeves </w:t>
      </w:r>
      <w:r>
        <w:rPr>
          <w:rStyle w:val="Emphasis"/>
        </w:rPr>
        <w:t>et al</w:t>
      </w:r>
      <w:r>
        <w:t>., 2017). Evidence suggests that integrated working can improve patient outcomes, reduce avoidable hospital admissions, and enhance patient satisfaction when communication and professional roles are clearly defined.</w:t>
      </w:r>
    </w:p>
    <w:p w14:paraId="1816D4A9" w14:textId="5AC3BE5D" w:rsidR="00A37CEC" w:rsidRDefault="00A37CEC" w:rsidP="00CA20CD">
      <w:pPr>
        <w:pStyle w:val="NormalWeb"/>
        <w:spacing w:line="360" w:lineRule="auto"/>
      </w:pPr>
      <w:r>
        <w:t>Despite these benefits, partnership working remains difficult to implement consistently. Organisational differences, incompatible information systems, professional hierarchies, and resource constraints frequently hinder effective collaboration (The King's Fund, 2022). Poor communication between agencies can delay discharge planning, duplicate assessments, and compromise patient safety. Consequently, establishing partnerships alone does not guarantee integrated care; success depends on mutual trust, effective leadership, and shared accountability across organisations.</w:t>
      </w:r>
      <w:r w:rsidR="005D7F1A">
        <w:br/>
      </w:r>
      <w:r>
        <w:t>The Health and Care Act 2022 sought to strengthen collaboration through Integrated Care Systems (ICSs), encouraging organisations to work collectively to improve population health and reduce health inequalities. However, early evidence indicates that structural reform alone cannot overcome longstanding workforce shortages and financial pressures affecting service delivery.</w:t>
      </w:r>
    </w:p>
    <w:p w14:paraId="3EE90E18" w14:textId="77777777" w:rsidR="00A37CEC" w:rsidRDefault="00A37CEC" w:rsidP="00CA20CD">
      <w:pPr>
        <w:pStyle w:val="NormalWeb"/>
        <w:spacing w:line="360" w:lineRule="auto"/>
      </w:pPr>
      <w:r>
        <w:t>Critically, partnership working is essential for delivering person-centred care, but its effectiveness depends less on organisational structures than on the quality of communication, collaborative leadership, and sustained interprofessional relationships. Without these conditions, integrated care risks remaining a policy ambition rather than routine practice.</w:t>
      </w:r>
    </w:p>
    <w:p w14:paraId="0B57B78E" w14:textId="2A7B466F" w:rsidR="00A37CEC" w:rsidRPr="005D7F1A" w:rsidRDefault="00A37CEC" w:rsidP="00CA20CD">
      <w:pPr>
        <w:spacing w:line="360" w:lineRule="auto"/>
        <w:rPr>
          <w:rFonts w:ascii="Times New Roman" w:hAnsi="Times New Roman" w:cs="Times New Roman"/>
          <w:sz w:val="32"/>
          <w:szCs w:val="32"/>
        </w:rPr>
      </w:pPr>
      <w:r w:rsidRPr="005D7F1A">
        <w:rPr>
          <w:rFonts w:ascii="Times New Roman" w:hAnsi="Times New Roman" w:cs="Times New Roman"/>
          <w:sz w:val="32"/>
          <w:szCs w:val="32"/>
        </w:rPr>
        <w:t>Application of Partnership Working in an Older Adult Hospital Setting</w:t>
      </w:r>
    </w:p>
    <w:p w14:paraId="3F298246" w14:textId="77777777" w:rsidR="00A37CEC" w:rsidRDefault="00A37CEC" w:rsidP="00CA20CD">
      <w:pPr>
        <w:pStyle w:val="NormalWeb"/>
        <w:spacing w:line="360" w:lineRule="auto"/>
      </w:pPr>
      <w:r>
        <w:t>Partnership working is fundamental to the delivery of safe and effective care for older adults admitted to hospital, as many patients present with multiple long-term conditions requiring coordinated input from healthcare professionals and community services. Effective multidisciplinary team (MDT) working enables doctors, nurses, physiotherapists, occupational therapists, pharmacists, social workers, and carers to contribute their expertise towards shared care planning and discharge decisions (NICE, 2022).</w:t>
      </w:r>
    </w:p>
    <w:p w14:paraId="26517B9E" w14:textId="67BE1793" w:rsidR="00A37CEC" w:rsidRDefault="00A37CEC" w:rsidP="00CA20CD">
      <w:pPr>
        <w:pStyle w:val="NormalWeb"/>
        <w:spacing w:line="360" w:lineRule="auto"/>
      </w:pPr>
      <w:r>
        <w:lastRenderedPageBreak/>
        <w:t xml:space="preserve">For example, an older patient recovering from a stroke may require medical treatment, physiotherapy to restore mobility, occupational therapy to regain independence, pharmacy input to </w:t>
      </w:r>
      <w:proofErr w:type="spellStart"/>
      <w:r>
        <w:t>optimise</w:t>
      </w:r>
      <w:proofErr w:type="spellEnd"/>
      <w:r>
        <w:t xml:space="preserve"> medication, and social care support to ensure a safe return home.</w:t>
      </w:r>
      <w:r w:rsidR="005D7F1A" w:rsidRPr="005D7F1A">
        <w:t xml:space="preserve"> </w:t>
      </w:r>
      <w:r w:rsidR="005D7F1A">
        <w:t xml:space="preserve">Collaborative assessment enables professionals to identify risks, coordinate interventions, and involve patients in care </w:t>
      </w:r>
      <w:proofErr w:type="gramStart"/>
      <w:r w:rsidR="005D7F1A">
        <w:t>decisions.</w:t>
      </w:r>
      <w:r>
        <w:t>.</w:t>
      </w:r>
      <w:proofErr w:type="gramEnd"/>
      <w:r>
        <w:t xml:space="preserve"> This integrated approach supports person-centred care by </w:t>
      </w:r>
      <w:proofErr w:type="spellStart"/>
      <w:r>
        <w:t>recognising</w:t>
      </w:r>
      <w:proofErr w:type="spellEnd"/>
      <w:r>
        <w:t xml:space="preserve"> that successful recovery depends on addressing physical, psychological, and social needs rather than medical treatment alone.</w:t>
      </w:r>
      <w:r w:rsidR="005D7F1A">
        <w:br/>
      </w:r>
      <w:r>
        <w:t>However, effective partnership working can be undermined by delayed information sharing, unclear professional responsibilities, and limited availability of community services. These challenges may contribute to delayed hospital discharge, fragmented care, and increased risk of readmission, particularly for older adults with complex needs. Workforce shortages and rising demand further restrict the ability of professionals to deliver fully coordinated care.</w:t>
      </w:r>
    </w:p>
    <w:p w14:paraId="1F001AF7" w14:textId="77777777" w:rsidR="00A37CEC" w:rsidRDefault="00A37CEC" w:rsidP="00CA20CD">
      <w:pPr>
        <w:pStyle w:val="NormalWeb"/>
        <w:spacing w:line="360" w:lineRule="auto"/>
      </w:pPr>
      <w:r>
        <w:t>Critically, successful partnership working is determined not simply by the presence of multidisciplinary teams but by the quality of communication, shared decision-making, and coordinated leadership. When these factors are embedded within organisational practice, integrated working improves patient safety, continuity of care, and patient experience. Conversely, where collaboration is ineffective, the quality and person-</w:t>
      </w:r>
      <w:proofErr w:type="spellStart"/>
      <w:r>
        <w:t>centredness</w:t>
      </w:r>
      <w:proofErr w:type="spellEnd"/>
      <w:r>
        <w:t xml:space="preserve"> of care are significantly compromised.</w:t>
      </w:r>
    </w:p>
    <w:p w14:paraId="21D12587" w14:textId="7E7FAF9C" w:rsidR="00A37CEC" w:rsidRPr="00CA20CD" w:rsidRDefault="00A37CEC" w:rsidP="00CA20CD">
      <w:pPr>
        <w:spacing w:line="360" w:lineRule="auto"/>
        <w:rPr>
          <w:rFonts w:ascii="Times New Roman" w:hAnsi="Times New Roman" w:cs="Times New Roman"/>
          <w:sz w:val="32"/>
          <w:szCs w:val="32"/>
        </w:rPr>
      </w:pPr>
      <w:r w:rsidRPr="00CA20CD">
        <w:rPr>
          <w:rFonts w:ascii="Times New Roman" w:hAnsi="Times New Roman" w:cs="Times New Roman"/>
          <w:sz w:val="32"/>
          <w:szCs w:val="32"/>
        </w:rPr>
        <w:t>Policy and Legislation Supporting Person-Centred Care and Partnership Working</w:t>
      </w:r>
    </w:p>
    <w:p w14:paraId="6F9981D5" w14:textId="1F5A30E1" w:rsidR="00A37CEC" w:rsidRDefault="00A37CEC" w:rsidP="00CA20CD">
      <w:pPr>
        <w:pStyle w:val="NormalWeb"/>
        <w:spacing w:line="360" w:lineRule="auto"/>
      </w:pPr>
      <w:r>
        <w:t xml:space="preserve">UK health and social care practice is underpinned by legislation and national policy that promote person-centred care and collaborative working. The </w:t>
      </w:r>
      <w:r w:rsidRPr="005D7F1A">
        <w:rPr>
          <w:rStyle w:val="Strong"/>
          <w:b w:val="0"/>
          <w:bCs w:val="0"/>
        </w:rPr>
        <w:t>Health and Care Act 2022</w:t>
      </w:r>
      <w:r>
        <w:t xml:space="preserve"> established Integrated Care Systems (ICSs) to strengthen collaboration between NHS organisations, local authorities, and voluntary sector partners, with the aim of improving population health, reducing health inequalities, and delivering more coordinated services (Department of Health and Social Care, 2022).</w:t>
      </w:r>
      <w:r w:rsidR="005D7F1A" w:rsidRPr="005D7F1A">
        <w:t xml:space="preserve"> </w:t>
      </w:r>
      <w:r w:rsidR="005D7F1A">
        <w:t>The Act recognises that complex health needs require integrated services</w:t>
      </w:r>
      <w:r>
        <w:t>.</w:t>
      </w:r>
    </w:p>
    <w:p w14:paraId="6F16C7C1" w14:textId="77777777" w:rsidR="00A37CEC" w:rsidRDefault="00A37CEC" w:rsidP="00CA20CD">
      <w:pPr>
        <w:pStyle w:val="NormalWeb"/>
        <w:spacing w:line="360" w:lineRule="auto"/>
      </w:pPr>
      <w:r>
        <w:t xml:space="preserve">The </w:t>
      </w:r>
      <w:r w:rsidRPr="005D7F1A">
        <w:rPr>
          <w:rStyle w:val="Strong"/>
          <w:b w:val="0"/>
          <w:bCs w:val="0"/>
        </w:rPr>
        <w:t>Care Act 2014</w:t>
      </w:r>
      <w:r>
        <w:t xml:space="preserve"> reinforces person-centred practice by requiring local authorities to promote individual wellbeing, involve people in decisions affecting their care, and support integration </w:t>
      </w:r>
      <w:r>
        <w:lastRenderedPageBreak/>
        <w:t xml:space="preserve">between health and social care services. Similarly, the </w:t>
      </w:r>
      <w:r w:rsidRPr="005D7F1A">
        <w:rPr>
          <w:rStyle w:val="Strong"/>
          <w:b w:val="0"/>
          <w:bCs w:val="0"/>
        </w:rPr>
        <w:t>Mental Capacity Act 2005</w:t>
      </w:r>
      <w:r>
        <w:t xml:space="preserve"> protects individuals who may lack decision-making capacity by ensuring that any decisions made on their behalf are lawful, proportionate, and in their best interests. These legal frameworks collectively strengthen patient autonomy while safeguarding vulnerable individuals.</w:t>
      </w:r>
    </w:p>
    <w:p w14:paraId="33F27E24" w14:textId="45048FFB" w:rsidR="00A37CEC" w:rsidRDefault="00A37CEC" w:rsidP="00CA20CD">
      <w:pPr>
        <w:pStyle w:val="NormalWeb"/>
        <w:spacing w:line="360" w:lineRule="auto"/>
      </w:pPr>
      <w:r>
        <w:t xml:space="preserve">National policy also supports these principles. </w:t>
      </w:r>
      <w:r w:rsidRPr="005D7F1A">
        <w:t>The</w:t>
      </w:r>
      <w:r w:rsidRPr="005D7F1A">
        <w:rPr>
          <w:b/>
          <w:bCs/>
        </w:rPr>
        <w:t xml:space="preserve"> </w:t>
      </w:r>
      <w:r w:rsidRPr="005D7F1A">
        <w:rPr>
          <w:rStyle w:val="Strong"/>
          <w:b w:val="0"/>
          <w:bCs w:val="0"/>
        </w:rPr>
        <w:t>NHS Long Term Plan</w:t>
      </w:r>
      <w:r>
        <w:t xml:space="preserve"> (NHS England, 2019) prioritises </w:t>
      </w:r>
      <w:proofErr w:type="spellStart"/>
      <w:r>
        <w:t>personalised</w:t>
      </w:r>
      <w:proofErr w:type="spellEnd"/>
      <w:r>
        <w:t xml:space="preserve"> care, prevention, and integrated community services, while NICE guidance promotes shared decision-making as a key component of high-quality care (NICE, 2021).</w:t>
      </w:r>
      <w:r w:rsidR="005D7F1A">
        <w:br/>
      </w:r>
      <w:r>
        <w:t>Critically, although the legislative and policy framework strongly supports person-centred and integrated care, implementation remains inconsistent. Workforce shortages, financial pressures, and variation in organisational capacity continue to limit the consistent application of these principles across the NHS. Therefore, legislation provides an essential framework for practice, but achieving meaningful improvements depends on effective leadership, adequate resources, and sustained inter-agency collaboration.</w:t>
      </w:r>
    </w:p>
    <w:p w14:paraId="627D8180" w14:textId="4BB3DCCF" w:rsidR="00A37CEC" w:rsidRPr="005D7F1A" w:rsidRDefault="00A37CEC" w:rsidP="00CA20CD">
      <w:pPr>
        <w:spacing w:line="360" w:lineRule="auto"/>
        <w:rPr>
          <w:rFonts w:ascii="Times New Roman" w:hAnsi="Times New Roman" w:cs="Times New Roman"/>
          <w:sz w:val="32"/>
          <w:szCs w:val="32"/>
        </w:rPr>
      </w:pPr>
      <w:r w:rsidRPr="005D7F1A">
        <w:rPr>
          <w:rFonts w:ascii="Times New Roman" w:hAnsi="Times New Roman" w:cs="Times New Roman"/>
          <w:sz w:val="32"/>
          <w:szCs w:val="32"/>
        </w:rPr>
        <w:t>Recommendations</w:t>
      </w:r>
    </w:p>
    <w:p w14:paraId="1F137187" w14:textId="518DF027" w:rsidR="00A37CEC" w:rsidRDefault="00A37CEC" w:rsidP="00CA20CD">
      <w:pPr>
        <w:pStyle w:val="NormalWeb"/>
        <w:spacing w:line="360" w:lineRule="auto"/>
      </w:pPr>
      <w:r>
        <w:t>The findings of this report indicate that improving person-centred care and partnership working requires action at organisational and system levels. First, healthcare organisations should invest in continuous professional development to strengthen communication, shared decision-making, and collaborative leadership skills across multidisciplinary teams. This would enhance professionals' ability to deliver genuinely person-centred care.</w:t>
      </w:r>
      <w:r w:rsidR="00CA20CD">
        <w:br/>
      </w:r>
      <w:r>
        <w:t xml:space="preserve">Second, greater interoperability of digital health and social care records should be </w:t>
      </w:r>
      <w:proofErr w:type="spellStart"/>
      <w:r>
        <w:t>prioritised</w:t>
      </w:r>
      <w:proofErr w:type="spellEnd"/>
      <w:r>
        <w:t xml:space="preserve"> to improve information sharing between organisations. Timely access to accurate patient information would reduce duplication, </w:t>
      </w:r>
      <w:proofErr w:type="spellStart"/>
      <w:r>
        <w:t>minimise</w:t>
      </w:r>
      <w:proofErr w:type="spellEnd"/>
      <w:r>
        <w:t xml:space="preserve"> delays in discharge planning, and improve continuity of care.</w:t>
      </w:r>
      <w:r w:rsidR="00CA20CD">
        <w:br/>
      </w:r>
      <w:r>
        <w:t>Finally, healthcare providers should strengthen patient and carer involvement in care planning and service evaluation. Actively involving service users in decisions about their care promotes autonomy, improves satisfaction, and ensures that services are better aligned with individual needs. Collectively, these measures would support more consistent implementation of person-centred and integrated care across health and social care services.</w:t>
      </w:r>
    </w:p>
    <w:p w14:paraId="527B83B1" w14:textId="06BAA344" w:rsidR="00A37CEC" w:rsidRPr="00CA20CD" w:rsidRDefault="00A37CEC" w:rsidP="00CA20CD">
      <w:pPr>
        <w:spacing w:line="360" w:lineRule="auto"/>
        <w:rPr>
          <w:rFonts w:ascii="Times New Roman" w:hAnsi="Times New Roman" w:cs="Times New Roman"/>
          <w:sz w:val="32"/>
          <w:szCs w:val="32"/>
        </w:rPr>
      </w:pPr>
      <w:r w:rsidRPr="00CA20CD">
        <w:rPr>
          <w:rFonts w:ascii="Times New Roman" w:hAnsi="Times New Roman" w:cs="Times New Roman"/>
          <w:sz w:val="32"/>
          <w:szCs w:val="32"/>
        </w:rPr>
        <w:lastRenderedPageBreak/>
        <w:t>Conclusion</w:t>
      </w:r>
    </w:p>
    <w:p w14:paraId="67780047" w14:textId="77777777" w:rsidR="00A37CEC" w:rsidRDefault="00A37CEC" w:rsidP="00CA20CD">
      <w:pPr>
        <w:pStyle w:val="NormalWeb"/>
        <w:spacing w:line="360" w:lineRule="auto"/>
      </w:pPr>
      <w:r>
        <w:t xml:space="preserve">This report has demonstrated that person-centred care and partnership working are fundamental to delivering high-quality health and social care. While person-centred care promotes improved patient experiences, shared decision-making, and holistic care, its successful implementation depends on supportive organisational cultures, effective leadership, and adequate resources. The McCormack and McCance Person-Centred Practice Framework provides a valuable foundation for understanding how organisational and professional factors influence care quality, while ethical principles and UK legislation ensure that care is delivered lawfully, safely, and with respect for individual rights. The evaluation of partnership working within an older adult hospital setting further illustrates that integrated multidisciplinary collaboration is essential for achieving coordinated and effective care. Ultimately, the evidence indicates that person-centred care can only be </w:t>
      </w:r>
      <w:proofErr w:type="spellStart"/>
      <w:r>
        <w:t>realised</w:t>
      </w:r>
      <w:proofErr w:type="spellEnd"/>
      <w:r>
        <w:t xml:space="preserve"> when policy, professional practice, and organisational systems operate in partnership to meet the needs of individuals.</w:t>
      </w:r>
    </w:p>
    <w:p w14:paraId="5BB47F2C" w14:textId="77777777" w:rsidR="00DB3DAA" w:rsidRDefault="00DB3DAA"/>
    <w:p w14:paraId="6FD26262" w14:textId="77777777" w:rsidR="009470A0" w:rsidRDefault="009470A0"/>
    <w:p w14:paraId="498CDA50" w14:textId="77777777" w:rsidR="009470A0" w:rsidRDefault="009470A0"/>
    <w:p w14:paraId="03AAECCE" w14:textId="77777777" w:rsidR="009470A0" w:rsidRDefault="009470A0"/>
    <w:p w14:paraId="14C37EDC" w14:textId="77777777" w:rsidR="009470A0" w:rsidRDefault="009470A0"/>
    <w:p w14:paraId="698CFA34" w14:textId="77777777" w:rsidR="009470A0" w:rsidRDefault="009470A0"/>
    <w:p w14:paraId="7D4569F6" w14:textId="77777777" w:rsidR="009470A0" w:rsidRDefault="009470A0"/>
    <w:p w14:paraId="55E9D793" w14:textId="77777777" w:rsidR="009470A0" w:rsidRDefault="009470A0"/>
    <w:p w14:paraId="28AD0378" w14:textId="77777777" w:rsidR="009470A0" w:rsidRDefault="009470A0"/>
    <w:p w14:paraId="3882FD56" w14:textId="77777777" w:rsidR="009470A0" w:rsidRDefault="009470A0"/>
    <w:p w14:paraId="6A79FA09" w14:textId="77777777" w:rsidR="00852DB0" w:rsidRDefault="00852DB0"/>
    <w:p w14:paraId="38F78B46" w14:textId="77777777" w:rsidR="00852DB0" w:rsidRDefault="00852DB0"/>
    <w:p w14:paraId="1AB06428" w14:textId="77777777" w:rsidR="00852DB0" w:rsidRDefault="00852DB0"/>
    <w:p w14:paraId="00AA9702" w14:textId="77777777" w:rsidR="00852DB0" w:rsidRDefault="00852DB0"/>
    <w:p w14:paraId="7C0E3903" w14:textId="77777777" w:rsidR="00852DB0" w:rsidRDefault="00852DB0"/>
    <w:p w14:paraId="1A6CF893" w14:textId="665A5070" w:rsidR="009470A0" w:rsidRDefault="006E31BC">
      <w:pPr>
        <w:rPr>
          <w:rFonts w:ascii="Times New Roman" w:hAnsi="Times New Roman" w:cs="Times New Roman"/>
          <w:sz w:val="32"/>
          <w:szCs w:val="32"/>
        </w:rPr>
      </w:pPr>
      <w:r>
        <w:rPr>
          <w:rFonts w:ascii="Times New Roman" w:hAnsi="Times New Roman" w:cs="Times New Roman"/>
          <w:sz w:val="32"/>
          <w:szCs w:val="32"/>
        </w:rPr>
        <w:lastRenderedPageBreak/>
        <w:t xml:space="preserve">                                  </w:t>
      </w:r>
      <w:r w:rsidR="009605AA" w:rsidRPr="006E31BC">
        <w:rPr>
          <w:rFonts w:ascii="Times New Roman" w:hAnsi="Times New Roman" w:cs="Times New Roman"/>
          <w:sz w:val="32"/>
          <w:szCs w:val="32"/>
        </w:rPr>
        <w:t>Reference</w:t>
      </w:r>
      <w:r>
        <w:rPr>
          <w:rFonts w:ascii="Times New Roman" w:hAnsi="Times New Roman" w:cs="Times New Roman"/>
          <w:sz w:val="32"/>
          <w:szCs w:val="32"/>
        </w:rPr>
        <w:t>s</w:t>
      </w:r>
    </w:p>
    <w:p w14:paraId="165F65E8" w14:textId="77777777" w:rsidR="006E31BC" w:rsidRPr="006E31BC" w:rsidRDefault="006E31BC">
      <w:pPr>
        <w:rPr>
          <w:rFonts w:ascii="Times New Roman" w:hAnsi="Times New Roman" w:cs="Times New Roman"/>
          <w:sz w:val="32"/>
          <w:szCs w:val="32"/>
        </w:rPr>
      </w:pPr>
    </w:p>
    <w:p w14:paraId="70FA7F1C" w14:textId="0049DC03" w:rsidR="009470A0" w:rsidRPr="006E31BC" w:rsidRDefault="009470A0" w:rsidP="006E31BC">
      <w:pPr>
        <w:pStyle w:val="ReferencesStyle"/>
        <w:rPr>
          <w:rFonts w:ascii="Times New Roman" w:hAnsi="Times New Roman" w:cs="Times New Roman"/>
          <w:sz w:val="24"/>
          <w:szCs w:val="24"/>
        </w:rPr>
      </w:pPr>
      <w:r w:rsidRPr="006E31BC">
        <w:rPr>
          <w:rFonts w:ascii="Times New Roman" w:hAnsi="Times New Roman" w:cs="Times New Roman"/>
          <w:sz w:val="24"/>
          <w:szCs w:val="24"/>
        </w:rPr>
        <w:t>Barry, M.J. and Edgman-Levitan, S., 2012. Shared decision making—the pinnacle of patient-centered care. </w:t>
      </w:r>
      <w:r w:rsidRPr="006E31BC">
        <w:rPr>
          <w:rFonts w:ascii="Times New Roman" w:hAnsi="Times New Roman" w:cs="Times New Roman"/>
          <w:i/>
          <w:iCs/>
          <w:sz w:val="24"/>
          <w:szCs w:val="24"/>
        </w:rPr>
        <w:t>New England Journal of Medicine</w:t>
      </w:r>
      <w:r w:rsidRPr="006E31BC">
        <w:rPr>
          <w:rFonts w:ascii="Times New Roman" w:hAnsi="Times New Roman" w:cs="Times New Roman"/>
          <w:sz w:val="24"/>
          <w:szCs w:val="24"/>
        </w:rPr>
        <w:t>, </w:t>
      </w:r>
      <w:r w:rsidRPr="006E31BC">
        <w:rPr>
          <w:rFonts w:ascii="Times New Roman" w:hAnsi="Times New Roman" w:cs="Times New Roman"/>
          <w:i/>
          <w:iCs/>
          <w:sz w:val="24"/>
          <w:szCs w:val="24"/>
        </w:rPr>
        <w:t>366</w:t>
      </w:r>
      <w:r w:rsidRPr="006E31BC">
        <w:rPr>
          <w:rFonts w:ascii="Times New Roman" w:hAnsi="Times New Roman" w:cs="Times New Roman"/>
          <w:sz w:val="24"/>
          <w:szCs w:val="24"/>
        </w:rPr>
        <w:t>(9), pp.780-781.</w:t>
      </w:r>
    </w:p>
    <w:p w14:paraId="22CA4FFC" w14:textId="5EBC7E65" w:rsidR="009470A0" w:rsidRPr="006E31BC" w:rsidRDefault="009470A0" w:rsidP="006E31BC">
      <w:pPr>
        <w:pStyle w:val="ReferencesStyle"/>
        <w:rPr>
          <w:rFonts w:ascii="Times New Roman" w:hAnsi="Times New Roman" w:cs="Times New Roman"/>
          <w:sz w:val="24"/>
          <w:szCs w:val="24"/>
        </w:rPr>
      </w:pPr>
      <w:r w:rsidRPr="006E31BC">
        <w:rPr>
          <w:rFonts w:ascii="Times New Roman" w:hAnsi="Times New Roman" w:cs="Times New Roman"/>
          <w:sz w:val="24"/>
          <w:szCs w:val="24"/>
        </w:rPr>
        <w:t xml:space="preserve">Beauchamp, T.L. and Childress, J.F., </w:t>
      </w:r>
      <w:r w:rsidRPr="006E31BC">
        <w:rPr>
          <w:rFonts w:ascii="Times New Roman" w:hAnsi="Times New Roman" w:cs="Times New Roman"/>
          <w:sz w:val="24"/>
          <w:szCs w:val="24"/>
        </w:rPr>
        <w:t>2019</w:t>
      </w:r>
      <w:r w:rsidRPr="006E31BC">
        <w:rPr>
          <w:rFonts w:ascii="Times New Roman" w:hAnsi="Times New Roman" w:cs="Times New Roman"/>
          <w:sz w:val="24"/>
          <w:szCs w:val="24"/>
        </w:rPr>
        <w:t>. </w:t>
      </w:r>
      <w:r w:rsidRPr="006E31BC">
        <w:rPr>
          <w:rFonts w:ascii="Times New Roman" w:hAnsi="Times New Roman" w:cs="Times New Roman"/>
          <w:i/>
          <w:iCs/>
          <w:sz w:val="24"/>
          <w:szCs w:val="24"/>
        </w:rPr>
        <w:t>Principles of biomedical ethics</w:t>
      </w:r>
      <w:r w:rsidRPr="006E31BC">
        <w:rPr>
          <w:rFonts w:ascii="Times New Roman" w:hAnsi="Times New Roman" w:cs="Times New Roman"/>
          <w:sz w:val="24"/>
          <w:szCs w:val="24"/>
        </w:rPr>
        <w:t xml:space="preserve">. </w:t>
      </w:r>
      <w:proofErr w:type="spellStart"/>
      <w:r w:rsidRPr="006E31BC">
        <w:rPr>
          <w:rFonts w:ascii="Times New Roman" w:hAnsi="Times New Roman" w:cs="Times New Roman"/>
          <w:sz w:val="24"/>
          <w:szCs w:val="24"/>
        </w:rPr>
        <w:t>Edicoes</w:t>
      </w:r>
      <w:proofErr w:type="spellEnd"/>
      <w:r w:rsidRPr="006E31BC">
        <w:rPr>
          <w:rFonts w:ascii="Times New Roman" w:hAnsi="Times New Roman" w:cs="Times New Roman"/>
          <w:sz w:val="24"/>
          <w:szCs w:val="24"/>
        </w:rPr>
        <w:t xml:space="preserve"> Loyola.</w:t>
      </w:r>
    </w:p>
    <w:p w14:paraId="6CC67E0C" w14:textId="3F84A50B" w:rsidR="009605AA" w:rsidRPr="006E31BC" w:rsidRDefault="009605AA" w:rsidP="006E31BC">
      <w:pPr>
        <w:pStyle w:val="ReferencesStyle"/>
        <w:rPr>
          <w:rFonts w:ascii="Times New Roman" w:hAnsi="Times New Roman" w:cs="Times New Roman"/>
          <w:sz w:val="24"/>
          <w:szCs w:val="24"/>
        </w:rPr>
      </w:pPr>
      <w:r w:rsidRPr="006E31BC">
        <w:rPr>
          <w:rFonts w:ascii="Times New Roman" w:hAnsi="Times New Roman" w:cs="Times New Roman"/>
          <w:sz w:val="24"/>
          <w:szCs w:val="24"/>
        </w:rPr>
        <w:t xml:space="preserve">Care Act 2014 (c. 23). Available at: </w:t>
      </w:r>
      <w:hyperlink r:id="rId5" w:tgtFrame="_new" w:history="1">
        <w:r w:rsidRPr="006E31BC">
          <w:rPr>
            <w:rStyle w:val="Hyperlink"/>
            <w:rFonts w:ascii="Times New Roman" w:hAnsi="Times New Roman" w:cs="Times New Roman"/>
            <w:sz w:val="24"/>
            <w:szCs w:val="24"/>
          </w:rPr>
          <w:t>https://www.legislation.gov.uk/ukpga/2014/23/contents/enacted</w:t>
        </w:r>
      </w:hyperlink>
      <w:r w:rsidRPr="006E31BC">
        <w:rPr>
          <w:rFonts w:ascii="Times New Roman" w:hAnsi="Times New Roman" w:cs="Times New Roman"/>
          <w:sz w:val="24"/>
          <w:szCs w:val="24"/>
        </w:rPr>
        <w:t xml:space="preserve"> (Accessed: 24 July 2026).</w:t>
      </w:r>
    </w:p>
    <w:p w14:paraId="5E88BC9C" w14:textId="1B484B7C" w:rsidR="0087602D" w:rsidRPr="006E31BC" w:rsidRDefault="009605AA" w:rsidP="006E31BC">
      <w:pPr>
        <w:pStyle w:val="ReferencesStyle"/>
        <w:rPr>
          <w:rFonts w:ascii="Times New Roman" w:hAnsi="Times New Roman" w:cs="Times New Roman"/>
          <w:color w:val="FF0000"/>
          <w:sz w:val="24"/>
          <w:szCs w:val="24"/>
        </w:rPr>
      </w:pPr>
      <w:r w:rsidRPr="006E31BC">
        <w:rPr>
          <w:rFonts w:ascii="Times New Roman" w:hAnsi="Times New Roman" w:cs="Times New Roman"/>
          <w:sz w:val="24"/>
          <w:szCs w:val="24"/>
        </w:rPr>
        <w:t xml:space="preserve">Care Quality Commission (2023) </w:t>
      </w:r>
      <w:r w:rsidRPr="006E31BC">
        <w:rPr>
          <w:rStyle w:val="Emphasis"/>
          <w:rFonts w:ascii="Times New Roman" w:hAnsi="Times New Roman" w:cs="Times New Roman"/>
          <w:sz w:val="24"/>
          <w:szCs w:val="24"/>
        </w:rPr>
        <w:t>The state of health care and adult social care in England 2022/23</w:t>
      </w:r>
      <w:r w:rsidRPr="006E31BC">
        <w:rPr>
          <w:rFonts w:ascii="Times New Roman" w:hAnsi="Times New Roman" w:cs="Times New Roman"/>
          <w:sz w:val="24"/>
          <w:szCs w:val="24"/>
        </w:rPr>
        <w:t xml:space="preserve">. Newcastle upon Tyne: Care Quality Commission. Available at: </w:t>
      </w:r>
      <w:hyperlink r:id="rId6" w:tgtFrame="_new" w:history="1">
        <w:r w:rsidRPr="006E31BC">
          <w:rPr>
            <w:rStyle w:val="Hyperlink"/>
            <w:rFonts w:ascii="Times New Roman" w:hAnsi="Times New Roman" w:cs="Times New Roman"/>
            <w:sz w:val="24"/>
            <w:szCs w:val="24"/>
          </w:rPr>
          <w:t>https://www.cqc.org.uk/publications/major-report/state-care/2022-2023</w:t>
        </w:r>
      </w:hyperlink>
      <w:r w:rsidRPr="006E31BC">
        <w:rPr>
          <w:rFonts w:ascii="Times New Roman" w:hAnsi="Times New Roman" w:cs="Times New Roman"/>
          <w:sz w:val="24"/>
          <w:szCs w:val="24"/>
        </w:rPr>
        <w:t xml:space="preserve"> (Accessed: 24 July 2026)</w:t>
      </w:r>
    </w:p>
    <w:p w14:paraId="31E43487" w14:textId="2E8ABB83" w:rsidR="0087602D" w:rsidRPr="006E31BC" w:rsidRDefault="0087602D" w:rsidP="006E31BC">
      <w:pPr>
        <w:pStyle w:val="ReferencesStyle"/>
        <w:rPr>
          <w:rFonts w:ascii="Times New Roman" w:hAnsi="Times New Roman" w:cs="Times New Roman"/>
          <w:sz w:val="24"/>
          <w:szCs w:val="24"/>
        </w:rPr>
      </w:pPr>
      <w:r w:rsidRPr="006E31BC">
        <w:rPr>
          <w:rFonts w:ascii="Times New Roman" w:hAnsi="Times New Roman" w:cs="Times New Roman"/>
          <w:sz w:val="24"/>
          <w:szCs w:val="24"/>
        </w:rPr>
        <w:t>Coulter, A., Roberts, S. and Dixon, A., 2013. </w:t>
      </w:r>
      <w:r w:rsidRPr="006E31BC">
        <w:rPr>
          <w:rFonts w:ascii="Times New Roman" w:hAnsi="Times New Roman" w:cs="Times New Roman"/>
          <w:i/>
          <w:iCs/>
          <w:sz w:val="24"/>
          <w:szCs w:val="24"/>
        </w:rPr>
        <w:t>Delivering better services for people with long-term conditions: building the house of care</w:t>
      </w:r>
      <w:r w:rsidRPr="006E31BC">
        <w:rPr>
          <w:rFonts w:ascii="Times New Roman" w:hAnsi="Times New Roman" w:cs="Times New Roman"/>
          <w:sz w:val="24"/>
          <w:szCs w:val="24"/>
        </w:rPr>
        <w:t> [online]</w:t>
      </w:r>
    </w:p>
    <w:p w14:paraId="62294171" w14:textId="2DA859D3" w:rsidR="0087602D" w:rsidRPr="006E31BC" w:rsidRDefault="009605AA" w:rsidP="006E31BC">
      <w:pPr>
        <w:pStyle w:val="ReferencesStyle"/>
        <w:rPr>
          <w:rFonts w:ascii="Times New Roman" w:hAnsi="Times New Roman" w:cs="Times New Roman"/>
          <w:sz w:val="24"/>
          <w:szCs w:val="24"/>
        </w:rPr>
      </w:pPr>
      <w:r w:rsidRPr="006E31BC">
        <w:rPr>
          <w:rFonts w:ascii="Times New Roman" w:hAnsi="Times New Roman" w:cs="Times New Roman"/>
          <w:sz w:val="24"/>
          <w:szCs w:val="24"/>
        </w:rPr>
        <w:t xml:space="preserve">Health and Care Act 2022 (c. 31). Available at: </w:t>
      </w:r>
      <w:hyperlink r:id="rId7" w:tgtFrame="_new" w:history="1">
        <w:r w:rsidRPr="006E31BC">
          <w:rPr>
            <w:rStyle w:val="Hyperlink"/>
            <w:rFonts w:ascii="Times New Roman" w:hAnsi="Times New Roman" w:cs="Times New Roman"/>
            <w:sz w:val="24"/>
            <w:szCs w:val="24"/>
          </w:rPr>
          <w:t>https://www.legislation.gov.uk/ukpga/2022/31/contents/enacted</w:t>
        </w:r>
      </w:hyperlink>
      <w:r w:rsidRPr="006E31BC">
        <w:rPr>
          <w:rFonts w:ascii="Times New Roman" w:hAnsi="Times New Roman" w:cs="Times New Roman"/>
          <w:sz w:val="24"/>
          <w:szCs w:val="24"/>
        </w:rPr>
        <w:t xml:space="preserve"> (Accessed: 24 July 2026).</w:t>
      </w:r>
    </w:p>
    <w:p w14:paraId="4B6FBD65" w14:textId="3E53BDE2" w:rsidR="0087602D" w:rsidRPr="006E31BC" w:rsidRDefault="0087602D" w:rsidP="006E31BC">
      <w:pPr>
        <w:pStyle w:val="ReferencesStyle"/>
        <w:rPr>
          <w:rFonts w:ascii="Times New Roman" w:hAnsi="Times New Roman" w:cs="Times New Roman"/>
          <w:sz w:val="24"/>
          <w:szCs w:val="24"/>
        </w:rPr>
      </w:pPr>
      <w:r w:rsidRPr="006E31BC">
        <w:rPr>
          <w:rFonts w:ascii="Times New Roman" w:hAnsi="Times New Roman" w:cs="Times New Roman"/>
          <w:sz w:val="24"/>
          <w:szCs w:val="24"/>
        </w:rPr>
        <w:t>Act, E., 2010. </w:t>
      </w:r>
      <w:r w:rsidRPr="006E31BC">
        <w:rPr>
          <w:rFonts w:ascii="Times New Roman" w:hAnsi="Times New Roman" w:cs="Times New Roman"/>
          <w:i/>
          <w:iCs/>
          <w:sz w:val="24"/>
          <w:szCs w:val="24"/>
        </w:rPr>
        <w:t>c. 15. London: The Stationery Office</w:t>
      </w:r>
      <w:r w:rsidRPr="006E31BC">
        <w:rPr>
          <w:rFonts w:ascii="Times New Roman" w:hAnsi="Times New Roman" w:cs="Times New Roman"/>
          <w:sz w:val="24"/>
          <w:szCs w:val="24"/>
        </w:rPr>
        <w:t> [online]</w:t>
      </w:r>
    </w:p>
    <w:p w14:paraId="50152F5F" w14:textId="60ABEA98" w:rsidR="0087602D" w:rsidRPr="006E31BC" w:rsidRDefault="0087602D" w:rsidP="006E31BC">
      <w:pPr>
        <w:pStyle w:val="ReferencesStyle"/>
        <w:rPr>
          <w:rFonts w:ascii="Times New Roman" w:hAnsi="Times New Roman" w:cs="Times New Roman"/>
          <w:sz w:val="24"/>
          <w:szCs w:val="24"/>
        </w:rPr>
      </w:pPr>
      <w:r w:rsidRPr="006E31BC">
        <w:rPr>
          <w:rFonts w:ascii="Times New Roman" w:hAnsi="Times New Roman" w:cs="Times New Roman"/>
          <w:sz w:val="24"/>
          <w:szCs w:val="24"/>
        </w:rPr>
        <w:t>England, N.H.S., 20</w:t>
      </w:r>
      <w:r w:rsidRPr="006E31BC">
        <w:rPr>
          <w:rFonts w:ascii="Times New Roman" w:hAnsi="Times New Roman" w:cs="Times New Roman"/>
          <w:sz w:val="24"/>
          <w:szCs w:val="24"/>
        </w:rPr>
        <w:t>22</w:t>
      </w:r>
      <w:r w:rsidRPr="006E31BC">
        <w:rPr>
          <w:rFonts w:ascii="Times New Roman" w:hAnsi="Times New Roman" w:cs="Times New Roman"/>
          <w:sz w:val="24"/>
          <w:szCs w:val="24"/>
        </w:rPr>
        <w:t>. Multi-professional framework for advanced clinical practice in England. </w:t>
      </w:r>
      <w:r w:rsidRPr="006E31BC">
        <w:rPr>
          <w:rFonts w:ascii="Times New Roman" w:hAnsi="Times New Roman" w:cs="Times New Roman"/>
          <w:i/>
          <w:iCs/>
          <w:sz w:val="24"/>
          <w:szCs w:val="24"/>
        </w:rPr>
        <w:t>London: Health Education England</w:t>
      </w:r>
      <w:r w:rsidRPr="006E31BC">
        <w:rPr>
          <w:rFonts w:ascii="Times New Roman" w:hAnsi="Times New Roman" w:cs="Times New Roman"/>
          <w:sz w:val="24"/>
          <w:szCs w:val="24"/>
        </w:rPr>
        <w:t>, </w:t>
      </w:r>
      <w:r w:rsidRPr="006E31BC">
        <w:rPr>
          <w:rFonts w:ascii="Times New Roman" w:hAnsi="Times New Roman" w:cs="Times New Roman"/>
          <w:i/>
          <w:iCs/>
          <w:sz w:val="24"/>
          <w:szCs w:val="24"/>
        </w:rPr>
        <w:t>12</w:t>
      </w:r>
      <w:r w:rsidRPr="006E31BC">
        <w:rPr>
          <w:rFonts w:ascii="Times New Roman" w:hAnsi="Times New Roman" w:cs="Times New Roman"/>
          <w:sz w:val="24"/>
          <w:szCs w:val="24"/>
        </w:rPr>
        <w:t>.</w:t>
      </w:r>
    </w:p>
    <w:p w14:paraId="08B3A54E" w14:textId="64D529A7" w:rsidR="0087602D" w:rsidRPr="006E31BC" w:rsidRDefault="0087602D" w:rsidP="006E31BC">
      <w:pPr>
        <w:pStyle w:val="ReferencesStyle"/>
        <w:rPr>
          <w:rFonts w:ascii="Times New Roman" w:hAnsi="Times New Roman" w:cs="Times New Roman"/>
          <w:sz w:val="24"/>
          <w:szCs w:val="24"/>
        </w:rPr>
      </w:pPr>
      <w:r w:rsidRPr="006E31BC">
        <w:rPr>
          <w:rFonts w:ascii="Times New Roman" w:hAnsi="Times New Roman" w:cs="Times New Roman"/>
          <w:sz w:val="24"/>
          <w:szCs w:val="24"/>
        </w:rPr>
        <w:t>McCormack, B. and McCance, T. eds., 20</w:t>
      </w:r>
      <w:r w:rsidRPr="006E31BC">
        <w:rPr>
          <w:rFonts w:ascii="Times New Roman" w:hAnsi="Times New Roman" w:cs="Times New Roman"/>
          <w:sz w:val="24"/>
          <w:szCs w:val="24"/>
        </w:rPr>
        <w:t>21</w:t>
      </w:r>
      <w:r w:rsidRPr="006E31BC">
        <w:rPr>
          <w:rFonts w:ascii="Times New Roman" w:hAnsi="Times New Roman" w:cs="Times New Roman"/>
          <w:sz w:val="24"/>
          <w:szCs w:val="24"/>
        </w:rPr>
        <w:t>. </w:t>
      </w:r>
      <w:r w:rsidRPr="006E31BC">
        <w:rPr>
          <w:rFonts w:ascii="Times New Roman" w:hAnsi="Times New Roman" w:cs="Times New Roman"/>
          <w:i/>
          <w:iCs/>
          <w:sz w:val="24"/>
          <w:szCs w:val="24"/>
        </w:rPr>
        <w:t>Person-centred practice in nursing and health care: theory and practice</w:t>
      </w:r>
      <w:r w:rsidRPr="006E31BC">
        <w:rPr>
          <w:rFonts w:ascii="Times New Roman" w:hAnsi="Times New Roman" w:cs="Times New Roman"/>
          <w:sz w:val="24"/>
          <w:szCs w:val="24"/>
        </w:rPr>
        <w:t>. John Wiley &amp; Sons.</w:t>
      </w:r>
    </w:p>
    <w:p w14:paraId="39629FB9" w14:textId="79FB66E7" w:rsidR="0087602D" w:rsidRPr="006E31BC" w:rsidRDefault="0087602D" w:rsidP="006E31BC">
      <w:pPr>
        <w:pStyle w:val="ReferencesStyle"/>
        <w:rPr>
          <w:rFonts w:ascii="Times New Roman" w:hAnsi="Times New Roman" w:cs="Times New Roman"/>
          <w:sz w:val="24"/>
          <w:szCs w:val="24"/>
        </w:rPr>
      </w:pPr>
      <w:r w:rsidRPr="006E31BC">
        <w:rPr>
          <w:rFonts w:ascii="Times New Roman" w:hAnsi="Times New Roman" w:cs="Times New Roman"/>
          <w:sz w:val="24"/>
          <w:szCs w:val="24"/>
        </w:rPr>
        <w:t>Stationery Office ed., 2005. </w:t>
      </w:r>
      <w:r w:rsidRPr="006E31BC">
        <w:rPr>
          <w:rFonts w:ascii="Times New Roman" w:hAnsi="Times New Roman" w:cs="Times New Roman"/>
          <w:i/>
          <w:iCs/>
          <w:sz w:val="24"/>
          <w:szCs w:val="24"/>
        </w:rPr>
        <w:t>Mental Capacity Act 2005: Elizabeth II. 2005. Chapter 9</w:t>
      </w:r>
      <w:r w:rsidRPr="006E31BC">
        <w:rPr>
          <w:rFonts w:ascii="Times New Roman" w:hAnsi="Times New Roman" w:cs="Times New Roman"/>
          <w:sz w:val="24"/>
          <w:szCs w:val="24"/>
        </w:rPr>
        <w:t>. The Stationery Office.</w:t>
      </w:r>
    </w:p>
    <w:p w14:paraId="12E5A2C8" w14:textId="2C8A011C" w:rsidR="0087602D" w:rsidRPr="006E31BC" w:rsidRDefault="0087602D" w:rsidP="006E31BC">
      <w:pPr>
        <w:pStyle w:val="ReferencesStyle"/>
        <w:rPr>
          <w:rFonts w:ascii="Times New Roman" w:hAnsi="Times New Roman" w:cs="Times New Roman"/>
          <w:sz w:val="24"/>
          <w:szCs w:val="24"/>
        </w:rPr>
      </w:pPr>
      <w:r w:rsidRPr="006E31BC">
        <w:rPr>
          <w:rFonts w:ascii="Times New Roman" w:hAnsi="Times New Roman" w:cs="Times New Roman"/>
          <w:sz w:val="24"/>
          <w:szCs w:val="24"/>
        </w:rPr>
        <w:t>National Institute for Health and Care Excellence, 2016. </w:t>
      </w:r>
      <w:r w:rsidRPr="006E31BC">
        <w:rPr>
          <w:rFonts w:ascii="Times New Roman" w:hAnsi="Times New Roman" w:cs="Times New Roman"/>
          <w:i/>
          <w:iCs/>
          <w:sz w:val="24"/>
          <w:szCs w:val="24"/>
        </w:rPr>
        <w:t>Multimorbidity: clinical assessment and management</w:t>
      </w:r>
      <w:r w:rsidRPr="006E31BC">
        <w:rPr>
          <w:rFonts w:ascii="Times New Roman" w:hAnsi="Times New Roman" w:cs="Times New Roman"/>
          <w:sz w:val="24"/>
          <w:szCs w:val="24"/>
        </w:rPr>
        <w:t>. National Institute for Health and Care Excellence.</w:t>
      </w:r>
    </w:p>
    <w:p w14:paraId="36A17FE9" w14:textId="4559547B" w:rsidR="0087602D" w:rsidRPr="006E31BC" w:rsidRDefault="0087602D" w:rsidP="006E31BC">
      <w:pPr>
        <w:pStyle w:val="ReferencesStyle"/>
        <w:rPr>
          <w:rFonts w:ascii="Times New Roman" w:hAnsi="Times New Roman" w:cs="Times New Roman"/>
          <w:sz w:val="24"/>
          <w:szCs w:val="24"/>
        </w:rPr>
      </w:pPr>
      <w:r w:rsidRPr="006E31BC">
        <w:rPr>
          <w:rFonts w:ascii="Times New Roman" w:hAnsi="Times New Roman" w:cs="Times New Roman"/>
          <w:sz w:val="24"/>
          <w:szCs w:val="24"/>
        </w:rPr>
        <w:t>England, N.H.S. and Improvement, N.H.S., 20</w:t>
      </w:r>
      <w:r w:rsidRPr="006E31BC">
        <w:rPr>
          <w:rFonts w:ascii="Times New Roman" w:hAnsi="Times New Roman" w:cs="Times New Roman"/>
          <w:sz w:val="24"/>
          <w:szCs w:val="24"/>
        </w:rPr>
        <w:t>19</w:t>
      </w:r>
      <w:r w:rsidRPr="006E31BC">
        <w:rPr>
          <w:rFonts w:ascii="Times New Roman" w:hAnsi="Times New Roman" w:cs="Times New Roman"/>
          <w:sz w:val="24"/>
          <w:szCs w:val="24"/>
        </w:rPr>
        <w:t>. Science in healthcare: Delivering the NHS long term plan. </w:t>
      </w:r>
      <w:r w:rsidRPr="006E31BC">
        <w:rPr>
          <w:rFonts w:ascii="Times New Roman" w:hAnsi="Times New Roman" w:cs="Times New Roman"/>
          <w:i/>
          <w:iCs/>
          <w:sz w:val="24"/>
          <w:szCs w:val="24"/>
        </w:rPr>
        <w:t>The chief scientific officer’s strategy</w:t>
      </w:r>
      <w:r w:rsidRPr="006E31BC">
        <w:rPr>
          <w:rFonts w:ascii="Times New Roman" w:hAnsi="Times New Roman" w:cs="Times New Roman"/>
          <w:sz w:val="24"/>
          <w:szCs w:val="24"/>
        </w:rPr>
        <w:t>.</w:t>
      </w:r>
    </w:p>
    <w:p w14:paraId="3EE9453B" w14:textId="0F0ADB96" w:rsidR="0087602D" w:rsidRPr="006E31BC" w:rsidRDefault="0087602D" w:rsidP="006E31BC">
      <w:pPr>
        <w:pStyle w:val="ReferencesStyle"/>
        <w:rPr>
          <w:rFonts w:ascii="Times New Roman" w:hAnsi="Times New Roman" w:cs="Times New Roman"/>
          <w:sz w:val="24"/>
          <w:szCs w:val="24"/>
        </w:rPr>
      </w:pPr>
      <w:r w:rsidRPr="006E31BC">
        <w:rPr>
          <w:rFonts w:ascii="Times New Roman" w:hAnsi="Times New Roman" w:cs="Times New Roman"/>
          <w:sz w:val="24"/>
          <w:szCs w:val="24"/>
        </w:rPr>
        <w:t xml:space="preserve">NHS England </w:t>
      </w:r>
      <w:r w:rsidRPr="006E31BC">
        <w:rPr>
          <w:rFonts w:ascii="Times New Roman" w:hAnsi="Times New Roman" w:cs="Times New Roman"/>
          <w:color w:val="auto"/>
          <w:sz w:val="24"/>
          <w:szCs w:val="24"/>
        </w:rPr>
        <w:t>(20</w:t>
      </w:r>
      <w:r w:rsidRPr="006E31BC">
        <w:rPr>
          <w:rFonts w:ascii="Times New Roman" w:hAnsi="Times New Roman" w:cs="Times New Roman"/>
          <w:color w:val="auto"/>
          <w:sz w:val="24"/>
          <w:szCs w:val="24"/>
        </w:rPr>
        <w:t>19</w:t>
      </w:r>
      <w:r w:rsidRPr="006E31BC">
        <w:rPr>
          <w:rFonts w:ascii="Times New Roman" w:hAnsi="Times New Roman" w:cs="Times New Roman"/>
          <w:sz w:val="24"/>
          <w:szCs w:val="24"/>
        </w:rPr>
        <w:t xml:space="preserve">) </w:t>
      </w:r>
      <w:r w:rsidRPr="006E31BC">
        <w:rPr>
          <w:rStyle w:val="Emphasis"/>
          <w:rFonts w:ascii="Times New Roman" w:hAnsi="Times New Roman" w:cs="Times New Roman"/>
          <w:sz w:val="24"/>
          <w:szCs w:val="24"/>
        </w:rPr>
        <w:t xml:space="preserve">Universal Principles for </w:t>
      </w:r>
      <w:proofErr w:type="spellStart"/>
      <w:r w:rsidRPr="006E31BC">
        <w:rPr>
          <w:rStyle w:val="Emphasis"/>
          <w:rFonts w:ascii="Times New Roman" w:hAnsi="Times New Roman" w:cs="Times New Roman"/>
          <w:sz w:val="24"/>
          <w:szCs w:val="24"/>
        </w:rPr>
        <w:t>Personalised</w:t>
      </w:r>
      <w:proofErr w:type="spellEnd"/>
      <w:r w:rsidRPr="006E31BC">
        <w:rPr>
          <w:rStyle w:val="Emphasis"/>
          <w:rFonts w:ascii="Times New Roman" w:hAnsi="Times New Roman" w:cs="Times New Roman"/>
          <w:sz w:val="24"/>
          <w:szCs w:val="24"/>
        </w:rPr>
        <w:t xml:space="preserve"> Care</w:t>
      </w:r>
      <w:r w:rsidRPr="006E31BC">
        <w:rPr>
          <w:rFonts w:ascii="Times New Roman" w:hAnsi="Times New Roman" w:cs="Times New Roman"/>
          <w:sz w:val="24"/>
          <w:szCs w:val="24"/>
        </w:rPr>
        <w:t>. London: NHS England.</w:t>
      </w:r>
    </w:p>
    <w:p w14:paraId="2C4F2474" w14:textId="16B18C3E" w:rsidR="009605AA" w:rsidRPr="006E31BC" w:rsidRDefault="009605AA" w:rsidP="006E31BC">
      <w:pPr>
        <w:pStyle w:val="ReferencesStyle"/>
        <w:rPr>
          <w:rFonts w:ascii="Times New Roman" w:hAnsi="Times New Roman" w:cs="Times New Roman"/>
          <w:sz w:val="24"/>
          <w:szCs w:val="24"/>
        </w:rPr>
      </w:pPr>
      <w:r w:rsidRPr="006E31BC">
        <w:rPr>
          <w:rFonts w:ascii="Times New Roman" w:hAnsi="Times New Roman" w:cs="Times New Roman"/>
          <w:sz w:val="24"/>
          <w:szCs w:val="24"/>
        </w:rPr>
        <w:t xml:space="preserve">Reeves, S., </w:t>
      </w:r>
      <w:proofErr w:type="spellStart"/>
      <w:r w:rsidRPr="006E31BC">
        <w:rPr>
          <w:rFonts w:ascii="Times New Roman" w:hAnsi="Times New Roman" w:cs="Times New Roman"/>
          <w:sz w:val="24"/>
          <w:szCs w:val="24"/>
        </w:rPr>
        <w:t>Pelone</w:t>
      </w:r>
      <w:proofErr w:type="spellEnd"/>
      <w:r w:rsidRPr="006E31BC">
        <w:rPr>
          <w:rFonts w:ascii="Times New Roman" w:hAnsi="Times New Roman" w:cs="Times New Roman"/>
          <w:sz w:val="24"/>
          <w:szCs w:val="24"/>
        </w:rPr>
        <w:t xml:space="preserve">, F., Harrison, R., Goldman, J., </w:t>
      </w:r>
      <w:proofErr w:type="spellStart"/>
      <w:r w:rsidRPr="006E31BC">
        <w:rPr>
          <w:rFonts w:ascii="Times New Roman" w:hAnsi="Times New Roman" w:cs="Times New Roman"/>
          <w:sz w:val="24"/>
          <w:szCs w:val="24"/>
        </w:rPr>
        <w:t>Zwarenstein</w:t>
      </w:r>
      <w:proofErr w:type="spellEnd"/>
      <w:r w:rsidRPr="006E31BC">
        <w:rPr>
          <w:rFonts w:ascii="Times New Roman" w:hAnsi="Times New Roman" w:cs="Times New Roman"/>
          <w:sz w:val="24"/>
          <w:szCs w:val="24"/>
        </w:rPr>
        <w:t xml:space="preserve">, M. and Cochrane Effective Practice and </w:t>
      </w:r>
      <w:proofErr w:type="spellStart"/>
      <w:r w:rsidRPr="006E31BC">
        <w:rPr>
          <w:rFonts w:ascii="Times New Roman" w:hAnsi="Times New Roman" w:cs="Times New Roman"/>
          <w:sz w:val="24"/>
          <w:szCs w:val="24"/>
        </w:rPr>
        <w:t>Organisation</w:t>
      </w:r>
      <w:proofErr w:type="spellEnd"/>
      <w:r w:rsidRPr="006E31BC">
        <w:rPr>
          <w:rFonts w:ascii="Times New Roman" w:hAnsi="Times New Roman" w:cs="Times New Roman"/>
          <w:sz w:val="24"/>
          <w:szCs w:val="24"/>
        </w:rPr>
        <w:t xml:space="preserve"> of Care Group, 1996. Interprofessional collaboration to improve professional practice and healthcare outcomes. </w:t>
      </w:r>
      <w:r w:rsidRPr="006E31BC">
        <w:rPr>
          <w:rFonts w:ascii="Times New Roman" w:hAnsi="Times New Roman" w:cs="Times New Roman"/>
          <w:i/>
          <w:iCs/>
          <w:sz w:val="24"/>
          <w:szCs w:val="24"/>
        </w:rPr>
        <w:t>Cochrane database of systematic reviews</w:t>
      </w:r>
      <w:r w:rsidRPr="006E31BC">
        <w:rPr>
          <w:rFonts w:ascii="Times New Roman" w:hAnsi="Times New Roman" w:cs="Times New Roman"/>
          <w:sz w:val="24"/>
          <w:szCs w:val="24"/>
        </w:rPr>
        <w:t>, </w:t>
      </w:r>
      <w:r w:rsidRPr="006E31BC">
        <w:rPr>
          <w:rFonts w:ascii="Times New Roman" w:hAnsi="Times New Roman" w:cs="Times New Roman"/>
          <w:i/>
          <w:iCs/>
          <w:sz w:val="24"/>
          <w:szCs w:val="24"/>
        </w:rPr>
        <w:t>201</w:t>
      </w:r>
      <w:r w:rsidRPr="006E31BC">
        <w:rPr>
          <w:rFonts w:ascii="Times New Roman" w:hAnsi="Times New Roman" w:cs="Times New Roman"/>
          <w:i/>
          <w:iCs/>
          <w:sz w:val="24"/>
          <w:szCs w:val="24"/>
        </w:rPr>
        <w:t>7</w:t>
      </w:r>
      <w:r w:rsidRPr="006E31BC">
        <w:rPr>
          <w:rFonts w:ascii="Times New Roman" w:hAnsi="Times New Roman" w:cs="Times New Roman"/>
          <w:sz w:val="24"/>
          <w:szCs w:val="24"/>
        </w:rPr>
        <w:t>(8).</w:t>
      </w:r>
    </w:p>
    <w:p w14:paraId="051E86D1" w14:textId="663D7FCC" w:rsidR="009605AA" w:rsidRPr="00852DB0" w:rsidRDefault="009605AA" w:rsidP="00852DB0">
      <w:pPr>
        <w:pStyle w:val="ReferencesStyle"/>
        <w:rPr>
          <w:rFonts w:ascii="Times New Roman" w:eastAsia="Times New Roman" w:hAnsi="Times New Roman" w:cs="Times New Roman"/>
          <w:kern w:val="0"/>
          <w:sz w:val="24"/>
          <w:szCs w:val="24"/>
          <w14:ligatures w14:val="none"/>
        </w:rPr>
      </w:pPr>
      <w:r w:rsidRPr="006E31BC">
        <w:rPr>
          <w:rFonts w:ascii="Times New Roman" w:hAnsi="Times New Roman" w:cs="Times New Roman"/>
          <w:sz w:val="24"/>
          <w:szCs w:val="24"/>
        </w:rPr>
        <w:t xml:space="preserve">The King's Fund (2022) </w:t>
      </w:r>
      <w:r w:rsidRPr="006E31BC">
        <w:rPr>
          <w:rStyle w:val="Emphasis"/>
          <w:rFonts w:ascii="Times New Roman" w:hAnsi="Times New Roman" w:cs="Times New Roman"/>
          <w:sz w:val="24"/>
          <w:szCs w:val="24"/>
        </w:rPr>
        <w:t>Integrated care systems explained</w:t>
      </w:r>
      <w:r w:rsidRPr="006E31BC">
        <w:rPr>
          <w:rFonts w:ascii="Times New Roman" w:hAnsi="Times New Roman" w:cs="Times New Roman"/>
          <w:sz w:val="24"/>
          <w:szCs w:val="24"/>
        </w:rPr>
        <w:t xml:space="preserve">. Available at: </w:t>
      </w:r>
      <w:hyperlink r:id="rId8" w:tgtFrame="_new" w:history="1">
        <w:r w:rsidRPr="006E31BC">
          <w:rPr>
            <w:rStyle w:val="Hyperlink"/>
            <w:rFonts w:ascii="Times New Roman" w:hAnsi="Times New Roman" w:cs="Times New Roman"/>
            <w:sz w:val="24"/>
            <w:szCs w:val="24"/>
          </w:rPr>
          <w:t>https://www.kingsfund.org.uk/insight-and-analysis/long-reads/integrated-care-systems-explained</w:t>
        </w:r>
      </w:hyperlink>
      <w:r w:rsidRPr="006E31BC">
        <w:rPr>
          <w:rFonts w:ascii="Times New Roman" w:eastAsia="Times New Roman" w:hAnsi="Times New Roman" w:cs="Times New Roman"/>
          <w:kern w:val="0"/>
          <w:sz w:val="24"/>
          <w:szCs w:val="24"/>
          <w14:ligatures w14:val="none"/>
        </w:rPr>
        <w:t>.</w:t>
      </w:r>
    </w:p>
    <w:sectPr w:rsidR="009605AA" w:rsidRPr="00852DB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3DAA"/>
    <w:rsid w:val="005D7F1A"/>
    <w:rsid w:val="006E31BC"/>
    <w:rsid w:val="008108A3"/>
    <w:rsid w:val="00852DB0"/>
    <w:rsid w:val="0087602D"/>
    <w:rsid w:val="009470A0"/>
    <w:rsid w:val="009605AA"/>
    <w:rsid w:val="00A37CEC"/>
    <w:rsid w:val="00CA20CD"/>
    <w:rsid w:val="00DB3D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78DE8E"/>
  <w15:chartTrackingRefBased/>
  <w15:docId w15:val="{CBEAED7B-F4D4-411E-ACEC-1CAD66875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B3DAA"/>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paragraph" w:styleId="Heading2">
    <w:name w:val="heading 2"/>
    <w:basedOn w:val="Normal"/>
    <w:next w:val="Normal"/>
    <w:link w:val="Heading2Char"/>
    <w:uiPriority w:val="9"/>
    <w:semiHidden/>
    <w:unhideWhenUsed/>
    <w:qFormat/>
    <w:rsid w:val="00DB3DA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3DAA"/>
    <w:rPr>
      <w:rFonts w:ascii="Times New Roman" w:eastAsia="Times New Roman" w:hAnsi="Times New Roman" w:cs="Times New Roman"/>
      <w:b/>
      <w:bCs/>
      <w:kern w:val="36"/>
      <w:sz w:val="48"/>
      <w:szCs w:val="48"/>
      <w14:ligatures w14:val="none"/>
    </w:rPr>
  </w:style>
  <w:style w:type="paragraph" w:styleId="NormalWeb">
    <w:name w:val="Normal (Web)"/>
    <w:basedOn w:val="Normal"/>
    <w:uiPriority w:val="99"/>
    <w:semiHidden/>
    <w:unhideWhenUsed/>
    <w:rsid w:val="00DB3DAA"/>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2Char">
    <w:name w:val="Heading 2 Char"/>
    <w:basedOn w:val="DefaultParagraphFont"/>
    <w:link w:val="Heading2"/>
    <w:uiPriority w:val="9"/>
    <w:semiHidden/>
    <w:rsid w:val="00DB3DAA"/>
    <w:rPr>
      <w:rFonts w:asciiTheme="majorHAnsi" w:eastAsiaTheme="majorEastAsia" w:hAnsiTheme="majorHAnsi" w:cstheme="majorBidi"/>
      <w:color w:val="2F5496" w:themeColor="accent1" w:themeShade="BF"/>
      <w:sz w:val="26"/>
      <w:szCs w:val="26"/>
    </w:rPr>
  </w:style>
  <w:style w:type="paragraph" w:customStyle="1" w:styleId="isselectedend">
    <w:name w:val="isselectedend"/>
    <w:basedOn w:val="Normal"/>
    <w:rsid w:val="00DB3DAA"/>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DB3DAA"/>
    <w:rPr>
      <w:b/>
      <w:bCs/>
    </w:rPr>
  </w:style>
  <w:style w:type="character" w:styleId="Emphasis">
    <w:name w:val="Emphasis"/>
    <w:basedOn w:val="DefaultParagraphFont"/>
    <w:uiPriority w:val="20"/>
    <w:qFormat/>
    <w:rsid w:val="00A37CEC"/>
    <w:rPr>
      <w:i/>
      <w:iCs/>
    </w:rPr>
  </w:style>
  <w:style w:type="paragraph" w:customStyle="1" w:styleId="pdq2pgselectionanchorcontainer">
    <w:name w:val="pdq2pg_selectionanchorcontainer"/>
    <w:basedOn w:val="Normal"/>
    <w:rsid w:val="009605AA"/>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semiHidden/>
    <w:unhideWhenUsed/>
    <w:rsid w:val="009605AA"/>
    <w:rPr>
      <w:color w:val="0000FF"/>
      <w:u w:val="single"/>
    </w:rPr>
  </w:style>
  <w:style w:type="paragraph" w:customStyle="1" w:styleId="ReferencesStyle">
    <w:name w:val="References Style"/>
    <w:basedOn w:val="Normal"/>
    <w:link w:val="ReferencesStyleChar"/>
    <w:qFormat/>
    <w:rsid w:val="006E31BC"/>
    <w:rPr>
      <w:rFonts w:ascii="Arial" w:hAnsi="Arial" w:cs="Arial"/>
      <w:color w:val="222222"/>
      <w:sz w:val="20"/>
      <w:szCs w:val="20"/>
      <w:shd w:val="clear" w:color="auto" w:fill="FFFFFF"/>
    </w:rPr>
  </w:style>
  <w:style w:type="character" w:customStyle="1" w:styleId="ReferencesStyleChar">
    <w:name w:val="References Style Char"/>
    <w:basedOn w:val="DefaultParagraphFont"/>
    <w:link w:val="ReferencesStyle"/>
    <w:rsid w:val="006E31BC"/>
    <w:rPr>
      <w:rFonts w:ascii="Arial" w:hAnsi="Arial" w:cs="Arial"/>
      <w:color w:val="222222"/>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2665">
      <w:bodyDiv w:val="1"/>
      <w:marLeft w:val="0"/>
      <w:marRight w:val="0"/>
      <w:marTop w:val="0"/>
      <w:marBottom w:val="0"/>
      <w:divBdr>
        <w:top w:val="none" w:sz="0" w:space="0" w:color="auto"/>
        <w:left w:val="none" w:sz="0" w:space="0" w:color="auto"/>
        <w:bottom w:val="none" w:sz="0" w:space="0" w:color="auto"/>
        <w:right w:val="none" w:sz="0" w:space="0" w:color="auto"/>
      </w:divBdr>
    </w:div>
    <w:div w:id="35010094">
      <w:bodyDiv w:val="1"/>
      <w:marLeft w:val="0"/>
      <w:marRight w:val="0"/>
      <w:marTop w:val="0"/>
      <w:marBottom w:val="0"/>
      <w:divBdr>
        <w:top w:val="none" w:sz="0" w:space="0" w:color="auto"/>
        <w:left w:val="none" w:sz="0" w:space="0" w:color="auto"/>
        <w:bottom w:val="none" w:sz="0" w:space="0" w:color="auto"/>
        <w:right w:val="none" w:sz="0" w:space="0" w:color="auto"/>
      </w:divBdr>
    </w:div>
    <w:div w:id="440226663">
      <w:bodyDiv w:val="1"/>
      <w:marLeft w:val="0"/>
      <w:marRight w:val="0"/>
      <w:marTop w:val="0"/>
      <w:marBottom w:val="0"/>
      <w:divBdr>
        <w:top w:val="none" w:sz="0" w:space="0" w:color="auto"/>
        <w:left w:val="none" w:sz="0" w:space="0" w:color="auto"/>
        <w:bottom w:val="none" w:sz="0" w:space="0" w:color="auto"/>
        <w:right w:val="none" w:sz="0" w:space="0" w:color="auto"/>
      </w:divBdr>
    </w:div>
    <w:div w:id="503711699">
      <w:bodyDiv w:val="1"/>
      <w:marLeft w:val="0"/>
      <w:marRight w:val="0"/>
      <w:marTop w:val="0"/>
      <w:marBottom w:val="0"/>
      <w:divBdr>
        <w:top w:val="none" w:sz="0" w:space="0" w:color="auto"/>
        <w:left w:val="none" w:sz="0" w:space="0" w:color="auto"/>
        <w:bottom w:val="none" w:sz="0" w:space="0" w:color="auto"/>
        <w:right w:val="none" w:sz="0" w:space="0" w:color="auto"/>
      </w:divBdr>
    </w:div>
    <w:div w:id="590818323">
      <w:bodyDiv w:val="1"/>
      <w:marLeft w:val="0"/>
      <w:marRight w:val="0"/>
      <w:marTop w:val="0"/>
      <w:marBottom w:val="0"/>
      <w:divBdr>
        <w:top w:val="none" w:sz="0" w:space="0" w:color="auto"/>
        <w:left w:val="none" w:sz="0" w:space="0" w:color="auto"/>
        <w:bottom w:val="none" w:sz="0" w:space="0" w:color="auto"/>
        <w:right w:val="none" w:sz="0" w:space="0" w:color="auto"/>
      </w:divBdr>
    </w:div>
    <w:div w:id="598104372">
      <w:bodyDiv w:val="1"/>
      <w:marLeft w:val="0"/>
      <w:marRight w:val="0"/>
      <w:marTop w:val="0"/>
      <w:marBottom w:val="0"/>
      <w:divBdr>
        <w:top w:val="none" w:sz="0" w:space="0" w:color="auto"/>
        <w:left w:val="none" w:sz="0" w:space="0" w:color="auto"/>
        <w:bottom w:val="none" w:sz="0" w:space="0" w:color="auto"/>
        <w:right w:val="none" w:sz="0" w:space="0" w:color="auto"/>
      </w:divBdr>
    </w:div>
    <w:div w:id="823350369">
      <w:bodyDiv w:val="1"/>
      <w:marLeft w:val="0"/>
      <w:marRight w:val="0"/>
      <w:marTop w:val="0"/>
      <w:marBottom w:val="0"/>
      <w:divBdr>
        <w:top w:val="none" w:sz="0" w:space="0" w:color="auto"/>
        <w:left w:val="none" w:sz="0" w:space="0" w:color="auto"/>
        <w:bottom w:val="none" w:sz="0" w:space="0" w:color="auto"/>
        <w:right w:val="none" w:sz="0" w:space="0" w:color="auto"/>
      </w:divBdr>
    </w:div>
    <w:div w:id="1031149733">
      <w:bodyDiv w:val="1"/>
      <w:marLeft w:val="0"/>
      <w:marRight w:val="0"/>
      <w:marTop w:val="0"/>
      <w:marBottom w:val="0"/>
      <w:divBdr>
        <w:top w:val="none" w:sz="0" w:space="0" w:color="auto"/>
        <w:left w:val="none" w:sz="0" w:space="0" w:color="auto"/>
        <w:bottom w:val="none" w:sz="0" w:space="0" w:color="auto"/>
        <w:right w:val="none" w:sz="0" w:space="0" w:color="auto"/>
      </w:divBdr>
    </w:div>
    <w:div w:id="1094477598">
      <w:bodyDiv w:val="1"/>
      <w:marLeft w:val="0"/>
      <w:marRight w:val="0"/>
      <w:marTop w:val="0"/>
      <w:marBottom w:val="0"/>
      <w:divBdr>
        <w:top w:val="none" w:sz="0" w:space="0" w:color="auto"/>
        <w:left w:val="none" w:sz="0" w:space="0" w:color="auto"/>
        <w:bottom w:val="none" w:sz="0" w:space="0" w:color="auto"/>
        <w:right w:val="none" w:sz="0" w:space="0" w:color="auto"/>
      </w:divBdr>
    </w:div>
    <w:div w:id="1143424020">
      <w:bodyDiv w:val="1"/>
      <w:marLeft w:val="0"/>
      <w:marRight w:val="0"/>
      <w:marTop w:val="0"/>
      <w:marBottom w:val="0"/>
      <w:divBdr>
        <w:top w:val="none" w:sz="0" w:space="0" w:color="auto"/>
        <w:left w:val="none" w:sz="0" w:space="0" w:color="auto"/>
        <w:bottom w:val="none" w:sz="0" w:space="0" w:color="auto"/>
        <w:right w:val="none" w:sz="0" w:space="0" w:color="auto"/>
      </w:divBdr>
    </w:div>
    <w:div w:id="1355569178">
      <w:bodyDiv w:val="1"/>
      <w:marLeft w:val="0"/>
      <w:marRight w:val="0"/>
      <w:marTop w:val="0"/>
      <w:marBottom w:val="0"/>
      <w:divBdr>
        <w:top w:val="none" w:sz="0" w:space="0" w:color="auto"/>
        <w:left w:val="none" w:sz="0" w:space="0" w:color="auto"/>
        <w:bottom w:val="none" w:sz="0" w:space="0" w:color="auto"/>
        <w:right w:val="none" w:sz="0" w:space="0" w:color="auto"/>
      </w:divBdr>
    </w:div>
    <w:div w:id="1464537728">
      <w:bodyDiv w:val="1"/>
      <w:marLeft w:val="0"/>
      <w:marRight w:val="0"/>
      <w:marTop w:val="0"/>
      <w:marBottom w:val="0"/>
      <w:divBdr>
        <w:top w:val="none" w:sz="0" w:space="0" w:color="auto"/>
        <w:left w:val="none" w:sz="0" w:space="0" w:color="auto"/>
        <w:bottom w:val="none" w:sz="0" w:space="0" w:color="auto"/>
        <w:right w:val="none" w:sz="0" w:space="0" w:color="auto"/>
      </w:divBdr>
    </w:div>
    <w:div w:id="1643582371">
      <w:bodyDiv w:val="1"/>
      <w:marLeft w:val="0"/>
      <w:marRight w:val="0"/>
      <w:marTop w:val="0"/>
      <w:marBottom w:val="0"/>
      <w:divBdr>
        <w:top w:val="none" w:sz="0" w:space="0" w:color="auto"/>
        <w:left w:val="none" w:sz="0" w:space="0" w:color="auto"/>
        <w:bottom w:val="none" w:sz="0" w:space="0" w:color="auto"/>
        <w:right w:val="none" w:sz="0" w:space="0" w:color="auto"/>
      </w:divBdr>
    </w:div>
    <w:div w:id="1651665525">
      <w:bodyDiv w:val="1"/>
      <w:marLeft w:val="0"/>
      <w:marRight w:val="0"/>
      <w:marTop w:val="0"/>
      <w:marBottom w:val="0"/>
      <w:divBdr>
        <w:top w:val="none" w:sz="0" w:space="0" w:color="auto"/>
        <w:left w:val="none" w:sz="0" w:space="0" w:color="auto"/>
        <w:bottom w:val="none" w:sz="0" w:space="0" w:color="auto"/>
        <w:right w:val="none" w:sz="0" w:space="0" w:color="auto"/>
      </w:divBdr>
    </w:div>
    <w:div w:id="1723284483">
      <w:bodyDiv w:val="1"/>
      <w:marLeft w:val="0"/>
      <w:marRight w:val="0"/>
      <w:marTop w:val="0"/>
      <w:marBottom w:val="0"/>
      <w:divBdr>
        <w:top w:val="none" w:sz="0" w:space="0" w:color="auto"/>
        <w:left w:val="none" w:sz="0" w:space="0" w:color="auto"/>
        <w:bottom w:val="none" w:sz="0" w:space="0" w:color="auto"/>
        <w:right w:val="none" w:sz="0" w:space="0" w:color="auto"/>
      </w:divBdr>
    </w:div>
    <w:div w:id="1745252379">
      <w:bodyDiv w:val="1"/>
      <w:marLeft w:val="0"/>
      <w:marRight w:val="0"/>
      <w:marTop w:val="0"/>
      <w:marBottom w:val="0"/>
      <w:divBdr>
        <w:top w:val="none" w:sz="0" w:space="0" w:color="auto"/>
        <w:left w:val="none" w:sz="0" w:space="0" w:color="auto"/>
        <w:bottom w:val="none" w:sz="0" w:space="0" w:color="auto"/>
        <w:right w:val="none" w:sz="0" w:space="0" w:color="auto"/>
      </w:divBdr>
    </w:div>
    <w:div w:id="1747874197">
      <w:bodyDiv w:val="1"/>
      <w:marLeft w:val="0"/>
      <w:marRight w:val="0"/>
      <w:marTop w:val="0"/>
      <w:marBottom w:val="0"/>
      <w:divBdr>
        <w:top w:val="none" w:sz="0" w:space="0" w:color="auto"/>
        <w:left w:val="none" w:sz="0" w:space="0" w:color="auto"/>
        <w:bottom w:val="none" w:sz="0" w:space="0" w:color="auto"/>
        <w:right w:val="none" w:sz="0" w:space="0" w:color="auto"/>
      </w:divBdr>
    </w:div>
    <w:div w:id="1792356290">
      <w:bodyDiv w:val="1"/>
      <w:marLeft w:val="0"/>
      <w:marRight w:val="0"/>
      <w:marTop w:val="0"/>
      <w:marBottom w:val="0"/>
      <w:divBdr>
        <w:top w:val="none" w:sz="0" w:space="0" w:color="auto"/>
        <w:left w:val="none" w:sz="0" w:space="0" w:color="auto"/>
        <w:bottom w:val="none" w:sz="0" w:space="0" w:color="auto"/>
        <w:right w:val="none" w:sz="0" w:space="0" w:color="auto"/>
      </w:divBdr>
    </w:div>
    <w:div w:id="1910112554">
      <w:bodyDiv w:val="1"/>
      <w:marLeft w:val="0"/>
      <w:marRight w:val="0"/>
      <w:marTop w:val="0"/>
      <w:marBottom w:val="0"/>
      <w:divBdr>
        <w:top w:val="none" w:sz="0" w:space="0" w:color="auto"/>
        <w:left w:val="none" w:sz="0" w:space="0" w:color="auto"/>
        <w:bottom w:val="none" w:sz="0" w:space="0" w:color="auto"/>
        <w:right w:val="none" w:sz="0" w:space="0" w:color="auto"/>
      </w:divBdr>
    </w:div>
    <w:div w:id="2064909699">
      <w:bodyDiv w:val="1"/>
      <w:marLeft w:val="0"/>
      <w:marRight w:val="0"/>
      <w:marTop w:val="0"/>
      <w:marBottom w:val="0"/>
      <w:divBdr>
        <w:top w:val="none" w:sz="0" w:space="0" w:color="auto"/>
        <w:left w:val="none" w:sz="0" w:space="0" w:color="auto"/>
        <w:bottom w:val="none" w:sz="0" w:space="0" w:color="auto"/>
        <w:right w:val="none" w:sz="0" w:space="0" w:color="auto"/>
      </w:divBdr>
    </w:div>
    <w:div w:id="20689200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ingsfund.org.uk/insight-and-analysis/long-reads/integrated-care-systems-explained" TargetMode="External"/><Relationship Id="rId3" Type="http://schemas.openxmlformats.org/officeDocument/2006/relationships/settings" Target="settings.xml"/><Relationship Id="rId7" Type="http://schemas.openxmlformats.org/officeDocument/2006/relationships/hyperlink" Target="https://www.legislation.gov.uk/ukpga/2022/31/contents/enacted"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cqc.org.uk/publications/major-report/state-care/2022-2023" TargetMode="External"/><Relationship Id="rId5" Type="http://schemas.openxmlformats.org/officeDocument/2006/relationships/hyperlink" Target="https://www.legislation.gov.uk/ukpga/2014/23/contents/enacted"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67A6D3-4CFB-436E-96AC-563DFEB0F3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10</Pages>
  <Words>3092</Words>
  <Characters>17631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Omoregie Famous</dc:creator>
  <cp:keywords/>
  <dc:description/>
  <cp:lastModifiedBy>Omoregie Famous</cp:lastModifiedBy>
  <cp:revision>1</cp:revision>
  <dcterms:created xsi:type="dcterms:W3CDTF">2026-07-24T14:31:00Z</dcterms:created>
  <dcterms:modified xsi:type="dcterms:W3CDTF">2026-07-24T15:58:00Z</dcterms:modified>
</cp:coreProperties>
</file>