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0C1226" w14:textId="0B703112" w:rsidR="00F37736" w:rsidRDefault="00F37736" w:rsidP="00F37736">
      <w:pPr>
        <w:jc w:val="center"/>
        <w:rPr>
          <w:b/>
          <w:bCs/>
          <w:sz w:val="28"/>
          <w:szCs w:val="28"/>
          <w:u w:val="single"/>
        </w:rPr>
      </w:pPr>
      <w:r>
        <w:rPr>
          <w:b/>
          <w:bCs/>
          <w:sz w:val="28"/>
          <w:szCs w:val="28"/>
          <w:u w:val="single"/>
        </w:rPr>
        <w:t>To what extent can Egyptian archaeological evidence suggest interconnections with the wider Mediterranean</w:t>
      </w:r>
      <w:r w:rsidR="009B6301">
        <w:rPr>
          <w:b/>
          <w:bCs/>
          <w:sz w:val="28"/>
          <w:szCs w:val="28"/>
          <w:u w:val="single"/>
        </w:rPr>
        <w:t xml:space="preserve"> through seafaring</w:t>
      </w:r>
      <w:r>
        <w:rPr>
          <w:b/>
          <w:bCs/>
          <w:sz w:val="28"/>
          <w:szCs w:val="28"/>
          <w:u w:val="single"/>
        </w:rPr>
        <w:t xml:space="preserve"> ?</w:t>
      </w:r>
    </w:p>
    <w:p w14:paraId="301C5A5A" w14:textId="4141CE2C" w:rsidR="00F37736" w:rsidRDefault="00F37736" w:rsidP="00F37736">
      <w:pPr>
        <w:jc w:val="center"/>
        <w:rPr>
          <w:b/>
          <w:bCs/>
          <w:sz w:val="28"/>
          <w:szCs w:val="28"/>
          <w:u w:val="single"/>
        </w:rPr>
      </w:pPr>
    </w:p>
    <w:p w14:paraId="35F1C255" w14:textId="77777777" w:rsidR="00F51020" w:rsidRDefault="00F51020" w:rsidP="00F37736">
      <w:pPr>
        <w:rPr>
          <w:b/>
          <w:bCs/>
          <w:sz w:val="24"/>
          <w:szCs w:val="24"/>
        </w:rPr>
      </w:pPr>
    </w:p>
    <w:p w14:paraId="52A10D16" w14:textId="3428A0E8" w:rsidR="00F51020" w:rsidRDefault="00F51020" w:rsidP="00F37736">
      <w:pPr>
        <w:rPr>
          <w:sz w:val="24"/>
          <w:szCs w:val="24"/>
        </w:rPr>
      </w:pPr>
      <w:r>
        <w:rPr>
          <w:b/>
          <w:bCs/>
          <w:sz w:val="24"/>
          <w:szCs w:val="24"/>
        </w:rPr>
        <w:t xml:space="preserve">       </w:t>
      </w:r>
      <w:r w:rsidR="00016FE8">
        <w:rPr>
          <w:b/>
          <w:bCs/>
          <w:sz w:val="24"/>
          <w:szCs w:val="24"/>
        </w:rPr>
        <w:t xml:space="preserve"> </w:t>
      </w:r>
      <w:r w:rsidR="00016FE8">
        <w:rPr>
          <w:sz w:val="24"/>
          <w:szCs w:val="24"/>
        </w:rPr>
        <w:t xml:space="preserve">When it comes to looking at the interactions of Egypt with the wider Mediterranean, there are various examples that can be looked at in order to have a glimpse at seafaring, such as wall reliefs portraying the return of trade expeditions with boats in the background, as well as written inscriptions that sometimes accompany the reliefs or that are found separately on carved stones like stelae. Sometimes there is also written evidence on papyrus scrolls, but due to their lower preservation rate, they are scarcer than rock carvings, which have a higher preservation rate. </w:t>
      </w:r>
      <w:r w:rsidR="000F24C5">
        <w:rPr>
          <w:sz w:val="24"/>
          <w:szCs w:val="24"/>
        </w:rPr>
        <w:t>It is also worth mentioning what I would define as trade as well. Could trade imply an exchange of items of equal value for one another</w:t>
      </w:r>
      <w:r w:rsidR="002E01D0">
        <w:rPr>
          <w:sz w:val="24"/>
          <w:szCs w:val="24"/>
        </w:rPr>
        <w:t>, and is it limited to just objects. Could you trade peoples skills in exchange for things as well, more as a loan of skill as opposed to actually trading the people. For the sake of this essay, I will look at trade as an exchange of things for other things, not limited to items, but also skill</w:t>
      </w:r>
      <w:r w:rsidR="00CE1682">
        <w:rPr>
          <w:sz w:val="24"/>
          <w:szCs w:val="24"/>
        </w:rPr>
        <w:t xml:space="preserve"> transfer, such as frescos</w:t>
      </w:r>
      <w:r w:rsidR="002E01D0">
        <w:rPr>
          <w:sz w:val="24"/>
          <w:szCs w:val="24"/>
        </w:rPr>
        <w:t>.</w:t>
      </w:r>
    </w:p>
    <w:p w14:paraId="5D23C9B4" w14:textId="77777777" w:rsidR="00C8576C" w:rsidRDefault="00C8576C" w:rsidP="00F37736">
      <w:pPr>
        <w:rPr>
          <w:sz w:val="24"/>
          <w:szCs w:val="24"/>
        </w:rPr>
      </w:pPr>
    </w:p>
    <w:p w14:paraId="415B8B35" w14:textId="393C660D" w:rsidR="00CE1682" w:rsidRDefault="00C25E0D" w:rsidP="00F37736">
      <w:pPr>
        <w:rPr>
          <w:sz w:val="24"/>
          <w:szCs w:val="24"/>
        </w:rPr>
      </w:pPr>
      <w:r>
        <w:rPr>
          <w:sz w:val="24"/>
          <w:szCs w:val="24"/>
        </w:rPr>
        <w:t xml:space="preserve">      </w:t>
      </w:r>
      <w:r w:rsidR="00CE1682">
        <w:rPr>
          <w:sz w:val="24"/>
          <w:szCs w:val="24"/>
        </w:rPr>
        <w:t xml:space="preserve">In order for the Egyptians to have a possible advantage in regard to seafaring, one thing that could have made it a greater possibility is the application of sails onto Egyptian river boats. </w:t>
      </w:r>
      <w:proofErr w:type="spellStart"/>
      <w:r w:rsidR="00CE1682">
        <w:rPr>
          <w:sz w:val="24"/>
          <w:szCs w:val="24"/>
        </w:rPr>
        <w:t>Broodbank</w:t>
      </w:r>
      <w:proofErr w:type="spellEnd"/>
      <w:r w:rsidR="00CE1682">
        <w:rPr>
          <w:sz w:val="24"/>
          <w:szCs w:val="24"/>
        </w:rPr>
        <w:t xml:space="preserve"> (2010, p33) notes that they could have optimised travel time, thus </w:t>
      </w:r>
      <w:r>
        <w:rPr>
          <w:sz w:val="24"/>
          <w:szCs w:val="24"/>
        </w:rPr>
        <w:t xml:space="preserve">expanding margins of the Mediterranean to explore the unknown. With sails, the boats could take advantage of the Mediterranean winds that could transport them towards the coasts of the North East. However, as with winds today which are seasonal, they have not changed much since ancient times and are still seasonal winds, which would render sails useless should they venture into open sea during those off-season times. However,   </w:t>
      </w:r>
    </w:p>
    <w:p w14:paraId="64E46689" w14:textId="77777777" w:rsidR="00C8576C" w:rsidRDefault="00C8576C" w:rsidP="00F37736">
      <w:pPr>
        <w:rPr>
          <w:sz w:val="24"/>
          <w:szCs w:val="24"/>
        </w:rPr>
      </w:pPr>
    </w:p>
    <w:p w14:paraId="327405A2" w14:textId="40FDD515" w:rsidR="009B6301" w:rsidRDefault="002434C2" w:rsidP="00F37736">
      <w:pPr>
        <w:rPr>
          <w:sz w:val="24"/>
          <w:szCs w:val="24"/>
        </w:rPr>
      </w:pPr>
      <w:r w:rsidRPr="009F5B68">
        <w:rPr>
          <w:b/>
          <w:bCs/>
          <w:noProof/>
          <w:sz w:val="28"/>
          <w:szCs w:val="28"/>
          <w:u w:val="single"/>
        </w:rPr>
        <mc:AlternateContent>
          <mc:Choice Requires="wps">
            <w:drawing>
              <wp:anchor distT="45720" distB="45720" distL="114300" distR="114300" simplePos="0" relativeHeight="251660288" behindDoc="0" locked="0" layoutInCell="1" allowOverlap="1" wp14:anchorId="69784792" wp14:editId="1A94D50B">
                <wp:simplePos x="0" y="0"/>
                <wp:positionH relativeFrom="margin">
                  <wp:posOffset>5477378</wp:posOffset>
                </wp:positionH>
                <wp:positionV relativeFrom="paragraph">
                  <wp:posOffset>2150529</wp:posOffset>
                </wp:positionV>
                <wp:extent cx="767715" cy="335915"/>
                <wp:effectExtent l="0" t="0" r="13335"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7715" cy="335915"/>
                        </a:xfrm>
                        <a:prstGeom prst="rect">
                          <a:avLst/>
                        </a:prstGeom>
                        <a:solidFill>
                          <a:srgbClr val="FFFFFF"/>
                        </a:solidFill>
                        <a:ln w="9525">
                          <a:solidFill>
                            <a:srgbClr val="000000"/>
                          </a:solidFill>
                          <a:miter lim="800000"/>
                          <a:headEnd/>
                          <a:tailEnd/>
                        </a:ln>
                      </wps:spPr>
                      <wps:txbx>
                        <w:txbxContent>
                          <w:p w14:paraId="70B8B854" w14:textId="5F9E5360" w:rsidR="009F5B68" w:rsidRPr="009F5B68" w:rsidRDefault="009F5B68">
                            <w:pPr>
                              <w:rPr>
                                <w:sz w:val="24"/>
                                <w:szCs w:val="24"/>
                              </w:rPr>
                            </w:pPr>
                            <w:r w:rsidRPr="009F5B68">
                              <w:rPr>
                                <w:sz w:val="24"/>
                                <w:szCs w:val="24"/>
                              </w:rPr>
                              <w:t>Image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784792" id="_x0000_t202" coordsize="21600,21600" o:spt="202" path="m,l,21600r21600,l21600,xe">
                <v:stroke joinstyle="miter"/>
                <v:path gradientshapeok="t" o:connecttype="rect"/>
              </v:shapetype>
              <v:shape id="Text Box 2" o:spid="_x0000_s1026" type="#_x0000_t202" style="position:absolute;margin-left:431.3pt;margin-top:169.35pt;width:60.45pt;height:26.4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">
                <v:textbox>
                  <w:txbxContent>
                    <w:p w14:paraId="70B8B854" w14:textId="5F9E5360" w:rsidR="009F5B68" w:rsidRPr="009F5B68" w:rsidRDefault="009F5B68">
                      <w:pPr>
                        <w:rPr>
                          <w:sz w:val="24"/>
                          <w:szCs w:val="24"/>
                        </w:rPr>
                      </w:pPr>
                      <w:r w:rsidRPr="009F5B68">
                        <w:rPr>
                          <w:sz w:val="24"/>
                          <w:szCs w:val="24"/>
                        </w:rPr>
                        <w:t>Image 1</w:t>
                      </w:r>
                    </w:p>
                  </w:txbxContent>
                </v:textbox>
                <w10:wrap type="square" anchorx="margin"/>
              </v:shape>
            </w:pict>
          </mc:Fallback>
        </mc:AlternateContent>
      </w:r>
      <w:r w:rsidRPr="009F5B68">
        <w:rPr>
          <w:noProof/>
        </w:rPr>
        <w:drawing>
          <wp:anchor distT="0" distB="0" distL="114300" distR="114300" simplePos="0" relativeHeight="251658240" behindDoc="0" locked="0" layoutInCell="1" allowOverlap="1" wp14:anchorId="1908E9EE" wp14:editId="2396653B">
            <wp:simplePos x="0" y="0"/>
            <wp:positionH relativeFrom="margin">
              <wp:posOffset>3829577</wp:posOffset>
            </wp:positionH>
            <wp:positionV relativeFrom="paragraph">
              <wp:posOffset>296593</wp:posOffset>
            </wp:positionV>
            <wp:extent cx="2454275" cy="1837055"/>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2454275" cy="1837055"/>
                    </a:xfrm>
                    <a:prstGeom prst="rect">
                      <a:avLst/>
                    </a:prstGeom>
                  </pic:spPr>
                </pic:pic>
              </a:graphicData>
            </a:graphic>
            <wp14:sizeRelH relativeFrom="page">
              <wp14:pctWidth>0</wp14:pctWidth>
            </wp14:sizeRelH>
            <wp14:sizeRelV relativeFrom="page">
              <wp14:pctHeight>0</wp14:pctHeight>
            </wp14:sizeRelV>
          </wp:anchor>
        </w:drawing>
      </w:r>
      <w:r w:rsidR="009B6301">
        <w:rPr>
          <w:sz w:val="24"/>
          <w:szCs w:val="24"/>
        </w:rPr>
        <w:t xml:space="preserve">       In Egypt, one of the most notable archaeological features that could tell us something about Egyptian relations with the wider Mediterranean, is wall </w:t>
      </w:r>
      <w:r w:rsidR="00BC301D">
        <w:rPr>
          <w:sz w:val="24"/>
          <w:szCs w:val="24"/>
        </w:rPr>
        <w:t>paintings</w:t>
      </w:r>
      <w:r w:rsidR="009B6301">
        <w:rPr>
          <w:sz w:val="24"/>
          <w:szCs w:val="24"/>
        </w:rPr>
        <w:t xml:space="preserve">, seen most prominently in tombs and mortuary temples of the pharaohs. </w:t>
      </w:r>
      <w:r w:rsidR="00F344D0">
        <w:rPr>
          <w:sz w:val="24"/>
          <w:szCs w:val="24"/>
        </w:rPr>
        <w:t>These wall reliefs showcase a wide variety of screenshots into Egyptian life, from the gathering of crops by farmers, scenes of hunting, military exploits and also trade and travel. Of these trade reliefs, the one that features the trade expedition to Punt from Hatshepsut’s mortuary temple in Deir el-</w:t>
      </w:r>
      <w:proofErr w:type="spellStart"/>
      <w:r w:rsidR="00F344D0">
        <w:rPr>
          <w:sz w:val="24"/>
          <w:szCs w:val="24"/>
        </w:rPr>
        <w:t>Bahri</w:t>
      </w:r>
      <w:proofErr w:type="spellEnd"/>
      <w:r w:rsidR="00F344D0">
        <w:rPr>
          <w:sz w:val="24"/>
          <w:szCs w:val="24"/>
        </w:rPr>
        <w:t>.</w:t>
      </w:r>
      <w:r w:rsidR="002E01D0">
        <w:rPr>
          <w:sz w:val="24"/>
          <w:szCs w:val="24"/>
        </w:rPr>
        <w:t xml:space="preserve"> Image 1 shows the return of people from the expedition, carrying </w:t>
      </w:r>
      <w:r w:rsidR="002E01D0">
        <w:rPr>
          <w:sz w:val="24"/>
          <w:szCs w:val="24"/>
        </w:rPr>
        <w:lastRenderedPageBreak/>
        <w:t>what can be described as a sapling of  a tree, possibly one that could be used for incense, such as a myrrh tree for example. It is difficult to tell exactly from the painting what the tree species could be, so the tree species is open for debate.</w:t>
      </w:r>
      <w:r w:rsidR="008E5745">
        <w:rPr>
          <w:sz w:val="24"/>
          <w:szCs w:val="24"/>
        </w:rPr>
        <w:t xml:space="preserve"> Wall paintings can also give us a glimpse into official court activities as well, such as the reception of Minoan officials at the court of Hatshepsut, noted by Barber (1991, p331). With the arrival of foreign officials at a court in Egypt, it could be inferred that there was contact between the two nations, possibly political. However, it is hard to tell whether trade can be inferred from such reliefs. It should be noted however, that Egyptian wall depictions should not be taken as literally as they seem. Egyptian art was an expression of not necessarily reality, but of an ideal life. Representations, such as the depiction of the pharaoh smiting his enemies, was not necessarily something that would have been actually done in later periods, but the pharaoh was still depicted smiting enemies, as his role as the protector of Egypt from her enemies still needed the visual representation. </w:t>
      </w:r>
    </w:p>
    <w:p w14:paraId="3E00A165" w14:textId="77777777" w:rsidR="00C8576C" w:rsidRDefault="00C8576C" w:rsidP="00F37736">
      <w:pPr>
        <w:rPr>
          <w:sz w:val="24"/>
          <w:szCs w:val="24"/>
        </w:rPr>
      </w:pPr>
    </w:p>
    <w:p w14:paraId="4FF00CD1" w14:textId="16A473F1" w:rsidR="00FD4210" w:rsidRDefault="00064585" w:rsidP="00F37736">
      <w:pPr>
        <w:rPr>
          <w:sz w:val="24"/>
          <w:szCs w:val="24"/>
        </w:rPr>
      </w:pPr>
      <w:r w:rsidRPr="00F51020">
        <w:rPr>
          <w:b/>
          <w:bCs/>
          <w:noProof/>
          <w:sz w:val="28"/>
          <w:szCs w:val="28"/>
          <w:u w:val="single"/>
        </w:rPr>
        <mc:AlternateContent>
          <mc:Choice Requires="wps">
            <w:drawing>
              <wp:anchor distT="45720" distB="45720" distL="114300" distR="114300" simplePos="0" relativeHeight="251666432" behindDoc="0" locked="0" layoutInCell="1" allowOverlap="1" wp14:anchorId="474374EA" wp14:editId="729EC600">
                <wp:simplePos x="0" y="0"/>
                <wp:positionH relativeFrom="margin">
                  <wp:posOffset>-59522</wp:posOffset>
                </wp:positionH>
                <wp:positionV relativeFrom="paragraph">
                  <wp:posOffset>3736711</wp:posOffset>
                </wp:positionV>
                <wp:extent cx="758825" cy="310515"/>
                <wp:effectExtent l="0" t="0" r="22225" b="1333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8825" cy="310515"/>
                        </a:xfrm>
                        <a:prstGeom prst="rect">
                          <a:avLst/>
                        </a:prstGeom>
                        <a:solidFill>
                          <a:srgbClr val="FFFFFF"/>
                        </a:solidFill>
                        <a:ln w="9525">
                          <a:solidFill>
                            <a:srgbClr val="000000"/>
                          </a:solidFill>
                          <a:miter lim="800000"/>
                          <a:headEnd/>
                          <a:tailEnd/>
                        </a:ln>
                      </wps:spPr>
                      <wps:txbx>
                        <w:txbxContent>
                          <w:p w14:paraId="265CC6FF" w14:textId="6F8A8522" w:rsidR="00F51020" w:rsidRPr="00F51020" w:rsidRDefault="00F51020">
                            <w:pPr>
                              <w:rPr>
                                <w:sz w:val="24"/>
                                <w:szCs w:val="24"/>
                              </w:rPr>
                            </w:pPr>
                            <w:r w:rsidRPr="00F51020">
                              <w:rPr>
                                <w:sz w:val="24"/>
                                <w:szCs w:val="24"/>
                              </w:rPr>
                              <w:t>Image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4374EA" id="_x0000_s1027" type="#_x0000_t202" style="position:absolute;margin-left:-4.7pt;margin-top:294.25pt;width:59.75pt;height:24.4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">
                <v:textbox>
                  <w:txbxContent>
                    <w:p w14:paraId="265CC6FF" w14:textId="6F8A8522" w:rsidR="00F51020" w:rsidRPr="00F51020" w:rsidRDefault="00F51020">
                      <w:pPr>
                        <w:rPr>
                          <w:sz w:val="24"/>
                          <w:szCs w:val="24"/>
                        </w:rPr>
                      </w:pPr>
                      <w:r w:rsidRPr="00F51020">
                        <w:rPr>
                          <w:sz w:val="24"/>
                          <w:szCs w:val="24"/>
                        </w:rPr>
                        <w:t>Image 3</w:t>
                      </w:r>
                    </w:p>
                  </w:txbxContent>
                </v:textbox>
                <w10:wrap type="square" anchorx="margin"/>
              </v:shape>
            </w:pict>
          </mc:Fallback>
        </mc:AlternateContent>
      </w:r>
      <w:r w:rsidRPr="00F51020">
        <w:rPr>
          <w:noProof/>
        </w:rPr>
        <w:drawing>
          <wp:anchor distT="0" distB="0" distL="114300" distR="114300" simplePos="0" relativeHeight="251664384" behindDoc="0" locked="0" layoutInCell="1" allowOverlap="1" wp14:anchorId="54160DC6" wp14:editId="5AAB583F">
            <wp:simplePos x="0" y="0"/>
            <wp:positionH relativeFrom="margin">
              <wp:posOffset>-68244</wp:posOffset>
            </wp:positionH>
            <wp:positionV relativeFrom="paragraph">
              <wp:posOffset>2021684</wp:posOffset>
            </wp:positionV>
            <wp:extent cx="2230755" cy="1673225"/>
            <wp:effectExtent l="0" t="0" r="0"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230755" cy="1673225"/>
                    </a:xfrm>
                    <a:prstGeom prst="rect">
                      <a:avLst/>
                    </a:prstGeom>
                  </pic:spPr>
                </pic:pic>
              </a:graphicData>
            </a:graphic>
            <wp14:sizeRelH relativeFrom="page">
              <wp14:pctWidth>0</wp14:pctWidth>
            </wp14:sizeRelH>
            <wp14:sizeRelV relativeFrom="page">
              <wp14:pctHeight>0</wp14:pctHeight>
            </wp14:sizeRelV>
          </wp:anchor>
        </w:drawing>
      </w:r>
      <w:r w:rsidRPr="00F51020">
        <w:rPr>
          <w:b/>
          <w:bCs/>
          <w:noProof/>
          <w:sz w:val="24"/>
          <w:szCs w:val="24"/>
        </w:rPr>
        <mc:AlternateContent>
          <mc:Choice Requires="wps">
            <w:drawing>
              <wp:anchor distT="45720" distB="45720" distL="114300" distR="114300" simplePos="0" relativeHeight="251663360" behindDoc="0" locked="0" layoutInCell="1" allowOverlap="1" wp14:anchorId="1F70A26F" wp14:editId="75B007B5">
                <wp:simplePos x="0" y="0"/>
                <wp:positionH relativeFrom="column">
                  <wp:posOffset>4855437</wp:posOffset>
                </wp:positionH>
                <wp:positionV relativeFrom="paragraph">
                  <wp:posOffset>2744470</wp:posOffset>
                </wp:positionV>
                <wp:extent cx="724535" cy="353060"/>
                <wp:effectExtent l="0" t="0" r="18415" b="2794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4535" cy="353060"/>
                        </a:xfrm>
                        <a:prstGeom prst="rect">
                          <a:avLst/>
                        </a:prstGeom>
                        <a:solidFill>
                          <a:srgbClr val="FFFFFF"/>
                        </a:solidFill>
                        <a:ln w="9525">
                          <a:solidFill>
                            <a:srgbClr val="000000"/>
                          </a:solidFill>
                          <a:miter lim="800000"/>
                          <a:headEnd/>
                          <a:tailEnd/>
                        </a:ln>
                      </wps:spPr>
                      <wps:txbx>
                        <w:txbxContent>
                          <w:p w14:paraId="223048CC" w14:textId="39A5708E" w:rsidR="00F51020" w:rsidRPr="00F51020" w:rsidRDefault="00F51020">
                            <w:pPr>
                              <w:rPr>
                                <w:sz w:val="24"/>
                                <w:szCs w:val="24"/>
                              </w:rPr>
                            </w:pPr>
                            <w:r w:rsidRPr="00F51020">
                              <w:rPr>
                                <w:sz w:val="24"/>
                                <w:szCs w:val="24"/>
                              </w:rPr>
                              <w:t>Image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70A26F" id="_x0000_s1028" type="#_x0000_t202" style="position:absolute;margin-left:382.3pt;margin-top:216.1pt;width:57.05pt;height:27.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">
                <v:textbox>
                  <w:txbxContent>
                    <w:p w14:paraId="223048CC" w14:textId="39A5708E" w:rsidR="00F51020" w:rsidRPr="00F51020" w:rsidRDefault="00F51020">
                      <w:pPr>
                        <w:rPr>
                          <w:sz w:val="24"/>
                          <w:szCs w:val="24"/>
                        </w:rPr>
                      </w:pPr>
                      <w:r w:rsidRPr="00F51020">
                        <w:rPr>
                          <w:sz w:val="24"/>
                          <w:szCs w:val="24"/>
                        </w:rPr>
                        <w:t>Image 2</w:t>
                      </w:r>
                    </w:p>
                  </w:txbxContent>
                </v:textbox>
                <w10:wrap type="square"/>
              </v:shape>
            </w:pict>
          </mc:Fallback>
        </mc:AlternateContent>
      </w:r>
      <w:r w:rsidRPr="00F51020">
        <w:rPr>
          <w:noProof/>
        </w:rPr>
        <w:drawing>
          <wp:anchor distT="0" distB="0" distL="114300" distR="114300" simplePos="0" relativeHeight="251661312" behindDoc="0" locked="0" layoutInCell="1" allowOverlap="1" wp14:anchorId="3465BA29" wp14:editId="78954A60">
            <wp:simplePos x="0" y="0"/>
            <wp:positionH relativeFrom="margin">
              <wp:align>right</wp:align>
            </wp:positionH>
            <wp:positionV relativeFrom="paragraph">
              <wp:posOffset>217805</wp:posOffset>
            </wp:positionV>
            <wp:extent cx="1813560" cy="245808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813560" cy="2458085"/>
                    </a:xfrm>
                    <a:prstGeom prst="rect">
                      <a:avLst/>
                    </a:prstGeom>
                  </pic:spPr>
                </pic:pic>
              </a:graphicData>
            </a:graphic>
            <wp14:sizeRelH relativeFrom="page">
              <wp14:pctWidth>0</wp14:pctWidth>
            </wp14:sizeRelH>
            <wp14:sizeRelV relativeFrom="page">
              <wp14:pctHeight>0</wp14:pctHeight>
            </wp14:sizeRelV>
          </wp:anchor>
        </w:drawing>
      </w:r>
      <w:r w:rsidR="00FD4210">
        <w:rPr>
          <w:sz w:val="24"/>
          <w:szCs w:val="24"/>
        </w:rPr>
        <w:t xml:space="preserve">        Hieroglyphic stelae </w:t>
      </w:r>
      <w:r w:rsidR="00CF3462">
        <w:rPr>
          <w:sz w:val="24"/>
          <w:szCs w:val="24"/>
        </w:rPr>
        <w:t>are</w:t>
      </w:r>
      <w:r w:rsidR="00FD4210">
        <w:rPr>
          <w:sz w:val="24"/>
          <w:szCs w:val="24"/>
        </w:rPr>
        <w:t xml:space="preserve"> a good source of information in regard to Egyptian life</w:t>
      </w:r>
      <w:r w:rsidR="00CF3462">
        <w:rPr>
          <w:sz w:val="24"/>
          <w:szCs w:val="24"/>
        </w:rPr>
        <w:t>, providing you can either read hieroglyphs, or there are translations of the texts published</w:t>
      </w:r>
      <w:r w:rsidR="00FD4210">
        <w:rPr>
          <w:sz w:val="24"/>
          <w:szCs w:val="24"/>
        </w:rPr>
        <w:t xml:space="preserve">. Although they were unreadable until the hieroglyph code was </w:t>
      </w:r>
      <w:r w:rsidR="00CF3462">
        <w:rPr>
          <w:sz w:val="24"/>
          <w:szCs w:val="24"/>
        </w:rPr>
        <w:t>unravelled</w:t>
      </w:r>
      <w:r w:rsidR="00FD4210">
        <w:rPr>
          <w:sz w:val="24"/>
          <w:szCs w:val="24"/>
        </w:rPr>
        <w:t xml:space="preserve"> by Champollion</w:t>
      </w:r>
      <w:r w:rsidR="00CF3462">
        <w:rPr>
          <w:sz w:val="24"/>
          <w:szCs w:val="24"/>
        </w:rPr>
        <w:t>, now that they are decipherable a wide variety of information can be found. one such inscription that can tell us about trade expeditions in ancient Egypt, is a collection of fragments referred to as the Palermo stones</w:t>
      </w:r>
      <w:r w:rsidR="00C772CA">
        <w:rPr>
          <w:sz w:val="24"/>
          <w:szCs w:val="24"/>
        </w:rPr>
        <w:t xml:space="preserve"> (see image 2, one of the Palermo stone pieces)</w:t>
      </w:r>
      <w:r w:rsidR="00CF3462">
        <w:rPr>
          <w:sz w:val="24"/>
          <w:szCs w:val="24"/>
        </w:rPr>
        <w:t>, noted by Shaw (2017, p26). Shaw also notes that</w:t>
      </w:r>
      <w:r w:rsidR="00C772CA">
        <w:rPr>
          <w:sz w:val="24"/>
          <w:szCs w:val="24"/>
        </w:rPr>
        <w:t xml:space="preserve"> a relief was found in the pyramid causeway of pharaoh Sahure, depicting what is believed to be the Punt expedition that Sahure undertook</w:t>
      </w:r>
      <w:r>
        <w:rPr>
          <w:sz w:val="24"/>
          <w:szCs w:val="24"/>
        </w:rPr>
        <w:t>, as well as the retune of a fleet of Egyptian boats from the Levant (see image 3 for return of the fleet from the Levant)</w:t>
      </w:r>
      <w:r w:rsidR="00C772CA">
        <w:rPr>
          <w:sz w:val="24"/>
          <w:szCs w:val="24"/>
        </w:rPr>
        <w:t xml:space="preserve">. Matching written texts with wall depictions can be a way of corroborating whether events actually happened during the reigns of pharaohs.   </w:t>
      </w:r>
      <w:r w:rsidR="00CF3462">
        <w:rPr>
          <w:sz w:val="24"/>
          <w:szCs w:val="24"/>
        </w:rPr>
        <w:t xml:space="preserve"> </w:t>
      </w:r>
    </w:p>
    <w:p w14:paraId="70128A57" w14:textId="535256B7" w:rsidR="00D6012C" w:rsidRDefault="00D6012C" w:rsidP="00F37736">
      <w:pPr>
        <w:rPr>
          <w:sz w:val="24"/>
          <w:szCs w:val="24"/>
        </w:rPr>
      </w:pPr>
    </w:p>
    <w:p w14:paraId="6F3D349E" w14:textId="65F871E0" w:rsidR="00BC301D" w:rsidRDefault="00BC301D" w:rsidP="00F37736">
      <w:pPr>
        <w:rPr>
          <w:sz w:val="24"/>
          <w:szCs w:val="24"/>
        </w:rPr>
      </w:pPr>
      <w:r>
        <w:rPr>
          <w:sz w:val="24"/>
          <w:szCs w:val="24"/>
        </w:rPr>
        <w:t xml:space="preserve">       Treasure hoards , such as the Tod Treasure hoard</w:t>
      </w:r>
      <w:r w:rsidR="002434C2">
        <w:rPr>
          <w:sz w:val="24"/>
          <w:szCs w:val="24"/>
        </w:rPr>
        <w:t xml:space="preserve"> (see image 2)</w:t>
      </w:r>
      <w:r>
        <w:rPr>
          <w:sz w:val="24"/>
          <w:szCs w:val="24"/>
        </w:rPr>
        <w:t xml:space="preserve">, could be seen as </w:t>
      </w:r>
      <w:r w:rsidR="000F24C5">
        <w:rPr>
          <w:sz w:val="24"/>
          <w:szCs w:val="24"/>
        </w:rPr>
        <w:t>a collection of items</w:t>
      </w:r>
      <w:r>
        <w:rPr>
          <w:sz w:val="24"/>
          <w:szCs w:val="24"/>
        </w:rPr>
        <w:t xml:space="preserve"> that </w:t>
      </w:r>
      <w:r w:rsidR="000F24C5">
        <w:rPr>
          <w:sz w:val="24"/>
          <w:szCs w:val="24"/>
        </w:rPr>
        <w:t xml:space="preserve">shows trade networks with Egypt and the wider Mediterranean. Shaw (2017, p43) noted that the hoard contained “precious items from across Egypt’s known world, including rings, bracelets, a mirror, copper, pendants, carnelian beads, </w:t>
      </w:r>
      <w:r w:rsidR="000F24C5">
        <w:rPr>
          <w:sz w:val="24"/>
          <w:szCs w:val="24"/>
        </w:rPr>
        <w:lastRenderedPageBreak/>
        <w:t xml:space="preserve">fragments of quartz, amethyst and obsidian, as well as over 150 bowls”. The insinuation that all of the items in the hoard are of a precious origin, gathered from across the known locations for the Egyptians, could show that there was potential travel to those lands in </w:t>
      </w:r>
      <w:r w:rsidR="002434C2" w:rsidRPr="002434C2">
        <w:drawing>
          <wp:anchor distT="0" distB="0" distL="114300" distR="114300" simplePos="0" relativeHeight="251667456" behindDoc="0" locked="0" layoutInCell="1" allowOverlap="1" wp14:anchorId="686CC18A" wp14:editId="4CD7A6DA">
            <wp:simplePos x="0" y="0"/>
            <wp:positionH relativeFrom="margin">
              <wp:posOffset>-77602</wp:posOffset>
            </wp:positionH>
            <wp:positionV relativeFrom="paragraph">
              <wp:posOffset>922547</wp:posOffset>
            </wp:positionV>
            <wp:extent cx="2423795" cy="181800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23795" cy="1818005"/>
                    </a:xfrm>
                    <a:prstGeom prst="rect">
                      <a:avLst/>
                    </a:prstGeom>
                  </pic:spPr>
                </pic:pic>
              </a:graphicData>
            </a:graphic>
            <wp14:sizeRelH relativeFrom="page">
              <wp14:pctWidth>0</wp14:pctWidth>
            </wp14:sizeRelH>
            <wp14:sizeRelV relativeFrom="page">
              <wp14:pctHeight>0</wp14:pctHeight>
            </wp14:sizeRelV>
          </wp:anchor>
        </w:drawing>
      </w:r>
      <w:r w:rsidR="000F24C5">
        <w:rPr>
          <w:sz w:val="24"/>
          <w:szCs w:val="24"/>
        </w:rPr>
        <w:t>order to get the items, possibly through exchange of goods. As to whether this could show seafaring travel and trade, it is a lot more obscure, as we have no evidence that describes the gathering of these items together through travel</w:t>
      </w:r>
      <w:r w:rsidR="002E01D0">
        <w:rPr>
          <w:sz w:val="24"/>
          <w:szCs w:val="24"/>
        </w:rPr>
        <w:t xml:space="preserve">. What is also not clear from hordes is whether they were gathered by walking across the land. This could then possibly discount this particular horde as a possible example of seafaring trade, if the items where not gathered </w:t>
      </w:r>
      <w:r w:rsidR="002434C2" w:rsidRPr="002434C2">
        <w:rPr>
          <w:noProof/>
          <w:sz w:val="24"/>
          <w:szCs w:val="24"/>
        </w:rPr>
        <mc:AlternateContent>
          <mc:Choice Requires="wps">
            <w:drawing>
              <wp:anchor distT="45720" distB="45720" distL="114300" distR="114300" simplePos="0" relativeHeight="251669504" behindDoc="0" locked="0" layoutInCell="1" allowOverlap="1" wp14:anchorId="111498C0" wp14:editId="0DF78768">
                <wp:simplePos x="0" y="0"/>
                <wp:positionH relativeFrom="column">
                  <wp:posOffset>-34925</wp:posOffset>
                </wp:positionH>
                <wp:positionV relativeFrom="paragraph">
                  <wp:posOffset>2811780</wp:posOffset>
                </wp:positionV>
                <wp:extent cx="749935" cy="292735"/>
                <wp:effectExtent l="0" t="0" r="12065" b="1206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9935" cy="292735"/>
                        </a:xfrm>
                        <a:prstGeom prst="rect">
                          <a:avLst/>
                        </a:prstGeom>
                        <a:solidFill>
                          <a:srgbClr val="FFFFFF"/>
                        </a:solidFill>
                        <a:ln w="9525">
                          <a:solidFill>
                            <a:srgbClr val="000000"/>
                          </a:solidFill>
                          <a:miter lim="800000"/>
                          <a:headEnd/>
                          <a:tailEnd/>
                        </a:ln>
                      </wps:spPr>
                      <wps:txbx>
                        <w:txbxContent>
                          <w:p w14:paraId="3DECF002" w14:textId="2250C955" w:rsidR="002434C2" w:rsidRDefault="002434C2">
                            <w:r>
                              <w:t xml:space="preserve">Image </w:t>
                            </w:r>
                            <w:r w:rsidR="00064585">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1498C0" id="_x0000_s1029" type="#_x0000_t202" style="position:absolute;margin-left:-2.75pt;margin-top:221.4pt;width:59.05pt;height:23.0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">
                <v:textbox>
                  <w:txbxContent>
                    <w:p w14:paraId="3DECF002" w14:textId="2250C955" w:rsidR="002434C2" w:rsidRDefault="002434C2">
                      <w:r>
                        <w:t xml:space="preserve">Image </w:t>
                      </w:r>
                      <w:r w:rsidR="00064585">
                        <w:t>4</w:t>
                      </w:r>
                    </w:p>
                  </w:txbxContent>
                </v:textbox>
                <w10:wrap type="square"/>
              </v:shape>
            </w:pict>
          </mc:Fallback>
        </mc:AlternateContent>
      </w:r>
      <w:r w:rsidR="002E01D0">
        <w:rPr>
          <w:sz w:val="24"/>
          <w:szCs w:val="24"/>
        </w:rPr>
        <w:t xml:space="preserve">via the sea. Although the horde does contain copper, which is found most prevalently in Cyprus, which could be an indicator of possible sea connections through trade, as we know ships such as the </w:t>
      </w:r>
      <w:proofErr w:type="spellStart"/>
      <w:r w:rsidR="002E01D0">
        <w:rPr>
          <w:sz w:val="24"/>
          <w:szCs w:val="24"/>
        </w:rPr>
        <w:t>Ulubrun</w:t>
      </w:r>
      <w:proofErr w:type="spellEnd"/>
      <w:r w:rsidR="002E01D0">
        <w:rPr>
          <w:sz w:val="24"/>
          <w:szCs w:val="24"/>
        </w:rPr>
        <w:t xml:space="preserve"> transported copper ingots. However, copper still could be traded across the land and transported to Egypt that way, </w:t>
      </w:r>
      <w:r w:rsidR="002434C2">
        <w:rPr>
          <w:sz w:val="24"/>
          <w:szCs w:val="24"/>
        </w:rPr>
        <w:t>not showing whether there was sea trade or not.</w:t>
      </w:r>
      <w:r w:rsidR="002E01D0">
        <w:rPr>
          <w:sz w:val="24"/>
          <w:szCs w:val="24"/>
        </w:rPr>
        <w:t xml:space="preserve"> </w:t>
      </w:r>
    </w:p>
    <w:p w14:paraId="5E2C643C" w14:textId="77777777" w:rsidR="00C8576C" w:rsidRDefault="00C8576C" w:rsidP="00F37736">
      <w:pPr>
        <w:rPr>
          <w:sz w:val="24"/>
          <w:szCs w:val="24"/>
        </w:rPr>
      </w:pPr>
    </w:p>
    <w:p w14:paraId="54DF3ADC" w14:textId="680E3E5E" w:rsidR="003D5F96" w:rsidRDefault="00064585" w:rsidP="00F37736">
      <w:pPr>
        <w:rPr>
          <w:sz w:val="24"/>
          <w:szCs w:val="24"/>
        </w:rPr>
      </w:pPr>
      <w:r>
        <w:rPr>
          <w:sz w:val="24"/>
          <w:szCs w:val="24"/>
        </w:rPr>
        <w:t xml:space="preserve">        When it comes to looking at the transfer of artisanal knowledge throughout the </w:t>
      </w:r>
      <w:r w:rsidR="003D5F96">
        <w:rPr>
          <w:sz w:val="24"/>
          <w:szCs w:val="24"/>
        </w:rPr>
        <w:t xml:space="preserve">Mediterranean, </w:t>
      </w:r>
      <w:proofErr w:type="spellStart"/>
      <w:r w:rsidR="003D5F96">
        <w:rPr>
          <w:sz w:val="24"/>
          <w:szCs w:val="24"/>
        </w:rPr>
        <w:t>Brysbaert</w:t>
      </w:r>
      <w:proofErr w:type="spellEnd"/>
      <w:r w:rsidR="003D5F96">
        <w:rPr>
          <w:sz w:val="24"/>
          <w:szCs w:val="24"/>
        </w:rPr>
        <w:t xml:space="preserve"> (2008, p78) notes that there was certainly a “level of transfer of iconographic motifs and stylistic features”.  As patterns and materials travelled around the Mediterranean, they ended up in Egypt. However, textiles seldom survive in the archaeological record, as they are a soft item that perishes easily, except for rare cases where some of them do survive, such as sandals from the tomb of Tutankhamun. Whilst sandals are not necessarily textiles, they are still a soft item that is often lost to the archaeological record. As </w:t>
      </w:r>
      <w:proofErr w:type="spellStart"/>
      <w:r w:rsidR="003D5F96">
        <w:rPr>
          <w:sz w:val="24"/>
          <w:szCs w:val="24"/>
        </w:rPr>
        <w:t>Brysbaert</w:t>
      </w:r>
      <w:proofErr w:type="spellEnd"/>
      <w:r w:rsidR="003D5F96">
        <w:rPr>
          <w:sz w:val="24"/>
          <w:szCs w:val="24"/>
        </w:rPr>
        <w:t xml:space="preserve"> (2008, p 78) notes, “objects perished but whose patterns were copied onto Theban tomb ceilings”, so although items may no longer ex</w:t>
      </w:r>
      <w:r w:rsidR="004A18CF">
        <w:rPr>
          <w:sz w:val="24"/>
          <w:szCs w:val="24"/>
        </w:rPr>
        <w:t>ist</w:t>
      </w:r>
      <w:r w:rsidR="003D5F96">
        <w:rPr>
          <w:sz w:val="24"/>
          <w:szCs w:val="24"/>
        </w:rPr>
        <w:t xml:space="preserve"> physically, ther</w:t>
      </w:r>
      <w:r w:rsidR="004A18CF">
        <w:rPr>
          <w:sz w:val="24"/>
          <w:szCs w:val="24"/>
        </w:rPr>
        <w:t>e</w:t>
      </w:r>
      <w:r w:rsidR="003D5F96">
        <w:rPr>
          <w:sz w:val="24"/>
          <w:szCs w:val="24"/>
        </w:rPr>
        <w:t xml:space="preserve"> is still evidence that they were at least seen by the Egyptians, possibly as a trade item,  and then the patterns copied onto wall reliefs, giving a slight glimpse at a possible example of a transfer of ideas through the movement of people and textiles. </w:t>
      </w:r>
    </w:p>
    <w:p w14:paraId="1D9CFB73" w14:textId="77777777" w:rsidR="00E50319" w:rsidRDefault="00C8576C" w:rsidP="00F37736">
      <w:pPr>
        <w:rPr>
          <w:sz w:val="24"/>
          <w:szCs w:val="24"/>
        </w:rPr>
      </w:pPr>
      <w:r>
        <w:rPr>
          <w:sz w:val="24"/>
          <w:szCs w:val="24"/>
        </w:rPr>
        <w:t xml:space="preserve"> </w:t>
      </w:r>
    </w:p>
    <w:p w14:paraId="057B7D8F" w14:textId="73F1C845" w:rsidR="00C8576C" w:rsidRDefault="00C8576C" w:rsidP="00F37736">
      <w:pPr>
        <w:rPr>
          <w:sz w:val="24"/>
          <w:szCs w:val="24"/>
        </w:rPr>
      </w:pPr>
      <w:r>
        <w:rPr>
          <w:sz w:val="24"/>
          <w:szCs w:val="24"/>
        </w:rPr>
        <w:t xml:space="preserve">       One interesting point </w:t>
      </w:r>
      <w:proofErr w:type="spellStart"/>
      <w:r>
        <w:rPr>
          <w:sz w:val="24"/>
          <w:szCs w:val="24"/>
        </w:rPr>
        <w:t>Brysbaert</w:t>
      </w:r>
      <w:proofErr w:type="spellEnd"/>
      <w:r>
        <w:rPr>
          <w:sz w:val="24"/>
          <w:szCs w:val="24"/>
        </w:rPr>
        <w:t xml:space="preserve"> (2008, p79) makes is a “phenomenon visible across objects of different media and includes both transfer of iconographic and thematic aspects but also technological features”. One such example we see of a transfer of technology is a series of wall paintings found in Deir el-Ballas. What is interesting to note for these particular wall paintings is the method of the plaster. Egypt was well known for its dry climate, and so it favoured a form of wall painting known as al seco, which involved painting onto a dry plaster wall with pigments combined with a binding agent such as eggs, in order for the colours to remain on the wall, as noted by </w:t>
      </w:r>
      <w:proofErr w:type="spellStart"/>
      <w:r>
        <w:rPr>
          <w:sz w:val="24"/>
          <w:szCs w:val="24"/>
        </w:rPr>
        <w:t>Brysbaert</w:t>
      </w:r>
      <w:proofErr w:type="spellEnd"/>
      <w:r>
        <w:rPr>
          <w:sz w:val="24"/>
          <w:szCs w:val="24"/>
        </w:rPr>
        <w:t xml:space="preserve"> (2008). However, one key </w:t>
      </w:r>
      <w:r>
        <w:rPr>
          <w:sz w:val="24"/>
          <w:szCs w:val="24"/>
        </w:rPr>
        <w:lastRenderedPageBreak/>
        <w:t xml:space="preserve">component sets these wall paintings apart from the traditional Egyptian method, and closer to the Minoan style, which is the fact that the plaster is made with lime, as opposed to the Egyptian standard of gypsum. This could possibly imply that Minoan painters could be going to Egypt as a trade of crafts and ideas, as the methods of painting found in Deir el-Ballas are very Minoan in the make up of the materials. However this is not a definite example of trade, as the artisans could have been sent to Egypt as potential gifts, therefore </w:t>
      </w:r>
      <w:r w:rsidR="00E50319">
        <w:rPr>
          <w:sz w:val="24"/>
          <w:szCs w:val="24"/>
        </w:rPr>
        <w:t>eliminating any trade being carries out, as the methods would be done by Minoan artisans, then they would go back to Crete, not having necessarily demonstrated their craft to an Egyptian as a craft exchange.</w:t>
      </w:r>
    </w:p>
    <w:p w14:paraId="38FD9960" w14:textId="77777777" w:rsidR="00E50319" w:rsidRDefault="00E50319" w:rsidP="00F37736">
      <w:pPr>
        <w:rPr>
          <w:sz w:val="24"/>
          <w:szCs w:val="24"/>
        </w:rPr>
      </w:pPr>
    </w:p>
    <w:p w14:paraId="62396CDD" w14:textId="6960933E" w:rsidR="003D5F96" w:rsidRDefault="003D5F96" w:rsidP="00F37736">
      <w:pPr>
        <w:rPr>
          <w:sz w:val="24"/>
          <w:szCs w:val="24"/>
        </w:rPr>
      </w:pPr>
      <w:r>
        <w:rPr>
          <w:sz w:val="24"/>
          <w:szCs w:val="24"/>
        </w:rPr>
        <w:t xml:space="preserve">        Just as finding examples of textiles is difficult in the archaeological record, it is also difficult to trace the movement of people through the record as well. Traces can be found in written texts, such as Shaw </w:t>
      </w:r>
      <w:r w:rsidR="004A18CF">
        <w:rPr>
          <w:sz w:val="24"/>
          <w:szCs w:val="24"/>
        </w:rPr>
        <w:t xml:space="preserve">(2017, p33) notes, in regard to the movement of a particular group of people localised as Asiatics. In this case, the movement of people did not necessarily contribute anything good for the Egyptians, as Shaw (2017) notes that they contributed to political problems in the first intermediate period. The reasons as to why they moved are unknown, but Shaw (2017) notes that “from 2250 – 2025 BCE, the Near East suffered through a period of drought, brought on by an unusually dry climate”. </w:t>
      </w:r>
      <w:r>
        <w:rPr>
          <w:sz w:val="24"/>
          <w:szCs w:val="24"/>
        </w:rPr>
        <w:t xml:space="preserve">  </w:t>
      </w:r>
    </w:p>
    <w:p w14:paraId="75E0AB79" w14:textId="3669C354" w:rsidR="00D6012C" w:rsidRDefault="00D6012C" w:rsidP="00F37736">
      <w:pPr>
        <w:rPr>
          <w:sz w:val="24"/>
          <w:szCs w:val="24"/>
        </w:rPr>
      </w:pPr>
    </w:p>
    <w:p w14:paraId="12774F4D" w14:textId="40AC224A" w:rsidR="00E50319" w:rsidRDefault="00E50319" w:rsidP="00F37736">
      <w:pPr>
        <w:rPr>
          <w:sz w:val="24"/>
          <w:szCs w:val="24"/>
        </w:rPr>
      </w:pPr>
      <w:r>
        <w:rPr>
          <w:sz w:val="24"/>
          <w:szCs w:val="24"/>
        </w:rPr>
        <w:t xml:space="preserve">        When it comes to looking at Egyptian relations with the wider Mediterranean , it can be summed up rather concisely by Shaw (2017, p51) of Egyptian relations with Crete, </w:t>
      </w:r>
      <w:r w:rsidR="00424043">
        <w:rPr>
          <w:sz w:val="24"/>
          <w:szCs w:val="24"/>
        </w:rPr>
        <w:t xml:space="preserve">that despite extensive archaeological evidence for Egyptian contact with Crete, there is only a single reference to the Minoans – called </w:t>
      </w:r>
      <w:proofErr w:type="spellStart"/>
      <w:r w:rsidR="00424043">
        <w:rPr>
          <w:sz w:val="24"/>
          <w:szCs w:val="24"/>
        </w:rPr>
        <w:t>Keftiu</w:t>
      </w:r>
      <w:proofErr w:type="spellEnd"/>
      <w:r w:rsidR="00424043">
        <w:rPr>
          <w:sz w:val="24"/>
          <w:szCs w:val="24"/>
        </w:rPr>
        <w:t xml:space="preserve"> – in Egyptian text, found in the ‘Admonitions of </w:t>
      </w:r>
      <w:proofErr w:type="spellStart"/>
      <w:r w:rsidR="00424043">
        <w:rPr>
          <w:sz w:val="24"/>
          <w:szCs w:val="24"/>
        </w:rPr>
        <w:t>Ipuwer</w:t>
      </w:r>
      <w:proofErr w:type="spellEnd"/>
      <w:r w:rsidR="00424043">
        <w:rPr>
          <w:sz w:val="24"/>
          <w:szCs w:val="24"/>
        </w:rPr>
        <w:t>’, composed in the late middle kingdom. Something like this would mean that despite the vast array of evidence, if there is no mention of the people that brought the objects to Egypt, we have no concrete way of knowing what groups they may have traded with, or exchanged items with, it would be exceedingly difficult to establish whether any trade occurred between the groups, and even harder still if there is no mention of the arrival or departure of any sea vessels.</w:t>
      </w:r>
    </w:p>
    <w:p w14:paraId="5402D2A0" w14:textId="1D13C1D4" w:rsidR="00E50319" w:rsidRDefault="00E50319" w:rsidP="00F37736">
      <w:pPr>
        <w:rPr>
          <w:sz w:val="24"/>
          <w:szCs w:val="24"/>
        </w:rPr>
      </w:pPr>
      <w:r>
        <w:rPr>
          <w:sz w:val="24"/>
          <w:szCs w:val="24"/>
        </w:rPr>
        <w:t xml:space="preserve">        </w:t>
      </w:r>
    </w:p>
    <w:p w14:paraId="5ADA2C89" w14:textId="77777777" w:rsidR="00424043" w:rsidRDefault="00D6012C">
      <w:pPr>
        <w:rPr>
          <w:sz w:val="24"/>
          <w:szCs w:val="24"/>
        </w:rPr>
      </w:pPr>
      <w:r>
        <w:rPr>
          <w:sz w:val="24"/>
          <w:szCs w:val="24"/>
        </w:rPr>
        <w:t xml:space="preserve">         When it comes to looking at whether there was trade through seafaring with Egypt and the wider Mediterranean, despite there being a wide variety of archaeological remains, in truth, they don’t offer much of an idea as to whether there was trade via the sea. </w:t>
      </w:r>
      <w:r w:rsidR="002D48B1">
        <w:rPr>
          <w:sz w:val="24"/>
          <w:szCs w:val="24"/>
        </w:rPr>
        <w:t>In regard to</w:t>
      </w:r>
      <w:r>
        <w:rPr>
          <w:sz w:val="24"/>
          <w:szCs w:val="24"/>
        </w:rPr>
        <w:t xml:space="preserve"> trade , </w:t>
      </w:r>
      <w:r w:rsidR="002D48B1">
        <w:rPr>
          <w:sz w:val="24"/>
          <w:szCs w:val="24"/>
        </w:rPr>
        <w:t xml:space="preserve">it would seem more plausible for trade to have occurred over the land, due to the paths of the sea winds, and also the lack of seaworthy boats in Egypt. River boats could have potentially </w:t>
      </w:r>
      <w:r>
        <w:rPr>
          <w:sz w:val="24"/>
          <w:szCs w:val="24"/>
        </w:rPr>
        <w:t xml:space="preserve"> </w:t>
      </w:r>
      <w:r w:rsidR="00E50319">
        <w:rPr>
          <w:sz w:val="24"/>
          <w:szCs w:val="24"/>
        </w:rPr>
        <w:t xml:space="preserve">travelled up to the Nile delta, in order to receive cargo from ports, and then transport them back down the Nile. </w:t>
      </w:r>
    </w:p>
    <w:p w14:paraId="44FCEB48" w14:textId="3B342773" w:rsidR="00073D67" w:rsidRPr="00424043" w:rsidRDefault="00F37736">
      <w:pPr>
        <w:rPr>
          <w:sz w:val="24"/>
          <w:szCs w:val="24"/>
        </w:rPr>
      </w:pPr>
      <w:r w:rsidRPr="00F37736">
        <w:rPr>
          <w:b/>
          <w:bCs/>
          <w:sz w:val="28"/>
          <w:szCs w:val="28"/>
          <w:u w:val="single"/>
        </w:rPr>
        <w:lastRenderedPageBreak/>
        <w:t>Image References</w:t>
      </w:r>
    </w:p>
    <w:p w14:paraId="653A1470" w14:textId="59996B41" w:rsidR="00F37736" w:rsidRDefault="00F37736">
      <w:pPr>
        <w:rPr>
          <w:sz w:val="24"/>
          <w:szCs w:val="24"/>
        </w:rPr>
      </w:pPr>
      <w:r>
        <w:rPr>
          <w:b/>
          <w:bCs/>
          <w:sz w:val="24"/>
          <w:szCs w:val="24"/>
        </w:rPr>
        <w:t>Image 1</w:t>
      </w:r>
      <w:r w:rsidR="00B52FC9">
        <w:rPr>
          <w:sz w:val="24"/>
          <w:szCs w:val="24"/>
        </w:rPr>
        <w:t xml:space="preserve"> – relief of </w:t>
      </w:r>
      <w:r w:rsidR="009F5B68">
        <w:rPr>
          <w:sz w:val="24"/>
          <w:szCs w:val="24"/>
        </w:rPr>
        <w:t>Hatshepsut’s</w:t>
      </w:r>
      <w:r w:rsidR="00B52FC9">
        <w:rPr>
          <w:sz w:val="24"/>
          <w:szCs w:val="24"/>
        </w:rPr>
        <w:t xml:space="preserve"> trade </w:t>
      </w:r>
      <w:r w:rsidR="009F5B68">
        <w:rPr>
          <w:sz w:val="24"/>
          <w:szCs w:val="24"/>
        </w:rPr>
        <w:t>expedition</w:t>
      </w:r>
      <w:r w:rsidR="00B52FC9">
        <w:rPr>
          <w:sz w:val="24"/>
          <w:szCs w:val="24"/>
        </w:rPr>
        <w:t xml:space="preserve"> to Punt</w:t>
      </w:r>
      <w:r w:rsidR="009F5B68">
        <w:rPr>
          <w:sz w:val="24"/>
          <w:szCs w:val="24"/>
        </w:rPr>
        <w:t xml:space="preserve"> - </w:t>
      </w:r>
      <w:hyperlink r:id="rId8" w:history="1">
        <w:r w:rsidR="009F5B68" w:rsidRPr="00501640">
          <w:rPr>
            <w:rStyle w:val="Hyperlink"/>
            <w:sz w:val="24"/>
            <w:szCs w:val="24"/>
          </w:rPr>
          <w:t>https://upload.wikimedia.org/wikipedia/commons/9/91/Men_from_Punt_Carrying_Gifts%2C_Tomb_of_Rekhmire_MET_30.4.152_EGDP013029.jpg</w:t>
        </w:r>
      </w:hyperlink>
      <w:r w:rsidR="009F5B68">
        <w:rPr>
          <w:sz w:val="24"/>
          <w:szCs w:val="24"/>
        </w:rPr>
        <w:t xml:space="preserve"> , access date 18/04/2020.</w:t>
      </w:r>
    </w:p>
    <w:p w14:paraId="5B982471" w14:textId="48653837" w:rsidR="00F37736" w:rsidRDefault="00F37736">
      <w:pPr>
        <w:rPr>
          <w:sz w:val="24"/>
          <w:szCs w:val="24"/>
        </w:rPr>
      </w:pPr>
      <w:r>
        <w:rPr>
          <w:b/>
          <w:bCs/>
          <w:sz w:val="24"/>
          <w:szCs w:val="24"/>
        </w:rPr>
        <w:t xml:space="preserve">Image </w:t>
      </w:r>
      <w:r w:rsidR="00C772CA">
        <w:rPr>
          <w:b/>
          <w:bCs/>
          <w:sz w:val="24"/>
          <w:szCs w:val="24"/>
        </w:rPr>
        <w:t>2</w:t>
      </w:r>
      <w:r w:rsidR="00B52FC9">
        <w:rPr>
          <w:sz w:val="24"/>
          <w:szCs w:val="24"/>
        </w:rPr>
        <w:t xml:space="preserve"> – </w:t>
      </w:r>
      <w:r w:rsidR="00F51020">
        <w:rPr>
          <w:sz w:val="24"/>
          <w:szCs w:val="24"/>
        </w:rPr>
        <w:t xml:space="preserve">section of Palermo Stone -  </w:t>
      </w:r>
      <w:hyperlink r:id="rId9" w:anchor="/media/File:Pietra_di_Palermo_(geroglifici)_1.jpg" w:history="1">
        <w:r w:rsidR="00F51020" w:rsidRPr="00501640">
          <w:rPr>
            <w:rStyle w:val="Hyperlink"/>
            <w:sz w:val="24"/>
            <w:szCs w:val="24"/>
          </w:rPr>
          <w:t>https://en.wikipedia.org/wiki/Palermo_Stone#/media/File:Pietra_di_Palermo_(geroglifici)_1.jpg</w:t>
        </w:r>
      </w:hyperlink>
      <w:r w:rsidR="00F51020">
        <w:rPr>
          <w:sz w:val="24"/>
          <w:szCs w:val="24"/>
        </w:rPr>
        <w:t xml:space="preserve"> , access date 18/04/2020.</w:t>
      </w:r>
    </w:p>
    <w:p w14:paraId="1FCA04CB" w14:textId="16CD34D4" w:rsidR="00F37736" w:rsidRPr="00B52FC9" w:rsidRDefault="00F37736">
      <w:pPr>
        <w:rPr>
          <w:sz w:val="24"/>
          <w:szCs w:val="24"/>
        </w:rPr>
      </w:pPr>
      <w:r>
        <w:rPr>
          <w:b/>
          <w:bCs/>
          <w:sz w:val="24"/>
          <w:szCs w:val="24"/>
        </w:rPr>
        <w:t>Image 3</w:t>
      </w:r>
      <w:r w:rsidR="00B52FC9">
        <w:rPr>
          <w:sz w:val="24"/>
          <w:szCs w:val="24"/>
        </w:rPr>
        <w:t xml:space="preserve"> – relief of</w:t>
      </w:r>
      <w:r w:rsidR="009F5B68">
        <w:rPr>
          <w:sz w:val="24"/>
          <w:szCs w:val="24"/>
        </w:rPr>
        <w:t xml:space="preserve"> </w:t>
      </w:r>
      <w:r w:rsidR="00F51020">
        <w:rPr>
          <w:sz w:val="24"/>
          <w:szCs w:val="24"/>
        </w:rPr>
        <w:t xml:space="preserve">return of a fleet from the levant in Sahure’s mortuary temple - </w:t>
      </w:r>
      <w:hyperlink r:id="rId10" w:anchor="/media/File:Berlin_122009_020a.jpg" w:history="1">
        <w:r w:rsidR="00F51020" w:rsidRPr="00501640">
          <w:rPr>
            <w:rStyle w:val="Hyperlink"/>
            <w:sz w:val="24"/>
            <w:szCs w:val="24"/>
          </w:rPr>
          <w:t>https://en.wikipedia.org/wiki/Sahure#/media/File:Berlin_122009_020a.jpg</w:t>
        </w:r>
      </w:hyperlink>
      <w:r w:rsidR="00F51020">
        <w:rPr>
          <w:sz w:val="24"/>
          <w:szCs w:val="24"/>
        </w:rPr>
        <w:t xml:space="preserve"> , access date 18/04/2020.</w:t>
      </w:r>
    </w:p>
    <w:p w14:paraId="0E5BD270" w14:textId="404F13EF" w:rsidR="00F37736" w:rsidRPr="00064585" w:rsidRDefault="00F37736">
      <w:r>
        <w:rPr>
          <w:b/>
          <w:bCs/>
          <w:sz w:val="24"/>
          <w:szCs w:val="24"/>
        </w:rPr>
        <w:t>Image 4</w:t>
      </w:r>
      <w:r w:rsidR="00064585">
        <w:t xml:space="preserve"> – </w:t>
      </w:r>
      <w:r w:rsidR="00064585" w:rsidRPr="00064585">
        <w:rPr>
          <w:sz w:val="24"/>
          <w:szCs w:val="24"/>
        </w:rPr>
        <w:t xml:space="preserve">Tod Treasure collection, on display at the Louvre - </w:t>
      </w:r>
      <w:hyperlink r:id="rId11" w:history="1">
        <w:r w:rsidR="00064585" w:rsidRPr="001C2BDF">
          <w:rPr>
            <w:rStyle w:val="Hyperlink"/>
            <w:sz w:val="24"/>
            <w:szCs w:val="24"/>
          </w:rPr>
          <w:t>https://en.wikipedia.org/wiki/El-Tod#/media/File:Louvre_122006_043.jpg</w:t>
        </w:r>
      </w:hyperlink>
      <w:r w:rsidR="00064585">
        <w:rPr>
          <w:sz w:val="24"/>
          <w:szCs w:val="24"/>
        </w:rPr>
        <w:t xml:space="preserve"> </w:t>
      </w:r>
      <w:r w:rsidR="00064585" w:rsidRPr="00064585">
        <w:rPr>
          <w:sz w:val="24"/>
          <w:szCs w:val="24"/>
        </w:rPr>
        <w:t>, access date 18/04/2020.</w:t>
      </w:r>
    </w:p>
    <w:p w14:paraId="5CDA5E23" w14:textId="6C905286" w:rsidR="00F37736" w:rsidRDefault="00F37736">
      <w:pPr>
        <w:rPr>
          <w:b/>
          <w:bCs/>
          <w:sz w:val="24"/>
          <w:szCs w:val="24"/>
        </w:rPr>
      </w:pPr>
    </w:p>
    <w:p w14:paraId="77BAD92F" w14:textId="77777777" w:rsidR="00355CA4" w:rsidRPr="00F37736" w:rsidRDefault="00355CA4">
      <w:pPr>
        <w:rPr>
          <w:b/>
          <w:bCs/>
          <w:sz w:val="24"/>
          <w:szCs w:val="24"/>
        </w:rPr>
      </w:pPr>
    </w:p>
    <w:p w14:paraId="4FC1512A" w14:textId="14828A48" w:rsidR="00F37736" w:rsidRDefault="00F37736">
      <w:pPr>
        <w:rPr>
          <w:b/>
          <w:bCs/>
          <w:sz w:val="28"/>
          <w:szCs w:val="28"/>
          <w:u w:val="single"/>
        </w:rPr>
      </w:pPr>
      <w:r w:rsidRPr="00F37736">
        <w:rPr>
          <w:b/>
          <w:bCs/>
          <w:sz w:val="28"/>
          <w:szCs w:val="28"/>
          <w:u w:val="single"/>
        </w:rPr>
        <w:t>Bibliography</w:t>
      </w:r>
    </w:p>
    <w:p w14:paraId="6EFFB8F5" w14:textId="5433B9A4" w:rsidR="00041F9D" w:rsidRDefault="00041F9D">
      <w:pPr>
        <w:rPr>
          <w:sz w:val="24"/>
          <w:szCs w:val="24"/>
        </w:rPr>
      </w:pPr>
    </w:p>
    <w:p w14:paraId="5F65A02B" w14:textId="3DBF1B71" w:rsidR="00B52FC9" w:rsidRPr="00B52FC9" w:rsidRDefault="00B52FC9">
      <w:pPr>
        <w:rPr>
          <w:sz w:val="24"/>
          <w:szCs w:val="24"/>
        </w:rPr>
      </w:pPr>
      <w:r>
        <w:rPr>
          <w:sz w:val="24"/>
          <w:szCs w:val="24"/>
        </w:rPr>
        <w:t xml:space="preserve">Barber, E.J.W. (1991), </w:t>
      </w:r>
      <w:r>
        <w:rPr>
          <w:i/>
          <w:iCs/>
          <w:sz w:val="24"/>
          <w:szCs w:val="24"/>
        </w:rPr>
        <w:t>Prehistoric Textiles: The development of cloth in the Neolithic Bronze Age. With special reference to the Aegean</w:t>
      </w:r>
      <w:r>
        <w:rPr>
          <w:sz w:val="24"/>
          <w:szCs w:val="24"/>
        </w:rPr>
        <w:t>. Princeton: Princeton University Press.</w:t>
      </w:r>
    </w:p>
    <w:p w14:paraId="7D3D1F30" w14:textId="47480D9E" w:rsidR="00041F9D" w:rsidRDefault="00041F9D">
      <w:pPr>
        <w:rPr>
          <w:sz w:val="24"/>
          <w:szCs w:val="24"/>
        </w:rPr>
      </w:pPr>
      <w:proofErr w:type="spellStart"/>
      <w:r>
        <w:rPr>
          <w:sz w:val="24"/>
          <w:szCs w:val="24"/>
        </w:rPr>
        <w:t>Broodbank</w:t>
      </w:r>
      <w:proofErr w:type="spellEnd"/>
      <w:r>
        <w:rPr>
          <w:sz w:val="24"/>
          <w:szCs w:val="24"/>
        </w:rPr>
        <w:t xml:space="preserve">, C. (2010), </w:t>
      </w:r>
      <w:r>
        <w:rPr>
          <w:i/>
          <w:iCs/>
          <w:sz w:val="24"/>
          <w:szCs w:val="24"/>
        </w:rPr>
        <w:t xml:space="preserve">Ships a-sail from over the rim of the sea: voyaging sailing and the making of Mediterranean societies (3500 – 800 BC). </w:t>
      </w:r>
      <w:r>
        <w:rPr>
          <w:sz w:val="24"/>
          <w:szCs w:val="24"/>
        </w:rPr>
        <w:t xml:space="preserve">In A. Anderson, J. Barrett and K, Boyle (eds) </w:t>
      </w:r>
      <w:r>
        <w:rPr>
          <w:i/>
          <w:iCs/>
          <w:sz w:val="24"/>
          <w:szCs w:val="24"/>
        </w:rPr>
        <w:t>The Global Origins and Development of Seafaring</w:t>
      </w:r>
      <w:r>
        <w:rPr>
          <w:sz w:val="24"/>
          <w:szCs w:val="24"/>
        </w:rPr>
        <w:t xml:space="preserve">, pp249 – 264. Cambridge: </w:t>
      </w:r>
      <w:proofErr w:type="spellStart"/>
      <w:r>
        <w:rPr>
          <w:sz w:val="24"/>
          <w:szCs w:val="24"/>
        </w:rPr>
        <w:t>Mcdonald</w:t>
      </w:r>
      <w:proofErr w:type="spellEnd"/>
      <w:r>
        <w:rPr>
          <w:sz w:val="24"/>
          <w:szCs w:val="24"/>
        </w:rPr>
        <w:t xml:space="preserve"> Institute for Archaeological Research.</w:t>
      </w:r>
    </w:p>
    <w:p w14:paraId="323F40C3" w14:textId="1B06DFA1" w:rsidR="00B52FC9" w:rsidRPr="00B52FC9" w:rsidRDefault="00B52FC9">
      <w:pPr>
        <w:rPr>
          <w:sz w:val="24"/>
          <w:szCs w:val="24"/>
        </w:rPr>
      </w:pPr>
      <w:proofErr w:type="spellStart"/>
      <w:r>
        <w:rPr>
          <w:sz w:val="24"/>
          <w:szCs w:val="24"/>
        </w:rPr>
        <w:t>Brysbaert</w:t>
      </w:r>
      <w:proofErr w:type="spellEnd"/>
      <w:r>
        <w:rPr>
          <w:sz w:val="24"/>
          <w:szCs w:val="24"/>
        </w:rPr>
        <w:t xml:space="preserve">, A. (2008), </w:t>
      </w:r>
      <w:r>
        <w:rPr>
          <w:i/>
          <w:iCs/>
          <w:sz w:val="24"/>
          <w:szCs w:val="24"/>
        </w:rPr>
        <w:t>The Power of Technology in the Bronze Age Eastern Mediterranean</w:t>
      </w:r>
      <w:r>
        <w:rPr>
          <w:sz w:val="24"/>
          <w:szCs w:val="24"/>
        </w:rPr>
        <w:t>. Sheffield: Equinox Publishing.</w:t>
      </w:r>
    </w:p>
    <w:p w14:paraId="0C80EE9B" w14:textId="2970AE98" w:rsidR="00041F9D" w:rsidRDefault="00041F9D">
      <w:pPr>
        <w:rPr>
          <w:sz w:val="24"/>
          <w:szCs w:val="24"/>
        </w:rPr>
      </w:pPr>
      <w:r>
        <w:rPr>
          <w:sz w:val="24"/>
          <w:szCs w:val="24"/>
        </w:rPr>
        <w:t xml:space="preserve">Knapp, A.B. (2018), </w:t>
      </w:r>
      <w:r>
        <w:rPr>
          <w:i/>
          <w:iCs/>
          <w:sz w:val="24"/>
          <w:szCs w:val="24"/>
        </w:rPr>
        <w:t>Seafaring and Seafarers in the Bronze Age Eastern Mediterranean</w:t>
      </w:r>
      <w:r>
        <w:rPr>
          <w:sz w:val="24"/>
          <w:szCs w:val="24"/>
        </w:rPr>
        <w:t xml:space="preserve">. Leiden: </w:t>
      </w:r>
      <w:proofErr w:type="spellStart"/>
      <w:r>
        <w:rPr>
          <w:sz w:val="24"/>
          <w:szCs w:val="24"/>
        </w:rPr>
        <w:t>Sidestone</w:t>
      </w:r>
      <w:proofErr w:type="spellEnd"/>
      <w:r>
        <w:rPr>
          <w:sz w:val="24"/>
          <w:szCs w:val="24"/>
        </w:rPr>
        <w:t xml:space="preserve"> Press.</w:t>
      </w:r>
    </w:p>
    <w:p w14:paraId="62E6C346" w14:textId="664384BC" w:rsidR="00B52FC9" w:rsidRPr="00B52FC9" w:rsidRDefault="00B52FC9">
      <w:pPr>
        <w:rPr>
          <w:sz w:val="24"/>
          <w:szCs w:val="24"/>
        </w:rPr>
      </w:pPr>
      <w:r>
        <w:rPr>
          <w:sz w:val="24"/>
          <w:szCs w:val="24"/>
        </w:rPr>
        <w:t xml:space="preserve">Shaw, G.J. (2017), </w:t>
      </w:r>
      <w:r>
        <w:rPr>
          <w:i/>
          <w:iCs/>
          <w:sz w:val="24"/>
          <w:szCs w:val="24"/>
        </w:rPr>
        <w:t>War and Trade with the Pharaohs, an archaeological study of Ancient Egypt’s foreign relations</w:t>
      </w:r>
      <w:r>
        <w:rPr>
          <w:sz w:val="24"/>
          <w:szCs w:val="24"/>
        </w:rPr>
        <w:t>. Great Britain: Pen &amp; Sword Books Ltd.</w:t>
      </w:r>
    </w:p>
    <w:sectPr w:rsidR="00B52FC9" w:rsidRPr="00B52F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736"/>
    <w:rsid w:val="00016FE8"/>
    <w:rsid w:val="00041F9D"/>
    <w:rsid w:val="00064585"/>
    <w:rsid w:val="00073D67"/>
    <w:rsid w:val="000F24C5"/>
    <w:rsid w:val="002434C2"/>
    <w:rsid w:val="002D48B1"/>
    <w:rsid w:val="002E01D0"/>
    <w:rsid w:val="00355CA4"/>
    <w:rsid w:val="003C1058"/>
    <w:rsid w:val="003D5F96"/>
    <w:rsid w:val="00424043"/>
    <w:rsid w:val="00431132"/>
    <w:rsid w:val="004A18CF"/>
    <w:rsid w:val="004A5E0B"/>
    <w:rsid w:val="005A242B"/>
    <w:rsid w:val="007B2141"/>
    <w:rsid w:val="00892BAA"/>
    <w:rsid w:val="008E5699"/>
    <w:rsid w:val="008E5745"/>
    <w:rsid w:val="00943D86"/>
    <w:rsid w:val="009B6301"/>
    <w:rsid w:val="009F5B68"/>
    <w:rsid w:val="00A83089"/>
    <w:rsid w:val="00B52FC9"/>
    <w:rsid w:val="00BC301D"/>
    <w:rsid w:val="00C25E0D"/>
    <w:rsid w:val="00C772CA"/>
    <w:rsid w:val="00C8576C"/>
    <w:rsid w:val="00CE1682"/>
    <w:rsid w:val="00CF3462"/>
    <w:rsid w:val="00D6012C"/>
    <w:rsid w:val="00E50319"/>
    <w:rsid w:val="00ED1CF6"/>
    <w:rsid w:val="00F344D0"/>
    <w:rsid w:val="00F37736"/>
    <w:rsid w:val="00F51020"/>
    <w:rsid w:val="00FD4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6F619"/>
  <w15:chartTrackingRefBased/>
  <w15:docId w15:val="{E7847DB9-DD2C-4242-8951-3688A716E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5B68"/>
    <w:rPr>
      <w:color w:val="0000FF" w:themeColor="hyperlink"/>
      <w:u w:val="single"/>
    </w:rPr>
  </w:style>
  <w:style w:type="character" w:styleId="UnresolvedMention">
    <w:name w:val="Unresolved Mention"/>
    <w:basedOn w:val="DefaultParagraphFont"/>
    <w:uiPriority w:val="99"/>
    <w:semiHidden/>
    <w:unhideWhenUsed/>
    <w:rsid w:val="009F5B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pload.wikimedia.org/wikipedia/commons/9/91/Men_from_Punt_Carrying_Gifts%2C_Tomb_of_Rekhmire_MET_30.4.152_EGDP013029.jp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en.wikipedia.org/wiki/El-Tod#/media/File:Louvre_122006_043.jpg" TargetMode="External"/><Relationship Id="rId5" Type="http://schemas.openxmlformats.org/officeDocument/2006/relationships/image" Target="media/image2.jpeg"/><Relationship Id="rId10" Type="http://schemas.openxmlformats.org/officeDocument/2006/relationships/hyperlink" Target="https://en.wikipedia.org/wiki/Sahure" TargetMode="External"/><Relationship Id="rId4" Type="http://schemas.openxmlformats.org/officeDocument/2006/relationships/image" Target="media/image1.jpeg"/><Relationship Id="rId9" Type="http://schemas.openxmlformats.org/officeDocument/2006/relationships/hyperlink" Target="https://en.wikipedia.org/wiki/Palermo_St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1913</Words>
  <Characters>10906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Seale</dc:creator>
  <cp:keywords/>
  <dc:description/>
  <cp:lastModifiedBy>Nadia Seale (1700647)</cp:lastModifiedBy>
  <cp:revision>2</cp:revision>
  <dcterms:created xsi:type="dcterms:W3CDTF">2020-04-21T20:59:00Z</dcterms:created>
  <dcterms:modified xsi:type="dcterms:W3CDTF">2020-04-21T20:59:00Z</dcterms:modified>
</cp:coreProperties>
</file>