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9A0CB" w14:textId="04A67A2C"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Student name:</w:t>
      </w:r>
      <w:r w:rsidRPr="000A5C73">
        <w:rPr>
          <w:rFonts w:ascii="Arial" w:hAnsi="Arial" w:cs="Arial"/>
          <w:b/>
          <w:sz w:val="36"/>
          <w:szCs w:val="36"/>
        </w:rPr>
        <w:t xml:space="preserve"> Kerris Adina Smith</w:t>
      </w:r>
    </w:p>
    <w:p w14:paraId="4B88FFF7" w14:textId="346FA3FC"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Student ID number:</w:t>
      </w:r>
      <w:r w:rsidRPr="000A5C73">
        <w:rPr>
          <w:rFonts w:ascii="Arial" w:hAnsi="Arial" w:cs="Arial"/>
          <w:b/>
          <w:sz w:val="36"/>
          <w:szCs w:val="36"/>
        </w:rPr>
        <w:t xml:space="preserve"> 1915100</w:t>
      </w:r>
    </w:p>
    <w:p w14:paraId="099F3FCB" w14:textId="6D615653"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Programme:</w:t>
      </w:r>
      <w:r w:rsidRPr="000A5C73">
        <w:rPr>
          <w:rFonts w:ascii="Arial" w:hAnsi="Arial" w:cs="Arial"/>
          <w:b/>
          <w:sz w:val="36"/>
          <w:szCs w:val="36"/>
        </w:rPr>
        <w:t xml:space="preserve"> </w:t>
      </w:r>
      <w:r w:rsidRPr="000A5C73">
        <w:rPr>
          <w:rFonts w:ascii="Arial" w:hAnsi="Arial" w:cs="Arial"/>
          <w:b/>
          <w:sz w:val="36"/>
          <w:szCs w:val="36"/>
        </w:rPr>
        <w:t>BSc Health and Social Care</w:t>
      </w:r>
    </w:p>
    <w:p w14:paraId="2E5BEEB6" w14:textId="79CA4B75"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Module:</w:t>
      </w:r>
      <w:r w:rsidRPr="000A5C73">
        <w:rPr>
          <w:rFonts w:ascii="Arial" w:hAnsi="Arial" w:cs="Arial"/>
          <w:b/>
          <w:sz w:val="36"/>
          <w:szCs w:val="36"/>
        </w:rPr>
        <w:t xml:space="preserve"> </w:t>
      </w:r>
      <w:r w:rsidRPr="000A5C73">
        <w:rPr>
          <w:rFonts w:ascii="Arial" w:hAnsi="Arial" w:cs="Arial"/>
          <w:b/>
          <w:sz w:val="36"/>
          <w:szCs w:val="36"/>
        </w:rPr>
        <w:t>Living with Care: The Older Person</w:t>
      </w:r>
    </w:p>
    <w:p w14:paraId="60BDBC64" w14:textId="02B1FEA0"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Module code:</w:t>
      </w:r>
      <w:r w:rsidRPr="000A5C73">
        <w:rPr>
          <w:rFonts w:ascii="Arial" w:hAnsi="Arial" w:cs="Arial"/>
          <w:b/>
          <w:sz w:val="36"/>
          <w:szCs w:val="36"/>
        </w:rPr>
        <w:t xml:space="preserve"> </w:t>
      </w:r>
      <w:r w:rsidRPr="000A5C73">
        <w:rPr>
          <w:rFonts w:ascii="Arial" w:hAnsi="Arial" w:cs="Arial"/>
          <w:b/>
          <w:sz w:val="36"/>
          <w:szCs w:val="36"/>
        </w:rPr>
        <w:t>BMHP6009_BIRM</w:t>
      </w:r>
    </w:p>
    <w:p w14:paraId="0181F807" w14:textId="0BECB523" w:rsidR="00CF4C26" w:rsidRPr="000A5C73" w:rsidRDefault="00CF4C26" w:rsidP="00CF4C26">
      <w:pPr>
        <w:spacing w:line="360" w:lineRule="auto"/>
        <w:jc w:val="center"/>
        <w:rPr>
          <w:rFonts w:ascii="Arial" w:hAnsi="Arial" w:cs="Arial"/>
          <w:b/>
          <w:sz w:val="36"/>
          <w:szCs w:val="36"/>
        </w:rPr>
      </w:pPr>
      <w:r w:rsidRPr="000A5C73">
        <w:rPr>
          <w:rFonts w:ascii="Arial" w:hAnsi="Arial" w:cs="Arial"/>
          <w:b/>
          <w:sz w:val="36"/>
          <w:szCs w:val="36"/>
        </w:rPr>
        <w:t>Lecturer:</w:t>
      </w:r>
      <w:r w:rsidRPr="000A5C73">
        <w:rPr>
          <w:rFonts w:ascii="Arial" w:hAnsi="Arial" w:cs="Arial"/>
          <w:b/>
          <w:sz w:val="36"/>
          <w:szCs w:val="36"/>
        </w:rPr>
        <w:t xml:space="preserve"> </w:t>
      </w:r>
      <w:r w:rsidRPr="000A5C73">
        <w:rPr>
          <w:rFonts w:ascii="Arial" w:hAnsi="Arial" w:cs="Arial"/>
          <w:b/>
          <w:sz w:val="36"/>
          <w:szCs w:val="36"/>
        </w:rPr>
        <w:t>Joanne Davies</w:t>
      </w:r>
    </w:p>
    <w:p w14:paraId="4764496B" w14:textId="77777777" w:rsidR="00CF4C26" w:rsidRPr="000A5C73" w:rsidRDefault="00CF4C26" w:rsidP="00CF4C26">
      <w:pPr>
        <w:spacing w:line="360" w:lineRule="auto"/>
        <w:jc w:val="center"/>
        <w:rPr>
          <w:sz w:val="36"/>
          <w:szCs w:val="36"/>
        </w:rPr>
      </w:pPr>
      <w:r w:rsidRPr="000A5C73">
        <w:rPr>
          <w:rFonts w:ascii="Arial" w:hAnsi="Arial" w:cs="Arial"/>
          <w:b/>
          <w:sz w:val="36"/>
          <w:szCs w:val="36"/>
        </w:rPr>
        <w:t>Assignment 2.</w:t>
      </w:r>
    </w:p>
    <w:p w14:paraId="7A72A407" w14:textId="77777777" w:rsidR="00CF4C26" w:rsidRPr="000A5C73" w:rsidRDefault="00CF4C26" w:rsidP="00CF4C26">
      <w:pPr>
        <w:spacing w:before="120" w:after="120" w:line="360" w:lineRule="auto"/>
        <w:jc w:val="center"/>
        <w:rPr>
          <w:rFonts w:ascii="Arial" w:hAnsi="Arial" w:cs="Arial"/>
          <w:b/>
          <w:sz w:val="36"/>
          <w:szCs w:val="36"/>
        </w:rPr>
      </w:pPr>
      <w:r w:rsidRPr="000A5C73">
        <w:rPr>
          <w:rFonts w:ascii="Arial" w:hAnsi="Arial" w:cs="Arial"/>
          <w:b/>
          <w:sz w:val="36"/>
          <w:szCs w:val="36"/>
        </w:rPr>
        <w:t>Assignment Title:</w:t>
      </w:r>
      <w:r w:rsidRPr="000A5C73">
        <w:rPr>
          <w:rFonts w:ascii="Arial" w:hAnsi="Arial" w:cs="Arial"/>
          <w:b/>
          <w:sz w:val="36"/>
          <w:szCs w:val="36"/>
        </w:rPr>
        <w:t xml:space="preserve"> </w:t>
      </w:r>
      <w:r w:rsidRPr="000A5C73">
        <w:rPr>
          <w:rFonts w:ascii="Arial" w:hAnsi="Arial" w:cs="Arial"/>
          <w:b/>
          <w:sz w:val="36"/>
          <w:szCs w:val="36"/>
        </w:rPr>
        <w:t>Component 2:</w:t>
      </w:r>
    </w:p>
    <w:p w14:paraId="1B0BAA1D" w14:textId="01A99213" w:rsidR="00CF4C26" w:rsidRPr="000A5C73" w:rsidRDefault="00CF4C26" w:rsidP="00CF4C26">
      <w:pPr>
        <w:spacing w:before="120" w:after="120" w:line="360" w:lineRule="auto"/>
        <w:jc w:val="center"/>
        <w:rPr>
          <w:rFonts w:ascii="Arial" w:hAnsi="Arial" w:cs="Arial"/>
          <w:b/>
          <w:sz w:val="36"/>
          <w:szCs w:val="36"/>
        </w:rPr>
      </w:pPr>
      <w:r w:rsidRPr="000A5C73">
        <w:rPr>
          <w:rFonts w:ascii="Arial" w:hAnsi="Arial" w:cs="Arial"/>
          <w:b/>
          <w:sz w:val="36"/>
          <w:szCs w:val="36"/>
        </w:rPr>
        <w:t>Written Assignment – Essay</w:t>
      </w:r>
    </w:p>
    <w:p w14:paraId="607314C8" w14:textId="2989E0E5" w:rsidR="00CF4C26" w:rsidRPr="000A5C73" w:rsidRDefault="00CF4C26" w:rsidP="00CF4C26">
      <w:pPr>
        <w:spacing w:before="120" w:after="120"/>
        <w:jc w:val="both"/>
        <w:rPr>
          <w:rFonts w:ascii="Arial" w:hAnsi="Arial" w:cs="Arial"/>
          <w:b/>
          <w:sz w:val="36"/>
          <w:szCs w:val="36"/>
        </w:rPr>
      </w:pPr>
    </w:p>
    <w:p w14:paraId="2EC39EE2" w14:textId="77777777" w:rsidR="00CF4C26" w:rsidRPr="000A5C73" w:rsidRDefault="00CF4C26">
      <w:pPr>
        <w:rPr>
          <w:rFonts w:ascii="Arial" w:hAnsi="Arial" w:cs="Arial"/>
          <w:sz w:val="36"/>
          <w:szCs w:val="36"/>
        </w:rPr>
      </w:pPr>
      <w:r w:rsidRPr="000A5C73">
        <w:rPr>
          <w:rFonts w:ascii="Arial" w:hAnsi="Arial" w:cs="Arial"/>
          <w:sz w:val="36"/>
          <w:szCs w:val="36"/>
        </w:rPr>
        <w:br w:type="page"/>
      </w:r>
    </w:p>
    <w:p w14:paraId="0069DB2C" w14:textId="77777777" w:rsidR="00CF4C26" w:rsidRDefault="00CF4C26">
      <w:pPr>
        <w:rPr>
          <w:rFonts w:ascii="Arial" w:hAnsi="Arial" w:cs="Arial"/>
          <w:sz w:val="24"/>
          <w:szCs w:val="24"/>
        </w:rPr>
      </w:pPr>
    </w:p>
    <w:p w14:paraId="16770FEB" w14:textId="0F9A583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Currently, more people are above 65 years in the UK, and this trend is reflected all over the globe. While this is good, it also raises new concerns and compounds existing issues that the elderly experience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 ageing population data in the UK shows many regional differences. Our major cities</w:t>
      </w:r>
      <w:r w:rsidR="000A5C73">
        <w:rPr>
          <w:rFonts w:ascii="Arial" w:hAnsi="Arial" w:cs="Arial"/>
          <w:sz w:val="24"/>
          <w:szCs w:val="24"/>
        </w:rPr>
        <w:t xml:space="preserve"> like </w:t>
      </w:r>
      <w:r w:rsidRPr="005F6BD6">
        <w:rPr>
          <w:rFonts w:ascii="Arial" w:hAnsi="Arial" w:cs="Arial"/>
          <w:sz w:val="24"/>
          <w:szCs w:val="24"/>
        </w:rPr>
        <w:t>London, have younger populations than the rest of the country, although the south and east of England are home to many retirees (Davenport et al., 2020, p</w:t>
      </w:r>
      <w:r w:rsidR="000A5C73">
        <w:rPr>
          <w:rFonts w:ascii="Arial" w:hAnsi="Arial" w:cs="Arial"/>
          <w:sz w:val="24"/>
          <w:szCs w:val="24"/>
        </w:rPr>
        <w:t>.</w:t>
      </w:r>
      <w:r w:rsidRPr="005F6BD6">
        <w:rPr>
          <w:rFonts w:ascii="Arial" w:hAnsi="Arial" w:cs="Arial"/>
          <w:sz w:val="24"/>
          <w:szCs w:val="24"/>
        </w:rPr>
        <w:t xml:space="preserve">6). As the population ages, it is natural that more people will need medical care, particularly in areas dedicated to the elderly and for expensive specialist healthcare services like hip replacements. The UK might anticipate higher pricing and maybe even a </w:t>
      </w:r>
      <w:r w:rsidR="00B236A4">
        <w:rPr>
          <w:rFonts w:ascii="Arial" w:hAnsi="Arial" w:cs="Arial"/>
          <w:sz w:val="24"/>
          <w:szCs w:val="24"/>
        </w:rPr>
        <w:t>work</w:t>
      </w:r>
      <w:r w:rsidRPr="005F6BD6">
        <w:rPr>
          <w:rFonts w:ascii="Arial" w:hAnsi="Arial" w:cs="Arial"/>
          <w:sz w:val="24"/>
          <w:szCs w:val="24"/>
        </w:rPr>
        <w:t xml:space="preserve"> shortage. As the population ages, there will be greater demand for services like meal delivery and senior care in the comfort of their own homes. The growing need for retirement communities will produce housing shortages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These are pricey and may result in a more significant tax burden for the middle and lower classes. Higher healthcare and social service costs aren't the only things that might hurt the economy</w:t>
      </w:r>
      <w:r w:rsidR="00B236A4">
        <w:rPr>
          <w:rFonts w:ascii="Arial" w:hAnsi="Arial" w:cs="Arial"/>
          <w:sz w:val="24"/>
          <w:szCs w:val="24"/>
        </w:rPr>
        <w:t>,</w:t>
      </w:r>
      <w:r w:rsidRPr="005F6BD6">
        <w:rPr>
          <w:rFonts w:ascii="Arial" w:hAnsi="Arial" w:cs="Arial"/>
          <w:sz w:val="24"/>
          <w:szCs w:val="24"/>
        </w:rPr>
        <w:t xml:space="preserve"> pension costs can also go up. To balance the costs of caring for an aging population, an increase in taxes or a drop in the value of pensions may be necessary, aggravating the poverty of retirees. (Eccles, 2021, p1733). The ageing population needs government attention to formulate health and social care policies.</w:t>
      </w:r>
    </w:p>
    <w:p w14:paraId="70AA729A"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Definition of "Old Age"</w:t>
      </w:r>
    </w:p>
    <w:p w14:paraId="55FB72AF"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Old age is the last phase of a human's typical lifespan. There are inconsistencies between biological, demographic (conditions of mortality and illness), economic (employment and retirement), and social (ageing and ageing-related) definitions of old age (Clough, 2021, p8). However, 60 or 65 years of age is often used as the </w:t>
      </w:r>
      <w:proofErr w:type="spellStart"/>
      <w:r w:rsidRPr="005F6BD6">
        <w:rPr>
          <w:rFonts w:ascii="Arial" w:hAnsi="Arial" w:cs="Arial"/>
          <w:sz w:val="24"/>
          <w:szCs w:val="24"/>
        </w:rPr>
        <w:t>cutoff</w:t>
      </w:r>
      <w:proofErr w:type="spellEnd"/>
      <w:r w:rsidRPr="005F6BD6">
        <w:rPr>
          <w:rFonts w:ascii="Arial" w:hAnsi="Arial" w:cs="Arial"/>
          <w:sz w:val="24"/>
          <w:szCs w:val="24"/>
        </w:rPr>
        <w:t xml:space="preserve"> for defining old age for statistical and public administrative reasons (Clough, 2021, p12). There are two ways to define old age. They are the most senior members of society and represent the last phase of human development. Ageing's physiological impacts and the generation's shared experiences and values are shaped by the social structure of the society in which they live (Wenger, 2018, p7). The ages at which people are regarded to be elderly vary considerably across cultures. What a culture considers old age may be different from what those of that society who are of that age and older believe to be old.</w:t>
      </w:r>
    </w:p>
    <w:p w14:paraId="2A6B7D6A"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lastRenderedPageBreak/>
        <w:t xml:space="preserve">Furthermore, scientists are divided on </w:t>
      </w:r>
      <w:proofErr w:type="gramStart"/>
      <w:r w:rsidRPr="005F6BD6">
        <w:rPr>
          <w:rFonts w:ascii="Arial" w:hAnsi="Arial" w:cs="Arial"/>
          <w:sz w:val="24"/>
          <w:szCs w:val="24"/>
        </w:rPr>
        <w:t>whether or not</w:t>
      </w:r>
      <w:proofErr w:type="gramEnd"/>
      <w:r w:rsidRPr="005F6BD6">
        <w:rPr>
          <w:rFonts w:ascii="Arial" w:hAnsi="Arial" w:cs="Arial"/>
          <w:sz w:val="24"/>
          <w:szCs w:val="24"/>
        </w:rPr>
        <w:t xml:space="preserve"> ageing has a fundamental biological cause. On the other hand, in </w:t>
      </w:r>
      <w:proofErr w:type="gramStart"/>
      <w:r w:rsidRPr="005F6BD6">
        <w:rPr>
          <w:rFonts w:ascii="Arial" w:hAnsi="Arial" w:cs="Arial"/>
          <w:sz w:val="24"/>
          <w:szCs w:val="24"/>
        </w:rPr>
        <w:t>the majority of</w:t>
      </w:r>
      <w:proofErr w:type="gramEnd"/>
      <w:r w:rsidRPr="005F6BD6">
        <w:rPr>
          <w:rFonts w:ascii="Arial" w:hAnsi="Arial" w:cs="Arial"/>
          <w:sz w:val="24"/>
          <w:szCs w:val="24"/>
        </w:rPr>
        <w:t xml:space="preserve"> modern Western nations, retirement and old age social programs are not accessible until age 60 or 65. However, old age is often defined as the years 40–70 (Clough, 2021, p17).</w:t>
      </w:r>
    </w:p>
    <w:p w14:paraId="78B71D2D"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 xml:space="preserve">Ageing Population and Changes in Number of Older People </w:t>
      </w:r>
    </w:p>
    <w:p w14:paraId="23E7471A"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Most of the UK's population is ageing. The main factors are the rising median age at death and the falling </w:t>
      </w:r>
      <w:proofErr w:type="spellStart"/>
      <w:r w:rsidRPr="005F6BD6">
        <w:rPr>
          <w:rFonts w:ascii="Arial" w:hAnsi="Arial" w:cs="Arial"/>
          <w:sz w:val="24"/>
          <w:szCs w:val="24"/>
        </w:rPr>
        <w:t>birthrate</w:t>
      </w:r>
      <w:proofErr w:type="spellEnd"/>
      <w:r w:rsidRPr="005F6BD6">
        <w:rPr>
          <w:rFonts w:ascii="Arial" w:hAnsi="Arial" w:cs="Arial"/>
          <w:sz w:val="24"/>
          <w:szCs w:val="24"/>
        </w:rPr>
        <w:t xml:space="preserve">. Populations everywhere are becoming older as a direct consequence of falling birth rates and rising life expectancies (Ritchie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2019). The share of the population over 60 years old has grown due to this shift in the population's age structure. Besides, more individuals 65 and above than children under the age of 15. With 681,560 births and 689,629 deaths in 2020, the natural change in the UK was -8,069. (Sophie, 2022). That the population has declined due to natural causes is just the second time since records began being kept in 1976. With 31,120 fewer babies born in 2020 compared to 2019, this year will have the lowest birth rate since 2002. In 2020, women generally had 1.56 children, the lowest total fertility rate (TFR) since records started in 1938. (Ritchie and </w:t>
      </w:r>
      <w:proofErr w:type="spellStart"/>
      <w:r w:rsidRPr="005F6BD6">
        <w:rPr>
          <w:rFonts w:ascii="Arial" w:hAnsi="Arial" w:cs="Arial"/>
          <w:sz w:val="24"/>
          <w:szCs w:val="24"/>
        </w:rPr>
        <w:t>Roser</w:t>
      </w:r>
      <w:proofErr w:type="spellEnd"/>
      <w:r w:rsidRPr="005F6BD6">
        <w:rPr>
          <w:rFonts w:ascii="Arial" w:hAnsi="Arial" w:cs="Arial"/>
          <w:sz w:val="24"/>
          <w:szCs w:val="24"/>
        </w:rPr>
        <w:t>, 2019).</w:t>
      </w:r>
    </w:p>
    <w:p w14:paraId="7A9F7EBE"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In 2019, around 12.3M of the UK's population was 65 or older. From 2009 to 2019, older people increased by 23%, much more than the 7% growth seen in the UK over the same period (Sophie, 2022). By 2043, the elderly will make up 24% of the UK's total population (17.4 million people), and the proportion will continue to rise (</w:t>
      </w: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and Damayanti, 2022, p3). The percentage of people aged 75 and older is expected to increase from 8% in 2018 to 13% in 2043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The rate of people aged 85 and older is expected to grow from 2% to 4%.</w:t>
      </w:r>
    </w:p>
    <w:p w14:paraId="53CE381B" w14:textId="77777777" w:rsidR="003E1C98" w:rsidRPr="00B236A4" w:rsidRDefault="003E1C98" w:rsidP="005F6BD6">
      <w:pPr>
        <w:spacing w:line="360" w:lineRule="auto"/>
        <w:rPr>
          <w:rFonts w:ascii="Arial" w:hAnsi="Arial" w:cs="Arial"/>
          <w:b/>
          <w:bCs/>
          <w:sz w:val="24"/>
          <w:szCs w:val="24"/>
          <w:u w:val="single"/>
        </w:rPr>
      </w:pPr>
      <w:r w:rsidRPr="00B236A4">
        <w:rPr>
          <w:rFonts w:ascii="Arial" w:hAnsi="Arial" w:cs="Arial"/>
          <w:b/>
          <w:bCs/>
          <w:sz w:val="24"/>
          <w:szCs w:val="24"/>
          <w:u w:val="single"/>
        </w:rPr>
        <w:t>Issues Experienced by Older People in the UK (the pandemic, medical, emotional, social, etc.)</w:t>
      </w:r>
    </w:p>
    <w:p w14:paraId="294B5208"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Many persons who have reached the traditional retirement age are still physically and mentally capable of working and would relish the chance to do so if only they could find suitable employment. Also, since so much may now be done online or remotely, it might be difficult for the elderly to manage day-to-day money and retirement planning. As a result, they may be more susceptible to various forms of deception (</w:t>
      </w:r>
      <w:proofErr w:type="spellStart"/>
      <w:r w:rsidRPr="005F6BD6">
        <w:rPr>
          <w:rFonts w:ascii="Arial" w:hAnsi="Arial" w:cs="Arial"/>
          <w:sz w:val="24"/>
          <w:szCs w:val="24"/>
        </w:rPr>
        <w:t>Everaars</w:t>
      </w:r>
      <w:proofErr w:type="spellEnd"/>
      <w:r w:rsidRPr="005F6BD6">
        <w:rPr>
          <w:rFonts w:ascii="Arial" w:hAnsi="Arial" w:cs="Arial"/>
          <w:sz w:val="24"/>
          <w:szCs w:val="24"/>
        </w:rPr>
        <w:t xml:space="preserve"> et al., 2021, p59). The loss of flexibility and agility that comes </w:t>
      </w:r>
      <w:r w:rsidRPr="005F6BD6">
        <w:rPr>
          <w:rFonts w:ascii="Arial" w:hAnsi="Arial" w:cs="Arial"/>
          <w:sz w:val="24"/>
          <w:szCs w:val="24"/>
        </w:rPr>
        <w:lastRenderedPageBreak/>
        <w:t xml:space="preserve">with becoming older may make even simple challenging chores. Over time, this might make individuals focus only on their needs, inhibiting their ability to maintain social relationships and pursue hobbies. Many older persons need extra care when they can no longer live alone. When family members step in to offer this kind of care, it may be challenging to juggle </w:t>
      </w:r>
      <w:proofErr w:type="gramStart"/>
      <w:r w:rsidRPr="005F6BD6">
        <w:rPr>
          <w:rFonts w:ascii="Arial" w:hAnsi="Arial" w:cs="Arial"/>
          <w:sz w:val="24"/>
          <w:szCs w:val="24"/>
        </w:rPr>
        <w:t>all of</w:t>
      </w:r>
      <w:proofErr w:type="gramEnd"/>
      <w:r w:rsidRPr="005F6BD6">
        <w:rPr>
          <w:rFonts w:ascii="Arial" w:hAnsi="Arial" w:cs="Arial"/>
          <w:sz w:val="24"/>
          <w:szCs w:val="24"/>
        </w:rPr>
        <w:t xml:space="preserve"> their other commitments without feeling overwhelmed. Complex and fragmented healthcare systems disproportionately affect the elderly, particularly those with many chronic diseases (</w:t>
      </w:r>
      <w:proofErr w:type="spellStart"/>
      <w:r w:rsidRPr="005F6BD6">
        <w:rPr>
          <w:rFonts w:ascii="Arial" w:hAnsi="Arial" w:cs="Arial"/>
          <w:sz w:val="24"/>
          <w:szCs w:val="24"/>
        </w:rPr>
        <w:t>Keyworth</w:t>
      </w:r>
      <w:proofErr w:type="spellEnd"/>
      <w:r w:rsidRPr="005F6BD6">
        <w:rPr>
          <w:rFonts w:ascii="Arial" w:hAnsi="Arial" w:cs="Arial"/>
          <w:sz w:val="24"/>
          <w:szCs w:val="24"/>
        </w:rPr>
        <w:t xml:space="preserve"> et al., 2021). Medication and other forms of treatment must be coordinated amongst several medical specialists and facilities.</w:t>
      </w:r>
    </w:p>
    <w:p w14:paraId="4996B7CD"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Moreover, the COVID-19 pandemic has exacerbated pre-existing health inequalities. The emotional and physical toll has been worse for elderly persons from lower-income families (</w:t>
      </w: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and Damayanti, 2022, p5). A lack of mental stimulation and socializing during the epidemic has increased confusion, forgetfulness, and rehashing of previous talks among the elderly (Wenger, 2021, p18). There was a correlation between the decline in social life, the number of in-person social encounters recorded during the pandemic, and an increased risk of depression in some instances (</w:t>
      </w:r>
      <w:proofErr w:type="spellStart"/>
      <w:r w:rsidRPr="005F6BD6">
        <w:rPr>
          <w:rFonts w:ascii="Arial" w:hAnsi="Arial" w:cs="Arial"/>
          <w:sz w:val="24"/>
          <w:szCs w:val="24"/>
        </w:rPr>
        <w:t>Lebrasseur</w:t>
      </w:r>
      <w:proofErr w:type="spellEnd"/>
      <w:r w:rsidRPr="005F6BD6">
        <w:rPr>
          <w:rFonts w:ascii="Arial" w:hAnsi="Arial" w:cs="Arial"/>
          <w:sz w:val="24"/>
          <w:szCs w:val="24"/>
        </w:rPr>
        <w:t xml:space="preserve"> et al., 2021). Some older adults' anxiety has reached crippling levels, causing panic attacks and other physical symptoms that significantly impair their ability to go about their daily lives.</w:t>
      </w:r>
    </w:p>
    <w:p w14:paraId="36160479" w14:textId="77777777"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 xml:space="preserve">Current Health and Social Care provision </w:t>
      </w:r>
    </w:p>
    <w:p w14:paraId="05B65700" w14:textId="2F36B71B"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Problems in the UK's official and informal care system have led to a dramatic rise in the number of elderly persons whose care and support requirements are being unfulfilled. One of the most </w:t>
      </w:r>
      <w:proofErr w:type="spellStart"/>
      <w:r w:rsidRPr="005F6BD6">
        <w:rPr>
          <w:rFonts w:ascii="Arial" w:hAnsi="Arial" w:cs="Arial"/>
          <w:sz w:val="24"/>
          <w:szCs w:val="24"/>
        </w:rPr>
        <w:t>pre</w:t>
      </w:r>
      <w:r w:rsidR="00B236A4">
        <w:rPr>
          <w:rFonts w:ascii="Arial" w:hAnsi="Arial" w:cs="Arial"/>
          <w:sz w:val="24"/>
          <w:szCs w:val="24"/>
        </w:rPr>
        <w:t>s</w:t>
      </w:r>
      <w:r w:rsidRPr="005F6BD6">
        <w:rPr>
          <w:rFonts w:ascii="Arial" w:hAnsi="Arial" w:cs="Arial"/>
          <w:sz w:val="24"/>
          <w:szCs w:val="24"/>
        </w:rPr>
        <w:t>ssing</w:t>
      </w:r>
      <w:proofErr w:type="spellEnd"/>
      <w:r w:rsidRPr="005F6BD6">
        <w:rPr>
          <w:rFonts w:ascii="Arial" w:hAnsi="Arial" w:cs="Arial"/>
          <w:sz w:val="24"/>
          <w:szCs w:val="24"/>
        </w:rPr>
        <w:t xml:space="preserve"> issues in public health today is meeting these unmet demands. It is crucial to comprehend the care and support requirements of the elderly before coming up with appropriate ways to meet some of these demands (Abdi et al., 2019). Even though the NHS has received more cash in recent years, this analysis shows that the service is still having trouble keeping up with the demands of the increasing number of individuals who have several chronic ailments and are elderly or otherwise fragile (</w:t>
      </w:r>
      <w:proofErr w:type="spellStart"/>
      <w:r w:rsidRPr="005F6BD6">
        <w:rPr>
          <w:rFonts w:ascii="Arial" w:hAnsi="Arial" w:cs="Arial"/>
          <w:sz w:val="24"/>
          <w:szCs w:val="24"/>
        </w:rPr>
        <w:t>Everaars</w:t>
      </w:r>
      <w:proofErr w:type="spellEnd"/>
      <w:r w:rsidRPr="005F6BD6">
        <w:rPr>
          <w:rFonts w:ascii="Arial" w:hAnsi="Arial" w:cs="Arial"/>
          <w:sz w:val="24"/>
          <w:szCs w:val="24"/>
        </w:rPr>
        <w:t xml:space="preserve"> et al., 2021, p62).</w:t>
      </w:r>
    </w:p>
    <w:p w14:paraId="3F344197" w14:textId="70C2443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During the height of the epidemic in the UK, many regular NHS services were suspended or no longer provided in person. As of January 2022, over 6 million individuals in England remained on waiting lists for typical hospital treatment </w:t>
      </w:r>
      <w:r w:rsidRPr="005F6BD6">
        <w:rPr>
          <w:rFonts w:ascii="Arial" w:hAnsi="Arial" w:cs="Arial"/>
          <w:sz w:val="24"/>
          <w:szCs w:val="24"/>
        </w:rPr>
        <w:lastRenderedPageBreak/>
        <w:t>(</w:t>
      </w:r>
      <w:proofErr w:type="spellStart"/>
      <w:r w:rsidRPr="005F6BD6">
        <w:rPr>
          <w:rFonts w:ascii="Arial" w:hAnsi="Arial" w:cs="Arial"/>
          <w:sz w:val="24"/>
          <w:szCs w:val="24"/>
        </w:rPr>
        <w:t>Thorlby</w:t>
      </w:r>
      <w:proofErr w:type="spellEnd"/>
      <w:r w:rsidRPr="005F6BD6">
        <w:rPr>
          <w:rFonts w:ascii="Arial" w:hAnsi="Arial" w:cs="Arial"/>
          <w:sz w:val="24"/>
          <w:szCs w:val="24"/>
        </w:rPr>
        <w:t xml:space="preserve"> et al., 2022), despite services have resumed. This is because many have not yet been restored to total capacity due to the lingering effects of COVID-19. The International Health Policy Survey 2021 (IHP 2021) from the Commonwealth Fund analyses seniors' perspectives in 11 high-income nations, including the UK (Adhikari et al., 2021, p16). The UK demonstrates the NHS's continued success in shielding individuals from financial obstacles to getting health care. As time has progressed, more and more proof of the extensive and long-lasting </w:t>
      </w:r>
      <w:proofErr w:type="spellStart"/>
      <w:r w:rsidRPr="005F6BD6">
        <w:rPr>
          <w:rFonts w:ascii="Arial" w:hAnsi="Arial" w:cs="Arial"/>
          <w:sz w:val="24"/>
          <w:szCs w:val="24"/>
        </w:rPr>
        <w:t>natr</w:t>
      </w:r>
      <w:r w:rsidR="00B236A4">
        <w:rPr>
          <w:rFonts w:ascii="Arial" w:hAnsi="Arial" w:cs="Arial"/>
          <w:sz w:val="24"/>
          <w:szCs w:val="24"/>
        </w:rPr>
        <w:t>u</w:t>
      </w:r>
      <w:r w:rsidRPr="005F6BD6">
        <w:rPr>
          <w:rFonts w:ascii="Arial" w:hAnsi="Arial" w:cs="Arial"/>
          <w:sz w:val="24"/>
          <w:szCs w:val="24"/>
        </w:rPr>
        <w:t>e</w:t>
      </w:r>
      <w:proofErr w:type="spellEnd"/>
      <w:r w:rsidRPr="005F6BD6">
        <w:rPr>
          <w:rFonts w:ascii="Arial" w:hAnsi="Arial" w:cs="Arial"/>
          <w:sz w:val="24"/>
          <w:szCs w:val="24"/>
        </w:rPr>
        <w:t xml:space="preserve"> of delays and disruptions to various NHS services in England has emerged. These services range from general practice to regular hospital treatment to social and health care in the community.  </w:t>
      </w:r>
    </w:p>
    <w:p w14:paraId="52C5063C"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Social care is generally inaccessible to those with assets above £23,250 (for residential care, this sum includes the value of their home, if they have one) (</w:t>
      </w:r>
      <w:proofErr w:type="spellStart"/>
      <w:r w:rsidRPr="005F6BD6">
        <w:rPr>
          <w:rFonts w:ascii="Arial" w:hAnsi="Arial" w:cs="Arial"/>
          <w:sz w:val="24"/>
          <w:szCs w:val="24"/>
        </w:rPr>
        <w:t>Liley</w:t>
      </w:r>
      <w:proofErr w:type="spellEnd"/>
      <w:r w:rsidRPr="005F6BD6">
        <w:rPr>
          <w:rFonts w:ascii="Arial" w:hAnsi="Arial" w:cs="Arial"/>
          <w:sz w:val="24"/>
          <w:szCs w:val="24"/>
        </w:rPr>
        <w:t xml:space="preserve">, 2021). In many cases, the entire cost of publicly sponsored services cannot be covered without contributions from individuals' salaries. In contrast to many other nations, England does not have a "national" budget for social services; these costs are distributed among local governments. However, some of the amounts local authorities have available to spend comes from the central government's grant funding on social care (Ritchie and </w:t>
      </w:r>
      <w:proofErr w:type="spellStart"/>
      <w:r w:rsidRPr="005F6BD6">
        <w:rPr>
          <w:rFonts w:ascii="Arial" w:hAnsi="Arial" w:cs="Arial"/>
          <w:sz w:val="24"/>
          <w:szCs w:val="24"/>
        </w:rPr>
        <w:t>Roser</w:t>
      </w:r>
      <w:proofErr w:type="spellEnd"/>
      <w:r w:rsidRPr="005F6BD6">
        <w:rPr>
          <w:rFonts w:ascii="Arial" w:hAnsi="Arial" w:cs="Arial"/>
          <w:sz w:val="24"/>
          <w:szCs w:val="24"/>
        </w:rPr>
        <w:t>, 2019). Local governments' spending on adult social care was £23.3 billion in 2019/2020, up over £1 billion from the previous fiscal year (Lilley, 2021). Increased demand has resulted in just a £99 million increase in expenditure from 2010/11 (Lilley, 2021).</w:t>
      </w:r>
    </w:p>
    <w:p w14:paraId="6B8D1777" w14:textId="5899674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The growing social care cost in England is driven by two key factors: increased demand for services and rising supply prices. In recent years, there has been an increase in the population with a demonstrated need for social care, but this increase has not always been reflected in actual service use (CQC</w:t>
      </w:r>
      <w:r w:rsidR="00B236A4">
        <w:rPr>
          <w:rFonts w:ascii="Arial" w:hAnsi="Arial" w:cs="Arial"/>
          <w:sz w:val="24"/>
          <w:szCs w:val="24"/>
        </w:rPr>
        <w:t>, 2021</w:t>
      </w:r>
      <w:r w:rsidRPr="005F6BD6">
        <w:rPr>
          <w:rFonts w:ascii="Arial" w:hAnsi="Arial" w:cs="Arial"/>
          <w:sz w:val="24"/>
          <w:szCs w:val="24"/>
        </w:rPr>
        <w:t>). More than 1.9 million individuals last year asked their municipality for help, an increase of almost 100,000 from 2015/16. (Rocks et al., 2021, p</w:t>
      </w:r>
      <w:r w:rsidR="00B236A4">
        <w:rPr>
          <w:rFonts w:ascii="Arial" w:hAnsi="Arial" w:cs="Arial"/>
          <w:sz w:val="24"/>
          <w:szCs w:val="24"/>
        </w:rPr>
        <w:t>.</w:t>
      </w:r>
      <w:r w:rsidRPr="005F6BD6">
        <w:rPr>
          <w:rFonts w:ascii="Arial" w:hAnsi="Arial" w:cs="Arial"/>
          <w:sz w:val="24"/>
          <w:szCs w:val="24"/>
        </w:rPr>
        <w:t>14). Population growth has accelerated due in part to changing demographics. As a result of living longer, people may need social care services for either the short or long term. The National Health Service (NHS) long-term plan in England is supported by a financial settlement that extends until 2023/24 and provides average annual increases of 3.3% each year, beginning with the current fiscal year (Rocks et al., 2021, p</w:t>
      </w:r>
      <w:r w:rsidR="00B236A4">
        <w:rPr>
          <w:rFonts w:ascii="Arial" w:hAnsi="Arial" w:cs="Arial"/>
          <w:sz w:val="24"/>
          <w:szCs w:val="24"/>
        </w:rPr>
        <w:t>.</w:t>
      </w:r>
      <w:r w:rsidRPr="005F6BD6">
        <w:rPr>
          <w:rFonts w:ascii="Arial" w:hAnsi="Arial" w:cs="Arial"/>
          <w:sz w:val="24"/>
          <w:szCs w:val="24"/>
        </w:rPr>
        <w:t xml:space="preserve">37). However, this occurs in the </w:t>
      </w:r>
      <w:r w:rsidRPr="005F6BD6">
        <w:rPr>
          <w:rFonts w:ascii="Arial" w:hAnsi="Arial" w:cs="Arial"/>
          <w:sz w:val="24"/>
          <w:szCs w:val="24"/>
        </w:rPr>
        <w:lastRenderedPageBreak/>
        <w:t xml:space="preserve">context of massive hospital deficits, a maintenance backlog, and severe </w:t>
      </w:r>
      <w:proofErr w:type="spellStart"/>
      <w:r w:rsidRPr="005F6BD6">
        <w:rPr>
          <w:rFonts w:ascii="Arial" w:hAnsi="Arial" w:cs="Arial"/>
          <w:sz w:val="24"/>
          <w:szCs w:val="24"/>
        </w:rPr>
        <w:t>labor</w:t>
      </w:r>
      <w:proofErr w:type="spellEnd"/>
      <w:r w:rsidRPr="005F6BD6">
        <w:rPr>
          <w:rFonts w:ascii="Arial" w:hAnsi="Arial" w:cs="Arial"/>
          <w:sz w:val="24"/>
          <w:szCs w:val="24"/>
        </w:rPr>
        <w:t xml:space="preserve"> shortages, all resulting from poor investment in the past.</w:t>
      </w:r>
    </w:p>
    <w:p w14:paraId="1ECA311C" w14:textId="61559D32" w:rsidR="003E1C98" w:rsidRPr="00CF4C26" w:rsidRDefault="003E1C98" w:rsidP="005F6BD6">
      <w:pPr>
        <w:spacing w:line="360" w:lineRule="auto"/>
        <w:rPr>
          <w:rFonts w:ascii="Arial" w:hAnsi="Arial" w:cs="Arial"/>
          <w:b/>
          <w:bCs/>
          <w:sz w:val="24"/>
          <w:szCs w:val="24"/>
          <w:u w:val="single"/>
        </w:rPr>
      </w:pPr>
      <w:r w:rsidRPr="00CF4C26">
        <w:rPr>
          <w:rFonts w:ascii="Arial" w:hAnsi="Arial" w:cs="Arial"/>
          <w:b/>
          <w:bCs/>
          <w:sz w:val="24"/>
          <w:szCs w:val="24"/>
          <w:u w:val="single"/>
        </w:rPr>
        <w:t>The Societal Effects of the Ageing Population (Financial, Social, Perceptions, etc.)</w:t>
      </w:r>
    </w:p>
    <w:p w14:paraId="4DCAC2D5"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ageing of a society has the potential to influence several different factors, including but not limited </w:t>
      </w:r>
      <w:proofErr w:type="gramStart"/>
      <w:r w:rsidRPr="005F6BD6">
        <w:rPr>
          <w:rFonts w:ascii="Arial" w:hAnsi="Arial" w:cs="Arial"/>
          <w:sz w:val="24"/>
          <w:szCs w:val="24"/>
        </w:rPr>
        <w:t>to:</w:t>
      </w:r>
      <w:proofErr w:type="gramEnd"/>
      <w:r w:rsidRPr="005F6BD6">
        <w:rPr>
          <w:rFonts w:ascii="Arial" w:hAnsi="Arial" w:cs="Arial"/>
          <w:sz w:val="24"/>
          <w:szCs w:val="24"/>
        </w:rPr>
        <w:t xml:space="preserve"> family dynamics, retirement and employment trends, economic development, the capacity of communities and governments to provide for the needs of the elderly, and the prevalence of disability and chronic illness (</w:t>
      </w:r>
      <w:proofErr w:type="spellStart"/>
      <w:r w:rsidRPr="005F6BD6">
        <w:rPr>
          <w:rFonts w:ascii="Arial" w:hAnsi="Arial" w:cs="Arial"/>
          <w:sz w:val="24"/>
          <w:szCs w:val="24"/>
        </w:rPr>
        <w:t>Cylus</w:t>
      </w:r>
      <w:proofErr w:type="spellEnd"/>
      <w:r w:rsidRPr="005F6BD6">
        <w:rPr>
          <w:rFonts w:ascii="Arial" w:hAnsi="Arial" w:cs="Arial"/>
          <w:sz w:val="24"/>
          <w:szCs w:val="24"/>
        </w:rPr>
        <w:t xml:space="preserve"> et al., 2020). Concerns have been raised about our society's ability to provide for the medical demands of an ageing population. There are also concerns about the impact on the economy and the budget due to the declining proportion of individuals in their prime working years (CQC). The inability of contemporary society's institutions to care for the physically and mentally deteriorating old has contributed to the phenomenon of ageing as a societal concern. </w:t>
      </w:r>
    </w:p>
    <w:p w14:paraId="684E8290" w14:textId="730DFD6F"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There's a common misconception that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helpless or a burden on society.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disproportionately affected by prejudice, poverty, and inadequate health (Ritchie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2019). The elderly </w:t>
      </w:r>
      <w:proofErr w:type="gramStart"/>
      <w:r w:rsidRPr="005F6BD6">
        <w:rPr>
          <w:rFonts w:ascii="Arial" w:hAnsi="Arial" w:cs="Arial"/>
          <w:sz w:val="24"/>
          <w:szCs w:val="24"/>
        </w:rPr>
        <w:t>are</w:t>
      </w:r>
      <w:proofErr w:type="gramEnd"/>
      <w:r w:rsidRPr="005F6BD6">
        <w:rPr>
          <w:rFonts w:ascii="Arial" w:hAnsi="Arial" w:cs="Arial"/>
          <w:sz w:val="24"/>
          <w:szCs w:val="24"/>
        </w:rPr>
        <w:t xml:space="preserve"> stigmatized because they cannot conform to today's youth-centric standards. Instead of assuming social care demand would rise in tandem with the rising incidence of chronic diseases, officials working to reform adult social care should be aware of the complications involved in anticipating future demand.</w:t>
      </w:r>
    </w:p>
    <w:p w14:paraId="26F3B1F8"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 xml:space="preserve">Government and Health Service Response to the Problem </w:t>
      </w:r>
    </w:p>
    <w:p w14:paraId="6DFF40E5"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It is projected that by 2035 just 2.5 persons of working age will be supporting each retiree in Britain, and by 2050 only two people will be doing so (Greer, 2021, p29). The dependence ratio measures the number of active-age adults in proportion to the number of older adults living in the community. Humanity has made great strides in terms of maturing,' with people now living much longer and healthier lives than in past generations. This shift in the population presents an opportunity to tap into the wisdom, insight, and originality of a hitherto unseen proportion of the population (Greer, 2021, p.37). Several strategies exist for addressing the ageing of Britain's population, which the government or private businesses may implement. However, </w:t>
      </w:r>
      <w:r w:rsidRPr="005F6BD6">
        <w:rPr>
          <w:rFonts w:ascii="Arial" w:hAnsi="Arial" w:cs="Arial"/>
          <w:sz w:val="24"/>
          <w:szCs w:val="24"/>
        </w:rPr>
        <w:lastRenderedPageBreak/>
        <w:t>the finest possible economic, social, and political systems must be established immediately to avert a disaster.</w:t>
      </w:r>
    </w:p>
    <w:p w14:paraId="74698E2B" w14:textId="5DF64D0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According to the Age and Employment Network (TAEN), companies may benefit greatly from this population shift. Flynn and </w:t>
      </w:r>
      <w:proofErr w:type="spellStart"/>
      <w:r w:rsidRPr="005F6BD6">
        <w:rPr>
          <w:rFonts w:ascii="Arial" w:hAnsi="Arial" w:cs="Arial"/>
          <w:sz w:val="24"/>
          <w:szCs w:val="24"/>
        </w:rPr>
        <w:t>Schröder</w:t>
      </w:r>
      <w:proofErr w:type="spellEnd"/>
      <w:r w:rsidRPr="005F6BD6">
        <w:rPr>
          <w:rFonts w:ascii="Arial" w:hAnsi="Arial" w:cs="Arial"/>
          <w:sz w:val="24"/>
          <w:szCs w:val="24"/>
        </w:rPr>
        <w:t xml:space="preserve"> (2021) argue that organisations may boost productivity, competitive advantage, </w:t>
      </w:r>
      <w:r w:rsidR="00B236A4" w:rsidRPr="005F6BD6">
        <w:rPr>
          <w:rFonts w:ascii="Arial" w:hAnsi="Arial" w:cs="Arial"/>
          <w:sz w:val="24"/>
          <w:szCs w:val="24"/>
        </w:rPr>
        <w:t>then</w:t>
      </w:r>
      <w:r w:rsidRPr="005F6BD6">
        <w:rPr>
          <w:rFonts w:ascii="Arial" w:hAnsi="Arial" w:cs="Arial"/>
          <w:sz w:val="24"/>
          <w:szCs w:val="24"/>
        </w:rPr>
        <w:t xml:space="preserve"> profitability by drawing from a larger talent pool. Raising the retirement age is a divisive issue in politics and society. There is a good chance that the government of the United Kingdom will implement this. Government policy as of 2010 indicates a gradual increase in the state pension age for women from 60 to 65 between 2020. It is projected to increase for both sexes between 2024 and 2046, from 65 to 68, respectively. One proposed solution to the pension dilemma in the UK is to require citizens to save a certain percentage of their income. Many would choose this if their employers matched their contributions. Alternatively, we may try to get more people into the workforce (</w:t>
      </w:r>
      <w:proofErr w:type="spellStart"/>
      <w:r w:rsidRPr="005F6BD6">
        <w:rPr>
          <w:rFonts w:ascii="Arial" w:hAnsi="Arial" w:cs="Arial"/>
          <w:sz w:val="24"/>
          <w:szCs w:val="24"/>
        </w:rPr>
        <w:t>Cotterell</w:t>
      </w:r>
      <w:proofErr w:type="spellEnd"/>
      <w:r w:rsidRPr="005F6BD6">
        <w:rPr>
          <w:rFonts w:ascii="Arial" w:hAnsi="Arial" w:cs="Arial"/>
          <w:sz w:val="24"/>
          <w:szCs w:val="24"/>
        </w:rPr>
        <w:t xml:space="preserve"> et al., 2018). Although most working-age males work in industrialized nations, fewer women and those aged 55 to 64 participate in the </w:t>
      </w:r>
      <w:proofErr w:type="gramStart"/>
      <w:r w:rsidR="00B236A4">
        <w:rPr>
          <w:rFonts w:ascii="Arial" w:hAnsi="Arial" w:cs="Arial"/>
          <w:sz w:val="24"/>
          <w:szCs w:val="24"/>
        </w:rPr>
        <w:t>work place</w:t>
      </w:r>
      <w:proofErr w:type="gramEnd"/>
      <w:r w:rsidRPr="005F6BD6">
        <w:rPr>
          <w:rFonts w:ascii="Arial" w:hAnsi="Arial" w:cs="Arial"/>
          <w:sz w:val="24"/>
          <w:szCs w:val="24"/>
        </w:rPr>
        <w:t>.</w:t>
      </w:r>
    </w:p>
    <w:p w14:paraId="108006ED"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Relevant Theory, including Specific Theories of Ageing</w:t>
      </w:r>
    </w:p>
    <w:p w14:paraId="1A967CF4" w14:textId="2BE47D99"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There are several aspects of ageing. </w:t>
      </w:r>
      <w:r w:rsidR="00B236A4" w:rsidRPr="005F6BD6">
        <w:rPr>
          <w:rFonts w:ascii="Arial" w:hAnsi="Arial" w:cs="Arial"/>
          <w:sz w:val="24"/>
          <w:szCs w:val="24"/>
        </w:rPr>
        <w:t>Therefore</w:t>
      </w:r>
      <w:r w:rsidRPr="005F6BD6">
        <w:rPr>
          <w:rFonts w:ascii="Arial" w:hAnsi="Arial" w:cs="Arial"/>
          <w:sz w:val="24"/>
          <w:szCs w:val="24"/>
        </w:rPr>
        <w:t xml:space="preserve">, there are several hypotheses, each of which may account for certain features of the ageing process. However, no universal explanation of ageing can account for </w:t>
      </w:r>
      <w:proofErr w:type="gramStart"/>
      <w:r w:rsidRPr="005F6BD6">
        <w:rPr>
          <w:rFonts w:ascii="Arial" w:hAnsi="Arial" w:cs="Arial"/>
          <w:sz w:val="24"/>
          <w:szCs w:val="24"/>
        </w:rPr>
        <w:t>all of</w:t>
      </w:r>
      <w:proofErr w:type="gramEnd"/>
      <w:r w:rsidRPr="005F6BD6">
        <w:rPr>
          <w:rFonts w:ascii="Arial" w:hAnsi="Arial" w:cs="Arial"/>
          <w:sz w:val="24"/>
          <w:szCs w:val="24"/>
        </w:rPr>
        <w:t xml:space="preserve"> its observed features. Continuity theory may provide light on how our population's ageing affects policy and practice at all levels of government.</w:t>
      </w:r>
    </w:p>
    <w:p w14:paraId="1A4461BA" w14:textId="0E8FE19D"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The continuity theory of ageing examines how middle-aged and older persons make strategic adjustments to their lives to preserve important internal and external constants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283). The term "internal continuity" refers to creating connections between current and past experiences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284). On the other hand, when we talk about external continuity, we're referring to our interactions with the people and places we know and love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 xml:space="preserve">286). It </w:t>
      </w:r>
      <w:proofErr w:type="spellStart"/>
      <w:r w:rsidRPr="005F6BD6">
        <w:rPr>
          <w:rFonts w:ascii="Arial" w:hAnsi="Arial" w:cs="Arial"/>
          <w:sz w:val="24"/>
          <w:szCs w:val="24"/>
        </w:rPr>
        <w:t>centers</w:t>
      </w:r>
      <w:proofErr w:type="spellEnd"/>
      <w:r w:rsidRPr="005F6BD6">
        <w:rPr>
          <w:rFonts w:ascii="Arial" w:hAnsi="Arial" w:cs="Arial"/>
          <w:sz w:val="24"/>
          <w:szCs w:val="24"/>
        </w:rPr>
        <w:t xml:space="preserve"> on the premise that the maintenance of familiarity with one's surroundings, family, and circumstances</w:t>
      </w:r>
      <w:r w:rsidR="003C4E0A">
        <w:rPr>
          <w:rFonts w:ascii="Arial" w:hAnsi="Arial" w:cs="Arial"/>
          <w:sz w:val="24"/>
          <w:szCs w:val="24"/>
        </w:rPr>
        <w:t xml:space="preserve"> </w:t>
      </w:r>
      <w:r w:rsidRPr="005F6BD6">
        <w:rPr>
          <w:rFonts w:ascii="Arial" w:hAnsi="Arial" w:cs="Arial"/>
          <w:sz w:val="24"/>
          <w:szCs w:val="24"/>
        </w:rPr>
        <w:t>is crucial for the continued autonomy of the elderly. Consistency in routines and surroundings allows the elderly to direct their attention and energy where it will be most helpful, mitigating some of the negative impacts of ageing (</w:t>
      </w:r>
      <w:proofErr w:type="spellStart"/>
      <w:r w:rsidRPr="005F6BD6">
        <w:rPr>
          <w:rFonts w:ascii="Arial" w:hAnsi="Arial" w:cs="Arial"/>
          <w:sz w:val="24"/>
          <w:szCs w:val="24"/>
        </w:rPr>
        <w:t>Iyare</w:t>
      </w:r>
      <w:proofErr w:type="spellEnd"/>
      <w:r w:rsidRPr="005F6BD6">
        <w:rPr>
          <w:rFonts w:ascii="Arial" w:hAnsi="Arial" w:cs="Arial"/>
          <w:sz w:val="24"/>
          <w:szCs w:val="24"/>
        </w:rPr>
        <w:t xml:space="preserve"> et al., 2022, p</w:t>
      </w:r>
      <w:r w:rsidR="003C4E0A">
        <w:rPr>
          <w:rFonts w:ascii="Arial" w:hAnsi="Arial" w:cs="Arial"/>
          <w:sz w:val="24"/>
          <w:szCs w:val="24"/>
        </w:rPr>
        <w:t>.</w:t>
      </w:r>
      <w:r w:rsidRPr="005F6BD6">
        <w:rPr>
          <w:rFonts w:ascii="Arial" w:hAnsi="Arial" w:cs="Arial"/>
          <w:sz w:val="24"/>
          <w:szCs w:val="24"/>
        </w:rPr>
        <w:t xml:space="preserve">286). It's not that people who subscribe to the continuity theory never </w:t>
      </w:r>
      <w:r w:rsidRPr="005F6BD6">
        <w:rPr>
          <w:rFonts w:ascii="Arial" w:hAnsi="Arial" w:cs="Arial"/>
          <w:sz w:val="24"/>
          <w:szCs w:val="24"/>
        </w:rPr>
        <w:lastRenderedPageBreak/>
        <w:t>change; instead, they find ways to minimize the adverse effects of change by relying on the tried-and-true routines and habits they've developed over the years.</w:t>
      </w:r>
    </w:p>
    <w:p w14:paraId="4C65E22E"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Advances in communication, technology, and AI</w:t>
      </w:r>
    </w:p>
    <w:p w14:paraId="7BA2CEBB"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most promising clinical applications of the technology include those that improve safety and housing to ensure older people can continue living in their communities and homes and rehabilitation and mobility to enhance mobility and gait. In communication and quality of life, technology will improve medication management, lower isolation, and expand access to transportation options. To wit: (Cassel et al., 2018). There is now a practical use for AI among medical practitioners. Because of this, the elderly care sector has undergone a sea change. </w:t>
      </w:r>
      <w:proofErr w:type="gramStart"/>
      <w:r w:rsidRPr="005F6BD6">
        <w:rPr>
          <w:rFonts w:ascii="Arial" w:hAnsi="Arial" w:cs="Arial"/>
          <w:sz w:val="24"/>
          <w:szCs w:val="24"/>
        </w:rPr>
        <w:t>These artificial intelligence (AI)</w:t>
      </w:r>
      <w:proofErr w:type="gramEnd"/>
      <w:r w:rsidRPr="005F6BD6">
        <w:rPr>
          <w:rFonts w:ascii="Arial" w:hAnsi="Arial" w:cs="Arial"/>
          <w:sz w:val="24"/>
          <w:szCs w:val="24"/>
        </w:rPr>
        <w:t xml:space="preserve"> enabled gadgets are becoming more popular, especially in health tracking, voice assistance, and identification. Voice-enabled devices are proliferating quickly, and more affluent individuals like them (</w:t>
      </w:r>
      <w:proofErr w:type="spellStart"/>
      <w:r w:rsidRPr="005F6BD6">
        <w:rPr>
          <w:rFonts w:ascii="Arial" w:hAnsi="Arial" w:cs="Arial"/>
          <w:sz w:val="24"/>
          <w:szCs w:val="24"/>
        </w:rPr>
        <w:t>Pilotto</w:t>
      </w:r>
      <w:proofErr w:type="spellEnd"/>
      <w:r w:rsidRPr="005F6BD6">
        <w:rPr>
          <w:rFonts w:ascii="Arial" w:hAnsi="Arial" w:cs="Arial"/>
          <w:sz w:val="24"/>
          <w:szCs w:val="24"/>
        </w:rPr>
        <w:t xml:space="preserve"> et al., 2018, p773). There is growing evidence that voice assistants may help older adults in various ways. In addition to timely medication reminders, patients easily access updated lifestyle data, social support, and essential health information. </w:t>
      </w:r>
    </w:p>
    <w:p w14:paraId="2FE1DBD6"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To fully realize the potential of AI in healthcare and eldercare, it will be necessary to combine several apps into a unified interface. Care for the elderly, including clinical therapy, will be aided by AI applications based on empathy (</w:t>
      </w:r>
      <w:proofErr w:type="spellStart"/>
      <w:r w:rsidRPr="005F6BD6">
        <w:rPr>
          <w:rFonts w:ascii="Arial" w:hAnsi="Arial" w:cs="Arial"/>
          <w:sz w:val="24"/>
          <w:szCs w:val="24"/>
        </w:rPr>
        <w:t>Ollevier</w:t>
      </w:r>
      <w:proofErr w:type="spellEnd"/>
      <w:r w:rsidRPr="005F6BD6">
        <w:rPr>
          <w:rFonts w:ascii="Arial" w:hAnsi="Arial" w:cs="Arial"/>
          <w:sz w:val="24"/>
          <w:szCs w:val="24"/>
        </w:rPr>
        <w:t xml:space="preserve"> et al., 2020, p8). There may be a compelling argument for AI in business. It will have a game-changing effect on health outcomes.</w:t>
      </w:r>
    </w:p>
    <w:p w14:paraId="06BB7CFC" w14:textId="77777777" w:rsidR="003E1C98" w:rsidRPr="003C4E0A" w:rsidRDefault="003E1C98" w:rsidP="005F6BD6">
      <w:pPr>
        <w:spacing w:line="360" w:lineRule="auto"/>
        <w:rPr>
          <w:rFonts w:ascii="Arial" w:hAnsi="Arial" w:cs="Arial"/>
          <w:b/>
          <w:bCs/>
          <w:sz w:val="24"/>
          <w:szCs w:val="24"/>
          <w:u w:val="single"/>
        </w:rPr>
      </w:pPr>
      <w:r w:rsidRPr="003C4E0A">
        <w:rPr>
          <w:rFonts w:ascii="Arial" w:hAnsi="Arial" w:cs="Arial"/>
          <w:b/>
          <w:bCs/>
          <w:sz w:val="24"/>
          <w:szCs w:val="24"/>
          <w:u w:val="single"/>
        </w:rPr>
        <w:t>Conclusion</w:t>
      </w:r>
    </w:p>
    <w:p w14:paraId="61B673A9" w14:textId="77777777"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The ageing population needs government attention to formulate health and social care policies. Under domestic and international law, it is the responsibility of the United Kingdom to protect the autonomy of older adults. This obligation can be fulfilled by ensuring that older adults in the country have access to high-quality medical care and social and recreational opportunities and that their personal and family information is kept private. The government of the United Kingdom can guarantee that senior citizens in the country get the assistance to which they are entitled by carrying out routine evaluations of social care assessments to verify their accuracy and ensure that they are not biased. In addition, the authorities are </w:t>
      </w:r>
      <w:r w:rsidRPr="005F6BD6">
        <w:rPr>
          <w:rFonts w:ascii="Arial" w:hAnsi="Arial" w:cs="Arial"/>
          <w:sz w:val="24"/>
          <w:szCs w:val="24"/>
        </w:rPr>
        <w:lastRenderedPageBreak/>
        <w:t xml:space="preserve">responsible for ensuring that individuals are not left without the support throughout the investigation and appeals procedures. </w:t>
      </w:r>
    </w:p>
    <w:p w14:paraId="129FC258" w14:textId="77777777" w:rsidR="003C4E0A" w:rsidRDefault="003C4E0A" w:rsidP="003C4E0A">
      <w:pPr>
        <w:rPr>
          <w:rFonts w:ascii="Arial" w:hAnsi="Arial" w:cs="Arial"/>
          <w:sz w:val="24"/>
          <w:szCs w:val="24"/>
        </w:rPr>
      </w:pPr>
    </w:p>
    <w:p w14:paraId="196B00E7" w14:textId="77777777" w:rsidR="003C4E0A" w:rsidRDefault="003C4E0A" w:rsidP="003C4E0A">
      <w:pPr>
        <w:rPr>
          <w:rFonts w:ascii="Arial" w:hAnsi="Arial" w:cs="Arial"/>
          <w:sz w:val="24"/>
          <w:szCs w:val="24"/>
        </w:rPr>
      </w:pPr>
    </w:p>
    <w:p w14:paraId="75106477" w14:textId="77777777" w:rsidR="003C4E0A" w:rsidRDefault="003C4E0A" w:rsidP="003C4E0A">
      <w:pPr>
        <w:rPr>
          <w:rFonts w:ascii="Arial" w:hAnsi="Arial" w:cs="Arial"/>
          <w:sz w:val="24"/>
          <w:szCs w:val="24"/>
        </w:rPr>
      </w:pPr>
    </w:p>
    <w:p w14:paraId="262335C9" w14:textId="77777777" w:rsidR="003C4E0A" w:rsidRDefault="003C4E0A" w:rsidP="003C4E0A">
      <w:pPr>
        <w:rPr>
          <w:rFonts w:ascii="Arial" w:hAnsi="Arial" w:cs="Arial"/>
          <w:sz w:val="24"/>
          <w:szCs w:val="24"/>
        </w:rPr>
      </w:pPr>
    </w:p>
    <w:p w14:paraId="4FB99FA5" w14:textId="77777777" w:rsidR="003C4E0A" w:rsidRDefault="003C4E0A" w:rsidP="003C4E0A">
      <w:pPr>
        <w:rPr>
          <w:rFonts w:ascii="Arial" w:hAnsi="Arial" w:cs="Arial"/>
          <w:sz w:val="24"/>
          <w:szCs w:val="24"/>
        </w:rPr>
      </w:pPr>
    </w:p>
    <w:p w14:paraId="4FE3A6E8" w14:textId="77777777" w:rsidR="003C4E0A" w:rsidRDefault="003C4E0A" w:rsidP="003C4E0A">
      <w:pPr>
        <w:rPr>
          <w:rFonts w:ascii="Arial" w:hAnsi="Arial" w:cs="Arial"/>
          <w:sz w:val="24"/>
          <w:szCs w:val="24"/>
        </w:rPr>
      </w:pPr>
    </w:p>
    <w:p w14:paraId="31009FBD" w14:textId="77777777" w:rsidR="003C4E0A" w:rsidRDefault="003C4E0A" w:rsidP="003C4E0A">
      <w:pPr>
        <w:rPr>
          <w:rFonts w:ascii="Arial" w:hAnsi="Arial" w:cs="Arial"/>
          <w:sz w:val="24"/>
          <w:szCs w:val="24"/>
        </w:rPr>
      </w:pPr>
    </w:p>
    <w:p w14:paraId="2354EC01" w14:textId="77777777" w:rsidR="003C4E0A" w:rsidRDefault="003C4E0A" w:rsidP="003C4E0A">
      <w:pPr>
        <w:rPr>
          <w:rFonts w:ascii="Arial" w:hAnsi="Arial" w:cs="Arial"/>
          <w:sz w:val="24"/>
          <w:szCs w:val="24"/>
        </w:rPr>
      </w:pPr>
    </w:p>
    <w:p w14:paraId="5E8381E9" w14:textId="77777777" w:rsidR="003C4E0A" w:rsidRDefault="003C4E0A" w:rsidP="003C4E0A">
      <w:pPr>
        <w:rPr>
          <w:rFonts w:ascii="Arial" w:hAnsi="Arial" w:cs="Arial"/>
          <w:sz w:val="24"/>
          <w:szCs w:val="24"/>
        </w:rPr>
      </w:pPr>
    </w:p>
    <w:p w14:paraId="1D4E20E0" w14:textId="77777777" w:rsidR="003C4E0A" w:rsidRDefault="003C4E0A" w:rsidP="003C4E0A">
      <w:pPr>
        <w:rPr>
          <w:rFonts w:ascii="Arial" w:hAnsi="Arial" w:cs="Arial"/>
          <w:sz w:val="24"/>
          <w:szCs w:val="24"/>
        </w:rPr>
      </w:pPr>
    </w:p>
    <w:p w14:paraId="6CA3277B" w14:textId="77777777" w:rsidR="003C4E0A" w:rsidRDefault="003C4E0A" w:rsidP="003C4E0A">
      <w:pPr>
        <w:rPr>
          <w:rFonts w:ascii="Arial" w:hAnsi="Arial" w:cs="Arial"/>
          <w:sz w:val="24"/>
          <w:szCs w:val="24"/>
        </w:rPr>
      </w:pPr>
    </w:p>
    <w:p w14:paraId="769944D1" w14:textId="77777777" w:rsidR="003C4E0A" w:rsidRDefault="003C4E0A" w:rsidP="003C4E0A">
      <w:pPr>
        <w:rPr>
          <w:rFonts w:ascii="Arial" w:hAnsi="Arial" w:cs="Arial"/>
          <w:sz w:val="24"/>
          <w:szCs w:val="24"/>
        </w:rPr>
      </w:pPr>
    </w:p>
    <w:p w14:paraId="0CA8F6C8" w14:textId="77777777" w:rsidR="003C4E0A" w:rsidRDefault="003C4E0A" w:rsidP="003C4E0A">
      <w:pPr>
        <w:rPr>
          <w:rFonts w:ascii="Arial" w:hAnsi="Arial" w:cs="Arial"/>
          <w:sz w:val="24"/>
          <w:szCs w:val="24"/>
        </w:rPr>
      </w:pPr>
    </w:p>
    <w:p w14:paraId="065917ED" w14:textId="77777777" w:rsidR="003C4E0A" w:rsidRDefault="003C4E0A" w:rsidP="003C4E0A">
      <w:pPr>
        <w:rPr>
          <w:rFonts w:ascii="Arial" w:hAnsi="Arial" w:cs="Arial"/>
          <w:sz w:val="24"/>
          <w:szCs w:val="24"/>
        </w:rPr>
      </w:pPr>
    </w:p>
    <w:p w14:paraId="0E012B9D" w14:textId="77777777" w:rsidR="003C4E0A" w:rsidRDefault="003C4E0A" w:rsidP="003C4E0A">
      <w:pPr>
        <w:rPr>
          <w:rFonts w:ascii="Arial" w:hAnsi="Arial" w:cs="Arial"/>
          <w:sz w:val="24"/>
          <w:szCs w:val="24"/>
        </w:rPr>
      </w:pPr>
    </w:p>
    <w:p w14:paraId="49024317" w14:textId="77777777" w:rsidR="003C4E0A" w:rsidRDefault="003C4E0A" w:rsidP="003C4E0A">
      <w:pPr>
        <w:rPr>
          <w:rFonts w:ascii="Arial" w:hAnsi="Arial" w:cs="Arial"/>
          <w:sz w:val="24"/>
          <w:szCs w:val="24"/>
        </w:rPr>
      </w:pPr>
    </w:p>
    <w:p w14:paraId="54BF5B45" w14:textId="77777777" w:rsidR="003C4E0A" w:rsidRDefault="003C4E0A" w:rsidP="003C4E0A">
      <w:pPr>
        <w:rPr>
          <w:rFonts w:ascii="Arial" w:hAnsi="Arial" w:cs="Arial"/>
          <w:sz w:val="24"/>
          <w:szCs w:val="24"/>
        </w:rPr>
      </w:pPr>
    </w:p>
    <w:p w14:paraId="18EFFB8B" w14:textId="77777777" w:rsidR="003C4E0A" w:rsidRDefault="003C4E0A" w:rsidP="003C4E0A">
      <w:pPr>
        <w:rPr>
          <w:rFonts w:ascii="Arial" w:hAnsi="Arial" w:cs="Arial"/>
          <w:sz w:val="24"/>
          <w:szCs w:val="24"/>
        </w:rPr>
      </w:pPr>
    </w:p>
    <w:p w14:paraId="76EE7713" w14:textId="77777777" w:rsidR="003C4E0A" w:rsidRDefault="003C4E0A" w:rsidP="003C4E0A">
      <w:pPr>
        <w:rPr>
          <w:rFonts w:ascii="Arial" w:hAnsi="Arial" w:cs="Arial"/>
          <w:sz w:val="24"/>
          <w:szCs w:val="24"/>
        </w:rPr>
      </w:pPr>
    </w:p>
    <w:p w14:paraId="7F1144BA" w14:textId="77777777" w:rsidR="003C4E0A" w:rsidRDefault="003C4E0A" w:rsidP="003C4E0A">
      <w:pPr>
        <w:rPr>
          <w:rFonts w:ascii="Arial" w:hAnsi="Arial" w:cs="Arial"/>
          <w:sz w:val="24"/>
          <w:szCs w:val="24"/>
        </w:rPr>
      </w:pPr>
    </w:p>
    <w:p w14:paraId="4C1BEB04" w14:textId="77777777" w:rsidR="003C4E0A" w:rsidRDefault="003C4E0A" w:rsidP="003C4E0A">
      <w:pPr>
        <w:rPr>
          <w:rFonts w:ascii="Arial" w:hAnsi="Arial" w:cs="Arial"/>
          <w:sz w:val="24"/>
          <w:szCs w:val="24"/>
        </w:rPr>
      </w:pPr>
    </w:p>
    <w:p w14:paraId="2151FA9A" w14:textId="77777777" w:rsidR="003C4E0A" w:rsidRDefault="003C4E0A" w:rsidP="003C4E0A">
      <w:pPr>
        <w:rPr>
          <w:rFonts w:ascii="Arial" w:hAnsi="Arial" w:cs="Arial"/>
          <w:sz w:val="24"/>
          <w:szCs w:val="24"/>
        </w:rPr>
      </w:pPr>
    </w:p>
    <w:p w14:paraId="7DCBDC6D" w14:textId="77777777" w:rsidR="003C4E0A" w:rsidRDefault="003C4E0A" w:rsidP="003C4E0A">
      <w:pPr>
        <w:rPr>
          <w:rFonts w:ascii="Arial" w:hAnsi="Arial" w:cs="Arial"/>
          <w:sz w:val="24"/>
          <w:szCs w:val="24"/>
        </w:rPr>
      </w:pPr>
    </w:p>
    <w:p w14:paraId="38ED52CE" w14:textId="77777777" w:rsidR="003C4E0A" w:rsidRDefault="003C4E0A" w:rsidP="003C4E0A">
      <w:pPr>
        <w:rPr>
          <w:rFonts w:ascii="Arial" w:hAnsi="Arial" w:cs="Arial"/>
          <w:sz w:val="24"/>
          <w:szCs w:val="24"/>
        </w:rPr>
      </w:pPr>
    </w:p>
    <w:p w14:paraId="0CB69E58" w14:textId="77777777" w:rsidR="003C4E0A" w:rsidRDefault="003C4E0A" w:rsidP="003C4E0A">
      <w:pPr>
        <w:rPr>
          <w:rFonts w:ascii="Arial" w:hAnsi="Arial" w:cs="Arial"/>
          <w:sz w:val="24"/>
          <w:szCs w:val="24"/>
        </w:rPr>
      </w:pPr>
    </w:p>
    <w:p w14:paraId="7A39D7DA" w14:textId="77777777" w:rsidR="003C4E0A" w:rsidRDefault="003C4E0A" w:rsidP="003C4E0A">
      <w:pPr>
        <w:rPr>
          <w:rFonts w:ascii="Arial" w:hAnsi="Arial" w:cs="Arial"/>
          <w:sz w:val="24"/>
          <w:szCs w:val="24"/>
        </w:rPr>
      </w:pPr>
    </w:p>
    <w:p w14:paraId="54DE3886" w14:textId="77777777" w:rsidR="003C4E0A" w:rsidRDefault="003C4E0A" w:rsidP="003C4E0A">
      <w:pPr>
        <w:rPr>
          <w:rFonts w:ascii="Arial" w:hAnsi="Arial" w:cs="Arial"/>
          <w:sz w:val="24"/>
          <w:szCs w:val="24"/>
        </w:rPr>
      </w:pPr>
    </w:p>
    <w:p w14:paraId="553FB6D7" w14:textId="77777777" w:rsidR="003C4E0A" w:rsidRDefault="003C4E0A" w:rsidP="003C4E0A">
      <w:pPr>
        <w:rPr>
          <w:rFonts w:ascii="Arial" w:hAnsi="Arial" w:cs="Arial"/>
          <w:sz w:val="24"/>
          <w:szCs w:val="24"/>
        </w:rPr>
      </w:pPr>
    </w:p>
    <w:p w14:paraId="6C1B785C" w14:textId="77777777" w:rsidR="003C4E0A" w:rsidRDefault="003C4E0A" w:rsidP="003C4E0A">
      <w:pPr>
        <w:rPr>
          <w:rFonts w:ascii="Arial" w:hAnsi="Arial" w:cs="Arial"/>
          <w:sz w:val="24"/>
          <w:szCs w:val="24"/>
        </w:rPr>
      </w:pPr>
    </w:p>
    <w:p w14:paraId="46261034" w14:textId="085626CF" w:rsidR="003E1C98" w:rsidRPr="003C4E0A" w:rsidRDefault="003E1C98" w:rsidP="003C4E0A">
      <w:pPr>
        <w:rPr>
          <w:rFonts w:ascii="Arial" w:hAnsi="Arial" w:cs="Arial"/>
          <w:b/>
          <w:bCs/>
          <w:sz w:val="24"/>
          <w:szCs w:val="24"/>
          <w:u w:val="single"/>
        </w:rPr>
      </w:pPr>
      <w:r w:rsidRPr="003C4E0A">
        <w:rPr>
          <w:rFonts w:ascii="Arial" w:hAnsi="Arial" w:cs="Arial"/>
          <w:b/>
          <w:bCs/>
          <w:sz w:val="24"/>
          <w:szCs w:val="24"/>
          <w:u w:val="single"/>
        </w:rPr>
        <w:t>References</w:t>
      </w:r>
    </w:p>
    <w:p w14:paraId="3D486598" w14:textId="61C8B9F8"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Abdi, S., Spann, A., </w:t>
      </w:r>
      <w:proofErr w:type="spellStart"/>
      <w:r w:rsidRPr="005F6BD6">
        <w:rPr>
          <w:rFonts w:ascii="Arial" w:hAnsi="Arial" w:cs="Arial"/>
          <w:sz w:val="24"/>
          <w:szCs w:val="24"/>
        </w:rPr>
        <w:t>Borilovic</w:t>
      </w:r>
      <w:proofErr w:type="spellEnd"/>
      <w:r w:rsidRPr="005F6BD6">
        <w:rPr>
          <w:rFonts w:ascii="Arial" w:hAnsi="Arial" w:cs="Arial"/>
          <w:sz w:val="24"/>
          <w:szCs w:val="24"/>
        </w:rPr>
        <w:t>, J., de Witte, L., &amp; Hawley, M. (2019) Understanding older people's care and support needs: a scoping review and categorization using the WHO international classification of functioning, disability, and health framework (ICF). BMC geriatrics, 19(1), 195</w:t>
      </w:r>
      <w:r w:rsidR="005A6A8A">
        <w:rPr>
          <w:rFonts w:ascii="Arial" w:hAnsi="Arial" w:cs="Arial"/>
          <w:sz w:val="24"/>
          <w:szCs w:val="24"/>
        </w:rPr>
        <w:t xml:space="preserve"> </w:t>
      </w:r>
      <w:r w:rsidR="005A6A8A">
        <w:rPr>
          <w:rFonts w:ascii="Arial" w:hAnsi="Arial" w:cs="Arial"/>
          <w:sz w:val="24"/>
          <w:szCs w:val="24"/>
        </w:rPr>
        <w:t xml:space="preserve">Available: </w:t>
      </w:r>
      <w:r w:rsidRPr="005F6BD6">
        <w:rPr>
          <w:rFonts w:ascii="Arial" w:hAnsi="Arial" w:cs="Arial"/>
          <w:sz w:val="24"/>
          <w:szCs w:val="24"/>
        </w:rPr>
        <w:t>https://doi.org/10.1186/s12877-019-1189-9</w:t>
      </w:r>
      <w:r w:rsidR="003C4E0A">
        <w:rPr>
          <w:rFonts w:ascii="Arial" w:hAnsi="Arial" w:cs="Arial"/>
          <w:sz w:val="24"/>
          <w:szCs w:val="24"/>
        </w:rPr>
        <w:t>.</w:t>
      </w:r>
      <w:r w:rsidR="003C4E0A" w:rsidRPr="003C4E0A">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D6E55BB" w14:textId="701FBC9E"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Adhikari, S., Clemens, M., Dempster, H. and </w:t>
      </w:r>
      <w:proofErr w:type="spellStart"/>
      <w:r w:rsidRPr="005F6BD6">
        <w:rPr>
          <w:rFonts w:ascii="Arial" w:hAnsi="Arial" w:cs="Arial"/>
          <w:sz w:val="24"/>
          <w:szCs w:val="24"/>
        </w:rPr>
        <w:t>Ekeator</w:t>
      </w:r>
      <w:proofErr w:type="spellEnd"/>
      <w:r w:rsidRPr="005F6BD6">
        <w:rPr>
          <w:rFonts w:ascii="Arial" w:hAnsi="Arial" w:cs="Arial"/>
          <w:sz w:val="24"/>
          <w:szCs w:val="24"/>
        </w:rPr>
        <w:t xml:space="preserve">, N.L. </w:t>
      </w:r>
      <w:r w:rsidR="003C4E0A">
        <w:rPr>
          <w:rFonts w:ascii="Arial" w:hAnsi="Arial" w:cs="Arial"/>
          <w:sz w:val="24"/>
          <w:szCs w:val="24"/>
        </w:rPr>
        <w:t>(</w:t>
      </w:r>
      <w:r w:rsidRPr="005F6BD6">
        <w:rPr>
          <w:rFonts w:ascii="Arial" w:hAnsi="Arial" w:cs="Arial"/>
          <w:sz w:val="24"/>
          <w:szCs w:val="24"/>
        </w:rPr>
        <w:t>2021</w:t>
      </w:r>
      <w:r w:rsidR="003C4E0A">
        <w:rPr>
          <w:rFonts w:ascii="Arial" w:hAnsi="Arial" w:cs="Arial"/>
          <w:sz w:val="24"/>
          <w:szCs w:val="24"/>
        </w:rPr>
        <w:t>)</w:t>
      </w:r>
      <w:r w:rsidRPr="005F6BD6">
        <w:rPr>
          <w:rFonts w:ascii="Arial" w:hAnsi="Arial" w:cs="Arial"/>
          <w:sz w:val="24"/>
          <w:szCs w:val="24"/>
        </w:rPr>
        <w:t xml:space="preserve"> </w:t>
      </w:r>
      <w:r w:rsidR="003C4E0A">
        <w:rPr>
          <w:rFonts w:ascii="Arial" w:hAnsi="Arial" w:cs="Arial"/>
          <w:sz w:val="24"/>
          <w:szCs w:val="24"/>
        </w:rPr>
        <w:t>‘</w:t>
      </w:r>
      <w:r w:rsidRPr="005F6BD6">
        <w:rPr>
          <w:rFonts w:ascii="Arial" w:hAnsi="Arial" w:cs="Arial"/>
          <w:sz w:val="24"/>
          <w:szCs w:val="24"/>
        </w:rPr>
        <w:t>A Global Skill Partnership in Nursing between Nigeria and the UK</w:t>
      </w:r>
      <w:r w:rsidR="003C4E0A">
        <w:rPr>
          <w:rFonts w:ascii="Arial" w:hAnsi="Arial" w:cs="Arial"/>
          <w:sz w:val="24"/>
          <w:szCs w:val="24"/>
        </w:rPr>
        <w:t>’</w:t>
      </w:r>
      <w:r w:rsidR="005A6A8A">
        <w:rPr>
          <w:rFonts w:ascii="Arial" w:hAnsi="Arial" w:cs="Arial"/>
          <w:sz w:val="24"/>
          <w:szCs w:val="24"/>
        </w:rPr>
        <w:t xml:space="preserve"> </w:t>
      </w:r>
      <w:r w:rsidR="003C4E0A">
        <w:rPr>
          <w:rFonts w:ascii="Arial" w:hAnsi="Arial" w:cs="Arial"/>
          <w:sz w:val="24"/>
          <w:szCs w:val="24"/>
        </w:rPr>
        <w:t xml:space="preserve">Available: </w:t>
      </w:r>
      <w:r w:rsidRPr="005F6BD6">
        <w:rPr>
          <w:rFonts w:ascii="Arial" w:hAnsi="Arial" w:cs="Arial"/>
          <w:sz w:val="24"/>
          <w:szCs w:val="24"/>
        </w:rPr>
        <w:t>https://cgdev.org/sites/default/files/Global-Skill-Partnership-Nursing-Nigeria-UK.pdf</w:t>
      </w:r>
      <w:r w:rsidR="005A6A8A">
        <w:rPr>
          <w:rFonts w:ascii="Arial" w:hAnsi="Arial" w:cs="Arial"/>
          <w:sz w:val="24"/>
          <w:szCs w:val="24"/>
        </w:rPr>
        <w:t>.</w:t>
      </w:r>
      <w:r w:rsidRPr="005F6BD6">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2CDBB4C9" w14:textId="14D4A08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Cassell A, Edwards D, </w:t>
      </w:r>
      <w:proofErr w:type="spellStart"/>
      <w:r w:rsidRPr="005F6BD6">
        <w:rPr>
          <w:rFonts w:ascii="Arial" w:hAnsi="Arial" w:cs="Arial"/>
          <w:sz w:val="24"/>
          <w:szCs w:val="24"/>
        </w:rPr>
        <w:t>Harshfield</w:t>
      </w:r>
      <w:proofErr w:type="spellEnd"/>
      <w:r w:rsidRPr="005F6BD6">
        <w:rPr>
          <w:rFonts w:ascii="Arial" w:hAnsi="Arial" w:cs="Arial"/>
          <w:sz w:val="24"/>
          <w:szCs w:val="24"/>
        </w:rPr>
        <w:t xml:space="preserve"> A, Rhodes K, </w:t>
      </w:r>
      <w:proofErr w:type="spellStart"/>
      <w:r w:rsidRPr="005F6BD6">
        <w:rPr>
          <w:rFonts w:ascii="Arial" w:hAnsi="Arial" w:cs="Arial"/>
          <w:sz w:val="24"/>
          <w:szCs w:val="24"/>
        </w:rPr>
        <w:t>Brimicombe</w:t>
      </w:r>
      <w:proofErr w:type="spellEnd"/>
      <w:r w:rsidRPr="005F6BD6">
        <w:rPr>
          <w:rFonts w:ascii="Arial" w:hAnsi="Arial" w:cs="Arial"/>
          <w:sz w:val="24"/>
          <w:szCs w:val="24"/>
        </w:rPr>
        <w:t xml:space="preserve"> J, Payne R, Griffin S. </w:t>
      </w:r>
      <w:r w:rsidR="003C4E0A">
        <w:rPr>
          <w:rFonts w:ascii="Arial" w:hAnsi="Arial" w:cs="Arial"/>
          <w:sz w:val="24"/>
          <w:szCs w:val="24"/>
        </w:rPr>
        <w:t>(</w:t>
      </w:r>
      <w:r w:rsidRPr="005F6BD6">
        <w:rPr>
          <w:rFonts w:ascii="Arial" w:hAnsi="Arial" w:cs="Arial"/>
          <w:sz w:val="24"/>
          <w:szCs w:val="24"/>
        </w:rPr>
        <w:t>2018</w:t>
      </w:r>
      <w:r w:rsidR="003C4E0A">
        <w:rPr>
          <w:rFonts w:ascii="Arial" w:hAnsi="Arial" w:cs="Arial"/>
          <w:sz w:val="24"/>
          <w:szCs w:val="24"/>
        </w:rPr>
        <w:t>) ‘</w:t>
      </w:r>
      <w:r w:rsidRPr="005F6BD6">
        <w:rPr>
          <w:rFonts w:ascii="Arial" w:hAnsi="Arial" w:cs="Arial"/>
          <w:sz w:val="24"/>
          <w:szCs w:val="24"/>
        </w:rPr>
        <w:t>The epidemiology of multimorbidity in primary care: a retrospective cohort study</w:t>
      </w:r>
      <w:r w:rsidR="003C4E0A">
        <w:rPr>
          <w:rFonts w:ascii="Arial" w:hAnsi="Arial" w:cs="Arial"/>
          <w:sz w:val="24"/>
          <w:szCs w:val="24"/>
        </w:rPr>
        <w:t>’</w:t>
      </w:r>
      <w:r w:rsidRPr="005F6BD6">
        <w:rPr>
          <w:rFonts w:ascii="Arial" w:hAnsi="Arial" w:cs="Arial"/>
          <w:sz w:val="24"/>
          <w:szCs w:val="24"/>
        </w:rPr>
        <w:t xml:space="preserve">. </w:t>
      </w:r>
      <w:r w:rsidRPr="003C4E0A">
        <w:rPr>
          <w:rFonts w:ascii="Arial" w:hAnsi="Arial" w:cs="Arial"/>
          <w:i/>
          <w:iCs/>
          <w:sz w:val="24"/>
          <w:szCs w:val="24"/>
        </w:rPr>
        <w:t>British Journal of General Practice</w:t>
      </w:r>
      <w:r w:rsidRPr="005F6BD6">
        <w:rPr>
          <w:rFonts w:ascii="Arial" w:hAnsi="Arial" w:cs="Arial"/>
          <w:sz w:val="24"/>
          <w:szCs w:val="24"/>
        </w:rPr>
        <w:t>.</w:t>
      </w:r>
      <w:r w:rsidR="003C4E0A">
        <w:rPr>
          <w:rFonts w:ascii="Arial" w:hAnsi="Arial" w:cs="Arial"/>
          <w:sz w:val="24"/>
          <w:szCs w:val="24"/>
        </w:rPr>
        <w:t xml:space="preserve"> </w:t>
      </w:r>
      <w:r w:rsidRPr="005F6BD6">
        <w:rPr>
          <w:rFonts w:ascii="Arial" w:hAnsi="Arial" w:cs="Arial"/>
          <w:sz w:val="24"/>
          <w:szCs w:val="24"/>
        </w:rPr>
        <w:t xml:space="preserve">6(669): </w:t>
      </w:r>
      <w:r w:rsidR="003C4E0A">
        <w:rPr>
          <w:rFonts w:ascii="Arial" w:hAnsi="Arial" w:cs="Arial"/>
          <w:sz w:val="24"/>
          <w:szCs w:val="24"/>
        </w:rPr>
        <w:t>pp.</w:t>
      </w:r>
      <w:r w:rsidRPr="005F6BD6">
        <w:rPr>
          <w:rFonts w:ascii="Arial" w:hAnsi="Arial" w:cs="Arial"/>
          <w:sz w:val="24"/>
          <w:szCs w:val="24"/>
        </w:rPr>
        <w:t>245–251.</w:t>
      </w:r>
    </w:p>
    <w:p w14:paraId="03B3524C" w14:textId="6FA124C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Clough, R.</w:t>
      </w:r>
      <w:r w:rsidR="003C4E0A">
        <w:rPr>
          <w:rFonts w:ascii="Arial" w:hAnsi="Arial" w:cs="Arial"/>
          <w:sz w:val="24"/>
          <w:szCs w:val="24"/>
        </w:rPr>
        <w:t xml:space="preserve"> (</w:t>
      </w:r>
      <w:r w:rsidRPr="005F6BD6">
        <w:rPr>
          <w:rFonts w:ascii="Arial" w:hAnsi="Arial" w:cs="Arial"/>
          <w:sz w:val="24"/>
          <w:szCs w:val="24"/>
        </w:rPr>
        <w:t>2021</w:t>
      </w:r>
      <w:r w:rsidR="003C4E0A">
        <w:rPr>
          <w:rFonts w:ascii="Arial" w:hAnsi="Arial" w:cs="Arial"/>
          <w:sz w:val="24"/>
          <w:szCs w:val="24"/>
        </w:rPr>
        <w:t>)</w:t>
      </w:r>
      <w:r w:rsidRPr="005F6BD6">
        <w:rPr>
          <w:rFonts w:ascii="Arial" w:hAnsi="Arial" w:cs="Arial"/>
          <w:sz w:val="24"/>
          <w:szCs w:val="24"/>
        </w:rPr>
        <w:t xml:space="preserve"> </w:t>
      </w:r>
      <w:r w:rsidR="003C4E0A">
        <w:rPr>
          <w:rFonts w:ascii="Arial" w:hAnsi="Arial" w:cs="Arial"/>
          <w:sz w:val="24"/>
          <w:szCs w:val="24"/>
        </w:rPr>
        <w:t>‘</w:t>
      </w:r>
      <w:r w:rsidRPr="005F6BD6">
        <w:rPr>
          <w:rFonts w:ascii="Arial" w:hAnsi="Arial" w:cs="Arial"/>
          <w:sz w:val="24"/>
          <w:szCs w:val="24"/>
        </w:rPr>
        <w:t xml:space="preserve">Nursing </w:t>
      </w:r>
      <w:proofErr w:type="gramStart"/>
      <w:r w:rsidRPr="005F6BD6">
        <w:rPr>
          <w:rFonts w:ascii="Arial" w:hAnsi="Arial" w:cs="Arial"/>
          <w:sz w:val="24"/>
          <w:szCs w:val="24"/>
        </w:rPr>
        <w:t>homes</w:t>
      </w:r>
      <w:r w:rsidR="003C4E0A">
        <w:rPr>
          <w:rFonts w:ascii="Arial" w:hAnsi="Arial" w:cs="Arial"/>
          <w:sz w:val="24"/>
          <w:szCs w:val="24"/>
        </w:rPr>
        <w:t>’</w:t>
      </w:r>
      <w:proofErr w:type="gramEnd"/>
      <w:r w:rsidRPr="005F6BD6">
        <w:rPr>
          <w:rFonts w:ascii="Arial" w:hAnsi="Arial" w:cs="Arial"/>
          <w:sz w:val="24"/>
          <w:szCs w:val="24"/>
        </w:rPr>
        <w:t xml:space="preserve">. </w:t>
      </w:r>
      <w:r w:rsidRPr="003C4E0A">
        <w:rPr>
          <w:rFonts w:ascii="Arial" w:hAnsi="Arial" w:cs="Arial"/>
          <w:i/>
          <w:iCs/>
          <w:sz w:val="24"/>
          <w:szCs w:val="24"/>
        </w:rPr>
        <w:t>Routledge</w:t>
      </w:r>
      <w:r w:rsidRPr="005F6BD6">
        <w:rPr>
          <w:rFonts w:ascii="Arial" w:hAnsi="Arial" w:cs="Arial"/>
          <w:sz w:val="24"/>
          <w:szCs w:val="24"/>
        </w:rPr>
        <w:t xml:space="preserve"> </w:t>
      </w:r>
      <w:r w:rsidR="003C4E0A">
        <w:rPr>
          <w:rFonts w:ascii="Arial" w:hAnsi="Arial" w:cs="Arial"/>
          <w:sz w:val="24"/>
          <w:szCs w:val="24"/>
        </w:rPr>
        <w:t>Available:</w:t>
      </w:r>
      <w:r w:rsidR="005A6A8A">
        <w:rPr>
          <w:rFonts w:ascii="Arial" w:hAnsi="Arial" w:cs="Arial"/>
          <w:sz w:val="24"/>
          <w:szCs w:val="24"/>
        </w:rPr>
        <w:t xml:space="preserve"> </w:t>
      </w:r>
      <w:r w:rsidRPr="005F6BD6">
        <w:rPr>
          <w:rFonts w:ascii="Arial" w:hAnsi="Arial" w:cs="Arial"/>
          <w:sz w:val="24"/>
          <w:szCs w:val="24"/>
        </w:rPr>
        <w:t>https://doi.org/10.4324/9781003191421</w:t>
      </w:r>
      <w:r w:rsidR="005A6A8A">
        <w:rPr>
          <w:rFonts w:ascii="Arial" w:hAnsi="Arial" w:cs="Arial"/>
          <w:sz w:val="24"/>
          <w:szCs w:val="24"/>
        </w:rPr>
        <w:t>.</w:t>
      </w:r>
      <w:r w:rsidRPr="005F6BD6">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168E7D5" w14:textId="22ABB3FF"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Cotterell</w:t>
      </w:r>
      <w:proofErr w:type="spellEnd"/>
      <w:r w:rsidRPr="005F6BD6">
        <w:rPr>
          <w:rFonts w:ascii="Arial" w:hAnsi="Arial" w:cs="Arial"/>
          <w:sz w:val="24"/>
          <w:szCs w:val="24"/>
        </w:rPr>
        <w:t xml:space="preserve">, N., </w:t>
      </w:r>
      <w:proofErr w:type="spellStart"/>
      <w:r w:rsidRPr="005F6BD6">
        <w:rPr>
          <w:rFonts w:ascii="Arial" w:hAnsi="Arial" w:cs="Arial"/>
          <w:sz w:val="24"/>
          <w:szCs w:val="24"/>
        </w:rPr>
        <w:t>Buffel</w:t>
      </w:r>
      <w:proofErr w:type="spellEnd"/>
      <w:r w:rsidRPr="005F6BD6">
        <w:rPr>
          <w:rFonts w:ascii="Arial" w:hAnsi="Arial" w:cs="Arial"/>
          <w:sz w:val="24"/>
          <w:szCs w:val="24"/>
        </w:rPr>
        <w:t xml:space="preserve">, T. and Phillipson, C., </w:t>
      </w:r>
      <w:r w:rsidR="003C4E0A">
        <w:rPr>
          <w:rFonts w:ascii="Arial" w:hAnsi="Arial" w:cs="Arial"/>
          <w:sz w:val="24"/>
          <w:szCs w:val="24"/>
        </w:rPr>
        <w:t>(</w:t>
      </w:r>
      <w:r w:rsidRPr="005F6BD6">
        <w:rPr>
          <w:rFonts w:ascii="Arial" w:hAnsi="Arial" w:cs="Arial"/>
          <w:sz w:val="24"/>
          <w:szCs w:val="24"/>
        </w:rPr>
        <w:t>2018</w:t>
      </w:r>
      <w:r w:rsidR="003C4E0A">
        <w:rPr>
          <w:rFonts w:ascii="Arial" w:hAnsi="Arial" w:cs="Arial"/>
          <w:sz w:val="24"/>
          <w:szCs w:val="24"/>
        </w:rPr>
        <w:t>)</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Preventing social isolation in older people</w:t>
      </w:r>
      <w:r w:rsidR="005A6A8A">
        <w:rPr>
          <w:rFonts w:ascii="Arial" w:hAnsi="Arial" w:cs="Arial"/>
          <w:sz w:val="24"/>
          <w:szCs w:val="24"/>
        </w:rPr>
        <w:t>’</w:t>
      </w:r>
      <w:r w:rsidRPr="005F6BD6">
        <w:rPr>
          <w:rFonts w:ascii="Arial" w:hAnsi="Arial" w:cs="Arial"/>
          <w:sz w:val="24"/>
          <w:szCs w:val="24"/>
        </w:rPr>
        <w:t xml:space="preserve">. </w:t>
      </w:r>
      <w:r w:rsidRPr="003C4E0A">
        <w:rPr>
          <w:rFonts w:ascii="Arial" w:hAnsi="Arial" w:cs="Arial"/>
          <w:i/>
          <w:iCs/>
          <w:sz w:val="24"/>
          <w:szCs w:val="24"/>
        </w:rPr>
        <w:t>Maturitas,</w:t>
      </w:r>
      <w:r w:rsidR="003C4E0A">
        <w:rPr>
          <w:rFonts w:ascii="Arial" w:hAnsi="Arial" w:cs="Arial"/>
          <w:sz w:val="24"/>
          <w:szCs w:val="24"/>
        </w:rPr>
        <w:t>’</w:t>
      </w:r>
      <w:r w:rsidRPr="005F6BD6">
        <w:rPr>
          <w:rFonts w:ascii="Arial" w:hAnsi="Arial" w:cs="Arial"/>
          <w:sz w:val="24"/>
          <w:szCs w:val="24"/>
        </w:rPr>
        <w:t>113, pp.80-84.</w:t>
      </w:r>
      <w:r w:rsidR="005A6A8A">
        <w:rPr>
          <w:rFonts w:ascii="Arial" w:hAnsi="Arial" w:cs="Arial"/>
          <w:sz w:val="24"/>
          <w:szCs w:val="24"/>
        </w:rPr>
        <w:t xml:space="preserve"> </w:t>
      </w:r>
      <w:r w:rsidR="005A6A8A">
        <w:rPr>
          <w:rFonts w:ascii="Arial" w:hAnsi="Arial" w:cs="Arial"/>
          <w:sz w:val="24"/>
          <w:szCs w:val="24"/>
        </w:rPr>
        <w:t>Available:</w:t>
      </w:r>
      <w:r w:rsidRPr="005F6BD6">
        <w:rPr>
          <w:rFonts w:ascii="Arial" w:hAnsi="Arial" w:cs="Arial"/>
          <w:sz w:val="24"/>
          <w:szCs w:val="24"/>
        </w:rPr>
        <w:t xml:space="preserve"> </w:t>
      </w:r>
      <w:hyperlink r:id="rId6" w:history="1">
        <w:r w:rsidR="005A6A8A" w:rsidRPr="00245DDD">
          <w:rPr>
            <w:rStyle w:val="Hyperlink"/>
            <w:rFonts w:ascii="Arial" w:hAnsi="Arial" w:cs="Arial"/>
            <w:sz w:val="24"/>
            <w:szCs w:val="24"/>
          </w:rPr>
          <w:t>https://doi.org/10.1016/j.maturitas.2018.04.014</w:t>
        </w:r>
      </w:hyperlink>
      <w:r w:rsidR="005A6A8A">
        <w:rPr>
          <w:rFonts w:ascii="Arial" w:hAnsi="Arial" w:cs="Arial"/>
          <w:sz w:val="24"/>
          <w:szCs w:val="24"/>
        </w:rPr>
        <w:t xml:space="preserve">. </w:t>
      </w:r>
      <w:r w:rsidR="005A6A8A">
        <w:rPr>
          <w:rFonts w:ascii="Arial" w:hAnsi="Arial" w:cs="Arial"/>
          <w:sz w:val="24"/>
          <w:szCs w:val="24"/>
        </w:rPr>
        <w:t>(Accessed: 16</w:t>
      </w:r>
      <w:r w:rsidR="005A6A8A" w:rsidRPr="003C4E0A">
        <w:rPr>
          <w:rFonts w:ascii="Arial" w:hAnsi="Arial" w:cs="Arial"/>
          <w:sz w:val="24"/>
          <w:szCs w:val="24"/>
          <w:vertAlign w:val="superscript"/>
        </w:rPr>
        <w:t>th</w:t>
      </w:r>
      <w:r w:rsidR="005A6A8A">
        <w:rPr>
          <w:rFonts w:ascii="Arial" w:hAnsi="Arial" w:cs="Arial"/>
          <w:sz w:val="24"/>
          <w:szCs w:val="24"/>
        </w:rPr>
        <w:t xml:space="preserve"> October 2022).</w:t>
      </w:r>
    </w:p>
    <w:p w14:paraId="00928F07" w14:textId="0F79B82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CQC</w:t>
      </w:r>
      <w:r w:rsidR="005A6A8A">
        <w:rPr>
          <w:rFonts w:ascii="Arial" w:hAnsi="Arial" w:cs="Arial"/>
          <w:sz w:val="24"/>
          <w:szCs w:val="24"/>
        </w:rPr>
        <w:t xml:space="preserve">, </w:t>
      </w:r>
      <w:r w:rsidR="005A6A8A">
        <w:rPr>
          <w:rFonts w:ascii="Arial" w:hAnsi="Arial" w:cs="Arial"/>
          <w:sz w:val="24"/>
          <w:szCs w:val="24"/>
        </w:rPr>
        <w:t>(</w:t>
      </w:r>
      <w:r w:rsidR="005A6A8A" w:rsidRPr="005F6BD6">
        <w:rPr>
          <w:rFonts w:ascii="Arial" w:hAnsi="Arial" w:cs="Arial"/>
          <w:sz w:val="24"/>
          <w:szCs w:val="24"/>
        </w:rPr>
        <w:t>2017</w:t>
      </w:r>
      <w:r w:rsidR="005A6A8A">
        <w:rPr>
          <w:rFonts w:ascii="Arial" w:hAnsi="Arial" w:cs="Arial"/>
          <w:sz w:val="24"/>
          <w:szCs w:val="24"/>
        </w:rPr>
        <w:t>)</w:t>
      </w:r>
      <w:r w:rsidR="005A6A8A" w:rsidRPr="005F6BD6">
        <w:rPr>
          <w:rFonts w:ascii="Arial" w:hAnsi="Arial" w:cs="Arial"/>
          <w:sz w:val="24"/>
          <w:szCs w:val="24"/>
        </w:rPr>
        <w:t xml:space="preserve"> </w:t>
      </w:r>
      <w:r w:rsidRPr="005A6A8A">
        <w:rPr>
          <w:rFonts w:ascii="Arial" w:hAnsi="Arial" w:cs="Arial"/>
          <w:i/>
          <w:iCs/>
          <w:sz w:val="24"/>
          <w:szCs w:val="24"/>
        </w:rPr>
        <w:t>The state of health care and adult social care in England</w:t>
      </w:r>
      <w:r w:rsidR="005A6A8A">
        <w:rPr>
          <w:rFonts w:ascii="Arial" w:hAnsi="Arial" w:cs="Arial"/>
          <w:i/>
          <w:iCs/>
          <w:sz w:val="24"/>
          <w:szCs w:val="24"/>
        </w:rPr>
        <w:t xml:space="preserve"> </w:t>
      </w:r>
      <w:r w:rsidR="005A6A8A">
        <w:rPr>
          <w:rFonts w:ascii="Arial" w:hAnsi="Arial" w:cs="Arial"/>
          <w:sz w:val="24"/>
          <w:szCs w:val="24"/>
        </w:rPr>
        <w:t>Available:</w:t>
      </w:r>
      <w:r w:rsidR="005A6A8A" w:rsidRPr="005F6BD6">
        <w:rPr>
          <w:rFonts w:ascii="Arial" w:hAnsi="Arial" w:cs="Arial"/>
          <w:sz w:val="24"/>
          <w:szCs w:val="24"/>
        </w:rPr>
        <w:t xml:space="preserve"> </w:t>
      </w:r>
      <w:r w:rsidRPr="005A6A8A">
        <w:rPr>
          <w:rFonts w:ascii="Arial" w:hAnsi="Arial" w:cs="Arial"/>
          <w:i/>
          <w:iCs/>
          <w:sz w:val="24"/>
          <w:szCs w:val="24"/>
        </w:rPr>
        <w:t xml:space="preserve"> </w:t>
      </w:r>
      <w:hyperlink r:id="rId7" w:history="1">
        <w:r w:rsidR="005A6A8A" w:rsidRPr="00245DDD">
          <w:rPr>
            <w:rStyle w:val="Hyperlink"/>
            <w:rFonts w:ascii="Arial" w:hAnsi="Arial" w:cs="Arial"/>
            <w:sz w:val="24"/>
            <w:szCs w:val="24"/>
          </w:rPr>
          <w:t>https://www.bgs.org.uk/resources/the-state-of-health-care-and-adult-social-care-in-england-201718</w:t>
        </w:r>
      </w:hyperlink>
      <w:r w:rsidR="005A6A8A">
        <w:rPr>
          <w:rFonts w:ascii="Arial" w:hAnsi="Arial" w:cs="Arial"/>
          <w:sz w:val="24"/>
          <w:szCs w:val="24"/>
        </w:rPr>
        <w:t>.</w:t>
      </w:r>
      <w:r w:rsidR="000A5C73" w:rsidRPr="000A5C73">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1185BF4F" w14:textId="1CBE2538"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Cylus</w:t>
      </w:r>
      <w:proofErr w:type="spellEnd"/>
      <w:r w:rsidRPr="005F6BD6">
        <w:rPr>
          <w:rFonts w:ascii="Arial" w:hAnsi="Arial" w:cs="Arial"/>
          <w:sz w:val="24"/>
          <w:szCs w:val="24"/>
        </w:rPr>
        <w:t xml:space="preserve">, J., Williams, G., Normand, C., &amp; </w:t>
      </w:r>
      <w:proofErr w:type="spellStart"/>
      <w:r w:rsidRPr="005F6BD6">
        <w:rPr>
          <w:rFonts w:ascii="Arial" w:hAnsi="Arial" w:cs="Arial"/>
          <w:sz w:val="24"/>
          <w:szCs w:val="24"/>
        </w:rPr>
        <w:t>Figueras</w:t>
      </w:r>
      <w:proofErr w:type="spellEnd"/>
      <w:r w:rsidRPr="005F6BD6">
        <w:rPr>
          <w:rFonts w:ascii="Arial" w:hAnsi="Arial" w:cs="Arial"/>
          <w:sz w:val="24"/>
          <w:szCs w:val="24"/>
        </w:rPr>
        <w:t>, J</w:t>
      </w:r>
      <w:r w:rsidR="005A6A8A">
        <w:rPr>
          <w:rFonts w:ascii="Arial" w:hAnsi="Arial" w:cs="Arial"/>
          <w:sz w:val="24"/>
          <w:szCs w:val="24"/>
        </w:rPr>
        <w:t>,</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2020</w:t>
      </w:r>
      <w:r w:rsidR="005A6A8A">
        <w:rPr>
          <w:rFonts w:ascii="Arial" w:hAnsi="Arial" w:cs="Arial"/>
          <w:sz w:val="24"/>
          <w:szCs w:val="24"/>
        </w:rPr>
        <w:t>)</w:t>
      </w:r>
      <w:r w:rsidRPr="005F6BD6">
        <w:rPr>
          <w:rFonts w:ascii="Arial" w:hAnsi="Arial" w:cs="Arial"/>
          <w:sz w:val="24"/>
          <w:szCs w:val="24"/>
        </w:rPr>
        <w:t xml:space="preserve"> Economic, fiscal, and societal consequences of population ageing - looming catastrophe or fake </w:t>
      </w:r>
      <w:proofErr w:type="gramStart"/>
      <w:r w:rsidRPr="005F6BD6">
        <w:rPr>
          <w:rFonts w:ascii="Arial" w:hAnsi="Arial" w:cs="Arial"/>
          <w:sz w:val="24"/>
          <w:szCs w:val="24"/>
        </w:rPr>
        <w:t>news?.</w:t>
      </w:r>
      <w:proofErr w:type="gramEnd"/>
      <w:r w:rsidRPr="005F6BD6">
        <w:rPr>
          <w:rFonts w:ascii="Arial" w:hAnsi="Arial" w:cs="Arial"/>
          <w:sz w:val="24"/>
          <w:szCs w:val="24"/>
        </w:rPr>
        <w:t xml:space="preserve"> Croatian medical journal, 61(2), 189–192</w:t>
      </w:r>
      <w:r w:rsidR="005A6A8A">
        <w:rPr>
          <w:rFonts w:ascii="Arial" w:hAnsi="Arial" w:cs="Arial"/>
          <w:sz w:val="24"/>
          <w:szCs w:val="24"/>
        </w:rPr>
        <w:t xml:space="preserve"> </w:t>
      </w:r>
      <w:r w:rsidR="005A6A8A">
        <w:rPr>
          <w:rFonts w:ascii="Arial" w:hAnsi="Arial" w:cs="Arial"/>
          <w:sz w:val="24"/>
          <w:szCs w:val="24"/>
        </w:rPr>
        <w:t xml:space="preserve">Available: </w:t>
      </w:r>
      <w:hyperlink r:id="rId8" w:history="1">
        <w:r w:rsidR="005A6A8A" w:rsidRPr="00245DDD">
          <w:rPr>
            <w:rStyle w:val="Hyperlink"/>
            <w:rFonts w:ascii="Arial" w:hAnsi="Arial" w:cs="Arial"/>
            <w:sz w:val="24"/>
            <w:szCs w:val="24"/>
          </w:rPr>
          <w:t>https://doi.org/10.3325/cmj.2020.61.189</w:t>
        </w:r>
      </w:hyperlink>
      <w:r w:rsidR="005A6A8A">
        <w:rPr>
          <w:rFonts w:ascii="Arial" w:hAnsi="Arial" w:cs="Arial"/>
          <w:sz w:val="24"/>
          <w:szCs w:val="24"/>
        </w:rPr>
        <w:t xml:space="preserve">. </w:t>
      </w:r>
      <w:r w:rsidR="000A5C73" w:rsidRPr="005F6BD6">
        <w:rPr>
          <w:rFonts w:ascii="Arial" w:hAnsi="Arial" w:cs="Arial"/>
          <w:sz w:val="24"/>
          <w:szCs w:val="24"/>
        </w:rPr>
        <w:t>Accessed: October 12</w:t>
      </w:r>
      <w:r w:rsidR="000A5C73">
        <w:rPr>
          <w:rFonts w:ascii="Arial" w:hAnsi="Arial" w:cs="Arial"/>
          <w:sz w:val="24"/>
          <w:szCs w:val="24"/>
        </w:rPr>
        <w:t>th</w:t>
      </w:r>
      <w:proofErr w:type="gramStart"/>
      <w:r w:rsidR="000A5C73" w:rsidRPr="005F6BD6">
        <w:rPr>
          <w:rFonts w:ascii="Arial" w:hAnsi="Arial" w:cs="Arial"/>
          <w:sz w:val="24"/>
          <w:szCs w:val="24"/>
        </w:rPr>
        <w:t xml:space="preserve"> 2022</w:t>
      </w:r>
      <w:proofErr w:type="gramEnd"/>
      <w:r w:rsidR="000A5C73" w:rsidRPr="005F6BD6">
        <w:rPr>
          <w:rFonts w:ascii="Arial" w:hAnsi="Arial" w:cs="Arial"/>
          <w:sz w:val="24"/>
          <w:szCs w:val="24"/>
        </w:rPr>
        <w:t>).</w:t>
      </w:r>
    </w:p>
    <w:p w14:paraId="53090347" w14:textId="6B774FE2"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Davenport, A., Farquharson, C., Rasul, I., </w:t>
      </w:r>
      <w:proofErr w:type="spellStart"/>
      <w:r w:rsidRPr="005F6BD6">
        <w:rPr>
          <w:rFonts w:ascii="Arial" w:hAnsi="Arial" w:cs="Arial"/>
          <w:sz w:val="24"/>
          <w:szCs w:val="24"/>
        </w:rPr>
        <w:t>Sibieta</w:t>
      </w:r>
      <w:proofErr w:type="spellEnd"/>
      <w:r w:rsidRPr="005F6BD6">
        <w:rPr>
          <w:rFonts w:ascii="Arial" w:hAnsi="Arial" w:cs="Arial"/>
          <w:sz w:val="24"/>
          <w:szCs w:val="24"/>
        </w:rPr>
        <w:t xml:space="preserve">, L. and </w:t>
      </w:r>
      <w:proofErr w:type="spellStart"/>
      <w:r w:rsidRPr="005F6BD6">
        <w:rPr>
          <w:rFonts w:ascii="Arial" w:hAnsi="Arial" w:cs="Arial"/>
          <w:sz w:val="24"/>
          <w:szCs w:val="24"/>
        </w:rPr>
        <w:t>Stoye</w:t>
      </w:r>
      <w:proofErr w:type="spellEnd"/>
      <w:r w:rsidRPr="005F6BD6">
        <w:rPr>
          <w:rFonts w:ascii="Arial" w:hAnsi="Arial" w:cs="Arial"/>
          <w:sz w:val="24"/>
          <w:szCs w:val="24"/>
        </w:rPr>
        <w:t xml:space="preserve">, G., </w:t>
      </w:r>
      <w:r w:rsidR="005A6A8A">
        <w:rPr>
          <w:rFonts w:ascii="Arial" w:hAnsi="Arial" w:cs="Arial"/>
          <w:sz w:val="24"/>
          <w:szCs w:val="24"/>
        </w:rPr>
        <w:t>(</w:t>
      </w:r>
      <w:r w:rsidRPr="005F6BD6">
        <w:rPr>
          <w:rFonts w:ascii="Arial" w:hAnsi="Arial" w:cs="Arial"/>
          <w:sz w:val="24"/>
          <w:szCs w:val="24"/>
        </w:rPr>
        <w:t>202</w:t>
      </w:r>
      <w:r w:rsidR="005A6A8A">
        <w:rPr>
          <w:rFonts w:ascii="Arial" w:hAnsi="Arial" w:cs="Arial"/>
          <w:sz w:val="24"/>
          <w:szCs w:val="24"/>
        </w:rPr>
        <w:t>0)</w:t>
      </w:r>
      <w:r w:rsidRPr="005F6BD6">
        <w:rPr>
          <w:rFonts w:ascii="Arial" w:hAnsi="Arial" w:cs="Arial"/>
          <w:sz w:val="24"/>
          <w:szCs w:val="24"/>
        </w:rPr>
        <w:t xml:space="preserve"> </w:t>
      </w:r>
      <w:r w:rsidR="005A6A8A">
        <w:rPr>
          <w:rFonts w:ascii="Arial" w:hAnsi="Arial" w:cs="Arial"/>
          <w:sz w:val="24"/>
          <w:szCs w:val="24"/>
        </w:rPr>
        <w:t>‘</w:t>
      </w:r>
      <w:r w:rsidRPr="005F6BD6">
        <w:rPr>
          <w:rFonts w:ascii="Arial" w:hAnsi="Arial" w:cs="Arial"/>
          <w:sz w:val="24"/>
          <w:szCs w:val="24"/>
        </w:rPr>
        <w:t>The geography of the COVID-19 crisis in England</w:t>
      </w:r>
      <w:r w:rsidR="005A6A8A">
        <w:rPr>
          <w:rFonts w:ascii="Arial" w:hAnsi="Arial" w:cs="Arial"/>
          <w:sz w:val="24"/>
          <w:szCs w:val="24"/>
        </w:rPr>
        <w:t>’</w:t>
      </w:r>
      <w:r w:rsidRPr="005F6BD6">
        <w:rPr>
          <w:rFonts w:ascii="Arial" w:hAnsi="Arial" w:cs="Arial"/>
          <w:sz w:val="24"/>
          <w:szCs w:val="24"/>
        </w:rPr>
        <w:t xml:space="preserve">. </w:t>
      </w:r>
      <w:r w:rsidRPr="005A6A8A">
        <w:rPr>
          <w:rFonts w:ascii="Arial" w:hAnsi="Arial" w:cs="Arial"/>
          <w:i/>
          <w:iCs/>
          <w:sz w:val="24"/>
          <w:szCs w:val="24"/>
        </w:rPr>
        <w:t>Institute for Fiscal Studies</w:t>
      </w:r>
      <w:r w:rsidRPr="005F6BD6">
        <w:rPr>
          <w:rFonts w:ascii="Arial" w:hAnsi="Arial" w:cs="Arial"/>
          <w:sz w:val="24"/>
          <w:szCs w:val="24"/>
        </w:rPr>
        <w:t>, p.p3</w:t>
      </w:r>
      <w:r w:rsidR="005A6A8A">
        <w:rPr>
          <w:rFonts w:ascii="Arial" w:hAnsi="Arial" w:cs="Arial"/>
          <w:sz w:val="24"/>
          <w:szCs w:val="24"/>
        </w:rPr>
        <w:t xml:space="preserve"> </w:t>
      </w:r>
      <w:r w:rsidR="005A6A8A">
        <w:rPr>
          <w:rFonts w:ascii="Arial" w:hAnsi="Arial" w:cs="Arial"/>
          <w:sz w:val="24"/>
          <w:szCs w:val="24"/>
        </w:rPr>
        <w:t xml:space="preserve">Available: </w:t>
      </w:r>
      <w:hyperlink r:id="rId9" w:history="1">
        <w:r w:rsidR="005A6A8A" w:rsidRPr="00245DDD">
          <w:rPr>
            <w:rStyle w:val="Hyperlink"/>
            <w:rFonts w:ascii="Arial" w:hAnsi="Arial" w:cs="Arial"/>
            <w:sz w:val="24"/>
            <w:szCs w:val="24"/>
          </w:rPr>
          <w:t>https://ifs.org.uk/inequality/wp-content/uploads/2020/07/The-Geography-of-the-COVID19-crisis-in-England-1.pdf</w:t>
        </w:r>
      </w:hyperlink>
      <w:r w:rsidR="005A6A8A">
        <w:rPr>
          <w:rFonts w:ascii="Arial" w:hAnsi="Arial" w:cs="Arial"/>
          <w:sz w:val="24"/>
          <w:szCs w:val="24"/>
        </w:rPr>
        <w:t xml:space="preserve">. </w:t>
      </w:r>
      <w:r w:rsidR="00602DF3">
        <w:rPr>
          <w:rFonts w:ascii="Arial" w:hAnsi="Arial" w:cs="Arial"/>
          <w:sz w:val="24"/>
          <w:szCs w:val="24"/>
        </w:rPr>
        <w:t>(</w:t>
      </w:r>
      <w:r w:rsidR="005A6A8A">
        <w:rPr>
          <w:rFonts w:ascii="Arial" w:hAnsi="Arial" w:cs="Arial"/>
          <w:sz w:val="24"/>
          <w:szCs w:val="24"/>
        </w:rPr>
        <w:t>Accessed: 16</w:t>
      </w:r>
      <w:r w:rsidR="005A6A8A" w:rsidRPr="003C4E0A">
        <w:rPr>
          <w:rFonts w:ascii="Arial" w:hAnsi="Arial" w:cs="Arial"/>
          <w:sz w:val="24"/>
          <w:szCs w:val="24"/>
          <w:vertAlign w:val="superscript"/>
        </w:rPr>
        <w:t>th</w:t>
      </w:r>
      <w:r w:rsidR="005A6A8A">
        <w:rPr>
          <w:rFonts w:ascii="Arial" w:hAnsi="Arial" w:cs="Arial"/>
          <w:sz w:val="24"/>
          <w:szCs w:val="24"/>
        </w:rPr>
        <w:t xml:space="preserve"> October 2022).</w:t>
      </w:r>
    </w:p>
    <w:p w14:paraId="1BCFAE5F" w14:textId="05AF8658"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lastRenderedPageBreak/>
        <w:t>Eccles</w:t>
      </w:r>
      <w:r w:rsidR="005A6A8A">
        <w:rPr>
          <w:rFonts w:ascii="Arial" w:hAnsi="Arial" w:cs="Arial"/>
          <w:sz w:val="24"/>
          <w:szCs w:val="24"/>
        </w:rPr>
        <w:t>.</w:t>
      </w:r>
      <w:r w:rsidRPr="005F6BD6">
        <w:rPr>
          <w:rFonts w:ascii="Arial" w:hAnsi="Arial" w:cs="Arial"/>
          <w:sz w:val="24"/>
          <w:szCs w:val="24"/>
        </w:rPr>
        <w:t xml:space="preserve"> A</w:t>
      </w:r>
      <w:r w:rsidR="005A6A8A">
        <w:rPr>
          <w:rFonts w:ascii="Arial" w:hAnsi="Arial" w:cs="Arial"/>
          <w:sz w:val="24"/>
          <w:szCs w:val="24"/>
        </w:rPr>
        <w:t xml:space="preserve">, </w:t>
      </w:r>
      <w:r w:rsidR="005A6A8A" w:rsidRPr="005F6BD6">
        <w:rPr>
          <w:rFonts w:ascii="Arial" w:hAnsi="Arial" w:cs="Arial"/>
          <w:sz w:val="24"/>
          <w:szCs w:val="24"/>
        </w:rPr>
        <w:t xml:space="preserve">(2021) </w:t>
      </w:r>
      <w:r w:rsidR="005A6A8A">
        <w:rPr>
          <w:rFonts w:ascii="Arial" w:hAnsi="Arial" w:cs="Arial"/>
          <w:sz w:val="24"/>
          <w:szCs w:val="24"/>
        </w:rPr>
        <w:t>‘</w:t>
      </w:r>
      <w:r w:rsidRPr="005F6BD6">
        <w:rPr>
          <w:rFonts w:ascii="Arial" w:hAnsi="Arial" w:cs="Arial"/>
          <w:sz w:val="24"/>
          <w:szCs w:val="24"/>
        </w:rPr>
        <w:t xml:space="preserve">Remote care technologies, older people and the social care crisis in the United Kingdom: </w:t>
      </w:r>
      <w:proofErr w:type="gramStart"/>
      <w:r w:rsidRPr="005F6BD6">
        <w:rPr>
          <w:rFonts w:ascii="Arial" w:hAnsi="Arial" w:cs="Arial"/>
          <w:sz w:val="24"/>
          <w:szCs w:val="24"/>
        </w:rPr>
        <w:t>a</w:t>
      </w:r>
      <w:proofErr w:type="gramEnd"/>
      <w:r w:rsidRPr="005F6BD6">
        <w:rPr>
          <w:rFonts w:ascii="Arial" w:hAnsi="Arial" w:cs="Arial"/>
          <w:sz w:val="24"/>
          <w:szCs w:val="24"/>
        </w:rPr>
        <w:t xml:space="preserve"> Multiple Streams Approach to understanding the silver bullet of telecare policy</w:t>
      </w:r>
      <w:r w:rsidR="005A6A8A">
        <w:rPr>
          <w:rFonts w:ascii="Arial" w:hAnsi="Arial" w:cs="Arial"/>
          <w:sz w:val="24"/>
          <w:szCs w:val="24"/>
        </w:rPr>
        <w:t>’.</w:t>
      </w:r>
      <w:r w:rsidRPr="005F6BD6">
        <w:rPr>
          <w:rFonts w:ascii="Arial" w:hAnsi="Arial" w:cs="Arial"/>
          <w:sz w:val="24"/>
          <w:szCs w:val="24"/>
        </w:rPr>
        <w:t xml:space="preserve"> </w:t>
      </w:r>
      <w:r w:rsidRPr="005A6A8A">
        <w:rPr>
          <w:rFonts w:ascii="Arial" w:hAnsi="Arial" w:cs="Arial"/>
          <w:i/>
          <w:iCs/>
          <w:sz w:val="24"/>
          <w:szCs w:val="24"/>
        </w:rPr>
        <w:t>Ageing &amp; Society</w:t>
      </w:r>
      <w:r w:rsidRPr="005F6BD6">
        <w:rPr>
          <w:rFonts w:ascii="Arial" w:hAnsi="Arial" w:cs="Arial"/>
          <w:sz w:val="24"/>
          <w:szCs w:val="24"/>
        </w:rPr>
        <w:t xml:space="preserve"> 41, no. 8 1726-1747. </w:t>
      </w:r>
      <w:r w:rsidR="00602DF3">
        <w:rPr>
          <w:rFonts w:ascii="Arial" w:hAnsi="Arial" w:cs="Arial"/>
          <w:sz w:val="24"/>
          <w:szCs w:val="24"/>
        </w:rPr>
        <w:t>Available:</w:t>
      </w:r>
      <w:r w:rsidR="00602DF3">
        <w:rPr>
          <w:rFonts w:ascii="Arial" w:hAnsi="Arial" w:cs="Arial"/>
          <w:sz w:val="24"/>
          <w:szCs w:val="24"/>
        </w:rPr>
        <w:t xml:space="preserve"> </w:t>
      </w:r>
      <w:hyperlink r:id="rId10" w:history="1">
        <w:r w:rsidR="00602DF3" w:rsidRPr="00245DDD">
          <w:rPr>
            <w:rStyle w:val="Hyperlink"/>
            <w:rFonts w:ascii="Arial" w:hAnsi="Arial" w:cs="Arial"/>
            <w:sz w:val="24"/>
            <w:szCs w:val="24"/>
          </w:rPr>
          <w:t>https://doi.org/10.1017/S0144686X19001776</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Pr="005F6BD6">
        <w:rPr>
          <w:rFonts w:ascii="Arial" w:hAnsi="Arial" w:cs="Arial"/>
          <w:sz w:val="24"/>
          <w:szCs w:val="24"/>
        </w:rPr>
        <w:t xml:space="preserve"> </w:t>
      </w:r>
    </w:p>
    <w:p w14:paraId="09614024" w14:textId="643DA7FD"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Everaars</w:t>
      </w:r>
      <w:proofErr w:type="spellEnd"/>
      <w:r w:rsidRPr="005F6BD6">
        <w:rPr>
          <w:rFonts w:ascii="Arial" w:hAnsi="Arial" w:cs="Arial"/>
          <w:sz w:val="24"/>
          <w:szCs w:val="24"/>
        </w:rPr>
        <w:t xml:space="preserve">, B., </w:t>
      </w:r>
      <w:proofErr w:type="spellStart"/>
      <w:r w:rsidRPr="005F6BD6">
        <w:rPr>
          <w:rFonts w:ascii="Arial" w:hAnsi="Arial" w:cs="Arial"/>
          <w:sz w:val="24"/>
          <w:szCs w:val="24"/>
        </w:rPr>
        <w:t>Jerković-Ćosić</w:t>
      </w:r>
      <w:proofErr w:type="spellEnd"/>
      <w:r w:rsidRPr="005F6BD6">
        <w:rPr>
          <w:rFonts w:ascii="Arial" w:hAnsi="Arial" w:cs="Arial"/>
          <w:sz w:val="24"/>
          <w:szCs w:val="24"/>
        </w:rPr>
        <w:t xml:space="preserve">, K., </w:t>
      </w:r>
      <w:proofErr w:type="spellStart"/>
      <w:r w:rsidRPr="005F6BD6">
        <w:rPr>
          <w:rFonts w:ascii="Arial" w:hAnsi="Arial" w:cs="Arial"/>
          <w:sz w:val="24"/>
          <w:szCs w:val="24"/>
        </w:rPr>
        <w:t>Bleijenberg</w:t>
      </w:r>
      <w:proofErr w:type="spellEnd"/>
      <w:r w:rsidRPr="005F6BD6">
        <w:rPr>
          <w:rFonts w:ascii="Arial" w:hAnsi="Arial" w:cs="Arial"/>
          <w:sz w:val="24"/>
          <w:szCs w:val="24"/>
        </w:rPr>
        <w:t xml:space="preserve">, N., De Wit, </w:t>
      </w:r>
      <w:proofErr w:type="gramStart"/>
      <w:r w:rsidRPr="005F6BD6">
        <w:rPr>
          <w:rFonts w:ascii="Arial" w:hAnsi="Arial" w:cs="Arial"/>
          <w:sz w:val="24"/>
          <w:szCs w:val="24"/>
        </w:rPr>
        <w:t>N.J.</w:t>
      </w:r>
      <w:proofErr w:type="gramEnd"/>
      <w:r w:rsidRPr="005F6BD6">
        <w:rPr>
          <w:rFonts w:ascii="Arial" w:hAnsi="Arial" w:cs="Arial"/>
          <w:sz w:val="24"/>
          <w:szCs w:val="24"/>
        </w:rPr>
        <w:t xml:space="preserve"> and Van Der Heijden, G.J.M.G.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w:t>
      </w:r>
      <w:r w:rsidRPr="005F6BD6">
        <w:rPr>
          <w:rFonts w:ascii="Arial" w:hAnsi="Arial" w:cs="Arial"/>
          <w:sz w:val="24"/>
          <w:szCs w:val="24"/>
        </w:rPr>
        <w:t>Exploring associations between oral health and frailty in community-dwelling older people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The Journal of Frailty &amp; Ageing</w:t>
      </w:r>
      <w:r w:rsidRPr="005F6BD6">
        <w:rPr>
          <w:rFonts w:ascii="Arial" w:hAnsi="Arial" w:cs="Arial"/>
          <w:sz w:val="24"/>
          <w:szCs w:val="24"/>
        </w:rPr>
        <w:t xml:space="preserve">, 10(1), pp.56-62. </w:t>
      </w:r>
      <w:r w:rsidR="00602DF3">
        <w:rPr>
          <w:rFonts w:ascii="Arial" w:hAnsi="Arial" w:cs="Arial"/>
          <w:sz w:val="24"/>
          <w:szCs w:val="24"/>
        </w:rPr>
        <w:t xml:space="preserve">Available: </w:t>
      </w:r>
      <w:r w:rsidRPr="005F6BD6">
        <w:rPr>
          <w:rFonts w:ascii="Arial" w:hAnsi="Arial" w:cs="Arial"/>
          <w:sz w:val="24"/>
          <w:szCs w:val="24"/>
        </w:rPr>
        <w:t>https://doi.org/10.14283/jfa.2020.55</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12CBD8FE" w14:textId="77777777" w:rsidR="00602DF3" w:rsidRPr="005F6BD6" w:rsidRDefault="003E1C98" w:rsidP="00602DF3">
      <w:pPr>
        <w:spacing w:line="360" w:lineRule="auto"/>
        <w:rPr>
          <w:rFonts w:ascii="Arial" w:hAnsi="Arial" w:cs="Arial"/>
          <w:sz w:val="24"/>
          <w:szCs w:val="24"/>
        </w:rPr>
      </w:pPr>
      <w:r w:rsidRPr="005F6BD6">
        <w:rPr>
          <w:rFonts w:ascii="Arial" w:hAnsi="Arial" w:cs="Arial"/>
          <w:sz w:val="24"/>
          <w:szCs w:val="24"/>
        </w:rPr>
        <w:t xml:space="preserve">Flynn, M. and </w:t>
      </w:r>
      <w:proofErr w:type="spellStart"/>
      <w:r w:rsidRPr="005F6BD6">
        <w:rPr>
          <w:rFonts w:ascii="Arial" w:hAnsi="Arial" w:cs="Arial"/>
          <w:sz w:val="24"/>
          <w:szCs w:val="24"/>
        </w:rPr>
        <w:t>Schröder</w:t>
      </w:r>
      <w:proofErr w:type="spellEnd"/>
      <w:r w:rsidRPr="005F6BD6">
        <w:rPr>
          <w:rFonts w:ascii="Arial" w:hAnsi="Arial" w:cs="Arial"/>
          <w:sz w:val="24"/>
          <w:szCs w:val="24"/>
        </w:rPr>
        <w:t>, H</w:t>
      </w:r>
      <w:r w:rsidR="00602DF3">
        <w:rPr>
          <w:rFonts w:ascii="Arial" w:hAnsi="Arial" w:cs="Arial"/>
          <w:sz w:val="24"/>
          <w:szCs w:val="24"/>
        </w:rPr>
        <w:t>. (</w:t>
      </w:r>
      <w:r w:rsidRPr="005F6BD6">
        <w:rPr>
          <w:rFonts w:ascii="Arial" w:hAnsi="Arial" w:cs="Arial"/>
          <w:sz w:val="24"/>
          <w:szCs w:val="24"/>
        </w:rPr>
        <w:t>2021</w:t>
      </w:r>
      <w:r w:rsidR="00602DF3">
        <w:rPr>
          <w:rFonts w:ascii="Arial" w:hAnsi="Arial" w:cs="Arial"/>
          <w:sz w:val="24"/>
          <w:szCs w:val="24"/>
        </w:rPr>
        <w:t>)</w:t>
      </w:r>
      <w:r w:rsidRPr="005F6BD6">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Age, work and pensions in the United Kingdom and Hong Kong: An institutional perspective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Economic and Industrial Democracy,</w:t>
      </w:r>
      <w:r w:rsidRPr="005F6BD6">
        <w:rPr>
          <w:rFonts w:ascii="Arial" w:hAnsi="Arial" w:cs="Arial"/>
          <w:sz w:val="24"/>
          <w:szCs w:val="24"/>
        </w:rPr>
        <w:t xml:space="preserve"> 42(2), pp.248-268. </w:t>
      </w:r>
      <w:r w:rsidR="00602DF3">
        <w:rPr>
          <w:rFonts w:ascii="Arial" w:hAnsi="Arial" w:cs="Arial"/>
          <w:sz w:val="24"/>
          <w:szCs w:val="24"/>
        </w:rPr>
        <w:t>Available:</w:t>
      </w:r>
      <w:r w:rsidR="00602DF3">
        <w:rPr>
          <w:rFonts w:ascii="Arial" w:hAnsi="Arial" w:cs="Arial"/>
          <w:sz w:val="24"/>
          <w:szCs w:val="24"/>
        </w:rPr>
        <w:t xml:space="preserve"> </w:t>
      </w:r>
      <w:r w:rsidRPr="005F6BD6">
        <w:rPr>
          <w:rFonts w:ascii="Arial" w:hAnsi="Arial" w:cs="Arial"/>
          <w:sz w:val="24"/>
          <w:szCs w:val="24"/>
        </w:rPr>
        <w:t>https://www.um.edu.mt/library/oar/handle/123456789/85384</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0AE8855D" w14:textId="5FEB91E2"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Greer, S.L., Lynch, J., Reeves, A., </w:t>
      </w:r>
      <w:proofErr w:type="spellStart"/>
      <w:r w:rsidRPr="005F6BD6">
        <w:rPr>
          <w:rFonts w:ascii="Arial" w:hAnsi="Arial" w:cs="Arial"/>
          <w:sz w:val="24"/>
          <w:szCs w:val="24"/>
        </w:rPr>
        <w:t>Falkenbach</w:t>
      </w:r>
      <w:proofErr w:type="spellEnd"/>
      <w:r w:rsidRPr="005F6BD6">
        <w:rPr>
          <w:rFonts w:ascii="Arial" w:hAnsi="Arial" w:cs="Arial"/>
          <w:sz w:val="24"/>
          <w:szCs w:val="24"/>
        </w:rPr>
        <w:t xml:space="preserve">, M., Gingrich, J., </w:t>
      </w:r>
      <w:proofErr w:type="spellStart"/>
      <w:r w:rsidRPr="005F6BD6">
        <w:rPr>
          <w:rFonts w:ascii="Arial" w:hAnsi="Arial" w:cs="Arial"/>
          <w:sz w:val="24"/>
          <w:szCs w:val="24"/>
        </w:rPr>
        <w:t>Cylus</w:t>
      </w:r>
      <w:proofErr w:type="spellEnd"/>
      <w:r w:rsidRPr="005F6BD6">
        <w:rPr>
          <w:rFonts w:ascii="Arial" w:hAnsi="Arial" w:cs="Arial"/>
          <w:sz w:val="24"/>
          <w:szCs w:val="24"/>
        </w:rPr>
        <w:t>, J. and Bambra, C</w:t>
      </w:r>
      <w:r w:rsidR="003B662B">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xml:space="preserve">) </w:t>
      </w:r>
      <w:r w:rsidRPr="003B662B">
        <w:rPr>
          <w:rFonts w:ascii="Arial" w:hAnsi="Arial" w:cs="Arial"/>
          <w:i/>
          <w:iCs/>
          <w:sz w:val="24"/>
          <w:szCs w:val="24"/>
        </w:rPr>
        <w:t>Ageing and Healt</w:t>
      </w:r>
      <w:r w:rsidR="003B662B">
        <w:rPr>
          <w:rFonts w:ascii="Arial" w:hAnsi="Arial" w:cs="Arial"/>
          <w:i/>
          <w:iCs/>
          <w:sz w:val="24"/>
          <w:szCs w:val="24"/>
        </w:rPr>
        <w:t>h</w:t>
      </w:r>
      <w:r w:rsidRPr="005F6BD6">
        <w:rPr>
          <w:rFonts w:ascii="Arial" w:hAnsi="Arial" w:cs="Arial"/>
          <w:sz w:val="24"/>
          <w:szCs w:val="24"/>
        </w:rPr>
        <w:t>. Cambridge University Press.</w:t>
      </w:r>
    </w:p>
    <w:p w14:paraId="1D8C49C6" w14:textId="7FCD79A4" w:rsidR="00602DF3" w:rsidRPr="005F6BD6" w:rsidRDefault="003E1C98" w:rsidP="00602DF3">
      <w:pPr>
        <w:spacing w:line="360" w:lineRule="auto"/>
        <w:rPr>
          <w:rFonts w:ascii="Arial" w:hAnsi="Arial" w:cs="Arial"/>
          <w:sz w:val="24"/>
          <w:szCs w:val="24"/>
        </w:rPr>
      </w:pPr>
      <w:proofErr w:type="spellStart"/>
      <w:r w:rsidRPr="005F6BD6">
        <w:rPr>
          <w:rFonts w:ascii="Arial" w:hAnsi="Arial" w:cs="Arial"/>
          <w:sz w:val="24"/>
          <w:szCs w:val="24"/>
        </w:rPr>
        <w:t>Harjono</w:t>
      </w:r>
      <w:proofErr w:type="spellEnd"/>
      <w:r w:rsidRPr="005F6BD6">
        <w:rPr>
          <w:rFonts w:ascii="Arial" w:hAnsi="Arial" w:cs="Arial"/>
          <w:sz w:val="24"/>
          <w:szCs w:val="24"/>
        </w:rPr>
        <w:t xml:space="preserve"> </w:t>
      </w:r>
      <w:proofErr w:type="spellStart"/>
      <w:r w:rsidRPr="005F6BD6">
        <w:rPr>
          <w:rFonts w:ascii="Arial" w:hAnsi="Arial" w:cs="Arial"/>
          <w:sz w:val="24"/>
          <w:szCs w:val="24"/>
        </w:rPr>
        <w:t>Hadiwiardjo</w:t>
      </w:r>
      <w:proofErr w:type="spellEnd"/>
      <w:r w:rsidRPr="005F6BD6">
        <w:rPr>
          <w:rFonts w:ascii="Arial" w:hAnsi="Arial" w:cs="Arial"/>
          <w:sz w:val="24"/>
          <w:szCs w:val="24"/>
        </w:rPr>
        <w:t xml:space="preserve">, Y. and Damayanti, R.,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 ‘</w:t>
      </w:r>
      <w:r w:rsidRPr="005F6BD6">
        <w:rPr>
          <w:rFonts w:ascii="Arial" w:hAnsi="Arial" w:cs="Arial"/>
          <w:sz w:val="24"/>
          <w:szCs w:val="24"/>
        </w:rPr>
        <w:t>Biopsychosocial factors associated with depression in the elderly: A systematic literature review</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F1000Research</w:t>
      </w:r>
      <w:r w:rsidRPr="005F6BD6">
        <w:rPr>
          <w:rFonts w:ascii="Arial" w:hAnsi="Arial" w:cs="Arial"/>
          <w:sz w:val="24"/>
          <w:szCs w:val="24"/>
        </w:rPr>
        <w:t>, 11, p.1068.</w:t>
      </w:r>
      <w:r w:rsidR="00602DF3" w:rsidRPr="00602DF3">
        <w:rPr>
          <w:rFonts w:ascii="Arial" w:hAnsi="Arial" w:cs="Arial"/>
          <w:sz w:val="24"/>
          <w:szCs w:val="24"/>
        </w:rPr>
        <w:t xml:space="preserve"> </w:t>
      </w:r>
      <w:r w:rsidR="00602DF3">
        <w:rPr>
          <w:rFonts w:ascii="Arial" w:hAnsi="Arial" w:cs="Arial"/>
          <w:sz w:val="24"/>
          <w:szCs w:val="24"/>
        </w:rPr>
        <w:t xml:space="preserve">Available: </w:t>
      </w:r>
      <w:r w:rsidRPr="005F6BD6">
        <w:rPr>
          <w:rFonts w:ascii="Arial" w:hAnsi="Arial" w:cs="Arial"/>
          <w:sz w:val="24"/>
          <w:szCs w:val="24"/>
        </w:rPr>
        <w:t xml:space="preserve"> https://doi.org/10.12688/f1000research.121710.1</w:t>
      </w:r>
      <w:r w:rsidR="00602DF3">
        <w:rPr>
          <w:rFonts w:ascii="Arial" w:hAnsi="Arial" w:cs="Arial"/>
          <w:sz w:val="24"/>
          <w:szCs w:val="24"/>
        </w:rPr>
        <w:t>. (Accessed: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5E5878C5" w14:textId="040C3F09"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Iyare</w:t>
      </w:r>
      <w:proofErr w:type="spellEnd"/>
      <w:r w:rsidRPr="005F6BD6">
        <w:rPr>
          <w:rFonts w:ascii="Arial" w:hAnsi="Arial" w:cs="Arial"/>
          <w:sz w:val="24"/>
          <w:szCs w:val="24"/>
        </w:rPr>
        <w:t xml:space="preserve">, A.E., </w:t>
      </w:r>
      <w:proofErr w:type="spellStart"/>
      <w:r w:rsidRPr="005F6BD6">
        <w:rPr>
          <w:rFonts w:ascii="Arial" w:hAnsi="Arial" w:cs="Arial"/>
          <w:sz w:val="24"/>
          <w:szCs w:val="24"/>
        </w:rPr>
        <w:t>Imafidon</w:t>
      </w:r>
      <w:proofErr w:type="spellEnd"/>
      <w:r w:rsidRPr="005F6BD6">
        <w:rPr>
          <w:rFonts w:ascii="Arial" w:hAnsi="Arial" w:cs="Arial"/>
          <w:sz w:val="24"/>
          <w:szCs w:val="24"/>
        </w:rPr>
        <w:t xml:space="preserve">, E. and </w:t>
      </w:r>
      <w:proofErr w:type="spellStart"/>
      <w:r w:rsidRPr="005F6BD6">
        <w:rPr>
          <w:rFonts w:ascii="Arial" w:hAnsi="Arial" w:cs="Arial"/>
          <w:sz w:val="24"/>
          <w:szCs w:val="24"/>
        </w:rPr>
        <w:t>Abudu</w:t>
      </w:r>
      <w:proofErr w:type="spellEnd"/>
      <w:r w:rsidRPr="005F6BD6">
        <w:rPr>
          <w:rFonts w:ascii="Arial" w:hAnsi="Arial" w:cs="Arial"/>
          <w:sz w:val="24"/>
          <w:szCs w:val="24"/>
        </w:rPr>
        <w:t xml:space="preserve">, K.U.,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 ‘</w:t>
      </w:r>
      <w:r w:rsidRPr="005F6BD6">
        <w:rPr>
          <w:rFonts w:ascii="Arial" w:hAnsi="Arial" w:cs="Arial"/>
          <w:sz w:val="24"/>
          <w:szCs w:val="24"/>
        </w:rPr>
        <w:t xml:space="preserve">Ageing, Ageism, Cultural Representations of the </w:t>
      </w:r>
      <w:proofErr w:type="gramStart"/>
      <w:r w:rsidRPr="005F6BD6">
        <w:rPr>
          <w:rFonts w:ascii="Arial" w:hAnsi="Arial" w:cs="Arial"/>
          <w:sz w:val="24"/>
          <w:szCs w:val="24"/>
        </w:rPr>
        <w:t>Elderly</w:t>
      </w:r>
      <w:proofErr w:type="gramEnd"/>
      <w:r w:rsidRPr="005F6BD6">
        <w:rPr>
          <w:rFonts w:ascii="Arial" w:hAnsi="Arial" w:cs="Arial"/>
          <w:sz w:val="24"/>
          <w:szCs w:val="24"/>
        </w:rPr>
        <w:t xml:space="preserve"> and the Duty to Care in African Traditions. In Essays on Contemporary Issues in African Philosophy</w:t>
      </w:r>
      <w:r w:rsidR="00602DF3">
        <w:rPr>
          <w:rFonts w:ascii="Arial" w:hAnsi="Arial" w:cs="Arial"/>
          <w:sz w:val="24"/>
          <w:szCs w:val="24"/>
        </w:rPr>
        <w:t>’</w:t>
      </w:r>
      <w:r w:rsidR="00602DF3" w:rsidRPr="005F6BD6">
        <w:rPr>
          <w:rFonts w:ascii="Arial" w:hAnsi="Arial" w:cs="Arial"/>
          <w:sz w:val="24"/>
          <w:szCs w:val="24"/>
        </w:rPr>
        <w:t xml:space="preserve">. </w:t>
      </w:r>
      <w:r w:rsidR="00602DF3" w:rsidRPr="00602DF3">
        <w:rPr>
          <w:rFonts w:ascii="Arial" w:hAnsi="Arial" w:cs="Arial"/>
          <w:i/>
          <w:iCs/>
          <w:sz w:val="24"/>
          <w:szCs w:val="24"/>
        </w:rPr>
        <w:t>Springer, Cha</w:t>
      </w:r>
      <w:r w:rsidR="00602DF3">
        <w:rPr>
          <w:rFonts w:ascii="Arial" w:hAnsi="Arial" w:cs="Arial"/>
          <w:sz w:val="24"/>
          <w:szCs w:val="24"/>
        </w:rPr>
        <w:t>m</w:t>
      </w:r>
      <w:r w:rsidRPr="005F6BD6">
        <w:rPr>
          <w:rFonts w:ascii="Arial" w:hAnsi="Arial" w:cs="Arial"/>
          <w:sz w:val="24"/>
          <w:szCs w:val="24"/>
        </w:rPr>
        <w:t xml:space="preserve"> pp. 281-299 </w:t>
      </w:r>
      <w:r w:rsidR="00602DF3">
        <w:rPr>
          <w:rFonts w:ascii="Arial" w:hAnsi="Arial" w:cs="Arial"/>
          <w:sz w:val="24"/>
          <w:szCs w:val="24"/>
        </w:rPr>
        <w:t>Available:</w:t>
      </w:r>
      <w:r w:rsidR="00602DF3">
        <w:rPr>
          <w:rFonts w:ascii="Arial" w:hAnsi="Arial" w:cs="Arial"/>
          <w:sz w:val="24"/>
          <w:szCs w:val="24"/>
        </w:rPr>
        <w:t xml:space="preserve"> </w:t>
      </w:r>
      <w:hyperlink r:id="rId11" w:history="1">
        <w:r w:rsidR="00602DF3" w:rsidRPr="00245DDD">
          <w:rPr>
            <w:rStyle w:val="Hyperlink"/>
            <w:rFonts w:ascii="Arial" w:hAnsi="Arial" w:cs="Arial"/>
            <w:sz w:val="24"/>
            <w:szCs w:val="24"/>
          </w:rPr>
          <w:t>https://doi.org/10.1007/978-3-030-70436-0_18</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Pr="005F6BD6">
        <w:rPr>
          <w:rFonts w:ascii="Arial" w:hAnsi="Arial" w:cs="Arial"/>
          <w:sz w:val="24"/>
          <w:szCs w:val="24"/>
        </w:rPr>
        <w:t xml:space="preserve"> </w:t>
      </w:r>
    </w:p>
    <w:p w14:paraId="10B65704" w14:textId="259501DE" w:rsidR="00602DF3" w:rsidRPr="005F6BD6" w:rsidRDefault="003E1C98" w:rsidP="00602DF3">
      <w:pPr>
        <w:spacing w:line="360" w:lineRule="auto"/>
        <w:rPr>
          <w:rFonts w:ascii="Arial" w:hAnsi="Arial" w:cs="Arial"/>
          <w:sz w:val="24"/>
          <w:szCs w:val="24"/>
        </w:rPr>
      </w:pPr>
      <w:proofErr w:type="spellStart"/>
      <w:r w:rsidRPr="005F6BD6">
        <w:rPr>
          <w:rFonts w:ascii="Arial" w:hAnsi="Arial" w:cs="Arial"/>
          <w:sz w:val="24"/>
          <w:szCs w:val="24"/>
        </w:rPr>
        <w:t>Keyworth</w:t>
      </w:r>
      <w:proofErr w:type="spellEnd"/>
      <w:r w:rsidRPr="005F6BD6">
        <w:rPr>
          <w:rFonts w:ascii="Arial" w:hAnsi="Arial" w:cs="Arial"/>
          <w:sz w:val="24"/>
          <w:szCs w:val="24"/>
        </w:rPr>
        <w:t xml:space="preserve">, C., </w:t>
      </w:r>
      <w:proofErr w:type="spellStart"/>
      <w:r w:rsidRPr="005F6BD6">
        <w:rPr>
          <w:rFonts w:ascii="Arial" w:hAnsi="Arial" w:cs="Arial"/>
          <w:sz w:val="24"/>
          <w:szCs w:val="24"/>
        </w:rPr>
        <w:t>Epton</w:t>
      </w:r>
      <w:proofErr w:type="spellEnd"/>
      <w:r w:rsidRPr="005F6BD6">
        <w:rPr>
          <w:rFonts w:ascii="Arial" w:hAnsi="Arial" w:cs="Arial"/>
          <w:sz w:val="24"/>
          <w:szCs w:val="24"/>
        </w:rPr>
        <w:t xml:space="preserve">, T., Byrne-Davis, L., Leather, JZ and Armitage, C.J.,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 ‘</w:t>
      </w:r>
      <w:r w:rsidRPr="005F6BD6">
        <w:rPr>
          <w:rFonts w:ascii="Arial" w:hAnsi="Arial" w:cs="Arial"/>
          <w:sz w:val="24"/>
          <w:szCs w:val="24"/>
        </w:rPr>
        <w:t>What challenges do UK adults face when adhering to COVID-19-related instructions? Cross-sectional survey in a representative sample</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Preventive Medicine</w:t>
      </w:r>
      <w:r w:rsidRPr="005F6BD6">
        <w:rPr>
          <w:rFonts w:ascii="Arial" w:hAnsi="Arial" w:cs="Arial"/>
          <w:sz w:val="24"/>
          <w:szCs w:val="24"/>
        </w:rPr>
        <w:t>, 147, p.106458</w:t>
      </w:r>
      <w:r w:rsidR="00602DF3">
        <w:rPr>
          <w:rFonts w:ascii="Arial" w:hAnsi="Arial" w:cs="Arial"/>
          <w:sz w:val="24"/>
          <w:szCs w:val="24"/>
        </w:rPr>
        <w:t xml:space="preserve"> </w:t>
      </w:r>
      <w:r w:rsidR="00602DF3">
        <w:rPr>
          <w:rFonts w:ascii="Arial" w:hAnsi="Arial" w:cs="Arial"/>
          <w:sz w:val="24"/>
          <w:szCs w:val="24"/>
        </w:rPr>
        <w:t>Available:</w:t>
      </w:r>
      <w:r w:rsidRPr="005F6BD6">
        <w:rPr>
          <w:rFonts w:ascii="Arial" w:hAnsi="Arial" w:cs="Arial"/>
          <w:sz w:val="24"/>
          <w:szCs w:val="24"/>
        </w:rPr>
        <w:t xml:space="preserve"> </w:t>
      </w:r>
      <w:hyperlink r:id="rId12" w:history="1">
        <w:r w:rsidR="00602DF3" w:rsidRPr="00245DDD">
          <w:rPr>
            <w:rStyle w:val="Hyperlink"/>
            <w:rFonts w:ascii="Arial" w:hAnsi="Arial" w:cs="Arial"/>
            <w:sz w:val="24"/>
            <w:szCs w:val="24"/>
          </w:rPr>
          <w:t>https://doi.org/10.1016/j.ypmed.2021.106458</w:t>
        </w:r>
      </w:hyperlink>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r w:rsidR="00602DF3" w:rsidRPr="005F6BD6">
        <w:rPr>
          <w:rFonts w:ascii="Arial" w:hAnsi="Arial" w:cs="Arial"/>
          <w:sz w:val="24"/>
          <w:szCs w:val="24"/>
        </w:rPr>
        <w:t xml:space="preserve"> </w:t>
      </w:r>
    </w:p>
    <w:p w14:paraId="031DF65C" w14:textId="3E34F33E"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w:t>
      </w:r>
    </w:p>
    <w:p w14:paraId="2F80E444" w14:textId="2A482E05"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lastRenderedPageBreak/>
        <w:t>Lebrasseur</w:t>
      </w:r>
      <w:proofErr w:type="spellEnd"/>
      <w:r w:rsidRPr="005F6BD6">
        <w:rPr>
          <w:rFonts w:ascii="Arial" w:hAnsi="Arial" w:cs="Arial"/>
          <w:sz w:val="24"/>
          <w:szCs w:val="24"/>
        </w:rPr>
        <w:t xml:space="preserve">, A., Fortin-Bédard, N., </w:t>
      </w:r>
      <w:proofErr w:type="spellStart"/>
      <w:r w:rsidRPr="005F6BD6">
        <w:rPr>
          <w:rFonts w:ascii="Arial" w:hAnsi="Arial" w:cs="Arial"/>
          <w:sz w:val="24"/>
          <w:szCs w:val="24"/>
        </w:rPr>
        <w:t>Lettre</w:t>
      </w:r>
      <w:proofErr w:type="spellEnd"/>
      <w:r w:rsidRPr="005F6BD6">
        <w:rPr>
          <w:rFonts w:ascii="Arial" w:hAnsi="Arial" w:cs="Arial"/>
          <w:sz w:val="24"/>
          <w:szCs w:val="24"/>
        </w:rPr>
        <w:t xml:space="preserve">, J., Raymond, E., </w:t>
      </w:r>
      <w:proofErr w:type="spellStart"/>
      <w:r w:rsidRPr="005F6BD6">
        <w:rPr>
          <w:rFonts w:ascii="Arial" w:hAnsi="Arial" w:cs="Arial"/>
          <w:sz w:val="24"/>
          <w:szCs w:val="24"/>
        </w:rPr>
        <w:t>Bussières</w:t>
      </w:r>
      <w:proofErr w:type="spellEnd"/>
      <w:r w:rsidRPr="005F6BD6">
        <w:rPr>
          <w:rFonts w:ascii="Arial" w:hAnsi="Arial" w:cs="Arial"/>
          <w:sz w:val="24"/>
          <w:szCs w:val="24"/>
        </w:rPr>
        <w:t xml:space="preserve">, E. L., Lapierre, N., </w:t>
      </w:r>
      <w:proofErr w:type="spellStart"/>
      <w:r w:rsidRPr="005F6BD6">
        <w:rPr>
          <w:rFonts w:ascii="Arial" w:hAnsi="Arial" w:cs="Arial"/>
          <w:sz w:val="24"/>
          <w:szCs w:val="24"/>
        </w:rPr>
        <w:t>Faieta</w:t>
      </w:r>
      <w:proofErr w:type="spellEnd"/>
      <w:r w:rsidRPr="005F6BD6">
        <w:rPr>
          <w:rFonts w:ascii="Arial" w:hAnsi="Arial" w:cs="Arial"/>
          <w:sz w:val="24"/>
          <w:szCs w:val="24"/>
        </w:rPr>
        <w:t xml:space="preserve">, J., Vincent, C., Duchesne, L., Ouellet, M. C., Gagnon, E., </w:t>
      </w:r>
      <w:proofErr w:type="spellStart"/>
      <w:r w:rsidRPr="005F6BD6">
        <w:rPr>
          <w:rFonts w:ascii="Arial" w:hAnsi="Arial" w:cs="Arial"/>
          <w:sz w:val="24"/>
          <w:szCs w:val="24"/>
        </w:rPr>
        <w:t>Tourigny</w:t>
      </w:r>
      <w:proofErr w:type="spellEnd"/>
      <w:r w:rsidRPr="005F6BD6">
        <w:rPr>
          <w:rFonts w:ascii="Arial" w:hAnsi="Arial" w:cs="Arial"/>
          <w:sz w:val="24"/>
          <w:szCs w:val="24"/>
        </w:rPr>
        <w:t xml:space="preserve">, A., Lamontagne, M. È., &amp; Routhier, F. </w:t>
      </w:r>
      <w:r w:rsidR="00602DF3">
        <w:rPr>
          <w:rFonts w:ascii="Arial" w:hAnsi="Arial" w:cs="Arial"/>
          <w:sz w:val="24"/>
          <w:szCs w:val="24"/>
        </w:rPr>
        <w:t>(</w:t>
      </w:r>
      <w:r w:rsidRPr="005F6BD6">
        <w:rPr>
          <w:rFonts w:ascii="Arial" w:hAnsi="Arial" w:cs="Arial"/>
          <w:sz w:val="24"/>
          <w:szCs w:val="24"/>
        </w:rPr>
        <w:t>2021</w:t>
      </w:r>
      <w:r w:rsidR="00602DF3">
        <w:rPr>
          <w:rFonts w:ascii="Arial" w:hAnsi="Arial" w:cs="Arial"/>
          <w:sz w:val="24"/>
          <w:szCs w:val="24"/>
        </w:rPr>
        <w:t>)</w:t>
      </w:r>
      <w:r w:rsidRPr="005F6BD6">
        <w:rPr>
          <w:rFonts w:ascii="Arial" w:hAnsi="Arial" w:cs="Arial"/>
          <w:sz w:val="24"/>
          <w:szCs w:val="24"/>
        </w:rPr>
        <w:t xml:space="preserve"> </w:t>
      </w:r>
      <w:r w:rsidR="00602DF3">
        <w:rPr>
          <w:rFonts w:ascii="Arial" w:hAnsi="Arial" w:cs="Arial"/>
          <w:sz w:val="24"/>
          <w:szCs w:val="24"/>
        </w:rPr>
        <w:t>‘</w:t>
      </w:r>
      <w:r w:rsidRPr="005F6BD6">
        <w:rPr>
          <w:rFonts w:ascii="Arial" w:hAnsi="Arial" w:cs="Arial"/>
          <w:sz w:val="24"/>
          <w:szCs w:val="24"/>
        </w:rPr>
        <w:t>Impact of the COVID-19 Pandemic on Older Adults: Rapid Review</w:t>
      </w:r>
      <w:r w:rsidR="00602DF3">
        <w:rPr>
          <w:rFonts w:ascii="Arial" w:hAnsi="Arial" w:cs="Arial"/>
          <w:sz w:val="24"/>
          <w:szCs w:val="24"/>
        </w:rPr>
        <w:t>’</w:t>
      </w:r>
      <w:r w:rsidRPr="005F6BD6">
        <w:rPr>
          <w:rFonts w:ascii="Arial" w:hAnsi="Arial" w:cs="Arial"/>
          <w:sz w:val="24"/>
          <w:szCs w:val="24"/>
        </w:rPr>
        <w:t xml:space="preserve">. </w:t>
      </w:r>
      <w:r w:rsidRPr="00602DF3">
        <w:rPr>
          <w:rFonts w:ascii="Arial" w:hAnsi="Arial" w:cs="Arial"/>
          <w:i/>
          <w:iCs/>
          <w:sz w:val="24"/>
          <w:szCs w:val="24"/>
        </w:rPr>
        <w:t>JMIR ageing,</w:t>
      </w:r>
      <w:r w:rsidRPr="005F6BD6">
        <w:rPr>
          <w:rFonts w:ascii="Arial" w:hAnsi="Arial" w:cs="Arial"/>
          <w:sz w:val="24"/>
          <w:szCs w:val="24"/>
        </w:rPr>
        <w:t xml:space="preserve"> 4(2), e26474. </w:t>
      </w:r>
      <w:r w:rsidR="00602DF3">
        <w:rPr>
          <w:rFonts w:ascii="Arial" w:hAnsi="Arial" w:cs="Arial"/>
          <w:sz w:val="24"/>
          <w:szCs w:val="24"/>
        </w:rPr>
        <w:t>Available:</w:t>
      </w:r>
      <w:r w:rsidR="00602DF3" w:rsidRPr="005F6BD6">
        <w:rPr>
          <w:rFonts w:ascii="Arial" w:hAnsi="Arial" w:cs="Arial"/>
          <w:sz w:val="24"/>
          <w:szCs w:val="24"/>
        </w:rPr>
        <w:t xml:space="preserve"> </w:t>
      </w:r>
      <w:hyperlink r:id="rId13" w:history="1">
        <w:r w:rsidR="00602DF3" w:rsidRPr="00245DDD">
          <w:rPr>
            <w:rStyle w:val="Hyperlink"/>
            <w:rFonts w:ascii="Arial" w:hAnsi="Arial" w:cs="Arial"/>
            <w:sz w:val="24"/>
            <w:szCs w:val="24"/>
          </w:rPr>
          <w:t>https://doi.org/10.2196/26474</w:t>
        </w:r>
      </w:hyperlink>
      <w:r w:rsidR="003B662B">
        <w:rPr>
          <w:rFonts w:ascii="Arial" w:hAnsi="Arial" w:cs="Arial"/>
          <w:sz w:val="24"/>
          <w:szCs w:val="24"/>
        </w:rPr>
        <w:t>.</w:t>
      </w:r>
      <w:r w:rsidR="00602DF3">
        <w:rPr>
          <w:rFonts w:ascii="Arial" w:hAnsi="Arial" w:cs="Arial"/>
          <w:sz w:val="24"/>
          <w:szCs w:val="24"/>
        </w:rPr>
        <w:t xml:space="preserve"> </w:t>
      </w:r>
      <w:r w:rsidR="00602DF3">
        <w:rPr>
          <w:rFonts w:ascii="Arial" w:hAnsi="Arial" w:cs="Arial"/>
          <w:sz w:val="24"/>
          <w:szCs w:val="24"/>
        </w:rPr>
        <w:t>(Accessed: 16</w:t>
      </w:r>
      <w:r w:rsidR="00602DF3" w:rsidRPr="003C4E0A">
        <w:rPr>
          <w:rFonts w:ascii="Arial" w:hAnsi="Arial" w:cs="Arial"/>
          <w:sz w:val="24"/>
          <w:szCs w:val="24"/>
          <w:vertAlign w:val="superscript"/>
        </w:rPr>
        <w:t>th</w:t>
      </w:r>
      <w:r w:rsidR="00602DF3">
        <w:rPr>
          <w:rFonts w:ascii="Arial" w:hAnsi="Arial" w:cs="Arial"/>
          <w:sz w:val="24"/>
          <w:szCs w:val="24"/>
        </w:rPr>
        <w:t xml:space="preserve"> October 2022).</w:t>
      </w:r>
    </w:p>
    <w:p w14:paraId="7EC1CB0F" w14:textId="5DCD5D23"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Levell, N.J. </w:t>
      </w:r>
      <w:r w:rsidR="00602DF3">
        <w:rPr>
          <w:rFonts w:ascii="Arial" w:hAnsi="Arial" w:cs="Arial"/>
          <w:sz w:val="24"/>
          <w:szCs w:val="24"/>
        </w:rPr>
        <w:t>(</w:t>
      </w:r>
      <w:r w:rsidRPr="005F6BD6">
        <w:rPr>
          <w:rFonts w:ascii="Arial" w:hAnsi="Arial" w:cs="Arial"/>
          <w:sz w:val="24"/>
          <w:szCs w:val="24"/>
        </w:rPr>
        <w:t>2022</w:t>
      </w:r>
      <w:r w:rsidR="00602DF3">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NHS outpatient secondary care: a time of challenges and </w:t>
      </w:r>
      <w:proofErr w:type="gramStart"/>
      <w:r w:rsidRPr="005F6BD6">
        <w:rPr>
          <w:rFonts w:ascii="Arial" w:hAnsi="Arial" w:cs="Arial"/>
          <w:sz w:val="24"/>
          <w:szCs w:val="24"/>
        </w:rPr>
        <w:t>opportunities</w:t>
      </w:r>
      <w:r w:rsidR="003B662B">
        <w:rPr>
          <w:rFonts w:ascii="Arial" w:hAnsi="Arial" w:cs="Arial"/>
          <w:sz w:val="24"/>
          <w:szCs w:val="24"/>
        </w:rPr>
        <w:t>’</w:t>
      </w:r>
      <w:proofErr w:type="gramEnd"/>
      <w:r w:rsidRPr="005F6BD6">
        <w:rPr>
          <w:rFonts w:ascii="Arial" w:hAnsi="Arial" w:cs="Arial"/>
          <w:sz w:val="24"/>
          <w:szCs w:val="24"/>
        </w:rPr>
        <w:t xml:space="preserve">. </w:t>
      </w:r>
      <w:r w:rsidRPr="003B662B">
        <w:rPr>
          <w:rFonts w:ascii="Arial" w:hAnsi="Arial" w:cs="Arial"/>
          <w:i/>
          <w:iCs/>
          <w:sz w:val="24"/>
          <w:szCs w:val="24"/>
        </w:rPr>
        <w:t>Future Healthcare Journal</w:t>
      </w:r>
      <w:r w:rsidRPr="005F6BD6">
        <w:rPr>
          <w:rFonts w:ascii="Arial" w:hAnsi="Arial" w:cs="Arial"/>
          <w:sz w:val="24"/>
          <w:szCs w:val="24"/>
        </w:rPr>
        <w:t xml:space="preserve">, 9(2), p.106. </w:t>
      </w:r>
      <w:r w:rsidR="003B662B">
        <w:rPr>
          <w:rFonts w:ascii="Arial" w:hAnsi="Arial" w:cs="Arial"/>
          <w:sz w:val="24"/>
          <w:szCs w:val="24"/>
        </w:rPr>
        <w:t>Available:</w:t>
      </w:r>
      <w:r w:rsidR="003B662B">
        <w:rPr>
          <w:rFonts w:ascii="Arial" w:hAnsi="Arial" w:cs="Arial"/>
          <w:sz w:val="24"/>
          <w:szCs w:val="24"/>
        </w:rPr>
        <w:t xml:space="preserve"> </w:t>
      </w:r>
      <w:hyperlink r:id="rId14" w:history="1">
        <w:r w:rsidR="003B662B" w:rsidRPr="00245DDD">
          <w:rPr>
            <w:rStyle w:val="Hyperlink"/>
            <w:rFonts w:ascii="Arial" w:hAnsi="Arial" w:cs="Arial"/>
            <w:sz w:val="24"/>
            <w:szCs w:val="24"/>
          </w:rPr>
          <w:t>https://doi.org/10.7861/fhj.2022-0044</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6B9804CB" w14:textId="00EC31FF"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Lilley, P. </w:t>
      </w:r>
      <w:r w:rsidR="003B662B">
        <w:rPr>
          <w:rFonts w:ascii="Arial" w:hAnsi="Arial" w:cs="Arial"/>
          <w:sz w:val="24"/>
          <w:szCs w:val="24"/>
        </w:rPr>
        <w:t>(</w:t>
      </w:r>
      <w:r w:rsidRPr="005F6BD6">
        <w:rPr>
          <w:rFonts w:ascii="Arial" w:hAnsi="Arial" w:cs="Arial"/>
          <w:sz w:val="24"/>
          <w:szCs w:val="24"/>
        </w:rPr>
        <w:t>2021</w:t>
      </w:r>
      <w:r w:rsidR="003B662B">
        <w:rPr>
          <w:rFonts w:ascii="Arial" w:hAnsi="Arial" w:cs="Arial"/>
          <w:sz w:val="24"/>
          <w:szCs w:val="24"/>
        </w:rPr>
        <w:t>)</w:t>
      </w:r>
      <w:r w:rsidRPr="005F6BD6">
        <w:rPr>
          <w:rFonts w:ascii="Arial" w:hAnsi="Arial" w:cs="Arial"/>
          <w:sz w:val="24"/>
          <w:szCs w:val="24"/>
        </w:rPr>
        <w:t xml:space="preserve"> </w:t>
      </w:r>
      <w:r w:rsidRPr="003B662B">
        <w:rPr>
          <w:rFonts w:ascii="Arial" w:hAnsi="Arial" w:cs="Arial"/>
          <w:i/>
          <w:iCs/>
          <w:sz w:val="24"/>
          <w:szCs w:val="24"/>
        </w:rPr>
        <w:t>Solving the Social Care Dilemma? A Responsible Solution.</w:t>
      </w:r>
      <w:r w:rsidR="003B662B" w:rsidRPr="003B662B">
        <w:rPr>
          <w:rFonts w:ascii="Arial" w:hAnsi="Arial" w:cs="Arial"/>
          <w:sz w:val="24"/>
          <w:szCs w:val="24"/>
        </w:rPr>
        <w:t xml:space="preserve"> </w:t>
      </w:r>
      <w:r w:rsidR="003B662B">
        <w:rPr>
          <w:rFonts w:ascii="Arial" w:hAnsi="Arial" w:cs="Arial"/>
          <w:sz w:val="24"/>
          <w:szCs w:val="24"/>
        </w:rPr>
        <w:t xml:space="preserve">Available: </w:t>
      </w:r>
      <w:hyperlink r:id="rId15" w:history="1">
        <w:r w:rsidR="003B662B" w:rsidRPr="00245DDD">
          <w:rPr>
            <w:rStyle w:val="Hyperlink"/>
            <w:rFonts w:ascii="Arial" w:hAnsi="Arial" w:cs="Arial"/>
            <w:sz w:val="24"/>
            <w:szCs w:val="24"/>
          </w:rPr>
          <w:t>http://allcatsrgrey.org.uk/wp/download/social_care/SOCIAL-CARE.pdf</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41FCD3CF" w14:textId="2EDF2A5F"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Ollevier</w:t>
      </w:r>
      <w:proofErr w:type="spellEnd"/>
      <w:r w:rsidRPr="005F6BD6">
        <w:rPr>
          <w:rFonts w:ascii="Arial" w:hAnsi="Arial" w:cs="Arial"/>
          <w:sz w:val="24"/>
          <w:szCs w:val="24"/>
        </w:rPr>
        <w:t xml:space="preserve">, A., Aguiar, G., Palomino, M. and </w:t>
      </w:r>
      <w:proofErr w:type="spellStart"/>
      <w:r w:rsidRPr="005F6BD6">
        <w:rPr>
          <w:rFonts w:ascii="Arial" w:hAnsi="Arial" w:cs="Arial"/>
          <w:sz w:val="24"/>
          <w:szCs w:val="24"/>
        </w:rPr>
        <w:t>Simpelaere</w:t>
      </w:r>
      <w:proofErr w:type="spellEnd"/>
      <w:r w:rsidRPr="005F6BD6">
        <w:rPr>
          <w:rFonts w:ascii="Arial" w:hAnsi="Arial" w:cs="Arial"/>
          <w:sz w:val="24"/>
          <w:szCs w:val="24"/>
        </w:rPr>
        <w:t xml:space="preserve">, I.S. </w:t>
      </w:r>
      <w:r w:rsidR="003B662B">
        <w:rPr>
          <w:rFonts w:ascii="Arial" w:hAnsi="Arial" w:cs="Arial"/>
          <w:sz w:val="24"/>
          <w:szCs w:val="24"/>
        </w:rPr>
        <w:t>(</w:t>
      </w:r>
      <w:r w:rsidRPr="005F6BD6">
        <w:rPr>
          <w:rFonts w:ascii="Arial" w:hAnsi="Arial" w:cs="Arial"/>
          <w:sz w:val="24"/>
          <w:szCs w:val="24"/>
        </w:rPr>
        <w:t>2020</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How can </w:t>
      </w:r>
      <w:r w:rsidR="003B662B">
        <w:rPr>
          <w:rFonts w:ascii="Arial" w:hAnsi="Arial" w:cs="Arial"/>
          <w:sz w:val="24"/>
          <w:szCs w:val="24"/>
        </w:rPr>
        <w:t>‘</w:t>
      </w:r>
      <w:r w:rsidRPr="005F6BD6">
        <w:rPr>
          <w:rFonts w:ascii="Arial" w:hAnsi="Arial" w:cs="Arial"/>
          <w:sz w:val="24"/>
          <w:szCs w:val="24"/>
        </w:rPr>
        <w:t>technology support ageing in place in healthy older adults? A systematic review</w:t>
      </w:r>
      <w:r w:rsidR="003B662B">
        <w:rPr>
          <w:rFonts w:ascii="Arial" w:hAnsi="Arial" w:cs="Arial"/>
          <w:sz w:val="24"/>
          <w:szCs w:val="24"/>
        </w:rPr>
        <w:t xml:space="preserve">’. </w:t>
      </w:r>
      <w:r w:rsidRPr="003B662B">
        <w:rPr>
          <w:rFonts w:ascii="Arial" w:hAnsi="Arial" w:cs="Arial"/>
          <w:i/>
          <w:iCs/>
          <w:sz w:val="24"/>
          <w:szCs w:val="24"/>
        </w:rPr>
        <w:t>Public health reviews</w:t>
      </w:r>
      <w:r w:rsidRPr="005F6BD6">
        <w:rPr>
          <w:rFonts w:ascii="Arial" w:hAnsi="Arial" w:cs="Arial"/>
          <w:sz w:val="24"/>
          <w:szCs w:val="24"/>
        </w:rPr>
        <w:t>, 41(1), pp.1-12.</w:t>
      </w:r>
      <w:r w:rsidR="003B662B" w:rsidRPr="003B662B">
        <w:rPr>
          <w:rFonts w:ascii="Arial" w:hAnsi="Arial" w:cs="Arial"/>
          <w:sz w:val="24"/>
          <w:szCs w:val="24"/>
        </w:rPr>
        <w:t xml:space="preserve"> </w:t>
      </w:r>
      <w:r w:rsidR="003B662B">
        <w:rPr>
          <w:rFonts w:ascii="Arial" w:hAnsi="Arial" w:cs="Arial"/>
          <w:sz w:val="24"/>
          <w:szCs w:val="24"/>
        </w:rPr>
        <w:t xml:space="preserve">Available: </w:t>
      </w:r>
      <w:r w:rsidRPr="005F6BD6">
        <w:rPr>
          <w:rFonts w:ascii="Arial" w:hAnsi="Arial" w:cs="Arial"/>
          <w:sz w:val="24"/>
          <w:szCs w:val="24"/>
        </w:rPr>
        <w:t xml:space="preserve"> </w:t>
      </w:r>
      <w:hyperlink r:id="rId16" w:history="1">
        <w:r w:rsidR="003B662B" w:rsidRPr="00245DDD">
          <w:rPr>
            <w:rStyle w:val="Hyperlink"/>
            <w:rFonts w:ascii="Arial" w:hAnsi="Arial" w:cs="Arial"/>
            <w:sz w:val="24"/>
            <w:szCs w:val="24"/>
          </w:rPr>
          <w:t>https://doi.org/10.1186/s40985-020-00143-4</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r w:rsidRPr="005F6BD6">
        <w:rPr>
          <w:rFonts w:ascii="Arial" w:hAnsi="Arial" w:cs="Arial"/>
          <w:sz w:val="24"/>
          <w:szCs w:val="24"/>
        </w:rPr>
        <w:t xml:space="preserve"> </w:t>
      </w:r>
    </w:p>
    <w:p w14:paraId="1B5693FA" w14:textId="3D9D98C1"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t>Pilotto</w:t>
      </w:r>
      <w:proofErr w:type="spellEnd"/>
      <w:r w:rsidRPr="005F6BD6">
        <w:rPr>
          <w:rFonts w:ascii="Arial" w:hAnsi="Arial" w:cs="Arial"/>
          <w:sz w:val="24"/>
          <w:szCs w:val="24"/>
        </w:rPr>
        <w:t xml:space="preserve">, A., </w:t>
      </w:r>
      <w:proofErr w:type="spellStart"/>
      <w:r w:rsidRPr="005F6BD6">
        <w:rPr>
          <w:rFonts w:ascii="Arial" w:hAnsi="Arial" w:cs="Arial"/>
          <w:sz w:val="24"/>
          <w:szCs w:val="24"/>
        </w:rPr>
        <w:t>Boi</w:t>
      </w:r>
      <w:proofErr w:type="spellEnd"/>
      <w:r w:rsidRPr="005F6BD6">
        <w:rPr>
          <w:rFonts w:ascii="Arial" w:hAnsi="Arial" w:cs="Arial"/>
          <w:sz w:val="24"/>
          <w:szCs w:val="24"/>
        </w:rPr>
        <w:t xml:space="preserve">, R. and </w:t>
      </w:r>
      <w:proofErr w:type="spellStart"/>
      <w:r w:rsidRPr="005F6BD6">
        <w:rPr>
          <w:rFonts w:ascii="Arial" w:hAnsi="Arial" w:cs="Arial"/>
          <w:sz w:val="24"/>
          <w:szCs w:val="24"/>
        </w:rPr>
        <w:t>Petermans</w:t>
      </w:r>
      <w:proofErr w:type="spellEnd"/>
      <w:r w:rsidRPr="005F6BD6">
        <w:rPr>
          <w:rFonts w:ascii="Arial" w:hAnsi="Arial" w:cs="Arial"/>
          <w:sz w:val="24"/>
          <w:szCs w:val="24"/>
        </w:rPr>
        <w:t xml:space="preserve">, J. </w:t>
      </w:r>
      <w:r w:rsidR="003B662B">
        <w:rPr>
          <w:rFonts w:ascii="Arial" w:hAnsi="Arial" w:cs="Arial"/>
          <w:sz w:val="24"/>
          <w:szCs w:val="24"/>
        </w:rPr>
        <w:t>(</w:t>
      </w:r>
      <w:r w:rsidRPr="005F6BD6">
        <w:rPr>
          <w:rFonts w:ascii="Arial" w:hAnsi="Arial" w:cs="Arial"/>
          <w:sz w:val="24"/>
          <w:szCs w:val="24"/>
        </w:rPr>
        <w:t>2018</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 xml:space="preserve">Technology in </w:t>
      </w:r>
      <w:proofErr w:type="gramStart"/>
      <w:r w:rsidRPr="005F6BD6">
        <w:rPr>
          <w:rFonts w:ascii="Arial" w:hAnsi="Arial" w:cs="Arial"/>
          <w:sz w:val="24"/>
          <w:szCs w:val="24"/>
        </w:rPr>
        <w:t>geriatrics</w:t>
      </w:r>
      <w:r w:rsidR="003B662B">
        <w:rPr>
          <w:rFonts w:ascii="Arial" w:hAnsi="Arial" w:cs="Arial"/>
          <w:sz w:val="24"/>
          <w:szCs w:val="24"/>
        </w:rPr>
        <w:t>’</w:t>
      </w:r>
      <w:proofErr w:type="gramEnd"/>
      <w:r w:rsidRPr="005F6BD6">
        <w:rPr>
          <w:rFonts w:ascii="Arial" w:hAnsi="Arial" w:cs="Arial"/>
          <w:sz w:val="24"/>
          <w:szCs w:val="24"/>
        </w:rPr>
        <w:t xml:space="preserve">. </w:t>
      </w:r>
      <w:r w:rsidRPr="003B662B">
        <w:rPr>
          <w:rFonts w:ascii="Arial" w:hAnsi="Arial" w:cs="Arial"/>
          <w:i/>
          <w:iCs/>
          <w:sz w:val="24"/>
          <w:szCs w:val="24"/>
        </w:rPr>
        <w:t>Age and ageing</w:t>
      </w:r>
      <w:r w:rsidRPr="005F6BD6">
        <w:rPr>
          <w:rFonts w:ascii="Arial" w:hAnsi="Arial" w:cs="Arial"/>
          <w:sz w:val="24"/>
          <w:szCs w:val="24"/>
        </w:rPr>
        <w:t>, 47(6), pp.771-774.</w:t>
      </w:r>
      <w:r w:rsidR="003B662B" w:rsidRPr="003B662B">
        <w:rPr>
          <w:rFonts w:ascii="Arial" w:hAnsi="Arial" w:cs="Arial"/>
          <w:sz w:val="24"/>
          <w:szCs w:val="24"/>
        </w:rPr>
        <w:t xml:space="preserve"> </w:t>
      </w:r>
      <w:r w:rsidR="003B662B">
        <w:rPr>
          <w:rFonts w:ascii="Arial" w:hAnsi="Arial" w:cs="Arial"/>
          <w:sz w:val="24"/>
          <w:szCs w:val="24"/>
        </w:rPr>
        <w:t>Available:</w:t>
      </w:r>
      <w:r w:rsidRPr="005F6BD6">
        <w:rPr>
          <w:rFonts w:ascii="Arial" w:hAnsi="Arial" w:cs="Arial"/>
          <w:sz w:val="24"/>
          <w:szCs w:val="24"/>
        </w:rPr>
        <w:t xml:space="preserve"> https://doi.org/10.1093/ageing/afy026</w:t>
      </w:r>
      <w:r w:rsidR="003B662B">
        <w:rPr>
          <w:rFonts w:ascii="Arial" w:hAnsi="Arial" w:cs="Arial"/>
          <w:sz w:val="24"/>
          <w:szCs w:val="24"/>
        </w:rPr>
        <w:t>. (Accessed: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6377A740" w14:textId="33AD3EBC"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Ritchie, H. and </w:t>
      </w:r>
      <w:proofErr w:type="spellStart"/>
      <w:r w:rsidRPr="005F6BD6">
        <w:rPr>
          <w:rFonts w:ascii="Arial" w:hAnsi="Arial" w:cs="Arial"/>
          <w:sz w:val="24"/>
          <w:szCs w:val="24"/>
        </w:rPr>
        <w:t>Roser</w:t>
      </w:r>
      <w:proofErr w:type="spellEnd"/>
      <w:r w:rsidRPr="005F6BD6">
        <w:rPr>
          <w:rFonts w:ascii="Arial" w:hAnsi="Arial" w:cs="Arial"/>
          <w:sz w:val="24"/>
          <w:szCs w:val="24"/>
        </w:rPr>
        <w:t xml:space="preserve">, M. </w:t>
      </w:r>
      <w:r w:rsidR="003B662B">
        <w:rPr>
          <w:rFonts w:ascii="Arial" w:hAnsi="Arial" w:cs="Arial"/>
          <w:sz w:val="24"/>
          <w:szCs w:val="24"/>
        </w:rPr>
        <w:t>(</w:t>
      </w:r>
      <w:r w:rsidRPr="005F6BD6">
        <w:rPr>
          <w:rFonts w:ascii="Arial" w:hAnsi="Arial" w:cs="Arial"/>
          <w:sz w:val="24"/>
          <w:szCs w:val="24"/>
        </w:rPr>
        <w:t>2019</w:t>
      </w:r>
      <w:r w:rsidR="003B662B">
        <w:rPr>
          <w:rFonts w:ascii="Arial" w:hAnsi="Arial" w:cs="Arial"/>
          <w:sz w:val="24"/>
          <w:szCs w:val="24"/>
        </w:rPr>
        <w:t>)</w:t>
      </w:r>
      <w:r w:rsidRPr="005F6BD6">
        <w:rPr>
          <w:rFonts w:ascii="Arial" w:hAnsi="Arial" w:cs="Arial"/>
          <w:sz w:val="24"/>
          <w:szCs w:val="24"/>
        </w:rPr>
        <w:t xml:space="preserve"> </w:t>
      </w:r>
      <w:r w:rsidR="003B662B">
        <w:rPr>
          <w:rFonts w:ascii="Arial" w:hAnsi="Arial" w:cs="Arial"/>
          <w:sz w:val="24"/>
          <w:szCs w:val="24"/>
        </w:rPr>
        <w:t>‘</w:t>
      </w:r>
      <w:r w:rsidRPr="005F6BD6">
        <w:rPr>
          <w:rFonts w:ascii="Arial" w:hAnsi="Arial" w:cs="Arial"/>
          <w:sz w:val="24"/>
          <w:szCs w:val="24"/>
        </w:rPr>
        <w:t>Age structure</w:t>
      </w:r>
      <w:r w:rsidR="003B662B">
        <w:rPr>
          <w:rFonts w:ascii="Arial" w:hAnsi="Arial" w:cs="Arial"/>
          <w:sz w:val="24"/>
          <w:szCs w:val="24"/>
        </w:rPr>
        <w:t>’</w:t>
      </w:r>
      <w:r w:rsidRPr="005F6BD6">
        <w:rPr>
          <w:rFonts w:ascii="Arial" w:hAnsi="Arial" w:cs="Arial"/>
          <w:sz w:val="24"/>
          <w:szCs w:val="24"/>
        </w:rPr>
        <w:t xml:space="preserve">. </w:t>
      </w:r>
      <w:r w:rsidRPr="003B662B">
        <w:rPr>
          <w:rFonts w:ascii="Arial" w:hAnsi="Arial" w:cs="Arial"/>
          <w:i/>
          <w:iCs/>
          <w:sz w:val="24"/>
          <w:szCs w:val="24"/>
        </w:rPr>
        <w:t>Our World in Data.</w:t>
      </w:r>
      <w:r w:rsidRPr="005F6BD6">
        <w:rPr>
          <w:rFonts w:ascii="Arial" w:hAnsi="Arial" w:cs="Arial"/>
          <w:sz w:val="24"/>
          <w:szCs w:val="24"/>
        </w:rPr>
        <w:t xml:space="preserve"> </w:t>
      </w:r>
      <w:r w:rsidR="003B662B">
        <w:rPr>
          <w:rFonts w:ascii="Arial" w:hAnsi="Arial" w:cs="Arial"/>
          <w:sz w:val="24"/>
          <w:szCs w:val="24"/>
        </w:rPr>
        <w:t>Available:</w:t>
      </w:r>
      <w:r w:rsidR="003B662B">
        <w:rPr>
          <w:rFonts w:ascii="Arial" w:hAnsi="Arial" w:cs="Arial"/>
          <w:sz w:val="24"/>
          <w:szCs w:val="24"/>
        </w:rPr>
        <w:t xml:space="preserve"> </w:t>
      </w:r>
      <w:hyperlink r:id="rId17" w:history="1">
        <w:r w:rsidR="003B662B" w:rsidRPr="00245DDD">
          <w:rPr>
            <w:rStyle w:val="Hyperlink"/>
            <w:rFonts w:ascii="Arial" w:hAnsi="Arial" w:cs="Arial"/>
            <w:sz w:val="24"/>
            <w:szCs w:val="24"/>
          </w:rPr>
          <w:t>https://ourworldindata.org/age-structure?country=</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00581C65" w14:textId="40D0FBA6"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Rocks, S., </w:t>
      </w:r>
      <w:proofErr w:type="spellStart"/>
      <w:r w:rsidRPr="005F6BD6">
        <w:rPr>
          <w:rFonts w:ascii="Arial" w:hAnsi="Arial" w:cs="Arial"/>
          <w:sz w:val="24"/>
          <w:szCs w:val="24"/>
        </w:rPr>
        <w:t>Boccarini</w:t>
      </w:r>
      <w:proofErr w:type="spellEnd"/>
      <w:r w:rsidRPr="005F6BD6">
        <w:rPr>
          <w:rFonts w:ascii="Arial" w:hAnsi="Arial" w:cs="Arial"/>
          <w:sz w:val="24"/>
          <w:szCs w:val="24"/>
        </w:rPr>
        <w:t xml:space="preserve">, G., Charlesworth, A., </w:t>
      </w:r>
      <w:proofErr w:type="spellStart"/>
      <w:r w:rsidRPr="005F6BD6">
        <w:rPr>
          <w:rFonts w:ascii="Arial" w:hAnsi="Arial" w:cs="Arial"/>
          <w:sz w:val="24"/>
          <w:szCs w:val="24"/>
        </w:rPr>
        <w:t>Idriss</w:t>
      </w:r>
      <w:proofErr w:type="spellEnd"/>
      <w:r w:rsidRPr="005F6BD6">
        <w:rPr>
          <w:rFonts w:ascii="Arial" w:hAnsi="Arial" w:cs="Arial"/>
          <w:sz w:val="24"/>
          <w:szCs w:val="24"/>
        </w:rPr>
        <w:t>, O., McConkey, R. and Rachet-</w:t>
      </w:r>
      <w:proofErr w:type="spellStart"/>
      <w:r w:rsidRPr="005F6BD6">
        <w:rPr>
          <w:rFonts w:ascii="Arial" w:hAnsi="Arial" w:cs="Arial"/>
          <w:sz w:val="24"/>
          <w:szCs w:val="24"/>
        </w:rPr>
        <w:t>Jacquet</w:t>
      </w:r>
      <w:proofErr w:type="spellEnd"/>
      <w:r w:rsidRPr="005F6BD6">
        <w:rPr>
          <w:rFonts w:ascii="Arial" w:hAnsi="Arial" w:cs="Arial"/>
          <w:sz w:val="24"/>
          <w:szCs w:val="24"/>
        </w:rPr>
        <w:t xml:space="preserve">, L. </w:t>
      </w:r>
      <w:r w:rsidR="003B662B">
        <w:rPr>
          <w:rFonts w:ascii="Arial" w:hAnsi="Arial" w:cs="Arial"/>
          <w:sz w:val="24"/>
          <w:szCs w:val="24"/>
        </w:rPr>
        <w:t>(</w:t>
      </w:r>
      <w:r w:rsidRPr="005F6BD6">
        <w:rPr>
          <w:rFonts w:ascii="Arial" w:hAnsi="Arial" w:cs="Arial"/>
          <w:sz w:val="24"/>
          <w:szCs w:val="24"/>
        </w:rPr>
        <w:t>2021</w:t>
      </w:r>
      <w:r w:rsidR="003B662B">
        <w:rPr>
          <w:rFonts w:ascii="Arial" w:hAnsi="Arial" w:cs="Arial"/>
          <w:sz w:val="24"/>
          <w:szCs w:val="24"/>
        </w:rPr>
        <w:t xml:space="preserve">) </w:t>
      </w:r>
      <w:r w:rsidRPr="003B662B">
        <w:rPr>
          <w:rFonts w:ascii="Arial" w:hAnsi="Arial" w:cs="Arial"/>
          <w:i/>
          <w:iCs/>
          <w:sz w:val="24"/>
          <w:szCs w:val="24"/>
        </w:rPr>
        <w:t>REAL Centre Projections.</w:t>
      </w:r>
      <w:r w:rsidRPr="005F6BD6">
        <w:rPr>
          <w:rFonts w:ascii="Arial" w:hAnsi="Arial" w:cs="Arial"/>
          <w:sz w:val="24"/>
          <w:szCs w:val="24"/>
        </w:rPr>
        <w:t xml:space="preserve"> </w:t>
      </w:r>
      <w:r w:rsidR="003B662B">
        <w:rPr>
          <w:rFonts w:ascii="Arial" w:hAnsi="Arial" w:cs="Arial"/>
          <w:sz w:val="24"/>
          <w:szCs w:val="24"/>
        </w:rPr>
        <w:t xml:space="preserve">Available: </w:t>
      </w:r>
      <w:hyperlink r:id="rId18" w:history="1">
        <w:r w:rsidR="003B662B" w:rsidRPr="00245DDD">
          <w:rPr>
            <w:rStyle w:val="Hyperlink"/>
            <w:rFonts w:ascii="Arial" w:hAnsi="Arial" w:cs="Arial"/>
            <w:sz w:val="24"/>
            <w:szCs w:val="24"/>
          </w:rPr>
          <w:t>https://www.health.org.uk/sites/default/files/upload/publications/2021/REALCentreFundingProjections_WEB.pdf</w:t>
        </w:r>
      </w:hyperlink>
      <w:r w:rsidR="003B662B">
        <w:rPr>
          <w:rFonts w:ascii="Arial" w:hAnsi="Arial" w:cs="Arial"/>
          <w:sz w:val="24"/>
          <w:szCs w:val="24"/>
        </w:rPr>
        <w:t xml:space="preserve">. </w:t>
      </w:r>
      <w:r w:rsidR="003B662B">
        <w:rPr>
          <w:rFonts w:ascii="Arial" w:hAnsi="Arial" w:cs="Arial"/>
          <w:sz w:val="24"/>
          <w:szCs w:val="24"/>
        </w:rPr>
        <w:t>(Accessed: 16</w:t>
      </w:r>
      <w:r w:rsidR="003B662B" w:rsidRPr="003C4E0A">
        <w:rPr>
          <w:rFonts w:ascii="Arial" w:hAnsi="Arial" w:cs="Arial"/>
          <w:sz w:val="24"/>
          <w:szCs w:val="24"/>
          <w:vertAlign w:val="superscript"/>
        </w:rPr>
        <w:t>th</w:t>
      </w:r>
      <w:r w:rsidR="003B662B">
        <w:rPr>
          <w:rFonts w:ascii="Arial" w:hAnsi="Arial" w:cs="Arial"/>
          <w:sz w:val="24"/>
          <w:szCs w:val="24"/>
        </w:rPr>
        <w:t xml:space="preserve"> October 2022).</w:t>
      </w:r>
    </w:p>
    <w:p w14:paraId="4F45EF82" w14:textId="76EB99FB" w:rsidR="003E1C98" w:rsidRPr="005F6BD6" w:rsidRDefault="003B662B" w:rsidP="005F6BD6">
      <w:pPr>
        <w:spacing w:line="360" w:lineRule="auto"/>
        <w:rPr>
          <w:rFonts w:ascii="Arial" w:hAnsi="Arial" w:cs="Arial"/>
          <w:sz w:val="24"/>
          <w:szCs w:val="24"/>
        </w:rPr>
      </w:pPr>
      <w:r>
        <w:rPr>
          <w:rFonts w:ascii="Arial" w:hAnsi="Arial" w:cs="Arial"/>
          <w:sz w:val="24"/>
          <w:szCs w:val="24"/>
        </w:rPr>
        <w:t>Census</w:t>
      </w:r>
      <w:r w:rsidR="000A5C73">
        <w:rPr>
          <w:rFonts w:ascii="Arial" w:hAnsi="Arial" w:cs="Arial"/>
          <w:sz w:val="24"/>
          <w:szCs w:val="24"/>
        </w:rPr>
        <w:t>,</w:t>
      </w:r>
      <w:r>
        <w:rPr>
          <w:rFonts w:ascii="Arial" w:hAnsi="Arial" w:cs="Arial"/>
          <w:sz w:val="24"/>
          <w:szCs w:val="24"/>
        </w:rPr>
        <w:t xml:space="preserve"> (</w:t>
      </w:r>
      <w:r w:rsidR="003E1C98" w:rsidRPr="005F6BD6">
        <w:rPr>
          <w:rFonts w:ascii="Arial" w:hAnsi="Arial" w:cs="Arial"/>
          <w:sz w:val="24"/>
          <w:szCs w:val="24"/>
        </w:rPr>
        <w:t>2022</w:t>
      </w:r>
      <w:r>
        <w:rPr>
          <w:rFonts w:ascii="Arial" w:hAnsi="Arial" w:cs="Arial"/>
          <w:sz w:val="24"/>
          <w:szCs w:val="24"/>
        </w:rPr>
        <w:t>)</w:t>
      </w:r>
      <w:r w:rsidR="003E1C98" w:rsidRPr="005F6BD6">
        <w:rPr>
          <w:rFonts w:ascii="Arial" w:hAnsi="Arial" w:cs="Arial"/>
          <w:sz w:val="24"/>
          <w:szCs w:val="24"/>
        </w:rPr>
        <w:t xml:space="preserve"> </w:t>
      </w:r>
      <w:r w:rsidR="003E1C98" w:rsidRPr="000A5C73">
        <w:rPr>
          <w:rFonts w:ascii="Arial" w:hAnsi="Arial" w:cs="Arial"/>
          <w:i/>
          <w:iCs/>
          <w:sz w:val="24"/>
          <w:szCs w:val="24"/>
        </w:rPr>
        <w:t>Overview of the UK population: 2020, Overview of the UK population - Office for National Statistics. Office for National Statistics</w:t>
      </w:r>
      <w:r w:rsidR="003E1C98" w:rsidRPr="005F6BD6">
        <w:rPr>
          <w:rFonts w:ascii="Arial" w:hAnsi="Arial" w:cs="Arial"/>
          <w:sz w:val="24"/>
          <w:szCs w:val="24"/>
        </w:rPr>
        <w:t>. Available at: https://www.ons.gov.uk/peoplepopulationandcommunity/populationandmigration/populationestimates/articles/overviewoftheukpopulation/2020</w:t>
      </w:r>
      <w:r>
        <w:rPr>
          <w:rFonts w:ascii="Arial" w:hAnsi="Arial" w:cs="Arial"/>
          <w:sz w:val="24"/>
          <w:szCs w:val="24"/>
        </w:rPr>
        <w:t>.</w:t>
      </w:r>
      <w:r w:rsidR="003E1C98" w:rsidRPr="005F6BD6">
        <w:rPr>
          <w:rFonts w:ascii="Arial" w:hAnsi="Arial" w:cs="Arial"/>
          <w:sz w:val="24"/>
          <w:szCs w:val="24"/>
        </w:rPr>
        <w:t xml:space="preserve"> (Accessed: October 12</w:t>
      </w:r>
      <w:r>
        <w:rPr>
          <w:rFonts w:ascii="Arial" w:hAnsi="Arial" w:cs="Arial"/>
          <w:sz w:val="24"/>
          <w:szCs w:val="24"/>
        </w:rPr>
        <w:t>th</w:t>
      </w:r>
      <w:proofErr w:type="gramStart"/>
      <w:r w:rsidR="003E1C98" w:rsidRPr="005F6BD6">
        <w:rPr>
          <w:rFonts w:ascii="Arial" w:hAnsi="Arial" w:cs="Arial"/>
          <w:sz w:val="24"/>
          <w:szCs w:val="24"/>
        </w:rPr>
        <w:t xml:space="preserve"> 2022</w:t>
      </w:r>
      <w:proofErr w:type="gramEnd"/>
      <w:r w:rsidR="003E1C98" w:rsidRPr="005F6BD6">
        <w:rPr>
          <w:rFonts w:ascii="Arial" w:hAnsi="Arial" w:cs="Arial"/>
          <w:sz w:val="24"/>
          <w:szCs w:val="24"/>
        </w:rPr>
        <w:t>).</w:t>
      </w:r>
    </w:p>
    <w:p w14:paraId="49023D7F" w14:textId="7C91A451" w:rsidR="003E1C98" w:rsidRPr="005F6BD6" w:rsidRDefault="003E1C98" w:rsidP="005F6BD6">
      <w:pPr>
        <w:spacing w:line="360" w:lineRule="auto"/>
        <w:rPr>
          <w:rFonts w:ascii="Arial" w:hAnsi="Arial" w:cs="Arial"/>
          <w:sz w:val="24"/>
          <w:szCs w:val="24"/>
        </w:rPr>
      </w:pPr>
      <w:proofErr w:type="spellStart"/>
      <w:r w:rsidRPr="005F6BD6">
        <w:rPr>
          <w:rFonts w:ascii="Arial" w:hAnsi="Arial" w:cs="Arial"/>
          <w:sz w:val="24"/>
          <w:szCs w:val="24"/>
        </w:rPr>
        <w:lastRenderedPageBreak/>
        <w:t>Thorlby</w:t>
      </w:r>
      <w:proofErr w:type="spellEnd"/>
      <w:r w:rsidRPr="005F6BD6">
        <w:rPr>
          <w:rFonts w:ascii="Arial" w:hAnsi="Arial" w:cs="Arial"/>
          <w:sz w:val="24"/>
          <w:szCs w:val="24"/>
        </w:rPr>
        <w:t>, R., Gardner, T., &amp; Fraser, C. (2022)</w:t>
      </w:r>
      <w:r w:rsidR="000A5C73">
        <w:rPr>
          <w:rFonts w:ascii="Arial" w:hAnsi="Arial" w:cs="Arial"/>
          <w:sz w:val="24"/>
          <w:szCs w:val="24"/>
        </w:rPr>
        <w:t xml:space="preserve"> </w:t>
      </w:r>
      <w:r w:rsidRPr="000A5C73">
        <w:rPr>
          <w:rFonts w:ascii="Arial" w:hAnsi="Arial" w:cs="Arial"/>
          <w:i/>
          <w:iCs/>
          <w:sz w:val="24"/>
          <w:szCs w:val="24"/>
        </w:rPr>
        <w:t>Health and care for older adults during the pandemic. What The Commonwealth Fund's 2021 international survey reveals about the UK</w:t>
      </w:r>
      <w:r w:rsidRPr="005F6BD6">
        <w:rPr>
          <w:rFonts w:ascii="Arial" w:hAnsi="Arial" w:cs="Arial"/>
          <w:sz w:val="24"/>
          <w:szCs w:val="24"/>
        </w:rPr>
        <w:t xml:space="preserve">. </w:t>
      </w:r>
      <w:r w:rsidR="000A5C73">
        <w:rPr>
          <w:rFonts w:ascii="Arial" w:hAnsi="Arial" w:cs="Arial"/>
          <w:sz w:val="24"/>
          <w:szCs w:val="24"/>
        </w:rPr>
        <w:t xml:space="preserve">Available: </w:t>
      </w:r>
      <w:hyperlink r:id="rId19" w:history="1">
        <w:r w:rsidR="000A5C73" w:rsidRPr="00245DDD">
          <w:rPr>
            <w:rStyle w:val="Hyperlink"/>
            <w:rFonts w:ascii="Arial" w:hAnsi="Arial" w:cs="Arial"/>
            <w:sz w:val="24"/>
            <w:szCs w:val="24"/>
          </w:rPr>
          <w:t>https://www.health.org.uk/news-and-comment/charts-and-infographics/health-and-care-for-older-adults-during-the-pandemic</w:t>
        </w:r>
      </w:hyperlink>
      <w:r w:rsidR="000A5C73">
        <w:rPr>
          <w:rFonts w:ascii="Arial" w:hAnsi="Arial" w:cs="Arial"/>
          <w:sz w:val="24"/>
          <w:szCs w:val="24"/>
        </w:rPr>
        <w:t xml:space="preserve">. </w:t>
      </w:r>
      <w:r w:rsidR="000A5C73">
        <w:rPr>
          <w:rFonts w:ascii="Arial" w:hAnsi="Arial" w:cs="Arial"/>
          <w:sz w:val="24"/>
          <w:szCs w:val="24"/>
        </w:rPr>
        <w:t>(Accessed: 16</w:t>
      </w:r>
      <w:r w:rsidR="000A5C73" w:rsidRPr="003C4E0A">
        <w:rPr>
          <w:rFonts w:ascii="Arial" w:hAnsi="Arial" w:cs="Arial"/>
          <w:sz w:val="24"/>
          <w:szCs w:val="24"/>
          <w:vertAlign w:val="superscript"/>
        </w:rPr>
        <w:t>th</w:t>
      </w:r>
      <w:r w:rsidR="000A5C73">
        <w:rPr>
          <w:rFonts w:ascii="Arial" w:hAnsi="Arial" w:cs="Arial"/>
          <w:sz w:val="24"/>
          <w:szCs w:val="24"/>
        </w:rPr>
        <w:t xml:space="preserve"> October 2022).</w:t>
      </w:r>
    </w:p>
    <w:p w14:paraId="25BABF8E" w14:textId="0F370A0F" w:rsidR="000A5C73" w:rsidRPr="005F6BD6" w:rsidRDefault="003E1C98" w:rsidP="000A5C73">
      <w:pPr>
        <w:spacing w:line="360" w:lineRule="auto"/>
        <w:rPr>
          <w:rFonts w:ascii="Arial" w:hAnsi="Arial" w:cs="Arial"/>
          <w:sz w:val="24"/>
          <w:szCs w:val="24"/>
        </w:rPr>
      </w:pPr>
      <w:r w:rsidRPr="005F6BD6">
        <w:rPr>
          <w:rFonts w:ascii="Arial" w:hAnsi="Arial" w:cs="Arial"/>
          <w:sz w:val="24"/>
          <w:szCs w:val="24"/>
        </w:rPr>
        <w:t xml:space="preserve">Wenger, G.C. </w:t>
      </w:r>
      <w:r w:rsidR="000A5C73">
        <w:rPr>
          <w:rFonts w:ascii="Arial" w:hAnsi="Arial" w:cs="Arial"/>
          <w:sz w:val="24"/>
          <w:szCs w:val="24"/>
        </w:rPr>
        <w:t>(</w:t>
      </w:r>
      <w:r w:rsidRPr="005F6BD6">
        <w:rPr>
          <w:rFonts w:ascii="Arial" w:hAnsi="Arial" w:cs="Arial"/>
          <w:sz w:val="24"/>
          <w:szCs w:val="24"/>
        </w:rPr>
        <w:t>202</w:t>
      </w:r>
      <w:r w:rsidR="000A5C73">
        <w:rPr>
          <w:rFonts w:ascii="Arial" w:hAnsi="Arial" w:cs="Arial"/>
          <w:sz w:val="24"/>
          <w:szCs w:val="24"/>
        </w:rPr>
        <w:t>1) ‘</w:t>
      </w:r>
      <w:r w:rsidRPr="005F6BD6">
        <w:rPr>
          <w:rFonts w:ascii="Arial" w:hAnsi="Arial" w:cs="Arial"/>
          <w:sz w:val="24"/>
          <w:szCs w:val="24"/>
        </w:rPr>
        <w:t>The supportive network: Coping with old age</w:t>
      </w:r>
      <w:r w:rsidR="000A5C73">
        <w:rPr>
          <w:rFonts w:ascii="Arial" w:hAnsi="Arial" w:cs="Arial"/>
          <w:sz w:val="24"/>
          <w:szCs w:val="24"/>
        </w:rPr>
        <w:t>’</w:t>
      </w:r>
      <w:r w:rsidRPr="005F6BD6">
        <w:rPr>
          <w:rFonts w:ascii="Arial" w:hAnsi="Arial" w:cs="Arial"/>
          <w:sz w:val="24"/>
          <w:szCs w:val="24"/>
        </w:rPr>
        <w:t xml:space="preserve">. Routledge. </w:t>
      </w:r>
      <w:r w:rsidR="000A5C73">
        <w:rPr>
          <w:rFonts w:ascii="Arial" w:hAnsi="Arial" w:cs="Arial"/>
          <w:sz w:val="24"/>
          <w:szCs w:val="24"/>
        </w:rPr>
        <w:t xml:space="preserve">Available: </w:t>
      </w:r>
      <w:hyperlink r:id="rId20" w:history="1">
        <w:r w:rsidR="000A5C73" w:rsidRPr="00245DDD">
          <w:rPr>
            <w:rStyle w:val="Hyperlink"/>
            <w:rFonts w:ascii="Arial" w:hAnsi="Arial" w:cs="Arial"/>
            <w:sz w:val="24"/>
            <w:szCs w:val="24"/>
          </w:rPr>
          <w:t>https://doi.org/10.4324/9781003206989</w:t>
        </w:r>
      </w:hyperlink>
      <w:r w:rsidR="000A5C73">
        <w:rPr>
          <w:rFonts w:ascii="Arial" w:hAnsi="Arial" w:cs="Arial"/>
          <w:sz w:val="24"/>
          <w:szCs w:val="24"/>
        </w:rPr>
        <w:t xml:space="preserve">. </w:t>
      </w:r>
      <w:r w:rsidR="000A5C73">
        <w:rPr>
          <w:rFonts w:ascii="Arial" w:hAnsi="Arial" w:cs="Arial"/>
          <w:sz w:val="24"/>
          <w:szCs w:val="24"/>
        </w:rPr>
        <w:t>(Accessed: 16</w:t>
      </w:r>
      <w:r w:rsidR="000A5C73" w:rsidRPr="003C4E0A">
        <w:rPr>
          <w:rFonts w:ascii="Arial" w:hAnsi="Arial" w:cs="Arial"/>
          <w:sz w:val="24"/>
          <w:szCs w:val="24"/>
          <w:vertAlign w:val="superscript"/>
        </w:rPr>
        <w:t>th</w:t>
      </w:r>
      <w:r w:rsidR="000A5C73">
        <w:rPr>
          <w:rFonts w:ascii="Arial" w:hAnsi="Arial" w:cs="Arial"/>
          <w:sz w:val="24"/>
          <w:szCs w:val="24"/>
        </w:rPr>
        <w:t xml:space="preserve"> October 2022).</w:t>
      </w:r>
    </w:p>
    <w:p w14:paraId="75FE0F3E" w14:textId="085372E5" w:rsidR="003E1C98" w:rsidRPr="005F6BD6" w:rsidRDefault="003E1C98" w:rsidP="005F6BD6">
      <w:pPr>
        <w:spacing w:line="360" w:lineRule="auto"/>
        <w:rPr>
          <w:rFonts w:ascii="Arial" w:hAnsi="Arial" w:cs="Arial"/>
          <w:sz w:val="24"/>
          <w:szCs w:val="24"/>
        </w:rPr>
      </w:pPr>
      <w:r w:rsidRPr="005F6BD6">
        <w:rPr>
          <w:rFonts w:ascii="Arial" w:hAnsi="Arial" w:cs="Arial"/>
          <w:sz w:val="24"/>
          <w:szCs w:val="24"/>
        </w:rPr>
        <w:t xml:space="preserve"> </w:t>
      </w:r>
    </w:p>
    <w:p w14:paraId="1D584FF3" w14:textId="2E9BC31F" w:rsidR="008101F1" w:rsidRPr="005F6BD6" w:rsidRDefault="008101F1" w:rsidP="005F6BD6">
      <w:pPr>
        <w:spacing w:line="360" w:lineRule="auto"/>
        <w:rPr>
          <w:rFonts w:ascii="Arial" w:hAnsi="Arial" w:cs="Arial"/>
          <w:sz w:val="24"/>
          <w:szCs w:val="24"/>
        </w:rPr>
      </w:pPr>
    </w:p>
    <w:sectPr w:rsidR="008101F1" w:rsidRPr="005F6BD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B447" w14:textId="77777777" w:rsidR="005F6BD6" w:rsidRDefault="005F6BD6" w:rsidP="005F6BD6">
      <w:pPr>
        <w:spacing w:after="0" w:line="240" w:lineRule="auto"/>
      </w:pPr>
      <w:r>
        <w:separator/>
      </w:r>
    </w:p>
  </w:endnote>
  <w:endnote w:type="continuationSeparator" w:id="0">
    <w:p w14:paraId="667FFCE4" w14:textId="77777777" w:rsidR="005F6BD6" w:rsidRDefault="005F6BD6" w:rsidP="005F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367390"/>
      <w:docPartObj>
        <w:docPartGallery w:val="Page Numbers (Bottom of Page)"/>
        <w:docPartUnique/>
      </w:docPartObj>
    </w:sdtPr>
    <w:sdtEndPr>
      <w:rPr>
        <w:noProof/>
      </w:rPr>
    </w:sdtEndPr>
    <w:sdtContent>
      <w:p w14:paraId="56BF92A3" w14:textId="7AD8866D" w:rsidR="005F6BD6" w:rsidRDefault="005F6B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7CA5FB" w14:textId="77777777" w:rsidR="005F6BD6" w:rsidRDefault="005F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3D08C" w14:textId="77777777" w:rsidR="005F6BD6" w:rsidRDefault="005F6BD6" w:rsidP="005F6BD6">
      <w:pPr>
        <w:spacing w:after="0" w:line="240" w:lineRule="auto"/>
      </w:pPr>
      <w:r>
        <w:separator/>
      </w:r>
    </w:p>
  </w:footnote>
  <w:footnote w:type="continuationSeparator" w:id="0">
    <w:p w14:paraId="2448345F" w14:textId="77777777" w:rsidR="005F6BD6" w:rsidRDefault="005F6BD6" w:rsidP="005F6B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98"/>
    <w:rsid w:val="000A5C73"/>
    <w:rsid w:val="001C49F4"/>
    <w:rsid w:val="003B662B"/>
    <w:rsid w:val="003C4E0A"/>
    <w:rsid w:val="003E1C98"/>
    <w:rsid w:val="005A6A8A"/>
    <w:rsid w:val="005F6BD6"/>
    <w:rsid w:val="00602DF3"/>
    <w:rsid w:val="008101F1"/>
    <w:rsid w:val="00B236A4"/>
    <w:rsid w:val="00CF4C26"/>
    <w:rsid w:val="00E25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4C606"/>
  <w15:chartTrackingRefBased/>
  <w15:docId w15:val="{FAAABEE2-9135-4588-B06B-D7C91C89F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BD6"/>
  </w:style>
  <w:style w:type="paragraph" w:styleId="Footer">
    <w:name w:val="footer"/>
    <w:basedOn w:val="Normal"/>
    <w:link w:val="FooterChar"/>
    <w:uiPriority w:val="99"/>
    <w:unhideWhenUsed/>
    <w:rsid w:val="005F6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BD6"/>
  </w:style>
  <w:style w:type="character" w:styleId="Hyperlink">
    <w:name w:val="Hyperlink"/>
    <w:basedOn w:val="DefaultParagraphFont"/>
    <w:uiPriority w:val="99"/>
    <w:unhideWhenUsed/>
    <w:rsid w:val="005A6A8A"/>
    <w:rPr>
      <w:color w:val="0563C1" w:themeColor="hyperlink"/>
      <w:u w:val="single"/>
    </w:rPr>
  </w:style>
  <w:style w:type="character" w:styleId="UnresolvedMention">
    <w:name w:val="Unresolved Mention"/>
    <w:basedOn w:val="DefaultParagraphFont"/>
    <w:uiPriority w:val="99"/>
    <w:semiHidden/>
    <w:unhideWhenUsed/>
    <w:rsid w:val="005A6A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083051">
      <w:bodyDiv w:val="1"/>
      <w:marLeft w:val="0"/>
      <w:marRight w:val="0"/>
      <w:marTop w:val="0"/>
      <w:marBottom w:val="0"/>
      <w:divBdr>
        <w:top w:val="none" w:sz="0" w:space="0" w:color="auto"/>
        <w:left w:val="none" w:sz="0" w:space="0" w:color="auto"/>
        <w:bottom w:val="none" w:sz="0" w:space="0" w:color="auto"/>
        <w:right w:val="none" w:sz="0" w:space="0" w:color="auto"/>
      </w:divBdr>
    </w:div>
    <w:div w:id="73551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25/cmj.2020.61.189" TargetMode="External"/><Relationship Id="rId13" Type="http://schemas.openxmlformats.org/officeDocument/2006/relationships/hyperlink" Target="https://doi.org/10.2196/26474" TargetMode="External"/><Relationship Id="rId18" Type="http://schemas.openxmlformats.org/officeDocument/2006/relationships/hyperlink" Target="https://www.health.org.uk/sites/default/files/upload/publications/2021/REALCentreFundingProjections_WEB.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bgs.org.uk/resources/the-state-of-health-care-and-adult-social-care-in-england-201718" TargetMode="External"/><Relationship Id="rId12" Type="http://schemas.openxmlformats.org/officeDocument/2006/relationships/hyperlink" Target="https://doi.org/10.1016/j.ypmed.2021.106458" TargetMode="External"/><Relationship Id="rId17" Type="http://schemas.openxmlformats.org/officeDocument/2006/relationships/hyperlink" Target="https://ourworldindata.org/age-structure?country=" TargetMode="External"/><Relationship Id="rId2" Type="http://schemas.openxmlformats.org/officeDocument/2006/relationships/settings" Target="settings.xml"/><Relationship Id="rId16" Type="http://schemas.openxmlformats.org/officeDocument/2006/relationships/hyperlink" Target="https://doi.org/10.1186/s40985-020-00143-4" TargetMode="External"/><Relationship Id="rId20" Type="http://schemas.openxmlformats.org/officeDocument/2006/relationships/hyperlink" Target="https://doi.org/10.4324/9781003206989" TargetMode="External"/><Relationship Id="rId1" Type="http://schemas.openxmlformats.org/officeDocument/2006/relationships/styles" Target="styles.xml"/><Relationship Id="rId6" Type="http://schemas.openxmlformats.org/officeDocument/2006/relationships/hyperlink" Target="https://doi.org/10.1016/j.maturitas.2018.04.014" TargetMode="External"/><Relationship Id="rId11" Type="http://schemas.openxmlformats.org/officeDocument/2006/relationships/hyperlink" Target="https://doi.org/10.1007/978-3-030-70436-0_18" TargetMode="External"/><Relationship Id="rId5" Type="http://schemas.openxmlformats.org/officeDocument/2006/relationships/endnotes" Target="endnotes.xml"/><Relationship Id="rId15" Type="http://schemas.openxmlformats.org/officeDocument/2006/relationships/hyperlink" Target="http://allcatsrgrey.org.uk/wp/download/social_care/SOCIAL-CARE.pdf" TargetMode="External"/><Relationship Id="rId23" Type="http://schemas.openxmlformats.org/officeDocument/2006/relationships/theme" Target="theme/theme1.xml"/><Relationship Id="rId10" Type="http://schemas.openxmlformats.org/officeDocument/2006/relationships/hyperlink" Target="https://doi.org/10.1017/S0144686X19001776" TargetMode="External"/><Relationship Id="rId19" Type="http://schemas.openxmlformats.org/officeDocument/2006/relationships/hyperlink" Target="https://www.health.org.uk/news-and-comment/charts-and-infographics/health-and-care-for-older-adults-during-the-pandemic" TargetMode="External"/><Relationship Id="rId4" Type="http://schemas.openxmlformats.org/officeDocument/2006/relationships/footnotes" Target="footnotes.xml"/><Relationship Id="rId9" Type="http://schemas.openxmlformats.org/officeDocument/2006/relationships/hyperlink" Target="https://ifs.org.uk/inequality/wp-content/uploads/2020/07/The-Geography-of-the-COVID19-crisis-in-England-1.pdf" TargetMode="External"/><Relationship Id="rId14" Type="http://schemas.openxmlformats.org/officeDocument/2006/relationships/hyperlink" Target="https://doi.org/10.7861/fhj.2022-004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3775</Words>
  <Characters>21522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kerris smith</dc:creator>
  <cp:keywords/>
  <dc:description/>
  <cp:lastModifiedBy>kerris smith</cp:lastModifiedBy>
  <cp:revision>2</cp:revision>
  <dcterms:created xsi:type="dcterms:W3CDTF">2022-10-16T18:23:00Z</dcterms:created>
  <dcterms:modified xsi:type="dcterms:W3CDTF">2022-10-16T18:23:00Z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09cb1c72-3971-4c5a-9111-8b8e7e51f3a4</vt:lpwstr>
  </property>
</Properties>
</file>