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CF4F94">
      <w:pPr>
        <w:spacing w:before="200"/>
        <w:ind w:firstLine="720"/>
        <w:jc w:val="center"/>
        <w:rPr>
          <w:rFonts w:cs="Arial"/>
          <w:b/>
          <w:sz w:val="22"/>
          <w:szCs w:val="22"/>
        </w:rPr>
      </w:pPr>
      <w:r>
        <w:rPr>
          <w:rFonts w:cs="Arial"/>
          <w:b/>
          <w:sz w:val="22"/>
          <w:szCs w:val="22"/>
        </w:rPr>
        <w:t>PG1 - FULL RESEARCH PROPOSAL</w:t>
      </w:r>
    </w:p>
    <w:p w14:paraId="2DFA3052">
      <w:pPr>
        <w:rPr>
          <w:rFonts w:cs="Arial"/>
          <w:b/>
          <w:sz w:val="22"/>
          <w:szCs w:val="22"/>
        </w:rPr>
      </w:pPr>
    </w:p>
    <w:tbl>
      <w:tblPr>
        <w:tblStyle w:val="1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6"/>
      </w:tblGrid>
      <w:tr w14:paraId="4150B978">
        <w:tc>
          <w:tcPr>
            <w:tcW w:w="9776" w:type="dxa"/>
          </w:tcPr>
          <w:p w14:paraId="430C639C">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r>
              <w:fldChar w:fldCharType="begin"/>
            </w:r>
            <w:r>
              <w:instrText xml:space="preserve"> HYPERLINK "mailto:pgresearch@uwtsd.ac.uk" </w:instrText>
            </w:r>
            <w:r>
              <w:fldChar w:fldCharType="separate"/>
            </w:r>
            <w:r>
              <w:rPr>
                <w:rStyle w:val="18"/>
                <w:rFonts w:cs="Arial"/>
                <w:sz w:val="22"/>
                <w:szCs w:val="22"/>
              </w:rPr>
              <w:t>pgresearch@uwtsd.ac.uk</w:t>
            </w:r>
            <w:r>
              <w:rPr>
                <w:rStyle w:val="18"/>
                <w:rFonts w:cs="Arial"/>
                <w:sz w:val="22"/>
                <w:szCs w:val="22"/>
              </w:rPr>
              <w:fldChar w:fldCharType="end"/>
            </w:r>
            <w:r>
              <w:rPr>
                <w:rFonts w:cs="Arial"/>
                <w:b/>
                <w:bCs/>
                <w:sz w:val="22"/>
                <w:szCs w:val="22"/>
              </w:rPr>
              <w:t xml:space="preserve">. </w:t>
            </w:r>
          </w:p>
        </w:tc>
      </w:tr>
    </w:tbl>
    <w:p w14:paraId="3798FFB7">
      <w:pPr>
        <w:rPr>
          <w:rFonts w:cs="Arial"/>
          <w:b/>
          <w:sz w:val="22"/>
          <w:szCs w:val="22"/>
        </w:rPr>
      </w:pPr>
    </w:p>
    <w:p w14:paraId="7907A2D0">
      <w:pPr>
        <w:spacing w:before="240"/>
        <w:rPr>
          <w:rFonts w:cs="Arial"/>
          <w:b/>
          <w:sz w:val="22"/>
          <w:szCs w:val="22"/>
        </w:rPr>
      </w:pPr>
      <w:r>
        <w:rPr>
          <w:rFonts w:cs="Arial"/>
          <w:b/>
          <w:sz w:val="22"/>
          <w:szCs w:val="22"/>
        </w:rPr>
        <w:t xml:space="preserve">Student Details </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14:paraId="1D2DA827">
        <w:tc>
          <w:tcPr>
            <w:tcW w:w="4111" w:type="dxa"/>
            <w:gridSpan w:val="2"/>
            <w:shd w:val="clear" w:color="auto" w:fill="F1F1F1" w:themeFill="background1" w:themeFillShade="F2"/>
          </w:tcPr>
          <w:p w14:paraId="7F110F72">
            <w:pPr>
              <w:tabs>
                <w:tab w:val="center" w:pos="2202"/>
              </w:tabs>
              <w:rPr>
                <w:rFonts w:cs="Arial"/>
                <w:sz w:val="22"/>
                <w:szCs w:val="22"/>
              </w:rPr>
            </w:pPr>
            <w:r>
              <w:rPr>
                <w:rFonts w:cs="Arial"/>
                <w:sz w:val="22"/>
                <w:szCs w:val="22"/>
              </w:rPr>
              <w:t>Student Family / Surname:</w:t>
            </w:r>
          </w:p>
          <w:p w14:paraId="72E20E36">
            <w:pPr>
              <w:rPr>
                <w:rFonts w:cs="Arial"/>
                <w:sz w:val="22"/>
                <w:szCs w:val="22"/>
              </w:rPr>
            </w:pPr>
          </w:p>
        </w:tc>
        <w:tc>
          <w:tcPr>
            <w:tcW w:w="5670" w:type="dxa"/>
            <w:gridSpan w:val="2"/>
            <w:shd w:val="clear" w:color="auto" w:fill="auto"/>
          </w:tcPr>
          <w:p w14:paraId="7917D324">
            <w:pPr>
              <w:rPr>
                <w:rFonts w:eastAsia="宋体" w:cs="Arial"/>
                <w:sz w:val="22"/>
                <w:szCs w:val="22"/>
                <w:lang w:val="en-US" w:eastAsia="zh-CN"/>
              </w:rPr>
            </w:pPr>
            <w:r>
              <w:rPr>
                <w:rFonts w:hint="eastAsia" w:eastAsia="宋体" w:cs="Arial"/>
                <w:sz w:val="22"/>
                <w:szCs w:val="22"/>
                <w:lang w:val="en-US" w:eastAsia="zh-CN"/>
              </w:rPr>
              <w:t>Jin</w:t>
            </w:r>
          </w:p>
        </w:tc>
      </w:tr>
      <w:tr w14:paraId="699A685B">
        <w:tc>
          <w:tcPr>
            <w:tcW w:w="4111" w:type="dxa"/>
            <w:gridSpan w:val="2"/>
            <w:shd w:val="clear" w:color="auto" w:fill="F1F1F1" w:themeFill="background1" w:themeFillShade="F2"/>
          </w:tcPr>
          <w:p w14:paraId="6342C8F4">
            <w:pPr>
              <w:rPr>
                <w:rFonts w:cs="Arial"/>
                <w:sz w:val="22"/>
                <w:szCs w:val="22"/>
              </w:rPr>
            </w:pPr>
            <w:r>
              <w:rPr>
                <w:rFonts w:cs="Arial"/>
                <w:sz w:val="22"/>
                <w:szCs w:val="22"/>
              </w:rPr>
              <w:t>Student Given / First name:</w:t>
            </w:r>
          </w:p>
          <w:p w14:paraId="2E22761D">
            <w:pPr>
              <w:rPr>
                <w:rFonts w:cs="Arial"/>
                <w:sz w:val="22"/>
                <w:szCs w:val="22"/>
              </w:rPr>
            </w:pPr>
          </w:p>
        </w:tc>
        <w:tc>
          <w:tcPr>
            <w:tcW w:w="5670" w:type="dxa"/>
            <w:gridSpan w:val="2"/>
            <w:shd w:val="clear" w:color="auto" w:fill="auto"/>
          </w:tcPr>
          <w:p w14:paraId="06AEDE00">
            <w:pPr>
              <w:rPr>
                <w:rFonts w:eastAsia="宋体" w:cs="Arial"/>
                <w:sz w:val="22"/>
                <w:szCs w:val="22"/>
                <w:lang w:val="en-US" w:eastAsia="zh-CN"/>
              </w:rPr>
            </w:pPr>
            <w:r>
              <w:rPr>
                <w:rFonts w:hint="eastAsia" w:eastAsia="宋体" w:cs="Arial"/>
                <w:sz w:val="22"/>
                <w:szCs w:val="22"/>
                <w:lang w:val="en-US" w:eastAsia="zh-CN"/>
              </w:rPr>
              <w:t>Yezi</w:t>
            </w:r>
          </w:p>
        </w:tc>
      </w:tr>
      <w:tr w14:paraId="11129BBD">
        <w:tc>
          <w:tcPr>
            <w:tcW w:w="4111" w:type="dxa"/>
            <w:gridSpan w:val="2"/>
            <w:shd w:val="clear" w:color="auto" w:fill="F1F1F1" w:themeFill="background1" w:themeFillShade="F2"/>
          </w:tcPr>
          <w:p w14:paraId="070E286B">
            <w:pPr>
              <w:rPr>
                <w:rFonts w:cs="Arial"/>
                <w:sz w:val="22"/>
                <w:szCs w:val="22"/>
              </w:rPr>
            </w:pPr>
            <w:r>
              <w:rPr>
                <w:rFonts w:cs="Arial"/>
                <w:sz w:val="22"/>
                <w:szCs w:val="22"/>
              </w:rPr>
              <w:t>Student Number</w:t>
            </w:r>
          </w:p>
          <w:p w14:paraId="4F2CF853">
            <w:pPr>
              <w:tabs>
                <w:tab w:val="center" w:pos="2202"/>
              </w:tabs>
              <w:rPr>
                <w:rFonts w:cs="Arial"/>
                <w:sz w:val="22"/>
                <w:szCs w:val="22"/>
              </w:rPr>
            </w:pPr>
          </w:p>
        </w:tc>
        <w:tc>
          <w:tcPr>
            <w:tcW w:w="5670" w:type="dxa"/>
            <w:gridSpan w:val="2"/>
            <w:shd w:val="clear" w:color="auto" w:fill="auto"/>
          </w:tcPr>
          <w:p w14:paraId="5CA0F491">
            <w:pPr>
              <w:rPr>
                <w:rFonts w:eastAsia="宋体" w:cs="Arial"/>
                <w:sz w:val="22"/>
                <w:szCs w:val="22"/>
                <w:lang w:val="en-US" w:eastAsia="zh-CN"/>
              </w:rPr>
            </w:pPr>
            <w:r>
              <w:rPr>
                <w:rFonts w:hint="eastAsia" w:eastAsia="宋体" w:cs="Arial"/>
                <w:sz w:val="22"/>
                <w:szCs w:val="22"/>
                <w:lang w:val="en-US" w:eastAsia="zh-CN"/>
              </w:rPr>
              <w:t>2322205</w:t>
            </w:r>
          </w:p>
        </w:tc>
      </w:tr>
      <w:tr w14:paraId="6DF8D323">
        <w:trPr>
          <w:trHeight w:val="413" w:hRule="atLeast"/>
        </w:trPr>
        <w:tc>
          <w:tcPr>
            <w:tcW w:w="4111" w:type="dxa"/>
            <w:gridSpan w:val="2"/>
            <w:shd w:val="clear" w:color="auto" w:fill="F1F1F1" w:themeFill="background1" w:themeFillShade="F2"/>
          </w:tcPr>
          <w:p w14:paraId="70B6FBB9">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14:paraId="58B345A2">
            <w:pPr>
              <w:rPr>
                <w:rFonts w:eastAsia="宋体" w:cs="Arial"/>
                <w:sz w:val="22"/>
                <w:szCs w:val="22"/>
                <w:lang w:val="en-US" w:eastAsia="zh-CN"/>
              </w:rPr>
            </w:pPr>
            <w:r>
              <w:rPr>
                <w:rFonts w:hint="eastAsia" w:eastAsia="宋体" w:cs="Arial"/>
                <w:sz w:val="22"/>
                <w:szCs w:val="22"/>
                <w:lang w:val="en-US" w:eastAsia="zh-CN"/>
              </w:rPr>
              <w:t>Art and Design</w:t>
            </w:r>
          </w:p>
        </w:tc>
      </w:tr>
      <w:tr w14:paraId="2EB3973F">
        <w:trPr>
          <w:trHeight w:val="413" w:hRule="atLeast"/>
        </w:trPr>
        <w:tc>
          <w:tcPr>
            <w:tcW w:w="4111" w:type="dxa"/>
            <w:gridSpan w:val="2"/>
            <w:shd w:val="clear" w:color="auto" w:fill="F1F1F1" w:themeFill="background1" w:themeFillShade="F2"/>
          </w:tcPr>
          <w:p w14:paraId="7ADCFF1B">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14:paraId="4F15E921">
            <w:pPr>
              <w:rPr>
                <w:rFonts w:eastAsia="宋体" w:cs="Arial"/>
                <w:sz w:val="22"/>
                <w:szCs w:val="22"/>
                <w:lang w:val="en-US" w:eastAsia="zh-CN"/>
              </w:rPr>
            </w:pPr>
            <w:r>
              <w:rPr>
                <w:rFonts w:hint="eastAsia" w:eastAsia="宋体" w:cs="Arial"/>
                <w:sz w:val="22"/>
                <w:szCs w:val="22"/>
                <w:lang w:val="en-US" w:eastAsia="zh-CN"/>
              </w:rPr>
              <w:t>Wales Institute of Science and Art</w:t>
            </w:r>
          </w:p>
        </w:tc>
      </w:tr>
      <w:tr w14:paraId="6EAB5E4B">
        <w:tc>
          <w:tcPr>
            <w:tcW w:w="2055" w:type="dxa"/>
            <w:shd w:val="clear" w:color="auto" w:fill="F1F1F1" w:themeFill="background1" w:themeFillShade="F2"/>
          </w:tcPr>
          <w:p w14:paraId="60672103">
            <w:pPr>
              <w:rPr>
                <w:rFonts w:cs="Arial"/>
                <w:sz w:val="22"/>
                <w:szCs w:val="22"/>
              </w:rPr>
            </w:pPr>
            <w:r>
              <w:rPr>
                <w:rFonts w:cs="Arial"/>
                <w:sz w:val="22"/>
                <w:szCs w:val="22"/>
              </w:rPr>
              <w:t>Start Date</w:t>
            </w:r>
          </w:p>
        </w:tc>
        <w:tc>
          <w:tcPr>
            <w:tcW w:w="2056" w:type="dxa"/>
            <w:shd w:val="clear" w:color="auto" w:fill="FFFFFF" w:themeFill="background1"/>
          </w:tcPr>
          <w:p w14:paraId="3A96BE61">
            <w:pPr>
              <w:rPr>
                <w:rFonts w:eastAsia="宋体" w:cs="Arial"/>
                <w:sz w:val="22"/>
                <w:szCs w:val="22"/>
                <w:lang w:val="en-US" w:eastAsia="zh-CN"/>
              </w:rPr>
            </w:pPr>
            <w:r>
              <w:rPr>
                <w:rFonts w:hint="eastAsia" w:eastAsia="宋体" w:cs="Arial"/>
                <w:sz w:val="22"/>
                <w:szCs w:val="22"/>
                <w:lang w:val="en-US" w:eastAsia="zh-CN"/>
              </w:rPr>
              <w:t>27/01/2024</w:t>
            </w:r>
          </w:p>
        </w:tc>
        <w:tc>
          <w:tcPr>
            <w:tcW w:w="2835" w:type="dxa"/>
            <w:shd w:val="clear" w:color="auto" w:fill="F1F1F1" w:themeFill="background1" w:themeFillShade="F2"/>
          </w:tcPr>
          <w:p w14:paraId="3EC07DDE">
            <w:pPr>
              <w:rPr>
                <w:rFonts w:cs="Arial"/>
                <w:sz w:val="22"/>
                <w:szCs w:val="22"/>
              </w:rPr>
            </w:pPr>
          </w:p>
        </w:tc>
        <w:tc>
          <w:tcPr>
            <w:tcW w:w="2835" w:type="dxa"/>
            <w:shd w:val="clear" w:color="auto" w:fill="auto"/>
          </w:tcPr>
          <w:p w14:paraId="55C195B6">
            <w:pPr>
              <w:rPr>
                <w:rFonts w:cs="Arial"/>
                <w:sz w:val="22"/>
                <w:szCs w:val="22"/>
              </w:rPr>
            </w:pPr>
          </w:p>
        </w:tc>
      </w:tr>
      <w:tr w14:paraId="34700F7F">
        <w:tc>
          <w:tcPr>
            <w:tcW w:w="4111" w:type="dxa"/>
            <w:gridSpan w:val="2"/>
            <w:shd w:val="clear" w:color="auto" w:fill="F1F1F1" w:themeFill="background1" w:themeFillShade="F2"/>
          </w:tcPr>
          <w:p w14:paraId="1D201C17">
            <w:pPr>
              <w:rPr>
                <w:rFonts w:cs="Arial"/>
                <w:sz w:val="22"/>
                <w:szCs w:val="22"/>
              </w:rPr>
            </w:pPr>
            <w:r>
              <w:rPr>
                <w:rFonts w:cs="Arial"/>
                <w:sz w:val="22"/>
                <w:szCs w:val="22"/>
              </w:rPr>
              <w:t>Mode of Study</w:t>
            </w:r>
          </w:p>
          <w:p w14:paraId="27BA0E49">
            <w:pPr>
              <w:rPr>
                <w:rFonts w:cs="Arial"/>
                <w:sz w:val="22"/>
                <w:szCs w:val="22"/>
              </w:rPr>
            </w:pPr>
          </w:p>
        </w:tc>
        <w:tc>
          <w:tcPr>
            <w:tcW w:w="2835" w:type="dxa"/>
            <w:shd w:val="clear" w:color="auto" w:fill="auto"/>
          </w:tcPr>
          <w:p w14:paraId="622B8979">
            <w:pPr>
              <w:rPr>
                <w:rFonts w:cs="Arial"/>
                <w:sz w:val="22"/>
                <w:szCs w:val="22"/>
              </w:rPr>
            </w:pPr>
            <w:r>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c>
          <w:tcPr>
            <w:tcW w:w="2835" w:type="dxa"/>
            <w:shd w:val="clear" w:color="auto" w:fill="auto"/>
          </w:tcPr>
          <w:p w14:paraId="6E40B3D7">
            <w:pPr>
              <w:rPr>
                <w:rFonts w:cs="Arial"/>
                <w:sz w:val="22"/>
                <w:szCs w:val="22"/>
              </w:rPr>
            </w:pPr>
            <w:r>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r>
    </w:tbl>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14:paraId="5A0A7215">
        <w:tc>
          <w:tcPr>
            <w:tcW w:w="1623" w:type="dxa"/>
            <w:shd w:val="clear" w:color="auto" w:fill="F1F1F1" w:themeFill="background1" w:themeFillShade="F2"/>
          </w:tcPr>
          <w:p w14:paraId="4895FFA0">
            <w:pPr>
              <w:rPr>
                <w:rFonts w:cs="Arial"/>
                <w:sz w:val="22"/>
                <w:szCs w:val="22"/>
              </w:rPr>
            </w:pPr>
            <w:r>
              <w:rPr>
                <w:rFonts w:cs="Arial"/>
                <w:sz w:val="22"/>
                <w:szCs w:val="22"/>
              </w:rPr>
              <w:t>PhD</w:t>
            </w:r>
          </w:p>
          <w:p w14:paraId="337B9BA6">
            <w:pPr>
              <w:rPr>
                <w:rFonts w:cs="Arial"/>
                <w:sz w:val="22"/>
                <w:szCs w:val="22"/>
              </w:rPr>
            </w:pPr>
            <w:r>
              <w:rPr>
                <w:rFonts w:cs="Arial"/>
                <w:sz w:val="22"/>
                <w:szCs w:val="22"/>
              </w:rPr>
              <w:t>by Research</w:t>
            </w:r>
          </w:p>
        </w:tc>
        <w:tc>
          <w:tcPr>
            <w:tcW w:w="1660" w:type="dxa"/>
            <w:shd w:val="clear" w:color="auto" w:fill="F1F1F1" w:themeFill="background1" w:themeFillShade="F2"/>
          </w:tcPr>
          <w:p w14:paraId="53492478">
            <w:pPr>
              <w:rPr>
                <w:rFonts w:cs="Arial"/>
                <w:sz w:val="22"/>
                <w:szCs w:val="22"/>
              </w:rPr>
            </w:pPr>
            <w:r>
              <w:rPr>
                <w:rFonts w:cs="Arial"/>
                <w:sz w:val="22"/>
                <w:szCs w:val="22"/>
              </w:rPr>
              <w:t xml:space="preserve">PhD </w:t>
            </w:r>
          </w:p>
          <w:p w14:paraId="54B3DAF9">
            <w:pPr>
              <w:rPr>
                <w:rFonts w:cs="Arial"/>
                <w:sz w:val="22"/>
                <w:szCs w:val="22"/>
              </w:rPr>
            </w:pPr>
            <w:r>
              <w:rPr>
                <w:rFonts w:cs="Arial"/>
                <w:sz w:val="22"/>
                <w:szCs w:val="22"/>
              </w:rPr>
              <w:t>Practice Based</w:t>
            </w:r>
          </w:p>
        </w:tc>
        <w:tc>
          <w:tcPr>
            <w:tcW w:w="1648" w:type="dxa"/>
            <w:shd w:val="clear" w:color="auto" w:fill="F1F1F1" w:themeFill="background1" w:themeFillShade="F2"/>
          </w:tcPr>
          <w:p w14:paraId="62FDE427">
            <w:pPr>
              <w:rPr>
                <w:rFonts w:cs="Arial"/>
                <w:sz w:val="22"/>
                <w:szCs w:val="22"/>
              </w:rPr>
            </w:pPr>
            <w:r>
              <w:rPr>
                <w:rFonts w:cs="Arial"/>
                <w:sz w:val="22"/>
                <w:szCs w:val="22"/>
              </w:rPr>
              <w:t xml:space="preserve">PhD by </w:t>
            </w:r>
          </w:p>
          <w:p w14:paraId="22100A18">
            <w:pPr>
              <w:rPr>
                <w:rFonts w:cs="Arial"/>
                <w:sz w:val="22"/>
                <w:szCs w:val="22"/>
              </w:rPr>
            </w:pPr>
            <w:r>
              <w:rPr>
                <w:rFonts w:cs="Arial"/>
                <w:sz w:val="22"/>
                <w:szCs w:val="22"/>
              </w:rPr>
              <w:t>Published Works</w:t>
            </w:r>
          </w:p>
        </w:tc>
        <w:tc>
          <w:tcPr>
            <w:tcW w:w="1662" w:type="dxa"/>
            <w:shd w:val="clear" w:color="auto" w:fill="F1F1F1" w:themeFill="background1" w:themeFillShade="F2"/>
          </w:tcPr>
          <w:p w14:paraId="5D25EDD9">
            <w:pPr>
              <w:rPr>
                <w:rFonts w:cs="Arial"/>
                <w:sz w:val="22"/>
                <w:szCs w:val="22"/>
              </w:rPr>
            </w:pPr>
            <w:r>
              <w:rPr>
                <w:rFonts w:cs="Arial"/>
                <w:sz w:val="22"/>
                <w:szCs w:val="22"/>
              </w:rPr>
              <w:t>Professional Doctorate</w:t>
            </w:r>
          </w:p>
          <w:p w14:paraId="26844FEA">
            <w:pPr>
              <w:rPr>
                <w:rFonts w:cs="Arial"/>
                <w:sz w:val="22"/>
                <w:szCs w:val="22"/>
              </w:rPr>
            </w:pPr>
            <w:r>
              <w:rPr>
                <w:rFonts w:cs="Arial"/>
                <w:szCs w:val="22"/>
              </w:rPr>
              <w:t>(including DBA, DProf, Ed D)</w:t>
            </w:r>
          </w:p>
        </w:tc>
        <w:tc>
          <w:tcPr>
            <w:tcW w:w="1629" w:type="dxa"/>
            <w:shd w:val="clear" w:color="auto" w:fill="F1F1F1" w:themeFill="background1" w:themeFillShade="F2"/>
          </w:tcPr>
          <w:p w14:paraId="60245BEF">
            <w:pPr>
              <w:rPr>
                <w:rFonts w:cs="Arial"/>
                <w:sz w:val="22"/>
                <w:szCs w:val="22"/>
              </w:rPr>
            </w:pPr>
            <w:r>
              <w:rPr>
                <w:rFonts w:cs="Arial"/>
                <w:sz w:val="22"/>
                <w:szCs w:val="22"/>
              </w:rPr>
              <w:t>MPhil by Research</w:t>
            </w:r>
          </w:p>
          <w:p w14:paraId="314F4C24">
            <w:pPr>
              <w:rPr>
                <w:rFonts w:cs="Arial"/>
                <w:sz w:val="22"/>
                <w:szCs w:val="22"/>
              </w:rPr>
            </w:pPr>
          </w:p>
        </w:tc>
        <w:tc>
          <w:tcPr>
            <w:tcW w:w="1525" w:type="dxa"/>
            <w:shd w:val="clear" w:color="auto" w:fill="F1F1F1" w:themeFill="background1" w:themeFillShade="F2"/>
          </w:tcPr>
          <w:p w14:paraId="7FF893FB">
            <w:pPr>
              <w:rPr>
                <w:rFonts w:cs="Arial"/>
                <w:sz w:val="22"/>
                <w:szCs w:val="22"/>
              </w:rPr>
            </w:pPr>
            <w:r>
              <w:rPr>
                <w:rFonts w:cs="Arial"/>
                <w:sz w:val="22"/>
                <w:szCs w:val="22"/>
              </w:rPr>
              <w:t>MPhil</w:t>
            </w:r>
          </w:p>
          <w:p w14:paraId="29C1E1EA">
            <w:pPr>
              <w:rPr>
                <w:rFonts w:cs="Arial"/>
                <w:sz w:val="22"/>
                <w:szCs w:val="22"/>
              </w:rPr>
            </w:pPr>
            <w:r>
              <w:rPr>
                <w:rFonts w:cs="Arial"/>
                <w:sz w:val="22"/>
                <w:szCs w:val="22"/>
              </w:rPr>
              <w:t xml:space="preserve">Practice Based </w:t>
            </w:r>
          </w:p>
          <w:p w14:paraId="32A40C29">
            <w:pPr>
              <w:rPr>
                <w:rFonts w:cs="Arial"/>
                <w:sz w:val="22"/>
                <w:szCs w:val="22"/>
              </w:rPr>
            </w:pPr>
          </w:p>
        </w:tc>
      </w:tr>
      <w:tr w14:paraId="7E9CA356">
        <w:tc>
          <w:tcPr>
            <w:tcW w:w="1623" w:type="dxa"/>
          </w:tcPr>
          <w:sdt>
            <w:sdtPr>
              <w:rPr>
                <w:rFonts w:cs="Arial"/>
                <w:sz w:val="22"/>
                <w:szCs w:val="22"/>
              </w:rPr>
              <w:id w:val="746380728"/>
              <w14:checkbox>
                <w14:checked w14:val="0"/>
                <w14:checkedState w14:val="2612" w14:font="MS Gothic"/>
                <w14:uncheckedState w14:val="2610" w14:font="MS Gothic"/>
              </w14:checkbox>
            </w:sdtPr>
            <w:sdtEndPr>
              <w:rPr>
                <w:rFonts w:cs="Arial"/>
                <w:sz w:val="22"/>
                <w:szCs w:val="22"/>
              </w:rPr>
            </w:sdtEndPr>
            <w:sdtContent>
              <w:p w14:paraId="5C19127F">
                <w:pPr>
                  <w:jc w:val="center"/>
                  <w:rPr>
                    <w:rFonts w:cs="Arial"/>
                    <w:sz w:val="22"/>
                    <w:szCs w:val="22"/>
                  </w:rPr>
                </w:pPr>
                <w:r>
                  <w:rPr>
                    <w:rFonts w:ascii="MS Gothic" w:hAnsi="MS Gothic" w:eastAsia="MS Gothic" w:cs="Arial"/>
                    <w:sz w:val="22"/>
                    <w:szCs w:val="22"/>
                  </w:rPr>
                  <w:t>☐</w:t>
                </w:r>
              </w:p>
            </w:sdtContent>
          </w:sdt>
          <w:p w14:paraId="58A1D7E6">
            <w:pPr>
              <w:jc w:val="center"/>
              <w:rPr>
                <w:rFonts w:cs="Arial"/>
                <w:sz w:val="22"/>
                <w:szCs w:val="22"/>
              </w:rPr>
            </w:pPr>
          </w:p>
        </w:tc>
        <w:sdt>
          <w:sdtPr>
            <w:rPr>
              <w:rFonts w:cs="Arial"/>
              <w:sz w:val="22"/>
              <w:szCs w:val="22"/>
            </w:rPr>
            <w:id w:val="1301043622"/>
            <w14:checkbox>
              <w14:checked w14:val="0"/>
              <w14:checkedState w14:val="2612" w14:font="MS Gothic"/>
              <w14:uncheckedState w14:val="2610" w14:font="MS Gothic"/>
            </w14:checkbox>
          </w:sdtPr>
          <w:sdtEndPr>
            <w:rPr>
              <w:rFonts w:cs="Arial"/>
              <w:sz w:val="22"/>
              <w:szCs w:val="22"/>
            </w:rPr>
          </w:sdtEndPr>
          <w:sdtContent>
            <w:tc>
              <w:tcPr>
                <w:tcW w:w="1660" w:type="dxa"/>
              </w:tcPr>
              <w:p w14:paraId="7A7D91AE">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14:paraId="4C77E8E0">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
            <w14:checkbox>
              <w14:checked w14:val="1"/>
              <w14:checkedState w14:val="2612" w14:font="MS Gothic"/>
              <w14:uncheckedState w14:val="2610" w14:font="MS Gothic"/>
            </w14:checkbox>
          </w:sdtPr>
          <w:sdtEndPr>
            <w:rPr>
              <w:rFonts w:cs="Arial"/>
              <w:sz w:val="22"/>
              <w:szCs w:val="22"/>
            </w:rPr>
          </w:sdtEndPr>
          <w:sdtContent>
            <w:tc>
              <w:tcPr>
                <w:tcW w:w="1662" w:type="dxa"/>
              </w:tcPr>
              <w:p w14:paraId="75BB286D">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14:paraId="6D7F5925">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14:paraId="3FC9BF36">
                <w:pPr>
                  <w:jc w:val="center"/>
                  <w:rPr>
                    <w:rFonts w:cs="Arial"/>
                    <w:sz w:val="22"/>
                    <w:szCs w:val="22"/>
                  </w:rPr>
                </w:pPr>
                <w:r>
                  <w:rPr>
                    <w:rFonts w:ascii="MS Gothic" w:hAnsi="MS Gothic" w:eastAsia="MS Gothic" w:cs="Arial"/>
                    <w:sz w:val="22"/>
                    <w:szCs w:val="22"/>
                  </w:rPr>
                  <w:t>☐</w:t>
                </w:r>
              </w:p>
            </w:tc>
          </w:sdtContent>
        </w:sdt>
      </w:tr>
      <w:tr w14:paraId="4B4AAF94">
        <w:tc>
          <w:tcPr>
            <w:tcW w:w="1623" w:type="dxa"/>
            <w:shd w:val="clear" w:color="auto" w:fill="D8D8D8" w:themeFill="background1" w:themeFillShade="D9"/>
          </w:tcPr>
          <w:p w14:paraId="3D2CF20D">
            <w:pPr>
              <w:jc w:val="center"/>
              <w:rPr>
                <w:rFonts w:cs="Arial"/>
                <w:sz w:val="22"/>
                <w:szCs w:val="22"/>
              </w:rPr>
            </w:pPr>
            <w:r>
              <w:rPr>
                <w:rFonts w:cs="Arial"/>
                <w:sz w:val="22"/>
                <w:szCs w:val="22"/>
              </w:rPr>
              <w:t>MA by Research</w:t>
            </w:r>
          </w:p>
        </w:tc>
        <w:tc>
          <w:tcPr>
            <w:tcW w:w="1660" w:type="dxa"/>
            <w:shd w:val="clear" w:color="auto" w:fill="D8D8D8" w:themeFill="background1" w:themeFillShade="D9"/>
          </w:tcPr>
          <w:p w14:paraId="71ABE80F">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14:paraId="4E60F640">
            <w:pPr>
              <w:jc w:val="center"/>
              <w:rPr>
                <w:rFonts w:cs="Arial"/>
                <w:sz w:val="22"/>
                <w:szCs w:val="22"/>
              </w:rPr>
            </w:pPr>
            <w:r>
              <w:rPr>
                <w:rFonts w:cs="Arial"/>
                <w:sz w:val="22"/>
                <w:szCs w:val="22"/>
              </w:rPr>
              <w:t>MRes</w:t>
            </w:r>
          </w:p>
        </w:tc>
        <w:tc>
          <w:tcPr>
            <w:tcW w:w="1662" w:type="dxa"/>
            <w:shd w:val="clear" w:color="auto" w:fill="D8D8D8" w:themeFill="background1" w:themeFillShade="D9"/>
          </w:tcPr>
          <w:p w14:paraId="332ADA78">
            <w:pPr>
              <w:jc w:val="center"/>
              <w:rPr>
                <w:rFonts w:cs="Arial"/>
                <w:sz w:val="22"/>
                <w:szCs w:val="22"/>
              </w:rPr>
            </w:pPr>
          </w:p>
        </w:tc>
        <w:tc>
          <w:tcPr>
            <w:tcW w:w="1629" w:type="dxa"/>
            <w:shd w:val="clear" w:color="auto" w:fill="D8D8D8" w:themeFill="background1" w:themeFillShade="D9"/>
          </w:tcPr>
          <w:p w14:paraId="545CA59A">
            <w:pPr>
              <w:jc w:val="center"/>
              <w:rPr>
                <w:rFonts w:cs="Arial"/>
                <w:sz w:val="22"/>
                <w:szCs w:val="22"/>
              </w:rPr>
            </w:pPr>
          </w:p>
        </w:tc>
        <w:tc>
          <w:tcPr>
            <w:tcW w:w="1525" w:type="dxa"/>
            <w:shd w:val="clear" w:color="auto" w:fill="D8D8D8" w:themeFill="background1" w:themeFillShade="D9"/>
          </w:tcPr>
          <w:p w14:paraId="774AC7F1">
            <w:pPr>
              <w:jc w:val="center"/>
              <w:rPr>
                <w:rFonts w:cs="Arial"/>
                <w:sz w:val="22"/>
                <w:szCs w:val="22"/>
              </w:rPr>
            </w:pPr>
          </w:p>
        </w:tc>
      </w:tr>
      <w:tr w14:paraId="219E36EF">
        <w:tc>
          <w:tcPr>
            <w:tcW w:w="1623" w:type="dxa"/>
          </w:tcPr>
          <w:sdt>
            <w:sdtPr>
              <w:rPr>
                <w:rFonts w:cs="Arial"/>
                <w:sz w:val="22"/>
                <w:szCs w:val="22"/>
              </w:rPr>
              <w:id w:val="1366476584"/>
              <w14:checkbox>
                <w14:checked w14:val="0"/>
                <w14:checkedState w14:val="2612" w14:font="MS Gothic"/>
                <w14:uncheckedState w14:val="2610" w14:font="MS Gothic"/>
              </w14:checkbox>
            </w:sdtPr>
            <w:sdtEndPr>
              <w:rPr>
                <w:rFonts w:cs="Arial"/>
                <w:sz w:val="22"/>
                <w:szCs w:val="22"/>
              </w:rPr>
            </w:sdtEndPr>
            <w:sdtContent>
              <w:p w14:paraId="5E8C6738">
                <w:pPr>
                  <w:jc w:val="center"/>
                  <w:rPr>
                    <w:rFonts w:cs="Arial"/>
                    <w:sz w:val="22"/>
                    <w:szCs w:val="22"/>
                  </w:rPr>
                </w:pPr>
                <w:r>
                  <w:rPr>
                    <w:rFonts w:ascii="MS Gothic" w:hAnsi="MS Gothic" w:eastAsia="MS Gothic" w:cs="Arial"/>
                    <w:sz w:val="22"/>
                    <w:szCs w:val="22"/>
                  </w:rPr>
                  <w:t>☐</w:t>
                </w:r>
              </w:p>
            </w:sdtContent>
          </w:sdt>
          <w:p w14:paraId="1D5CED96">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14:paraId="626D50EF">
                <w:pPr>
                  <w:jc w:val="center"/>
                  <w:rPr>
                    <w:rFonts w:cs="Arial"/>
                    <w:sz w:val="22"/>
                    <w:szCs w:val="22"/>
                  </w:rPr>
                </w:pPr>
                <w:r>
                  <w:rPr>
                    <w:rFonts w:ascii="MS Gothic" w:hAnsi="MS Gothic" w:eastAsia="MS Gothic" w:cs="Arial"/>
                    <w:sz w:val="22"/>
                    <w:szCs w:val="22"/>
                  </w:rPr>
                  <w:t>☐</w:t>
                </w:r>
              </w:p>
            </w:sdtContent>
          </w:sdt>
          <w:p w14:paraId="259DB119">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14:paraId="3A5B19E2">
                <w:pPr>
                  <w:jc w:val="center"/>
                  <w:rPr>
                    <w:rFonts w:cs="Arial"/>
                    <w:sz w:val="22"/>
                    <w:szCs w:val="22"/>
                  </w:rPr>
                </w:pPr>
                <w:r>
                  <w:rPr>
                    <w:rFonts w:ascii="MS Gothic" w:hAnsi="MS Gothic" w:eastAsia="MS Gothic" w:cs="Arial"/>
                    <w:sz w:val="22"/>
                    <w:szCs w:val="22"/>
                  </w:rPr>
                  <w:t>☐</w:t>
                </w:r>
              </w:p>
            </w:sdtContent>
          </w:sdt>
          <w:p w14:paraId="5CF1D5E5">
            <w:pPr>
              <w:jc w:val="center"/>
              <w:rPr>
                <w:rFonts w:cs="Arial"/>
                <w:sz w:val="22"/>
                <w:szCs w:val="22"/>
              </w:rPr>
            </w:pPr>
          </w:p>
        </w:tc>
        <w:tc>
          <w:tcPr>
            <w:tcW w:w="1662" w:type="dxa"/>
          </w:tcPr>
          <w:p w14:paraId="7EA4128B">
            <w:pPr>
              <w:jc w:val="center"/>
              <w:rPr>
                <w:rFonts w:cs="Arial"/>
                <w:sz w:val="22"/>
                <w:szCs w:val="22"/>
              </w:rPr>
            </w:pPr>
          </w:p>
        </w:tc>
        <w:tc>
          <w:tcPr>
            <w:tcW w:w="1629" w:type="dxa"/>
          </w:tcPr>
          <w:p w14:paraId="7A5FEA14">
            <w:pPr>
              <w:jc w:val="center"/>
              <w:rPr>
                <w:rFonts w:cs="Arial"/>
                <w:sz w:val="22"/>
                <w:szCs w:val="22"/>
              </w:rPr>
            </w:pPr>
          </w:p>
        </w:tc>
        <w:tc>
          <w:tcPr>
            <w:tcW w:w="1525" w:type="dxa"/>
          </w:tcPr>
          <w:p w14:paraId="566C6509">
            <w:pPr>
              <w:jc w:val="center"/>
              <w:rPr>
                <w:rFonts w:cs="Arial"/>
                <w:sz w:val="22"/>
                <w:szCs w:val="22"/>
              </w:rPr>
            </w:pPr>
          </w:p>
        </w:tc>
      </w:tr>
    </w:tbl>
    <w:p w14:paraId="2FD0E87F">
      <w:pPr>
        <w:ind w:left="180" w:hanging="270"/>
        <w:rPr>
          <w:rFonts w:cs="Arial"/>
          <w:b/>
          <w:sz w:val="22"/>
          <w:szCs w:val="22"/>
        </w:rPr>
      </w:pPr>
    </w:p>
    <w:p w14:paraId="60F7C75B">
      <w:pPr>
        <w:rPr>
          <w:rFonts w:cs="Arial"/>
          <w:sz w:val="22"/>
          <w:szCs w:val="22"/>
        </w:rPr>
      </w:pPr>
    </w:p>
    <w:p w14:paraId="7C7ECC78">
      <w:pPr>
        <w:ind w:left="-142"/>
        <w:rPr>
          <w:rFonts w:cs="Arial"/>
          <w:bCs/>
          <w:sz w:val="22"/>
          <w:szCs w:val="22"/>
        </w:rPr>
      </w:pPr>
      <w:r>
        <w:rPr>
          <w:rFonts w:cs="Arial"/>
          <w:b/>
          <w:bCs/>
          <w:sz w:val="22"/>
          <w:szCs w:val="22"/>
        </w:rPr>
        <w:t>Proposed Research</w:t>
      </w:r>
    </w:p>
    <w:p w14:paraId="75E2AC4C">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14:paraId="061B7E07">
        <w:trPr>
          <w:trHeight w:val="397" w:hRule="atLeast"/>
        </w:trPr>
        <w:tc>
          <w:tcPr>
            <w:tcW w:w="9781" w:type="dxa"/>
            <w:shd w:val="clear" w:color="auto" w:fill="F1F1F1" w:themeFill="background1" w:themeFillShade="F2"/>
            <w:vAlign w:val="center"/>
          </w:tcPr>
          <w:p w14:paraId="6451B81A">
            <w:pPr>
              <w:rPr>
                <w:rFonts w:cs="Arial"/>
                <w:sz w:val="22"/>
                <w:szCs w:val="22"/>
              </w:rPr>
            </w:pPr>
            <w:r>
              <w:rPr>
                <w:rFonts w:cs="Arial"/>
                <w:sz w:val="22"/>
                <w:szCs w:val="22"/>
              </w:rPr>
              <w:t>Current Proposed Title (20 / 30 words):</w:t>
            </w:r>
          </w:p>
        </w:tc>
      </w:tr>
      <w:tr w14:paraId="0A2D452B">
        <w:trPr>
          <w:trHeight w:val="397" w:hRule="atLeast"/>
        </w:trPr>
        <w:tc>
          <w:tcPr>
            <w:tcW w:w="9781" w:type="dxa"/>
            <w:vAlign w:val="center"/>
          </w:tcPr>
          <w:p w14:paraId="5CC8B790">
            <w:pPr>
              <w:pStyle w:val="26"/>
              <w:autoSpaceDE w:val="0"/>
              <w:autoSpaceDN w:val="0"/>
              <w:adjustRightInd w:val="0"/>
              <w:ind w:left="0"/>
              <w:contextualSpacing/>
              <w:rPr>
                <w:rFonts w:hint="eastAsia" w:eastAsia="宋体" w:cs="Arial"/>
                <w:b/>
                <w:bCs/>
                <w:color w:val="000000" w:themeColor="text1"/>
                <w:sz w:val="22"/>
                <w:szCs w:val="22"/>
                <w:highlight w:val="none"/>
                <w:lang w:val="en-US" w:eastAsia="zh-CN"/>
                <w14:textFill>
                  <w14:solidFill>
                    <w14:schemeClr w14:val="tx1"/>
                  </w14:solidFill>
                </w14:textFill>
              </w:rPr>
            </w:pPr>
            <w:r>
              <w:rPr>
                <w:rFonts w:hint="eastAsia" w:eastAsia="宋体" w:cs="Arial"/>
                <w:b/>
                <w:bCs/>
                <w:color w:val="000000" w:themeColor="text1"/>
                <w:sz w:val="22"/>
                <w:szCs w:val="22"/>
                <w:highlight w:val="none"/>
                <w:lang w:val="en-US" w:eastAsia="zh-CN"/>
                <w14:textFill>
                  <w14:solidFill>
                    <w14:schemeClr w14:val="tx1"/>
                  </w14:solidFill>
                </w14:textFill>
              </w:rPr>
              <w:t>Research on the relationship between the identity of Chinese Generation Z young people and the visual aesthetics of bubble tea brand。</w:t>
            </w:r>
          </w:p>
          <w:p w14:paraId="01AD740E">
            <w:pPr>
              <w:rPr>
                <w:rFonts w:hint="eastAsia" w:ascii="HYQiHei" w:hAnsi="HYQiHei" w:eastAsia="HYQiHei" w:cs="HYQiHei"/>
                <w:strike/>
                <w:dstrike w:val="0"/>
                <w:color w:val="0000FF"/>
                <w:lang w:val="en-US" w:eastAsia="zh-CN" w:bidi="ar"/>
              </w:rPr>
            </w:pPr>
          </w:p>
          <w:p w14:paraId="5DF3CF2E">
            <w:pPr>
              <w:rPr>
                <w:rFonts w:ascii="HYQiHei" w:hAnsi="HYQiHei" w:eastAsia="HYQiHei" w:cs="HYQiHei"/>
                <w:color w:val="000000"/>
                <w:lang w:val="en-US" w:eastAsia="zh-CN" w:bidi="ar"/>
              </w:rPr>
            </w:pPr>
          </w:p>
          <w:p w14:paraId="7E6A599D">
            <w:pPr>
              <w:rPr>
                <w:rFonts w:cs="Arial"/>
                <w:sz w:val="22"/>
                <w:szCs w:val="22"/>
              </w:rPr>
            </w:pPr>
          </w:p>
        </w:tc>
      </w:tr>
      <w:tr w14:paraId="3CE285CA">
        <w:trPr>
          <w:trHeight w:val="397" w:hRule="atLeast"/>
        </w:trPr>
        <w:tc>
          <w:tcPr>
            <w:tcW w:w="9781" w:type="dxa"/>
            <w:shd w:val="clear" w:color="auto" w:fill="F1F1F1" w:themeFill="background1" w:themeFillShade="F2"/>
            <w:vAlign w:val="center"/>
          </w:tcPr>
          <w:p w14:paraId="44E4C17C">
            <w:pPr>
              <w:rPr>
                <w:rFonts w:cs="Arial"/>
                <w:sz w:val="22"/>
                <w:szCs w:val="22"/>
              </w:rPr>
            </w:pPr>
            <w:r>
              <w:rPr>
                <w:rFonts w:cs="Arial"/>
                <w:sz w:val="22"/>
                <w:szCs w:val="22"/>
              </w:rPr>
              <w:t xml:space="preserve"> </w:t>
            </w:r>
          </w:p>
          <w:p w14:paraId="440A96D3">
            <w:pPr>
              <w:rPr>
                <w:rFonts w:cs="Arial"/>
                <w:sz w:val="22"/>
                <w:szCs w:val="22"/>
              </w:rPr>
            </w:pPr>
            <w:r>
              <w:rPr>
                <w:rFonts w:cs="Arial"/>
                <w:sz w:val="22"/>
                <w:szCs w:val="22"/>
              </w:rPr>
              <w:t>Background &amp; Context (approx. 500 words)</w:t>
            </w:r>
          </w:p>
          <w:p w14:paraId="18F42C1F">
            <w:pPr>
              <w:rPr>
                <w:rFonts w:cs="Arial"/>
                <w:sz w:val="22"/>
                <w:szCs w:val="22"/>
              </w:rPr>
            </w:pPr>
          </w:p>
        </w:tc>
      </w:tr>
      <w:tr w14:paraId="4C975756">
        <w:trPr>
          <w:trHeight w:val="397" w:hRule="atLeast"/>
        </w:trPr>
        <w:tc>
          <w:tcPr>
            <w:tcW w:w="9781" w:type="dxa"/>
            <w:vAlign w:val="center"/>
          </w:tcPr>
          <w:p w14:paraId="77E2997B">
            <w:p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In this section you will need to:</w:t>
            </w:r>
          </w:p>
          <w:p w14:paraId="564170F9">
            <w:pPr>
              <w:pStyle w:val="26"/>
              <w:numPr>
                <w:ilvl w:val="0"/>
                <w:numId w:val="1"/>
              </w:numPr>
              <w:autoSpaceDE w:val="0"/>
              <w:autoSpaceDN w:val="0"/>
              <w:adjustRightInd w:val="0"/>
              <w:contextualSpacing/>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Place the research topic in its historical, cultural and social context.</w:t>
            </w:r>
          </w:p>
          <w:p w14:paraId="6AC8C8E8">
            <w:pPr>
              <w:pStyle w:val="26"/>
              <w:numPr>
                <w:ilvl w:val="0"/>
                <w:numId w:val="1"/>
              </w:numPr>
              <w:autoSpaceDE w:val="0"/>
              <w:autoSpaceDN w:val="0"/>
              <w:adjustRightInd w:val="0"/>
              <w:contextualSpacing/>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Explain why the research is significant and important.</w:t>
            </w:r>
          </w:p>
          <w:p w14:paraId="3F89F13C">
            <w:pPr>
              <w:pStyle w:val="26"/>
              <w:numPr>
                <w:ilvl w:val="0"/>
                <w:numId w:val="1"/>
              </w:numPr>
              <w:autoSpaceDE w:val="0"/>
              <w:autoSpaceDN w:val="0"/>
              <w:adjustRightInd w:val="0"/>
              <w:contextualSpacing/>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Place the research in the current academic context.</w:t>
            </w:r>
          </w:p>
          <w:p w14:paraId="08438F0E">
            <w:pPr>
              <w:pStyle w:val="26"/>
              <w:autoSpaceDE w:val="0"/>
              <w:autoSpaceDN w:val="0"/>
              <w:adjustRightInd w:val="0"/>
              <w:ind w:left="360"/>
              <w:contextualSpacing/>
              <w:rPr>
                <w:rFonts w:cs="Arial"/>
                <w:sz w:val="22"/>
                <w:szCs w:val="22"/>
              </w:rPr>
            </w:pPr>
          </w:p>
          <w:p w14:paraId="5DFAEAFD">
            <w:pPr>
              <w:pStyle w:val="26"/>
              <w:autoSpaceDE w:val="0"/>
              <w:autoSpaceDN w:val="0"/>
              <w:adjustRightInd w:val="0"/>
              <w:ind w:left="0"/>
              <w:contextualSpacing/>
              <w:rPr>
                <w:rFonts w:hint="default" w:ascii="Arial Bold" w:hAnsi="Arial Bold" w:eastAsia="宋体" w:cs="Arial Bold"/>
                <w:b/>
                <w:bCs/>
                <w:color w:val="000000" w:themeColor="text1"/>
                <w:sz w:val="22"/>
                <w:szCs w:val="22"/>
                <w:lang w:val="en-US" w:eastAsia="zh-CN"/>
                <w14:textFill>
                  <w14:solidFill>
                    <w14:schemeClr w14:val="tx1"/>
                  </w14:solidFill>
                </w14:textFill>
              </w:rPr>
            </w:pPr>
            <w:r>
              <w:rPr>
                <w:rFonts w:hint="default" w:ascii="Arial Bold" w:hAnsi="Arial Bold" w:eastAsia="宋体" w:cs="Arial Bold"/>
                <w:b/>
                <w:bCs/>
                <w:color w:val="000000" w:themeColor="text1"/>
                <w:sz w:val="22"/>
                <w:szCs w:val="22"/>
                <w:lang w:val="en-US" w:eastAsia="zh-CN"/>
                <w14:textFill>
                  <w14:solidFill>
                    <w14:schemeClr w14:val="tx1"/>
                  </w14:solidFill>
                </w14:textFill>
              </w:rPr>
              <w:t>Background</w:t>
            </w:r>
          </w:p>
          <w:p w14:paraId="29E08BDB">
            <w:pPr>
              <w:pStyle w:val="11"/>
              <w:rPr>
                <w:rFonts w:hint="default" w:ascii="Arial" w:hAnsi="Arial" w:eastAsia="宋体" w:cs="Arial"/>
                <w:color w:val="000000" w:themeColor="text1"/>
                <w:sz w:val="22"/>
                <w:szCs w:val="22"/>
                <w:lang w:val="en-US" w:eastAsia="zh-CN"/>
                <w14:textFill>
                  <w14:solidFill>
                    <w14:schemeClr w14:val="tx1"/>
                  </w14:solidFill>
                </w14:textFill>
              </w:rPr>
            </w:pPr>
            <w:r>
              <w:rPr>
                <w:rFonts w:hint="eastAsia" w:ascii="Arial" w:hAnsi="Arial" w:eastAsia="宋体" w:cs="Arial"/>
                <w:color w:val="000000" w:themeColor="text1"/>
                <w:sz w:val="22"/>
                <w:szCs w:val="22"/>
                <w:lang w:val="en-US" w:eastAsia="zh-CN"/>
                <w14:textFill>
                  <w14:solidFill>
                    <w14:schemeClr w14:val="tx1"/>
                  </w14:solidFill>
                </w14:textFill>
              </w:rPr>
              <w:t>Bubble tea</w:t>
            </w:r>
            <w:r>
              <w:rPr>
                <w:rFonts w:ascii="Arial" w:hAnsi="Arial" w:eastAsia="宋体" w:cs="Arial"/>
                <w:color w:val="000000" w:themeColor="text1"/>
                <w:sz w:val="22"/>
                <w:szCs w:val="22"/>
                <w:lang w:val="en-US" w:eastAsia="zh-CN"/>
                <w14:textFill>
                  <w14:solidFill>
                    <w14:schemeClr w14:val="tx1"/>
                  </w14:solidFill>
                </w14:textFill>
              </w:rPr>
              <w:t xml:space="preserve">, a beverage made from black tea and milk. It is a very sweet </w:t>
            </w:r>
            <w:r>
              <w:rPr>
                <w:rFonts w:hint="default" w:ascii="Arial" w:hAnsi="Arial" w:eastAsia="宋体" w:cs="Arial"/>
                <w:color w:val="000000" w:themeColor="text1"/>
                <w:sz w:val="22"/>
                <w:szCs w:val="22"/>
                <w:lang w:val="en-US" w:eastAsia="zh-CN"/>
                <w14:textFill>
                  <w14:solidFill>
                    <w14:schemeClr w14:val="tx1"/>
                  </w14:solidFill>
                </w14:textFill>
              </w:rPr>
              <w:t>tea</w:t>
            </w:r>
            <w:r>
              <w:rPr>
                <w:rFonts w:ascii="Arial" w:hAnsi="Arial" w:eastAsia="宋体" w:cs="Arial"/>
                <w:color w:val="000000" w:themeColor="text1"/>
                <w:sz w:val="22"/>
                <w:szCs w:val="22"/>
                <w:lang w:val="en-US" w:eastAsia="zh-CN"/>
                <w14:textFill>
                  <w14:solidFill>
                    <w14:schemeClr w14:val="tx1"/>
                  </w14:solidFill>
                </w14:textFill>
              </w:rPr>
              <w:t xml:space="preserve"> </w:t>
            </w:r>
            <w:r>
              <w:rPr>
                <w:rFonts w:hint="default" w:ascii="Arial" w:hAnsi="Arial" w:eastAsia="宋体" w:cs="Arial"/>
                <w:color w:val="000000" w:themeColor="text1"/>
                <w:sz w:val="22"/>
                <w:szCs w:val="22"/>
                <w:lang w:val="en-US" w:eastAsia="zh-CN"/>
                <w14:textFill>
                  <w14:solidFill>
                    <w14:schemeClr w14:val="tx1"/>
                  </w14:solidFill>
                </w14:textFill>
              </w:rPr>
              <w:t xml:space="preserve"> mainly </w:t>
            </w:r>
            <w:r>
              <w:rPr>
                <w:rFonts w:ascii="Arial" w:hAnsi="Arial" w:eastAsia="宋体" w:cs="Arial"/>
                <w:color w:val="000000" w:themeColor="text1"/>
                <w:sz w:val="22"/>
                <w:szCs w:val="22"/>
                <w:lang w:val="en-US" w:eastAsia="zh-CN"/>
                <w14:textFill>
                  <w14:solidFill>
                    <w14:schemeClr w14:val="tx1"/>
                  </w14:solidFill>
                </w14:textFill>
              </w:rPr>
              <w:t xml:space="preserve">made of </w:t>
            </w:r>
            <w:r>
              <w:rPr>
                <w:rFonts w:hint="eastAsia" w:ascii="Arial" w:hAnsi="Arial" w:eastAsia="宋体" w:cs="Arial"/>
                <w:color w:val="000000" w:themeColor="text1"/>
                <w:sz w:val="22"/>
                <w:szCs w:val="22"/>
                <w:lang w:val="en-US" w:eastAsia="zh-CN"/>
                <w14:textFill>
                  <w14:solidFill>
                    <w14:schemeClr w14:val="tx1"/>
                  </w14:solidFill>
                </w14:textFill>
              </w:rPr>
              <w:t>milk</w:t>
            </w:r>
            <w:r>
              <w:rPr>
                <w:rFonts w:hint="default" w:ascii="Arial" w:hAnsi="Arial" w:eastAsia="宋体" w:cs="Arial"/>
                <w:color w:val="000000" w:themeColor="text1"/>
                <w:sz w:val="22"/>
                <w:szCs w:val="22"/>
                <w:lang w:val="en-US" w:eastAsia="zh-CN"/>
                <w14:textFill>
                  <w14:solidFill>
                    <w14:schemeClr w14:val="tx1"/>
                  </w14:solidFill>
                </w14:textFill>
              </w:rPr>
              <w:t xml:space="preserve"> sugar and black tea</w:t>
            </w:r>
            <w:r>
              <w:rPr>
                <w:rFonts w:hint="eastAsia" w:ascii="Arial" w:hAnsi="Arial" w:eastAsia="宋体" w:cs="Arial"/>
                <w:color w:val="000000" w:themeColor="text1"/>
                <w:sz w:val="22"/>
                <w:szCs w:val="22"/>
                <w:lang w:val="en-US" w:eastAsia="zh-CN"/>
                <w14:textFill>
                  <w14:solidFill>
                    <w14:schemeClr w14:val="tx1"/>
                  </w14:solidFill>
                </w14:textFill>
              </w:rPr>
              <w:t>.</w:t>
            </w:r>
            <w:r>
              <w:rPr>
                <w:rFonts w:ascii="Arial" w:hAnsi="Arial" w:eastAsia="宋体" w:cs="Arial"/>
                <w:color w:val="F79646" w:themeColor="accent6"/>
                <w:sz w:val="22"/>
                <w:szCs w:val="22"/>
                <w:lang w:val="en-US" w:eastAsia="zh-CN"/>
                <w14:textFill>
                  <w14:solidFill>
                    <w14:schemeClr w14:val="accent6"/>
                  </w14:solidFill>
                </w14:textFill>
              </w:rPr>
              <w:t xml:space="preserve"> </w:t>
            </w:r>
            <w:r>
              <w:rPr>
                <w:rFonts w:ascii="Arial" w:hAnsi="Arial" w:eastAsia="宋体" w:cs="Arial"/>
                <w:color w:val="000000" w:themeColor="text1"/>
                <w:sz w:val="22"/>
                <w:szCs w:val="22"/>
                <w:lang w:val="en-US" w:eastAsia="zh-CN"/>
                <w14:textFill>
                  <w14:solidFill>
                    <w14:schemeClr w14:val="tx1"/>
                  </w14:solidFill>
                </w14:textFill>
              </w:rPr>
              <w:t xml:space="preserve">The first instance of </w:t>
            </w:r>
            <w:r>
              <w:rPr>
                <w:rFonts w:hint="default" w:ascii="Arial" w:hAnsi="Arial" w:eastAsia="宋体" w:cs="Arial"/>
                <w:color w:val="000000" w:themeColor="text1"/>
                <w:sz w:val="22"/>
                <w:szCs w:val="22"/>
                <w:lang w:val="en-US" w:eastAsia="zh-CN"/>
                <w14:textFill>
                  <w14:solidFill>
                    <w14:schemeClr w14:val="tx1"/>
                  </w14:solidFill>
                </w14:textFill>
              </w:rPr>
              <w:t>bubble</w:t>
            </w:r>
            <w:r>
              <w:rPr>
                <w:rFonts w:ascii="Arial" w:hAnsi="Arial" w:eastAsia="宋体" w:cs="Arial"/>
                <w:color w:val="000000" w:themeColor="text1"/>
                <w:sz w:val="22"/>
                <w:szCs w:val="22"/>
                <w:lang w:val="en-US" w:eastAsia="zh-CN"/>
                <w14:textFill>
                  <w14:solidFill>
                    <w14:schemeClr w14:val="tx1"/>
                  </w14:solidFill>
                </w14:textFill>
              </w:rPr>
              <w:t xml:space="preserve"> tea in its current form was in 1987, when Taiwan's "Chunshuitang" added local snack Fenyuan (a type of food made from cassava starch with a crystal clear appearance and a circular shape</w:t>
            </w:r>
            <w:r>
              <w:rPr>
                <w:rFonts w:hint="eastAsia" w:ascii="Arial" w:hAnsi="Arial" w:eastAsia="宋体" w:cs="Arial"/>
                <w:color w:val="000000" w:themeColor="text1"/>
                <w:sz w:val="22"/>
                <w:szCs w:val="22"/>
                <w:lang w:val="en-US" w:eastAsia="zh-CN"/>
                <w14:textFill>
                  <w14:solidFill>
                    <w14:schemeClr w14:val="tx1"/>
                  </w14:solidFill>
                </w14:textFill>
              </w:rPr>
              <w:t xml:space="preserve"> looks like bubbles and pearls</w:t>
            </w:r>
            <w:r>
              <w:rPr>
                <w:rFonts w:ascii="Arial" w:hAnsi="Arial" w:eastAsia="宋体" w:cs="Arial"/>
                <w:color w:val="000000" w:themeColor="text1"/>
                <w:sz w:val="22"/>
                <w:szCs w:val="22"/>
                <w:lang w:val="en-US" w:eastAsia="zh-CN"/>
                <w14:textFill>
                  <w14:solidFill>
                    <w14:schemeClr w14:val="tx1"/>
                  </w14:solidFill>
                </w14:textFill>
              </w:rPr>
              <w:t>) to</w:t>
            </w:r>
            <w:r>
              <w:rPr>
                <w:rFonts w:hint="default" w:ascii="Arial" w:hAnsi="Arial" w:eastAsia="宋体" w:cs="Arial"/>
                <w:color w:val="000000" w:themeColor="text1"/>
                <w:sz w:val="22"/>
                <w:szCs w:val="22"/>
                <w:lang w:val="en-US" w:eastAsia="zh-CN"/>
                <w14:textFill>
                  <w14:solidFill>
                    <w14:schemeClr w14:val="tx1"/>
                  </w14:solidFill>
                </w14:textFill>
              </w:rPr>
              <w:t xml:space="preserve"> bubble tea</w:t>
            </w:r>
            <w:r>
              <w:rPr>
                <w:rFonts w:ascii="Arial" w:hAnsi="Arial" w:eastAsia="宋体" w:cs="Arial"/>
                <w:color w:val="000000" w:themeColor="text1"/>
                <w:sz w:val="22"/>
                <w:szCs w:val="22"/>
                <w:lang w:val="en-US" w:eastAsia="zh-CN"/>
                <w14:textFill>
                  <w14:solidFill>
                    <w14:schemeClr w14:val="tx1"/>
                  </w14:solidFill>
                </w14:textFill>
              </w:rPr>
              <w:t xml:space="preserve">. Later, </w:t>
            </w:r>
            <w:r>
              <w:rPr>
                <w:rFonts w:hint="default" w:ascii="Arial" w:hAnsi="Arial" w:eastAsia="宋体" w:cs="Arial"/>
                <w:color w:val="000000" w:themeColor="text1"/>
                <w:sz w:val="22"/>
                <w:szCs w:val="22"/>
                <w:lang w:val="en-US" w:eastAsia="zh-CN"/>
                <w14:textFill>
                  <w14:solidFill>
                    <w14:schemeClr w14:val="tx1"/>
                  </w14:solidFill>
                </w14:textFill>
              </w:rPr>
              <w:t>Bubble</w:t>
            </w:r>
            <w:r>
              <w:rPr>
                <w:rFonts w:ascii="Arial" w:hAnsi="Arial" w:eastAsia="宋体" w:cs="Arial"/>
                <w:color w:val="000000" w:themeColor="text1"/>
                <w:sz w:val="22"/>
                <w:szCs w:val="22"/>
                <w:lang w:val="en-US" w:eastAsia="zh-CN"/>
                <w14:textFill>
                  <w14:solidFill>
                    <w14:schemeClr w14:val="tx1"/>
                  </w14:solidFill>
                </w14:textFill>
              </w:rPr>
              <w:t xml:space="preserve"> tea became popular throughout the country(Honglin, Z.,Caiyun, W.and Shunan,Z., 2023). </w:t>
            </w:r>
            <w:r>
              <w:rPr>
                <w:rFonts w:hint="eastAsia" w:ascii="Arial" w:hAnsi="Arial" w:eastAsia="宋体" w:cs="Arial"/>
                <w:color w:val="000000" w:themeColor="text1"/>
                <w:sz w:val="22"/>
                <w:szCs w:val="22"/>
                <w:lang w:val="en-US" w:eastAsia="zh-CN"/>
                <w14:textFill>
                  <w14:solidFill>
                    <w14:schemeClr w14:val="tx1"/>
                  </w14:solidFill>
                </w14:textFill>
              </w:rPr>
              <w:t>The first stage, the "powder era" bubble tea from 1990 to 1995, this stage product has the characteristics of low cost, poor raw materials, unhealthy and so on. It is mainly prepared by brewing milk tea powder as the base and supplemented by various unnatural additives.The second stage refers to the "street age" milk tea from 1995 to 2015. At this stage, the products are mainly made of tea base by steeping low-quality tea such as crushed tea and crushed tea or waste tea, and supplemented by milk tea. Although more natural and healthy raw materials are used, its quality stability is worrying.The third stage refers to the "new tea drinking era" from 2015 to the present. The definition of "new tea drink" here, as mentioned above, is a further development on the basis of the broad concept of new tea drink, which belongs to the narrow concept. Today's new tea drinks are represented by "h</w:t>
            </w:r>
            <w:r>
              <w:rPr>
                <w:rFonts w:hint="default" w:ascii="Arial" w:hAnsi="Arial" w:eastAsia="宋体" w:cs="Arial"/>
                <w:color w:val="000000" w:themeColor="text1"/>
                <w:sz w:val="22"/>
                <w:szCs w:val="22"/>
                <w:lang w:val="en-US" w:eastAsia="zh-CN"/>
                <w14:textFill>
                  <w14:solidFill>
                    <w14:schemeClr w14:val="tx1"/>
                  </w14:solidFill>
                </w14:textFill>
              </w:rPr>
              <w:t>e</w:t>
            </w:r>
            <w:r>
              <w:rPr>
                <w:rFonts w:hint="eastAsia" w:ascii="Arial" w:hAnsi="Arial" w:eastAsia="宋体" w:cs="Arial"/>
                <w:color w:val="000000" w:themeColor="text1"/>
                <w:sz w:val="22"/>
                <w:szCs w:val="22"/>
                <w:lang w:val="en-US" w:eastAsia="zh-CN"/>
                <w14:textFill>
                  <w14:solidFill>
                    <w14:schemeClr w14:val="tx1"/>
                  </w14:solidFill>
                </w14:textFill>
              </w:rPr>
              <w:t>y tea" and "Nai Xue's tea". The quality of tea and fruit is relatively upgraded, and high-quality raw materials are selected to innovate tea extraction methods in order to improve the taste of tea base liquid, weaken the properties of tea, and neutralize the bitterness of tea through a large amount of sugar. In addition, raw ingredients such as creamer and milk powder are changed to fresh milk, and ingredients such as cheese, light cream, Oreo, ice cream, nuts and dried fruit (crushed) are added</w:t>
            </w:r>
            <w:r>
              <w:rPr>
                <w:rFonts w:hint="default" w:ascii="Arial" w:hAnsi="Arial" w:eastAsia="宋体" w:cs="Arial"/>
                <w:color w:val="000000" w:themeColor="text1"/>
                <w:sz w:val="22"/>
                <w:szCs w:val="22"/>
                <w:lang w:val="en-US" w:eastAsia="zh-CN"/>
                <w14:textFill>
                  <w14:solidFill>
                    <w14:schemeClr w14:val="tx1"/>
                  </w14:solidFill>
                </w14:textFill>
              </w:rPr>
              <w:t>(Xiongzhuang,H.,2021)</w:t>
            </w:r>
          </w:p>
          <w:p w14:paraId="19A4BE3D">
            <w:pPr>
              <w:pStyle w:val="26"/>
              <w:autoSpaceDE w:val="0"/>
              <w:autoSpaceDN w:val="0"/>
              <w:adjustRightInd w:val="0"/>
              <w:ind w:left="0"/>
              <w:contextualSpacing/>
              <w:rPr>
                <w:rFonts w:hint="default" w:ascii="Arial" w:hAnsi="Arial" w:eastAsia="宋体" w:cs="Arial"/>
                <w:color w:val="000000" w:themeColor="text1"/>
                <w:sz w:val="22"/>
                <w:szCs w:val="22"/>
                <w:lang w:val="en-US" w:eastAsia="zh-CN" w:bidi="ar-SA"/>
                <w14:textFill>
                  <w14:solidFill>
                    <w14:schemeClr w14:val="tx1"/>
                  </w14:solidFill>
                </w14:textFill>
              </w:rPr>
            </w:pPr>
            <w:r>
              <w:rPr>
                <w:rFonts w:hint="eastAsia" w:ascii="Arial" w:hAnsi="Arial" w:eastAsia="宋体" w:cs="Arial"/>
                <w:color w:val="000000" w:themeColor="text1"/>
                <w:sz w:val="22"/>
                <w:szCs w:val="22"/>
                <w:lang w:val="en-US" w:eastAsia="zh-CN" w:bidi="ar-SA"/>
                <w14:textFill>
                  <w14:solidFill>
                    <w14:schemeClr w14:val="tx1"/>
                  </w14:solidFill>
                </w14:textFill>
              </w:rPr>
              <w:t>Sharp transformation of social structure and the spread of the uncertainty risk of anxiety emotion fueled, Z generation in self-consciousness awakening, urgently looking for the key stage of social position and social respect in the family planning policy to promote "one child" era, Z generation is an only child, and more "lonely" become a true reflection of this generation. They are especially eager to define themselves and express their identity in order to obtain a sense of self-worth, and they are also eager to establish their own social networks as soon as possible to seek a sense of belonging to the group. Life consumption, as the most direct social behavior that can reflect identity and cater to the trend, has undoubtedly become an important means for Generation Z to seek self-identity and group identity. Compared with high-end big-name products, the update and iteration of niche brands and affordable products are faster and better at capturing attention. Directly hitting consumers' daily social touch points, the physical and mental experience and group identification brought by irregular consumption of tens of yuan seem to give them more satisfaction. Milk tea, as an affordable drink that stimulates taste buds and delights oneself in daily life, has influenced the lifestyle of Generation Z under the induction of capital and media</w:t>
            </w:r>
            <w:r>
              <w:rPr>
                <w:rFonts w:hint="default" w:eastAsia="宋体" w:cs="Arial"/>
                <w:color w:val="000000" w:themeColor="text1"/>
                <w:sz w:val="22"/>
                <w:szCs w:val="22"/>
                <w:lang w:val="en-US" w:eastAsia="zh-CN" w:bidi="ar-SA"/>
                <w14:textFill>
                  <w14:solidFill>
                    <w14:schemeClr w14:val="tx1"/>
                  </w14:solidFill>
                </w14:textFill>
              </w:rPr>
              <w:t>(Wei,L</w:t>
            </w:r>
            <w:r>
              <w:rPr>
                <w:rFonts w:hint="eastAsia" w:ascii="Arial" w:hAnsi="Arial" w:eastAsia="宋体" w:cs="Arial"/>
                <w:color w:val="000000" w:themeColor="text1"/>
                <w:sz w:val="22"/>
                <w:szCs w:val="22"/>
                <w:lang w:val="en-US" w:eastAsia="zh-CN" w:bidi="ar-SA"/>
                <w14:textFill>
                  <w14:solidFill>
                    <w14:schemeClr w14:val="tx1"/>
                  </w14:solidFill>
                </w14:textFill>
              </w:rPr>
              <w:t>.</w:t>
            </w:r>
            <w:r>
              <w:rPr>
                <w:rFonts w:hint="default" w:eastAsia="宋体" w:cs="Arial"/>
                <w:color w:val="000000" w:themeColor="text1"/>
                <w:sz w:val="22"/>
                <w:szCs w:val="22"/>
                <w:lang w:val="en-US" w:eastAsia="zh-CN" w:bidi="ar-SA"/>
                <w14:textFill>
                  <w14:solidFill>
                    <w14:schemeClr w14:val="tx1"/>
                  </w14:solidFill>
                </w14:textFill>
              </w:rPr>
              <w:t>,2022).</w:t>
            </w:r>
          </w:p>
          <w:p w14:paraId="44EFD857">
            <w:pPr>
              <w:pStyle w:val="26"/>
              <w:autoSpaceDE w:val="0"/>
              <w:autoSpaceDN w:val="0"/>
              <w:adjustRightInd w:val="0"/>
              <w:ind w:left="0"/>
              <w:contextualSpacing/>
              <w:rPr>
                <w:rFonts w:eastAsia="宋体" w:cs="Arial"/>
                <w:color w:val="000000" w:themeColor="text1"/>
                <w:sz w:val="22"/>
                <w:szCs w:val="22"/>
                <w:lang w:val="en-US" w:eastAsia="zh-CN"/>
                <w14:textFill>
                  <w14:solidFill>
                    <w14:schemeClr w14:val="tx1"/>
                  </w14:solidFill>
                </w14:textFill>
              </w:rPr>
            </w:pPr>
          </w:p>
          <w:p w14:paraId="3678CE55">
            <w:pPr>
              <w:pStyle w:val="26"/>
              <w:autoSpaceDE w:val="0"/>
              <w:autoSpaceDN w:val="0"/>
              <w:adjustRightInd w:val="0"/>
              <w:ind w:left="0"/>
              <w:contextualSpacing/>
              <w:rPr>
                <w:rFonts w:eastAsia="宋体" w:cs="Arial"/>
                <w:color w:val="000000" w:themeColor="text1"/>
                <w:sz w:val="22"/>
                <w:szCs w:val="22"/>
                <w:lang w:val="en-US" w:eastAsia="zh-CN"/>
                <w14:textFill>
                  <w14:solidFill>
                    <w14:schemeClr w14:val="tx1"/>
                  </w14:solidFill>
                </w14:textFill>
              </w:rPr>
            </w:pPr>
          </w:p>
          <w:p w14:paraId="1DF7045C">
            <w:pPr>
              <w:pStyle w:val="26"/>
              <w:numPr>
                <w:numId w:val="0"/>
              </w:numPr>
              <w:autoSpaceDE w:val="0"/>
              <w:autoSpaceDN w:val="0"/>
              <w:adjustRightInd w:val="0"/>
              <w:ind w:left="1080" w:leftChars="0"/>
              <w:contextualSpacing/>
              <w:rPr>
                <w:rFonts w:cs="Arial"/>
                <w:sz w:val="22"/>
                <w:szCs w:val="22"/>
                <w:lang w:eastAsia="zh-CN"/>
              </w:rPr>
            </w:pPr>
          </w:p>
        </w:tc>
      </w:tr>
      <w:tr w14:paraId="12881D89">
        <w:trPr>
          <w:trHeight w:val="397" w:hRule="atLeast"/>
        </w:trPr>
        <w:tc>
          <w:tcPr>
            <w:tcW w:w="9781" w:type="dxa"/>
            <w:shd w:val="clear" w:color="auto" w:fill="F1F1F1" w:themeFill="background1" w:themeFillShade="F2"/>
            <w:vAlign w:val="center"/>
          </w:tcPr>
          <w:p w14:paraId="39DBB307">
            <w:pPr>
              <w:rPr>
                <w:rFonts w:cs="Arial"/>
                <w:sz w:val="22"/>
                <w:szCs w:val="22"/>
                <w:lang w:eastAsia="zh-CN"/>
              </w:rPr>
            </w:pPr>
          </w:p>
          <w:p w14:paraId="3A32F8EA">
            <w:pPr>
              <w:rPr>
                <w:rFonts w:cs="Arial"/>
                <w:sz w:val="22"/>
                <w:szCs w:val="22"/>
              </w:rPr>
            </w:pPr>
            <w:r>
              <w:rPr>
                <w:rFonts w:cs="Arial"/>
                <w:sz w:val="22"/>
                <w:szCs w:val="22"/>
              </w:rPr>
              <w:t>Aims and Objectives (approx. 250 – 500 words)</w:t>
            </w:r>
          </w:p>
        </w:tc>
      </w:tr>
      <w:tr w14:paraId="21353382">
        <w:trPr>
          <w:trHeight w:val="397" w:hRule="atLeast"/>
        </w:trPr>
        <w:tc>
          <w:tcPr>
            <w:tcW w:w="9781" w:type="dxa"/>
            <w:vAlign w:val="center"/>
          </w:tcPr>
          <w:p w14:paraId="32060278">
            <w:p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In this section you will need to:</w:t>
            </w:r>
          </w:p>
          <w:p w14:paraId="06B92A66">
            <w:pPr>
              <w:pStyle w:val="26"/>
              <w:numPr>
                <w:ilvl w:val="0"/>
                <w:numId w:val="2"/>
              </w:numPr>
              <w:autoSpaceDE w:val="0"/>
              <w:autoSpaceDN w:val="0"/>
              <w:adjustRightInd w:val="0"/>
              <w:contextualSpacing/>
              <w:rPr>
                <w:rFonts w:cs="Arial"/>
                <w:color w:val="808080" w:themeColor="text1" w:themeTint="80"/>
                <w:sz w:val="22"/>
                <w:szCs w:val="22"/>
                <w:lang w:eastAsia="zh-CN"/>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Explain what you want to achieve through the research.</w:t>
            </w:r>
            <w:r>
              <w:rPr>
                <w:rFonts w:hint="eastAsia" w:ascii="微软雅黑" w:hAnsi="微软雅黑" w:eastAsia="微软雅黑" w:cs="微软雅黑"/>
                <w:color w:val="808080" w:themeColor="text1" w:themeTint="80"/>
                <w:sz w:val="22"/>
                <w:szCs w:val="22"/>
                <w:lang w:eastAsia="zh-CN"/>
                <w14:textFill>
                  <w14:solidFill>
                    <w14:schemeClr w14:val="tx1">
                      <w14:lumMod w14:val="50000"/>
                      <w14:lumOff w14:val="50000"/>
                    </w14:schemeClr>
                  </w14:solidFill>
                </w14:textFill>
              </w:rPr>
              <w:t xml:space="preserve"> 解释您希望通过研究实现什么</w:t>
            </w:r>
            <w:r>
              <w:rPr>
                <w:rFonts w:hint="eastAsia" w:ascii="微软雅黑" w:hAnsi="微软雅黑" w:eastAsia="微软雅黑" w:cs="微软雅黑"/>
                <w:color w:val="808080" w:themeColor="text1" w:themeTint="80"/>
                <w:sz w:val="22"/>
                <w:szCs w:val="22"/>
                <w:lang w:val="en-US" w:eastAsia="zh-CN"/>
                <w14:textFill>
                  <w14:solidFill>
                    <w14:schemeClr w14:val="tx1">
                      <w14:lumMod w14:val="50000"/>
                      <w14:lumOff w14:val="50000"/>
                    </w14:schemeClr>
                  </w14:solidFill>
                </w14:textFill>
              </w:rPr>
              <w:t>目</w:t>
            </w:r>
            <w:r>
              <w:rPr>
                <w:rFonts w:hint="eastAsia" w:ascii="微软雅黑" w:hAnsi="微软雅黑" w:eastAsia="微软雅黑" w:cs="微软雅黑"/>
                <w:color w:val="808080" w:themeColor="text1" w:themeTint="80"/>
                <w:sz w:val="22"/>
                <w:szCs w:val="22"/>
                <w:lang w:eastAsia="zh-CN"/>
                <w14:textFill>
                  <w14:solidFill>
                    <w14:schemeClr w14:val="tx1">
                      <w14:lumMod w14:val="50000"/>
                      <w14:lumOff w14:val="50000"/>
                    </w14:schemeClr>
                  </w14:solidFill>
                </w14:textFill>
              </w:rPr>
              <w:t>标。</w:t>
            </w:r>
          </w:p>
          <w:p w14:paraId="5AFA42FB">
            <w:pPr>
              <w:pStyle w:val="26"/>
              <w:numPr>
                <w:ilvl w:val="0"/>
                <w:numId w:val="2"/>
              </w:numPr>
              <w:autoSpaceDE w:val="0"/>
              <w:autoSpaceDN w:val="0"/>
              <w:adjustRightInd w:val="0"/>
              <w:contextualSpacing/>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Outline the aims of the research.</w:t>
            </w:r>
            <w:r>
              <w:rPr>
                <w:rFonts w:hint="eastAsia" w:cs="Arial"/>
                <w:color w:val="808080" w:themeColor="text1" w:themeTint="80"/>
                <w:sz w:val="22"/>
                <w:szCs w:val="22"/>
                <w14:textFill>
                  <w14:solidFill>
                    <w14:schemeClr w14:val="tx1">
                      <w14:lumMod w14:val="50000"/>
                      <w14:lumOff w14:val="50000"/>
                    </w14:schemeClr>
                  </w14:solidFill>
                </w14:textFill>
              </w:rPr>
              <w:t xml:space="preserve"> </w:t>
            </w:r>
            <w:r>
              <w:rPr>
                <w:rFonts w:hint="eastAsia" w:ascii="微软雅黑" w:hAnsi="微软雅黑" w:eastAsia="微软雅黑" w:cs="微软雅黑"/>
                <w:color w:val="808080" w:themeColor="text1" w:themeTint="80"/>
                <w:sz w:val="22"/>
                <w:szCs w:val="22"/>
                <w14:textFill>
                  <w14:solidFill>
                    <w14:schemeClr w14:val="tx1">
                      <w14:lumMod w14:val="50000"/>
                      <w14:lumOff w14:val="50000"/>
                    </w14:schemeClr>
                  </w14:solidFill>
                </w14:textFill>
              </w:rPr>
              <w:t>概述研究的目的。</w:t>
            </w:r>
          </w:p>
          <w:p w14:paraId="36800034">
            <w:pPr>
              <w:rPr>
                <w:rFonts w:ascii="PINGFANG SC SEMIBOLD" w:hAnsi="PINGFANG SC SEMIBOLD" w:eastAsia="PINGFANG SC SEMIBOLD" w:cs="PINGFANG SC SEMIBOLD"/>
                <w:b/>
                <w:bCs/>
                <w:color w:val="231F20"/>
                <w:sz w:val="18"/>
                <w:szCs w:val="18"/>
                <w:lang w:val="en-US" w:eastAsia="zh-CN" w:bidi="ar"/>
              </w:rPr>
            </w:pPr>
          </w:p>
          <w:p w14:paraId="60DBD92C">
            <w:pPr>
              <w:rPr>
                <w:rFonts w:hint="eastAsia" w:ascii="PINGFANG SC SEMIBOLD" w:hAnsi="PINGFANG SC SEMIBOLD" w:eastAsia="PINGFANG SC SEMIBOLD" w:cs="PINGFANG SC SEMIBOLD"/>
                <w:b/>
                <w:bCs/>
                <w:color w:val="231F20"/>
                <w:sz w:val="21"/>
                <w:szCs w:val="21"/>
                <w:lang w:val="en-US" w:eastAsia="zh-CN" w:bidi="ar"/>
              </w:rPr>
            </w:pPr>
          </w:p>
          <w:p w14:paraId="6C57E7E3">
            <w:pPr>
              <w:rPr>
                <w:rFonts w:hint="eastAsia" w:ascii="Arial Bold" w:hAnsi="Arial Bold" w:eastAsia="宋体" w:cs="Arial Bold"/>
                <w:b/>
                <w:bCs/>
                <w:sz w:val="22"/>
                <w:szCs w:val="22"/>
                <w:lang w:val="en-US" w:eastAsia="zh-CN"/>
              </w:rPr>
            </w:pPr>
          </w:p>
          <w:p w14:paraId="28EADBB0">
            <w:pPr>
              <w:rPr>
                <w:rFonts w:hint="eastAsia" w:ascii="Arial Bold" w:hAnsi="Arial Bold" w:eastAsia="宋体" w:cs="Arial Bold"/>
                <w:b/>
                <w:bCs/>
                <w:sz w:val="22"/>
                <w:szCs w:val="22"/>
                <w:lang w:val="en-US" w:eastAsia="zh-CN"/>
              </w:rPr>
            </w:pPr>
            <w:bookmarkStart w:id="0" w:name="_GoBack"/>
            <w:bookmarkEnd w:id="0"/>
            <w:r>
              <w:rPr>
                <w:rFonts w:hint="eastAsia" w:ascii="Arial Bold" w:hAnsi="Arial Bold" w:eastAsia="宋体" w:cs="Arial Bold"/>
                <w:b/>
                <w:bCs/>
                <w:sz w:val="22"/>
                <w:szCs w:val="22"/>
                <w:lang w:val="en-US" w:eastAsia="zh-CN"/>
              </w:rPr>
              <w:t>Aim</w:t>
            </w:r>
          </w:p>
          <w:p w14:paraId="535495B3">
            <w:pPr>
              <w:numPr>
                <w:numId w:val="0"/>
              </w:numPr>
              <w:ind w:leftChars="0"/>
              <w:jc w:val="left"/>
              <w:rPr>
                <w:rFonts w:hint="default" w:ascii="Arial" w:hAnsi="Arial" w:eastAsia="宋体" w:cs="Arial"/>
                <w:color w:val="000000" w:themeColor="text1"/>
                <w:sz w:val="22"/>
                <w:szCs w:val="22"/>
                <w:highlight w:val="none"/>
                <w:lang w:val="en-US" w:eastAsia="zh-CN" w:bidi="ar-SA"/>
                <w14:textFill>
                  <w14:solidFill>
                    <w14:schemeClr w14:val="tx1"/>
                  </w14:solidFill>
                </w14:textFill>
              </w:rPr>
            </w:pPr>
            <w:r>
              <w:rPr>
                <w:rFonts w:hint="eastAsia" w:ascii="Arial" w:hAnsi="Arial" w:eastAsia="宋体" w:cs="Arial"/>
                <w:color w:val="000000" w:themeColor="text1"/>
                <w:sz w:val="22"/>
                <w:szCs w:val="22"/>
                <w:highlight w:val="none"/>
                <w:lang w:val="en-US" w:eastAsia="zh-CN" w:bidi="ar-SA"/>
                <w14:textFill>
                  <w14:solidFill>
                    <w14:schemeClr w14:val="tx1"/>
                  </w14:solidFill>
                </w14:textFill>
              </w:rPr>
              <w:t>What is the relationship between the identity of Generation Z young people and the visual aesthetics of bubble tea brands</w:t>
            </w:r>
            <w:r>
              <w:rPr>
                <w:rFonts w:hint="default" w:eastAsia="宋体" w:cs="Arial"/>
                <w:color w:val="000000" w:themeColor="text1"/>
                <w:sz w:val="22"/>
                <w:szCs w:val="22"/>
                <w:highlight w:val="none"/>
                <w:lang w:val="en-US" w:eastAsia="zh-CN" w:bidi="ar-SA"/>
                <w14:textFill>
                  <w14:solidFill>
                    <w14:schemeClr w14:val="tx1"/>
                  </w14:solidFill>
                </w14:textFill>
              </w:rPr>
              <w:t>?</w:t>
            </w:r>
          </w:p>
          <w:p w14:paraId="7A3F9804">
            <w:pPr>
              <w:rPr>
                <w:rFonts w:cs="Arial"/>
                <w:sz w:val="22"/>
                <w:szCs w:val="22"/>
              </w:rPr>
            </w:pPr>
          </w:p>
          <w:p w14:paraId="2C52B6F3">
            <w:pPr>
              <w:rPr>
                <w:rFonts w:hint="default" w:ascii="Arial Bold" w:hAnsi="Arial Bold" w:eastAsia="宋体" w:cs="Arial Bold"/>
                <w:b/>
                <w:bCs/>
                <w:sz w:val="22"/>
                <w:szCs w:val="22"/>
                <w:lang w:val="en-US" w:eastAsia="zh-CN"/>
              </w:rPr>
            </w:pPr>
            <w:r>
              <w:rPr>
                <w:rFonts w:hint="default" w:ascii="Arial Bold" w:hAnsi="Arial Bold" w:eastAsia="宋体" w:cs="Arial Bold"/>
                <w:b/>
                <w:bCs/>
                <w:sz w:val="22"/>
                <w:szCs w:val="22"/>
                <w:lang w:val="en-US" w:eastAsia="zh-CN"/>
              </w:rPr>
              <w:t>Objectives</w:t>
            </w:r>
          </w:p>
          <w:p w14:paraId="00CC084C">
            <w:pPr>
              <w:numPr>
                <w:ilvl w:val="0"/>
                <w:numId w:val="3"/>
              </w:numPr>
              <w:jc w:val="left"/>
              <w:rPr>
                <w:rFonts w:hint="default" w:ascii="Arial" w:hAnsi="Arial" w:eastAsia="宋体" w:cs="Arial"/>
                <w:color w:val="000000" w:themeColor="text1"/>
                <w:sz w:val="22"/>
                <w:szCs w:val="22"/>
                <w:highlight w:val="none"/>
                <w:lang w:val="en-US" w:eastAsia="zh-CN" w:bidi="ar-SA"/>
                <w14:textFill>
                  <w14:solidFill>
                    <w14:schemeClr w14:val="tx1"/>
                  </w14:solidFill>
                </w14:textFill>
              </w:rPr>
            </w:pPr>
            <w:r>
              <w:rPr>
                <w:rFonts w:hint="default" w:ascii="Arial" w:hAnsi="Arial" w:eastAsia="宋体" w:cs="Arial"/>
                <w:color w:val="000000" w:themeColor="text1"/>
                <w:sz w:val="22"/>
                <w:szCs w:val="22"/>
                <w:highlight w:val="none"/>
                <w:lang w:val="en-US" w:eastAsia="zh-CN" w:bidi="ar-SA"/>
                <w14:textFill>
                  <w14:solidFill>
                    <w14:schemeClr w14:val="tx1"/>
                  </w14:solidFill>
                </w14:textFill>
              </w:rPr>
              <w:t xml:space="preserve">Analyze how the brand design of </w:t>
            </w:r>
            <w:r>
              <w:rPr>
                <w:rFonts w:hint="eastAsia" w:ascii="Arial" w:hAnsi="Arial" w:eastAsia="宋体" w:cs="Arial"/>
                <w:color w:val="000000" w:themeColor="text1"/>
                <w:sz w:val="22"/>
                <w:szCs w:val="22"/>
                <w:highlight w:val="none"/>
                <w:lang w:val="en-US" w:eastAsia="zh-CN" w:bidi="ar-SA"/>
                <w14:textFill>
                  <w14:solidFill>
                    <w14:schemeClr w14:val="tx1"/>
                  </w14:solidFill>
                </w14:textFill>
              </w:rPr>
              <w:t>bubble</w:t>
            </w:r>
            <w:r>
              <w:rPr>
                <w:rFonts w:hint="default" w:ascii="Arial" w:hAnsi="Arial" w:eastAsia="宋体" w:cs="Arial"/>
                <w:color w:val="000000" w:themeColor="text1"/>
                <w:sz w:val="22"/>
                <w:szCs w:val="22"/>
                <w:highlight w:val="none"/>
                <w:lang w:val="en-US" w:eastAsia="zh-CN" w:bidi="ar-SA"/>
                <w14:textFill>
                  <w14:solidFill>
                    <w14:schemeClr w14:val="tx1"/>
                  </w14:solidFill>
                </w14:textFill>
              </w:rPr>
              <w:t xml:space="preserve"> tea conforms to the performance identity of Chinese Generation Z young people through visual elements; </w:t>
            </w:r>
          </w:p>
          <w:p w14:paraId="6349D7E1">
            <w:pPr>
              <w:numPr>
                <w:ilvl w:val="0"/>
                <w:numId w:val="3"/>
              </w:numPr>
              <w:ind w:left="0" w:leftChars="0" w:firstLine="0" w:firstLineChars="0"/>
              <w:jc w:val="left"/>
              <w:rPr>
                <w:rFonts w:hint="default" w:ascii="Arial" w:hAnsi="Arial" w:eastAsia="宋体" w:cs="Arial"/>
                <w:color w:val="000000" w:themeColor="text1"/>
                <w:sz w:val="22"/>
                <w:szCs w:val="22"/>
                <w:highlight w:val="none"/>
                <w:lang w:val="en-US" w:eastAsia="zh-CN" w:bidi="ar-SA"/>
                <w14:textFill>
                  <w14:solidFill>
                    <w14:schemeClr w14:val="tx1"/>
                  </w14:solidFill>
                </w14:textFill>
              </w:rPr>
            </w:pPr>
            <w:r>
              <w:rPr>
                <w:rFonts w:hint="default" w:ascii="Arial" w:hAnsi="Arial" w:eastAsia="宋体" w:cs="Arial"/>
                <w:color w:val="000000" w:themeColor="text1"/>
                <w:sz w:val="22"/>
                <w:szCs w:val="22"/>
                <w:highlight w:val="none"/>
                <w:lang w:val="en-US" w:eastAsia="zh-CN" w:bidi="ar-SA"/>
                <w14:textFill>
                  <w14:solidFill>
                    <w14:schemeClr w14:val="tx1"/>
                  </w14:solidFill>
                </w14:textFill>
              </w:rPr>
              <w:t xml:space="preserve">To explore the relationship between </w:t>
            </w:r>
            <w:r>
              <w:rPr>
                <w:rFonts w:hint="eastAsia" w:eastAsia="宋体" w:cs="Arial"/>
                <w:color w:val="000000" w:themeColor="text1"/>
                <w:sz w:val="22"/>
                <w:szCs w:val="22"/>
                <w:highlight w:val="none"/>
                <w:lang w:val="en-US" w:eastAsia="zh-CN" w:bidi="ar-SA"/>
                <w14:textFill>
                  <w14:solidFill>
                    <w14:schemeClr w14:val="tx1"/>
                  </w14:solidFill>
                </w14:textFill>
              </w:rPr>
              <w:t>bubble</w:t>
            </w:r>
            <w:r>
              <w:rPr>
                <w:rFonts w:hint="default" w:ascii="Arial" w:hAnsi="Arial" w:eastAsia="宋体" w:cs="Arial"/>
                <w:color w:val="000000" w:themeColor="text1"/>
                <w:sz w:val="22"/>
                <w:szCs w:val="22"/>
                <w:highlight w:val="none"/>
                <w:lang w:val="en-US" w:eastAsia="zh-CN" w:bidi="ar-SA"/>
                <w14:textFill>
                  <w14:solidFill>
                    <w14:schemeClr w14:val="tx1"/>
                  </w14:solidFill>
                </w14:textFill>
              </w:rPr>
              <w:t xml:space="preserve"> tea brands and the impression management of Chinese Generation Z youth in the current cultural environment; </w:t>
            </w:r>
          </w:p>
          <w:p w14:paraId="7AB9986E">
            <w:pPr>
              <w:numPr>
                <w:ilvl w:val="0"/>
                <w:numId w:val="3"/>
              </w:numPr>
              <w:ind w:left="0" w:leftChars="0" w:firstLine="0" w:firstLineChars="0"/>
              <w:jc w:val="left"/>
              <w:rPr>
                <w:rFonts w:hint="default" w:ascii="Arial" w:hAnsi="Arial" w:eastAsia="宋体" w:cs="Arial"/>
                <w:color w:val="000000" w:themeColor="text1"/>
                <w:sz w:val="22"/>
                <w:szCs w:val="22"/>
                <w:highlight w:val="none"/>
                <w:lang w:val="en-US" w:eastAsia="zh-CN" w:bidi="ar-SA"/>
                <w14:textFill>
                  <w14:solidFill>
                    <w14:schemeClr w14:val="tx1"/>
                  </w14:solidFill>
                </w14:textFill>
              </w:rPr>
            </w:pPr>
            <w:r>
              <w:rPr>
                <w:rFonts w:hint="default" w:ascii="Arial" w:hAnsi="Arial" w:eastAsia="宋体" w:cs="Arial"/>
                <w:color w:val="000000" w:themeColor="text1"/>
                <w:sz w:val="22"/>
                <w:szCs w:val="22"/>
                <w:highlight w:val="none"/>
                <w:lang w:val="en-US" w:eastAsia="zh-CN" w:bidi="ar-SA"/>
                <w14:textFill>
                  <w14:solidFill>
                    <w14:schemeClr w14:val="tx1"/>
                  </w14:solidFill>
                </w14:textFill>
              </w:rPr>
              <w:t xml:space="preserve">Explore the relationship between </w:t>
            </w:r>
            <w:r>
              <w:rPr>
                <w:rFonts w:hint="eastAsia" w:ascii="Arial" w:hAnsi="Arial" w:eastAsia="宋体" w:cs="Arial"/>
                <w:color w:val="000000" w:themeColor="text1"/>
                <w:sz w:val="22"/>
                <w:szCs w:val="22"/>
                <w:highlight w:val="none"/>
                <w:lang w:val="en-US" w:eastAsia="zh-CN" w:bidi="ar-SA"/>
                <w14:textFill>
                  <w14:solidFill>
                    <w14:schemeClr w14:val="tx1"/>
                  </w14:solidFill>
                </w14:textFill>
              </w:rPr>
              <w:t>bubble</w:t>
            </w:r>
            <w:r>
              <w:rPr>
                <w:rFonts w:hint="default" w:ascii="Arial" w:hAnsi="Arial" w:eastAsia="宋体" w:cs="Arial"/>
                <w:color w:val="000000" w:themeColor="text1"/>
                <w:sz w:val="22"/>
                <w:szCs w:val="22"/>
                <w:highlight w:val="none"/>
                <w:lang w:val="en-US" w:eastAsia="zh-CN" w:bidi="ar-SA"/>
                <w14:textFill>
                  <w14:solidFill>
                    <w14:schemeClr w14:val="tx1"/>
                  </w14:solidFill>
                </w14:textFill>
              </w:rPr>
              <w:t xml:space="preserve"> tea brands and the identity management of Chinese Generation Z youth in the current cultural environment; </w:t>
            </w:r>
          </w:p>
          <w:p w14:paraId="4B1CCB06">
            <w:pPr>
              <w:numPr>
                <w:ilvl w:val="0"/>
                <w:numId w:val="3"/>
              </w:numPr>
              <w:ind w:left="0" w:leftChars="0" w:firstLine="0" w:firstLineChars="0"/>
              <w:jc w:val="left"/>
              <w:rPr>
                <w:rFonts w:hint="default" w:eastAsia="宋体" w:cs="Arial"/>
                <w:color w:val="000000" w:themeColor="text1"/>
                <w:sz w:val="22"/>
                <w:szCs w:val="22"/>
                <w:lang w:val="en-US" w:eastAsia="zh-CN"/>
                <w14:textFill>
                  <w14:solidFill>
                    <w14:schemeClr w14:val="tx1"/>
                  </w14:solidFill>
                </w14:textFill>
              </w:rPr>
            </w:pPr>
            <w:r>
              <w:rPr>
                <w:rFonts w:hint="default" w:ascii="Arial" w:hAnsi="Arial" w:eastAsia="宋体" w:cs="Arial"/>
                <w:color w:val="000000" w:themeColor="text1"/>
                <w:sz w:val="22"/>
                <w:szCs w:val="22"/>
                <w:highlight w:val="none"/>
                <w:lang w:val="en-US" w:eastAsia="zh-CN" w:bidi="ar-SA"/>
                <w14:textFill>
                  <w14:solidFill>
                    <w14:schemeClr w14:val="tx1"/>
                  </w14:solidFill>
                </w14:textFill>
              </w:rPr>
              <w:t xml:space="preserve">How will the impression management and identity management of Chinese Generation Z youth react to the future trend of </w:t>
            </w:r>
            <w:r>
              <w:rPr>
                <w:rFonts w:hint="eastAsia" w:ascii="Arial" w:hAnsi="Arial" w:eastAsia="宋体" w:cs="Arial"/>
                <w:color w:val="000000" w:themeColor="text1"/>
                <w:sz w:val="22"/>
                <w:szCs w:val="22"/>
                <w:highlight w:val="none"/>
                <w:lang w:val="en-US" w:eastAsia="zh-CN" w:bidi="ar-SA"/>
                <w14:textFill>
                  <w14:solidFill>
                    <w14:schemeClr w14:val="tx1"/>
                  </w14:solidFill>
                </w14:textFill>
              </w:rPr>
              <w:t>bubble</w:t>
            </w:r>
            <w:r>
              <w:rPr>
                <w:rFonts w:hint="default" w:ascii="Arial" w:hAnsi="Arial" w:eastAsia="宋体" w:cs="Arial"/>
                <w:color w:val="000000" w:themeColor="text1"/>
                <w:sz w:val="22"/>
                <w:szCs w:val="22"/>
                <w:highlight w:val="none"/>
                <w:lang w:val="en-US" w:eastAsia="zh-CN" w:bidi="ar-SA"/>
                <w14:textFill>
                  <w14:solidFill>
                    <w14:schemeClr w14:val="tx1"/>
                  </w14:solidFill>
                </w14:textFill>
              </w:rPr>
              <w:t xml:space="preserve"> tea brand design</w:t>
            </w:r>
            <w:r>
              <w:rPr>
                <w:rFonts w:hint="default" w:eastAsia="宋体" w:cs="Arial"/>
                <w:color w:val="000000" w:themeColor="text1"/>
                <w:sz w:val="22"/>
                <w:szCs w:val="22"/>
                <w:highlight w:val="none"/>
                <w:lang w:val="en-US" w:eastAsia="zh-CN" w:bidi="ar-SA"/>
                <w14:textFill>
                  <w14:solidFill>
                    <w14:schemeClr w14:val="tx1"/>
                  </w14:solidFill>
                </w14:textFill>
              </w:rPr>
              <w:t>.</w:t>
            </w:r>
          </w:p>
          <w:p w14:paraId="50F5096A">
            <w:pPr>
              <w:numPr>
                <w:numId w:val="0"/>
              </w:numPr>
              <w:ind w:leftChars="0"/>
              <w:jc w:val="left"/>
              <w:rPr>
                <w:rFonts w:hint="default" w:eastAsia="宋体" w:cs="Arial"/>
                <w:color w:val="000000" w:themeColor="text1"/>
                <w:sz w:val="22"/>
                <w:szCs w:val="22"/>
                <w:highlight w:val="none"/>
                <w:lang w:val="en-US" w:eastAsia="zh-CN" w:bidi="ar-SA"/>
                <w14:textFill>
                  <w14:solidFill>
                    <w14:schemeClr w14:val="tx1"/>
                  </w14:solidFill>
                </w14:textFill>
              </w:rPr>
            </w:pPr>
          </w:p>
          <w:p w14:paraId="3D551888">
            <w:pPr>
              <w:numPr>
                <w:numId w:val="0"/>
              </w:numPr>
              <w:ind w:leftChars="0"/>
              <w:jc w:val="left"/>
              <w:rPr>
                <w:rFonts w:hint="default" w:eastAsia="宋体" w:cs="Arial"/>
                <w:color w:val="000000" w:themeColor="text1"/>
                <w:sz w:val="24"/>
                <w:szCs w:val="24"/>
                <w:highlight w:val="none"/>
                <w:lang w:val="en-US" w:eastAsia="zh-CN" w:bidi="ar-SA"/>
                <w14:textFill>
                  <w14:solidFill>
                    <w14:schemeClr w14:val="tx1"/>
                  </w14:solidFill>
                </w14:textFill>
              </w:rPr>
            </w:pPr>
            <w:r>
              <w:rPr>
                <w:rFonts w:hint="eastAsia" w:eastAsia="宋体"/>
                <w:i w:val="0"/>
                <w:iCs w:val="0"/>
                <w:caps w:val="0"/>
                <w:color w:val="000000"/>
                <w:spacing w:val="0"/>
                <w:sz w:val="21"/>
                <w:szCs w:val="21"/>
                <w:u w:val="none"/>
                <w:lang w:val="en-US" w:eastAsia="zh-CN"/>
              </w:rPr>
              <w:t xml:space="preserve">This study explores the relationship between the identity of Generation Z young people and the visual aesthetics of milk tea brand design, providing a new perspective on how milk tea brands relate to individual identity, group identity, performative identity and social interaction through visual design. The innovation of this study is reflected in the combination of identity management and impression management of Generation Z with brand visual design, revealing how brands establish cultural connections with Generation Z consumers through visual strategies, and its modern significance is to help </w:t>
            </w:r>
            <w:r>
              <w:rPr>
                <w:rFonts w:hint="default" w:eastAsia="宋体"/>
                <w:i w:val="0"/>
                <w:iCs w:val="0"/>
                <w:caps w:val="0"/>
                <w:color w:val="000000"/>
                <w:spacing w:val="0"/>
                <w:sz w:val="21"/>
                <w:szCs w:val="21"/>
                <w:u w:val="none"/>
                <w:lang w:val="en-US" w:eastAsia="zh-CN"/>
              </w:rPr>
              <w:t>bubble</w:t>
            </w:r>
            <w:r>
              <w:rPr>
                <w:rFonts w:hint="eastAsia" w:eastAsia="宋体"/>
                <w:i w:val="0"/>
                <w:iCs w:val="0"/>
                <w:caps w:val="0"/>
                <w:color w:val="000000"/>
                <w:spacing w:val="0"/>
                <w:sz w:val="21"/>
                <w:szCs w:val="21"/>
                <w:u w:val="none"/>
                <w:lang w:val="en-US" w:eastAsia="zh-CN"/>
              </w:rPr>
              <w:t xml:space="preserve"> tea brands better understand and cater to the social and personalized consumption needs of Generation Z consumers, and apply it to the future trend of </w:t>
            </w:r>
            <w:r>
              <w:rPr>
                <w:rFonts w:hint="default" w:eastAsia="宋体"/>
                <w:i w:val="0"/>
                <w:iCs w:val="0"/>
                <w:caps w:val="0"/>
                <w:color w:val="000000"/>
                <w:spacing w:val="0"/>
                <w:sz w:val="21"/>
                <w:szCs w:val="21"/>
                <w:u w:val="none"/>
                <w:lang w:val="en-US" w:eastAsia="zh-CN"/>
              </w:rPr>
              <w:t>bubble</w:t>
            </w:r>
            <w:r>
              <w:rPr>
                <w:rFonts w:hint="eastAsia" w:eastAsia="宋体"/>
                <w:i w:val="0"/>
                <w:iCs w:val="0"/>
                <w:caps w:val="0"/>
                <w:color w:val="000000"/>
                <w:spacing w:val="0"/>
                <w:sz w:val="21"/>
                <w:szCs w:val="21"/>
                <w:u w:val="none"/>
                <w:lang w:val="en-US" w:eastAsia="zh-CN"/>
              </w:rPr>
              <w:t xml:space="preserve"> tea brands.</w:t>
            </w:r>
          </w:p>
          <w:p w14:paraId="0A3F5FCD">
            <w:pPr>
              <w:rPr>
                <w:rFonts w:cs="Arial"/>
                <w:sz w:val="22"/>
                <w:szCs w:val="22"/>
              </w:rPr>
            </w:pPr>
          </w:p>
          <w:p w14:paraId="639045B3">
            <w:pPr>
              <w:pStyle w:val="26"/>
              <w:autoSpaceDE w:val="0"/>
              <w:autoSpaceDN w:val="0"/>
              <w:adjustRightInd w:val="0"/>
              <w:ind w:left="360"/>
              <w:contextualSpacing/>
              <w:rPr>
                <w:rFonts w:cs="Arial"/>
                <w:sz w:val="22"/>
                <w:szCs w:val="22"/>
              </w:rPr>
            </w:pPr>
          </w:p>
        </w:tc>
      </w:tr>
      <w:tr w14:paraId="5E987C55">
        <w:trPr>
          <w:trHeight w:val="397" w:hRule="atLeast"/>
        </w:trPr>
        <w:tc>
          <w:tcPr>
            <w:tcW w:w="9781" w:type="dxa"/>
            <w:shd w:val="clear" w:color="auto" w:fill="F1F1F1" w:themeFill="background1" w:themeFillShade="F2"/>
            <w:vAlign w:val="center"/>
          </w:tcPr>
          <w:p w14:paraId="14B41F57">
            <w:pPr>
              <w:rPr>
                <w:rFonts w:cs="Arial"/>
                <w:sz w:val="22"/>
                <w:szCs w:val="22"/>
              </w:rPr>
            </w:pPr>
          </w:p>
          <w:p w14:paraId="180244AA">
            <w:pPr>
              <w:rPr>
                <w:rFonts w:cs="Arial"/>
                <w:sz w:val="22"/>
                <w:szCs w:val="22"/>
              </w:rPr>
            </w:pPr>
            <w:r>
              <w:rPr>
                <w:rFonts w:cs="Arial"/>
                <w:sz w:val="22"/>
                <w:szCs w:val="22"/>
              </w:rPr>
              <w:t xml:space="preserve">Proposed plan of work including timetable </w:t>
            </w:r>
          </w:p>
        </w:tc>
      </w:tr>
      <w:tr w14:paraId="20C08F8F">
        <w:trPr>
          <w:trHeight w:val="397" w:hRule="atLeast"/>
        </w:trPr>
        <w:tc>
          <w:tcPr>
            <w:tcW w:w="9781" w:type="dxa"/>
          </w:tcPr>
          <w:p w14:paraId="674ADAB4">
            <w:pPr>
              <w:rPr>
                <w:rFonts w:cs="Arial"/>
                <w:i/>
                <w:color w:val="808080" w:themeColor="text1" w:themeTint="80"/>
                <w:sz w:val="22"/>
                <w:szCs w:val="22"/>
                <w14:textFill>
                  <w14:solidFill>
                    <w14:schemeClr w14:val="tx1">
                      <w14:lumMod w14:val="50000"/>
                      <w14:lumOff w14:val="50000"/>
                    </w14:schemeClr>
                  </w14:solidFill>
                </w14:textFill>
              </w:rPr>
            </w:pPr>
            <w:r>
              <w:rPr>
                <w:rFonts w:cs="Arial"/>
                <w:i/>
                <w:color w:val="808080" w:themeColor="text1" w:themeTint="80"/>
                <w:sz w:val="22"/>
                <w:szCs w:val="22"/>
                <w14:textFill>
                  <w14:solidFill>
                    <w14:schemeClr w14:val="tx1">
                      <w14:lumMod w14:val="50000"/>
                      <w14:lumOff w14:val="50000"/>
                    </w14:schemeClr>
                  </w14:solidFill>
                </w14:textFill>
              </w:rPr>
              <w:t>Proposed plan of work</w:t>
            </w:r>
          </w:p>
          <w:p w14:paraId="73C6FDB0">
            <w:pPr>
              <w:rPr>
                <w:rFonts w:cs="Arial"/>
                <w:color w:val="808080" w:themeColor="text1" w:themeTint="80"/>
                <w:sz w:val="22"/>
                <w:szCs w:val="22"/>
                <w14:textFill>
                  <w14:solidFill>
                    <w14:schemeClr w14:val="tx1">
                      <w14:lumMod w14:val="50000"/>
                      <w14:lumOff w14:val="50000"/>
                    </w14:schemeClr>
                  </w14:solidFill>
                </w14:textFill>
              </w:rPr>
            </w:pPr>
          </w:p>
          <w:p w14:paraId="5411AD94">
            <w:p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In this section you will need to complete a proposed plan of your work explaining the timeline for key elements of the thesis. This can be set out as a table like below or as a gantt chart (for example)</w:t>
            </w:r>
          </w:p>
          <w:p w14:paraId="091BC418">
            <w:pPr>
              <w:rPr>
                <w:rFonts w:cs="Arial"/>
                <w:color w:val="808080" w:themeColor="text1" w:themeTint="80"/>
                <w:sz w:val="22"/>
                <w:szCs w:val="22"/>
                <w14:textFill>
                  <w14:solidFill>
                    <w14:schemeClr w14:val="tx1">
                      <w14:lumMod w14:val="50000"/>
                      <w14:lumOff w14:val="50000"/>
                    </w14:schemeClr>
                  </w14:solidFill>
                </w14:textFill>
              </w:rPr>
            </w:pPr>
          </w:p>
          <w:p w14:paraId="7F45B347">
            <w:p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This plan should indicate that the research will be completed by the end of the fee paying period (the minimum period of candidature.</w:t>
            </w:r>
          </w:p>
          <w:p w14:paraId="560523C9">
            <w:pPr>
              <w:rPr>
                <w:rFonts w:cs="Arial"/>
                <w:color w:val="808080" w:themeColor="text1" w:themeTint="80"/>
                <w:sz w:val="22"/>
                <w:szCs w:val="22"/>
                <w14:textFill>
                  <w14:solidFill>
                    <w14:schemeClr w14:val="tx1">
                      <w14:lumMod w14:val="50000"/>
                      <w14:lumOff w14:val="50000"/>
                    </w14:schemeClr>
                  </w14:solidFill>
                </w14:textFill>
              </w:rPr>
            </w:pPr>
          </w:p>
          <w:p w14:paraId="0F118A0F">
            <w:pPr>
              <w:rPr>
                <w:rFonts w:cs="Arial"/>
                <w:color w:val="808080" w:themeColor="text1" w:themeTint="80"/>
                <w:sz w:val="22"/>
                <w:szCs w:val="22"/>
                <w:lang w:eastAsia="zh-CN"/>
                <w14:textFill>
                  <w14:solidFill>
                    <w14:schemeClr w14:val="tx1">
                      <w14:lumMod w14:val="50000"/>
                      <w14:lumOff w14:val="50000"/>
                    </w14:schemeClr>
                  </w14:solidFill>
                </w14:textFill>
              </w:rPr>
            </w:pPr>
            <w:r>
              <w:rPr>
                <w:rFonts w:hint="eastAsia" w:ascii="微软雅黑" w:hAnsi="微软雅黑" w:eastAsia="微软雅黑" w:cs="微软雅黑"/>
                <w:color w:val="808080" w:themeColor="text1" w:themeTint="80"/>
                <w:sz w:val="22"/>
                <w:szCs w:val="22"/>
                <w:lang w:eastAsia="zh-CN"/>
                <w14:textFill>
                  <w14:solidFill>
                    <w14:schemeClr w14:val="tx1">
                      <w14:lumMod w14:val="50000"/>
                      <w14:lumOff w14:val="50000"/>
                    </w14:schemeClr>
                  </w14:solidFill>
                </w14:textFill>
              </w:rPr>
              <w:t>在本节中，您需要完成一份拟议的工作计划，解释论文关键要素的时间表。这可以设置为如下表或甘特图（例如）</w:t>
            </w:r>
          </w:p>
          <w:p w14:paraId="64DD12A3">
            <w:pPr>
              <w:rPr>
                <w:rFonts w:cs="Arial"/>
                <w:color w:val="808080" w:themeColor="text1" w:themeTint="80"/>
                <w:sz w:val="22"/>
                <w:szCs w:val="22"/>
                <w:lang w:eastAsia="zh-CN"/>
                <w14:textFill>
                  <w14:solidFill>
                    <w14:schemeClr w14:val="tx1">
                      <w14:lumMod w14:val="50000"/>
                      <w14:lumOff w14:val="50000"/>
                    </w14:schemeClr>
                  </w14:solidFill>
                </w14:textFill>
              </w:rPr>
            </w:pPr>
          </w:p>
          <w:p w14:paraId="2FD57589">
            <w:pPr>
              <w:rPr>
                <w:rFonts w:cs="Arial"/>
                <w:color w:val="808080" w:themeColor="text1" w:themeTint="80"/>
                <w:sz w:val="22"/>
                <w:szCs w:val="22"/>
                <w:lang w:eastAsia="zh-CN"/>
                <w14:textFill>
                  <w14:solidFill>
                    <w14:schemeClr w14:val="tx1">
                      <w14:lumMod w14:val="50000"/>
                      <w14:lumOff w14:val="50000"/>
                    </w14:schemeClr>
                  </w14:solidFill>
                </w14:textFill>
              </w:rPr>
            </w:pPr>
            <w:r>
              <w:rPr>
                <w:rFonts w:hint="eastAsia" w:ascii="微软雅黑" w:hAnsi="微软雅黑" w:eastAsia="微软雅黑" w:cs="微软雅黑"/>
                <w:color w:val="808080" w:themeColor="text1" w:themeTint="80"/>
                <w:sz w:val="22"/>
                <w:szCs w:val="22"/>
                <w:lang w:eastAsia="zh-CN"/>
                <w14:textFill>
                  <w14:solidFill>
                    <w14:schemeClr w14:val="tx1">
                      <w14:lumMod w14:val="50000"/>
                      <w14:lumOff w14:val="50000"/>
                    </w14:schemeClr>
                  </w14:solidFill>
                </w14:textFill>
              </w:rPr>
              <w:t>该计划应表明研究将在付费期（最短候选期）结束时完成。</w:t>
            </w:r>
          </w:p>
          <w:p w14:paraId="39C8CDAC">
            <w:pPr>
              <w:rPr>
                <w:rFonts w:cs="Arial"/>
                <w:sz w:val="22"/>
                <w:szCs w:val="22"/>
                <w:lang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7"/>
              <w:gridCol w:w="4778"/>
            </w:tblGrid>
            <w:tr w14:paraId="75E7DDB4">
              <w:tc>
                <w:tcPr>
                  <w:tcW w:w="4777" w:type="dxa"/>
                </w:tcPr>
                <w:p w14:paraId="7605DA7E">
                  <w:pPr>
                    <w:rPr>
                      <w:rFonts w:cs="Arial"/>
                      <w:sz w:val="22"/>
                      <w:szCs w:val="22"/>
                    </w:rPr>
                  </w:pPr>
                  <w:r>
                    <w:rPr>
                      <w:rFonts w:cs="Arial"/>
                      <w:sz w:val="22"/>
                      <w:szCs w:val="22"/>
                    </w:rPr>
                    <w:t>Planned Development (e.g. submission of form, completion of chapter, submission of thesis)</w:t>
                  </w:r>
                </w:p>
              </w:tc>
              <w:tc>
                <w:tcPr>
                  <w:tcW w:w="4778" w:type="dxa"/>
                </w:tcPr>
                <w:p w14:paraId="17C0BC34">
                  <w:pPr>
                    <w:rPr>
                      <w:rFonts w:cs="Arial"/>
                      <w:sz w:val="22"/>
                      <w:szCs w:val="22"/>
                    </w:rPr>
                  </w:pPr>
                  <w:r>
                    <w:rPr>
                      <w:rFonts w:cs="Arial"/>
                      <w:sz w:val="22"/>
                      <w:szCs w:val="22"/>
                    </w:rPr>
                    <w:t>Target Date</w:t>
                  </w:r>
                </w:p>
              </w:tc>
            </w:tr>
            <w:tr w14:paraId="0DBF6267">
              <w:trPr>
                <w:trHeight w:val="206" w:hRule="atLeast"/>
              </w:trPr>
              <w:tc>
                <w:tcPr>
                  <w:tcW w:w="4777" w:type="dxa"/>
                </w:tcPr>
                <w:p w14:paraId="4616D39D">
                  <w:pPr>
                    <w:rPr>
                      <w:rFonts w:eastAsia="宋体" w:cs="Arial"/>
                      <w:sz w:val="22"/>
                      <w:szCs w:val="22"/>
                      <w:lang w:val="en-US" w:eastAsia="zh-CN"/>
                    </w:rPr>
                  </w:pPr>
                  <w:r>
                    <w:rPr>
                      <w:rFonts w:hint="eastAsia" w:eastAsia="宋体" w:cs="Arial"/>
                      <w:sz w:val="22"/>
                      <w:szCs w:val="22"/>
                      <w:lang w:val="en-US" w:eastAsia="zh-CN"/>
                    </w:rPr>
                    <w:t>PG1</w:t>
                  </w:r>
                  <w:r>
                    <w:rPr>
                      <w:rFonts w:eastAsia="宋体" w:cs="Arial"/>
                      <w:sz w:val="22"/>
                      <w:szCs w:val="22"/>
                      <w:lang w:val="en-US" w:eastAsia="zh-CN"/>
                    </w:rPr>
                    <w:t>\</w:t>
                  </w:r>
                  <w:r>
                    <w:rPr>
                      <w:rFonts w:hint="eastAsia" w:eastAsia="宋体" w:cs="Arial"/>
                      <w:sz w:val="22"/>
                      <w:szCs w:val="22"/>
                      <w:lang w:val="en-US" w:eastAsia="zh-CN"/>
                    </w:rPr>
                    <w:t>PG2 draft</w:t>
                  </w:r>
                </w:p>
              </w:tc>
              <w:tc>
                <w:tcPr>
                  <w:tcW w:w="4778" w:type="dxa"/>
                </w:tcPr>
                <w:p w14:paraId="1D8A5028">
                  <w:pPr>
                    <w:rPr>
                      <w:rFonts w:cs="Arial"/>
                      <w:sz w:val="22"/>
                      <w:szCs w:val="22"/>
                      <w:lang w:val="en-US"/>
                    </w:rPr>
                  </w:pPr>
                  <w:r>
                    <w:rPr>
                      <w:rFonts w:hint="eastAsia" w:eastAsia="宋体" w:cs="Arial"/>
                      <w:sz w:val="22"/>
                      <w:szCs w:val="22"/>
                      <w:lang w:val="en-US" w:eastAsia="zh-CN"/>
                    </w:rPr>
                    <w:t>Jan</w:t>
                  </w:r>
                  <w:r>
                    <w:rPr>
                      <w:rFonts w:cs="Arial"/>
                      <w:sz w:val="22"/>
                      <w:szCs w:val="22"/>
                      <w:lang w:val="en-US"/>
                    </w:rPr>
                    <w:t xml:space="preserve"> 2025</w:t>
                  </w:r>
                </w:p>
              </w:tc>
            </w:tr>
            <w:tr w14:paraId="560BC132">
              <w:tc>
                <w:tcPr>
                  <w:tcW w:w="4777" w:type="dxa"/>
                </w:tcPr>
                <w:p w14:paraId="216B9015">
                  <w:pPr>
                    <w:rPr>
                      <w:rFonts w:cs="Arial"/>
                      <w:sz w:val="22"/>
                      <w:szCs w:val="22"/>
                      <w:lang w:val="en-US"/>
                    </w:rPr>
                  </w:pPr>
                  <w:r>
                    <w:rPr>
                      <w:rFonts w:cs="Arial"/>
                      <w:sz w:val="22"/>
                      <w:szCs w:val="22"/>
                      <w:lang w:val="en-US"/>
                    </w:rPr>
                    <w:t>Step to Part 2</w:t>
                  </w:r>
                </w:p>
              </w:tc>
              <w:tc>
                <w:tcPr>
                  <w:tcW w:w="4778" w:type="dxa"/>
                </w:tcPr>
                <w:p w14:paraId="2691D679">
                  <w:pPr>
                    <w:rPr>
                      <w:rFonts w:cs="Arial"/>
                      <w:sz w:val="22"/>
                      <w:szCs w:val="22"/>
                      <w:lang w:val="en-US"/>
                    </w:rPr>
                  </w:pPr>
                  <w:r>
                    <w:rPr>
                      <w:rFonts w:cs="Arial"/>
                      <w:sz w:val="22"/>
                      <w:szCs w:val="22"/>
                      <w:lang w:val="en-US"/>
                    </w:rPr>
                    <w:t>Feb 2025</w:t>
                  </w:r>
                </w:p>
              </w:tc>
            </w:tr>
            <w:tr w14:paraId="29704A7B">
              <w:tc>
                <w:tcPr>
                  <w:tcW w:w="4777" w:type="dxa"/>
                </w:tcPr>
                <w:p w14:paraId="18679EDF">
                  <w:pPr>
                    <w:rPr>
                      <w:rFonts w:cs="Arial"/>
                      <w:sz w:val="22"/>
                      <w:szCs w:val="22"/>
                      <w:lang w:val="en-US"/>
                    </w:rPr>
                  </w:pPr>
                  <w:r>
                    <w:rPr>
                      <w:rFonts w:cs="Arial"/>
                      <w:sz w:val="22"/>
                      <w:szCs w:val="22"/>
                      <w:lang w:val="en-US"/>
                    </w:rPr>
                    <w:t>PG1 submitted</w:t>
                  </w:r>
                </w:p>
              </w:tc>
              <w:tc>
                <w:tcPr>
                  <w:tcW w:w="4778" w:type="dxa"/>
                </w:tcPr>
                <w:p w14:paraId="4D5A8C86">
                  <w:pPr>
                    <w:rPr>
                      <w:rFonts w:cs="Arial"/>
                      <w:sz w:val="22"/>
                      <w:szCs w:val="22"/>
                      <w:lang w:val="en-US"/>
                    </w:rPr>
                  </w:pPr>
                  <w:r>
                    <w:rPr>
                      <w:rFonts w:cs="Arial"/>
                      <w:sz w:val="22"/>
                      <w:szCs w:val="22"/>
                      <w:lang w:val="en-US"/>
                    </w:rPr>
                    <w:t>April 2025</w:t>
                  </w:r>
                </w:p>
              </w:tc>
            </w:tr>
            <w:tr w14:paraId="4D6708EE">
              <w:tc>
                <w:tcPr>
                  <w:tcW w:w="4777" w:type="dxa"/>
                </w:tcPr>
                <w:p w14:paraId="6510E143">
                  <w:pPr>
                    <w:rPr>
                      <w:rFonts w:cs="Arial"/>
                      <w:sz w:val="22"/>
                      <w:szCs w:val="22"/>
                    </w:rPr>
                  </w:pPr>
                  <w:r>
                    <w:rPr>
                      <w:rFonts w:cs="Arial"/>
                      <w:sz w:val="22"/>
                      <w:szCs w:val="22"/>
                      <w:lang w:val="en-US"/>
                    </w:rPr>
                    <w:t>PG2 submitted</w:t>
                  </w:r>
                </w:p>
              </w:tc>
              <w:tc>
                <w:tcPr>
                  <w:tcW w:w="4778" w:type="dxa"/>
                </w:tcPr>
                <w:p w14:paraId="0A440A12">
                  <w:pPr>
                    <w:rPr>
                      <w:rFonts w:cs="Arial"/>
                      <w:sz w:val="22"/>
                      <w:szCs w:val="22"/>
                      <w:lang w:val="en-US"/>
                    </w:rPr>
                  </w:pPr>
                  <w:r>
                    <w:rPr>
                      <w:rFonts w:cs="Arial"/>
                      <w:sz w:val="22"/>
                      <w:szCs w:val="22"/>
                      <w:lang w:val="en-US"/>
                    </w:rPr>
                    <w:t>June 2025</w:t>
                  </w:r>
                </w:p>
              </w:tc>
            </w:tr>
            <w:tr w14:paraId="6886DD8F">
              <w:tc>
                <w:tcPr>
                  <w:tcW w:w="4777" w:type="dxa"/>
                </w:tcPr>
                <w:p w14:paraId="4466673C">
                  <w:pPr>
                    <w:rPr>
                      <w:rFonts w:cs="Arial"/>
                      <w:sz w:val="22"/>
                      <w:szCs w:val="22"/>
                      <w:lang w:val="en-US"/>
                    </w:rPr>
                  </w:pPr>
                  <w:r>
                    <w:rPr>
                      <w:rFonts w:cs="Arial"/>
                      <w:sz w:val="22"/>
                      <w:szCs w:val="22"/>
                      <w:lang w:val="en-US"/>
                    </w:rPr>
                    <w:t>Initial Literature review Completed</w:t>
                  </w:r>
                </w:p>
              </w:tc>
              <w:tc>
                <w:tcPr>
                  <w:tcW w:w="4778" w:type="dxa"/>
                </w:tcPr>
                <w:p w14:paraId="3552271F">
                  <w:pPr>
                    <w:rPr>
                      <w:rFonts w:cs="Arial"/>
                      <w:sz w:val="22"/>
                      <w:szCs w:val="22"/>
                      <w:lang w:val="en-US"/>
                    </w:rPr>
                  </w:pPr>
                  <w:r>
                    <w:rPr>
                      <w:rFonts w:cs="Arial"/>
                      <w:sz w:val="22"/>
                      <w:szCs w:val="22"/>
                      <w:lang w:val="en-US"/>
                    </w:rPr>
                    <w:t>July 2025</w:t>
                  </w:r>
                </w:p>
              </w:tc>
            </w:tr>
            <w:tr w14:paraId="23181E96">
              <w:tc>
                <w:tcPr>
                  <w:tcW w:w="4777" w:type="dxa"/>
                </w:tcPr>
                <w:p w14:paraId="6E17D80F">
                  <w:pPr>
                    <w:rPr>
                      <w:rFonts w:cs="Arial"/>
                      <w:sz w:val="22"/>
                      <w:szCs w:val="22"/>
                      <w:lang w:val="en-US"/>
                    </w:rPr>
                  </w:pPr>
                  <w:r>
                    <w:rPr>
                      <w:rFonts w:cs="Arial"/>
                      <w:sz w:val="22"/>
                      <w:szCs w:val="22"/>
                      <w:lang w:val="en-US"/>
                    </w:rPr>
                    <w:t>Research Proposal Submission</w:t>
                  </w:r>
                </w:p>
              </w:tc>
              <w:tc>
                <w:tcPr>
                  <w:tcW w:w="4778" w:type="dxa"/>
                </w:tcPr>
                <w:p w14:paraId="25ED0A2C">
                  <w:pPr>
                    <w:rPr>
                      <w:rFonts w:cs="Arial"/>
                      <w:sz w:val="22"/>
                      <w:szCs w:val="22"/>
                      <w:lang w:val="en-US"/>
                    </w:rPr>
                  </w:pPr>
                  <w:r>
                    <w:rPr>
                      <w:rFonts w:cs="Arial"/>
                      <w:sz w:val="22"/>
                      <w:szCs w:val="22"/>
                      <w:lang w:val="en-US"/>
                    </w:rPr>
                    <w:t>August 2025</w:t>
                  </w:r>
                </w:p>
              </w:tc>
            </w:tr>
            <w:tr w14:paraId="0F619576">
              <w:tc>
                <w:tcPr>
                  <w:tcW w:w="4777" w:type="dxa"/>
                </w:tcPr>
                <w:p w14:paraId="5C50F54E">
                  <w:pPr>
                    <w:rPr>
                      <w:rFonts w:cs="Arial"/>
                      <w:sz w:val="22"/>
                      <w:szCs w:val="22"/>
                      <w:lang w:val="en-US"/>
                    </w:rPr>
                  </w:pPr>
                  <w:r>
                    <w:rPr>
                      <w:rFonts w:cs="Arial"/>
                      <w:sz w:val="22"/>
                      <w:szCs w:val="22"/>
                      <w:lang w:val="en-US"/>
                    </w:rPr>
                    <w:t>Methodology Design</w:t>
                  </w:r>
                </w:p>
              </w:tc>
              <w:tc>
                <w:tcPr>
                  <w:tcW w:w="4778" w:type="dxa"/>
                </w:tcPr>
                <w:p w14:paraId="7AB44082">
                  <w:pPr>
                    <w:rPr>
                      <w:rFonts w:cs="Arial"/>
                      <w:sz w:val="22"/>
                      <w:szCs w:val="22"/>
                      <w:lang w:val="en-US"/>
                    </w:rPr>
                  </w:pPr>
                  <w:r>
                    <w:rPr>
                      <w:rFonts w:cs="Arial"/>
                      <w:sz w:val="22"/>
                      <w:szCs w:val="22"/>
                      <w:lang w:val="en-US"/>
                    </w:rPr>
                    <w:t>Sep 2025</w:t>
                  </w:r>
                </w:p>
              </w:tc>
            </w:tr>
            <w:tr w14:paraId="112B0BEA">
              <w:tc>
                <w:tcPr>
                  <w:tcW w:w="4777" w:type="dxa"/>
                </w:tcPr>
                <w:p w14:paraId="5588A007">
                  <w:pPr>
                    <w:rPr>
                      <w:rFonts w:cs="Arial"/>
                      <w:sz w:val="22"/>
                      <w:szCs w:val="22"/>
                      <w:lang w:val="en-US"/>
                    </w:rPr>
                  </w:pPr>
                  <w:r>
                    <w:rPr>
                      <w:rFonts w:cs="Arial"/>
                      <w:sz w:val="22"/>
                      <w:szCs w:val="22"/>
                      <w:lang w:val="en-US"/>
                    </w:rPr>
                    <w:t>Fieldwork Preparation(interview&amp;survey design)</w:t>
                  </w:r>
                </w:p>
              </w:tc>
              <w:tc>
                <w:tcPr>
                  <w:tcW w:w="4778" w:type="dxa"/>
                </w:tcPr>
                <w:p w14:paraId="5DFEDFD8">
                  <w:pPr>
                    <w:rPr>
                      <w:rFonts w:cs="Arial"/>
                      <w:sz w:val="22"/>
                      <w:szCs w:val="22"/>
                      <w:lang w:val="en-US"/>
                    </w:rPr>
                  </w:pPr>
                  <w:r>
                    <w:rPr>
                      <w:rFonts w:cs="Arial"/>
                      <w:sz w:val="22"/>
                      <w:szCs w:val="22"/>
                      <w:lang w:val="en-US"/>
                    </w:rPr>
                    <w:t>Oct 2025</w:t>
                  </w:r>
                </w:p>
              </w:tc>
            </w:tr>
            <w:tr w14:paraId="05039DB5">
              <w:tc>
                <w:tcPr>
                  <w:tcW w:w="4777" w:type="dxa"/>
                </w:tcPr>
                <w:p w14:paraId="7270B7F3">
                  <w:pPr>
                    <w:rPr>
                      <w:rFonts w:cs="Arial"/>
                      <w:sz w:val="22"/>
                      <w:szCs w:val="22"/>
                      <w:lang w:val="en-US"/>
                    </w:rPr>
                  </w:pPr>
                  <w:r>
                    <w:rPr>
                      <w:rFonts w:cs="Arial"/>
                      <w:sz w:val="22"/>
                      <w:szCs w:val="22"/>
                      <w:lang w:val="en-US"/>
                    </w:rPr>
                    <w:t>Data collection(online research&amp;Initial Surveys)</w:t>
                  </w:r>
                </w:p>
              </w:tc>
              <w:tc>
                <w:tcPr>
                  <w:tcW w:w="4778" w:type="dxa"/>
                </w:tcPr>
                <w:p w14:paraId="44E6ADB2">
                  <w:pPr>
                    <w:rPr>
                      <w:rFonts w:eastAsia="宋体" w:cs="Arial"/>
                      <w:sz w:val="22"/>
                      <w:szCs w:val="22"/>
                      <w:lang w:val="en-US" w:eastAsia="zh-CN"/>
                    </w:rPr>
                  </w:pPr>
                  <w:r>
                    <w:rPr>
                      <w:rFonts w:cs="Arial"/>
                      <w:sz w:val="22"/>
                      <w:szCs w:val="22"/>
                      <w:lang w:val="en-US"/>
                    </w:rPr>
                    <w:t>Nov 2025--</w:t>
                  </w:r>
                  <w:r>
                    <w:rPr>
                      <w:rFonts w:hint="eastAsia" w:eastAsia="宋体" w:cs="Arial"/>
                      <w:sz w:val="22"/>
                      <w:szCs w:val="22"/>
                      <w:lang w:val="en-US" w:eastAsia="zh-CN"/>
                    </w:rPr>
                    <w:t>Jan 2026</w:t>
                  </w:r>
                </w:p>
              </w:tc>
            </w:tr>
            <w:tr w14:paraId="532E3BCE">
              <w:tc>
                <w:tcPr>
                  <w:tcW w:w="4777" w:type="dxa"/>
                </w:tcPr>
                <w:p w14:paraId="0A7D6084">
                  <w:pPr>
                    <w:rPr>
                      <w:rFonts w:eastAsia="宋体" w:cs="Arial"/>
                      <w:sz w:val="22"/>
                      <w:szCs w:val="22"/>
                      <w:lang w:val="en-US" w:eastAsia="zh-CN"/>
                    </w:rPr>
                  </w:pPr>
                  <w:r>
                    <w:rPr>
                      <w:rFonts w:hint="eastAsia" w:eastAsia="宋体" w:cs="Arial"/>
                      <w:sz w:val="22"/>
                      <w:szCs w:val="22"/>
                      <w:lang w:val="en-US" w:eastAsia="zh-CN"/>
                    </w:rPr>
                    <w:t>Research trip to</w:t>
                  </w:r>
                  <w:r>
                    <w:rPr>
                      <w:rFonts w:eastAsia="宋体" w:cs="Arial"/>
                      <w:sz w:val="22"/>
                      <w:szCs w:val="22"/>
                      <w:lang w:val="en-US" w:eastAsia="zh-CN"/>
                    </w:rPr>
                    <w:t xml:space="preserve"> China for field research</w:t>
                  </w:r>
                </w:p>
              </w:tc>
              <w:tc>
                <w:tcPr>
                  <w:tcW w:w="4778" w:type="dxa"/>
                </w:tcPr>
                <w:p w14:paraId="4FA6B436">
                  <w:pPr>
                    <w:rPr>
                      <w:rFonts w:cs="Arial"/>
                      <w:sz w:val="22"/>
                      <w:szCs w:val="22"/>
                      <w:lang w:val="en-US"/>
                    </w:rPr>
                  </w:pPr>
                  <w:r>
                    <w:rPr>
                      <w:rFonts w:cs="Arial"/>
                      <w:sz w:val="22"/>
                      <w:szCs w:val="22"/>
                      <w:lang w:val="en-US"/>
                    </w:rPr>
                    <w:t>Feb 2026--April 2026</w:t>
                  </w:r>
                </w:p>
              </w:tc>
            </w:tr>
            <w:tr w14:paraId="6944B4B8">
              <w:tc>
                <w:tcPr>
                  <w:tcW w:w="4777" w:type="dxa"/>
                </w:tcPr>
                <w:p w14:paraId="5F82AEB1">
                  <w:pPr>
                    <w:rPr>
                      <w:rFonts w:cs="Arial"/>
                      <w:sz w:val="22"/>
                      <w:szCs w:val="22"/>
                      <w:lang w:val="en-US"/>
                    </w:rPr>
                  </w:pPr>
                  <w:r>
                    <w:rPr>
                      <w:rFonts w:cs="Arial"/>
                      <w:sz w:val="22"/>
                      <w:szCs w:val="22"/>
                      <w:lang w:val="en-US"/>
                    </w:rPr>
                    <w:t>Data Analysis and coding(Qualitative and Quantitative)</w:t>
                  </w:r>
                </w:p>
              </w:tc>
              <w:tc>
                <w:tcPr>
                  <w:tcW w:w="4778" w:type="dxa"/>
                </w:tcPr>
                <w:p w14:paraId="781D52B3">
                  <w:pPr>
                    <w:rPr>
                      <w:rFonts w:cs="Arial"/>
                      <w:sz w:val="22"/>
                      <w:szCs w:val="22"/>
                      <w:lang w:val="en-US"/>
                    </w:rPr>
                  </w:pPr>
                  <w:r>
                    <w:rPr>
                      <w:rFonts w:cs="Arial"/>
                      <w:sz w:val="22"/>
                      <w:szCs w:val="22"/>
                      <w:lang w:val="en-US"/>
                    </w:rPr>
                    <w:t>May 2026--July 2026</w:t>
                  </w:r>
                </w:p>
              </w:tc>
            </w:tr>
            <w:tr w14:paraId="7C410855">
              <w:tc>
                <w:tcPr>
                  <w:tcW w:w="4777" w:type="dxa"/>
                </w:tcPr>
                <w:p w14:paraId="7C5005B3">
                  <w:pPr>
                    <w:rPr>
                      <w:rFonts w:cs="Arial"/>
                      <w:sz w:val="22"/>
                      <w:szCs w:val="22"/>
                      <w:lang w:val="en-US"/>
                    </w:rPr>
                  </w:pPr>
                  <w:r>
                    <w:rPr>
                      <w:rFonts w:cs="Arial"/>
                      <w:sz w:val="22"/>
                      <w:szCs w:val="22"/>
                      <w:lang w:val="en-US"/>
                    </w:rPr>
                    <w:t>First Draft of core chapters(data analysis)</w:t>
                  </w:r>
                </w:p>
              </w:tc>
              <w:tc>
                <w:tcPr>
                  <w:tcW w:w="4778" w:type="dxa"/>
                </w:tcPr>
                <w:p w14:paraId="2AA60163">
                  <w:pPr>
                    <w:rPr>
                      <w:rFonts w:cs="Arial"/>
                      <w:sz w:val="22"/>
                      <w:szCs w:val="22"/>
                      <w:lang w:val="en-US"/>
                    </w:rPr>
                  </w:pPr>
                  <w:r>
                    <w:rPr>
                      <w:rFonts w:cs="Arial"/>
                      <w:sz w:val="22"/>
                      <w:szCs w:val="22"/>
                      <w:lang w:val="en-US"/>
                    </w:rPr>
                    <w:t>August 2026</w:t>
                  </w:r>
                </w:p>
              </w:tc>
            </w:tr>
            <w:tr w14:paraId="43B336D4">
              <w:tc>
                <w:tcPr>
                  <w:tcW w:w="4777" w:type="dxa"/>
                </w:tcPr>
                <w:p w14:paraId="28919FE6">
                  <w:pPr>
                    <w:rPr>
                      <w:rFonts w:cs="Arial"/>
                      <w:sz w:val="22"/>
                      <w:szCs w:val="22"/>
                      <w:lang w:val="en-US"/>
                    </w:rPr>
                  </w:pPr>
                  <w:r>
                    <w:rPr>
                      <w:rFonts w:cs="Arial"/>
                      <w:sz w:val="22"/>
                      <w:szCs w:val="22"/>
                      <w:lang w:val="en-US"/>
                    </w:rPr>
                    <w:t>Revision and redrafting of core chapters</w:t>
                  </w:r>
                </w:p>
              </w:tc>
              <w:tc>
                <w:tcPr>
                  <w:tcW w:w="4778" w:type="dxa"/>
                </w:tcPr>
                <w:p w14:paraId="4F0799A0">
                  <w:pPr>
                    <w:rPr>
                      <w:rFonts w:cs="Arial"/>
                      <w:sz w:val="22"/>
                      <w:szCs w:val="22"/>
                      <w:lang w:val="en-US"/>
                    </w:rPr>
                  </w:pPr>
                  <w:r>
                    <w:rPr>
                      <w:rFonts w:cs="Arial"/>
                      <w:sz w:val="22"/>
                      <w:szCs w:val="22"/>
                      <w:lang w:val="en-US"/>
                    </w:rPr>
                    <w:t>Sep 2026</w:t>
                  </w:r>
                </w:p>
              </w:tc>
            </w:tr>
            <w:tr w14:paraId="3B792695">
              <w:tc>
                <w:tcPr>
                  <w:tcW w:w="4777" w:type="dxa"/>
                </w:tcPr>
                <w:p w14:paraId="1F79DC0E">
                  <w:pPr>
                    <w:rPr>
                      <w:rFonts w:cs="Arial"/>
                      <w:sz w:val="22"/>
                      <w:szCs w:val="22"/>
                      <w:lang w:val="en-US"/>
                    </w:rPr>
                  </w:pPr>
                  <w:r>
                    <w:rPr>
                      <w:rFonts w:cs="Arial"/>
                      <w:sz w:val="22"/>
                      <w:szCs w:val="22"/>
                      <w:lang w:val="en-US"/>
                    </w:rPr>
                    <w:t>Final draft of thesis</w:t>
                  </w:r>
                </w:p>
              </w:tc>
              <w:tc>
                <w:tcPr>
                  <w:tcW w:w="4778" w:type="dxa"/>
                </w:tcPr>
                <w:p w14:paraId="0CC7BACA">
                  <w:pPr>
                    <w:rPr>
                      <w:rFonts w:cs="Arial"/>
                      <w:sz w:val="22"/>
                      <w:szCs w:val="22"/>
                      <w:lang w:val="en-US"/>
                    </w:rPr>
                  </w:pPr>
                  <w:r>
                    <w:rPr>
                      <w:rFonts w:cs="Arial"/>
                      <w:sz w:val="22"/>
                      <w:szCs w:val="22"/>
                      <w:lang w:val="en-US"/>
                    </w:rPr>
                    <w:t>Oct 2026</w:t>
                  </w:r>
                </w:p>
              </w:tc>
            </w:tr>
            <w:tr w14:paraId="65323A5F">
              <w:tc>
                <w:tcPr>
                  <w:tcW w:w="4777" w:type="dxa"/>
                </w:tcPr>
                <w:p w14:paraId="1A45A46D">
                  <w:pPr>
                    <w:rPr>
                      <w:rFonts w:cs="Arial"/>
                      <w:sz w:val="22"/>
                      <w:szCs w:val="22"/>
                      <w:lang w:val="en-US"/>
                    </w:rPr>
                  </w:pPr>
                  <w:r>
                    <w:rPr>
                      <w:rFonts w:cs="Arial"/>
                      <w:sz w:val="22"/>
                      <w:szCs w:val="22"/>
                      <w:lang w:val="en-US"/>
                    </w:rPr>
                    <w:t>Final Supervisor review and revisions</w:t>
                  </w:r>
                </w:p>
              </w:tc>
              <w:tc>
                <w:tcPr>
                  <w:tcW w:w="4778" w:type="dxa"/>
                </w:tcPr>
                <w:p w14:paraId="60194BBB">
                  <w:pPr>
                    <w:rPr>
                      <w:rFonts w:cs="Arial"/>
                      <w:sz w:val="22"/>
                      <w:szCs w:val="22"/>
                      <w:lang w:val="en-US"/>
                    </w:rPr>
                  </w:pPr>
                  <w:r>
                    <w:rPr>
                      <w:rFonts w:cs="Arial"/>
                      <w:sz w:val="22"/>
                      <w:szCs w:val="22"/>
                      <w:lang w:val="en-US"/>
                    </w:rPr>
                    <w:t>Nov 2026</w:t>
                  </w:r>
                </w:p>
              </w:tc>
            </w:tr>
            <w:tr w14:paraId="2BC0EF26">
              <w:tc>
                <w:tcPr>
                  <w:tcW w:w="4777" w:type="dxa"/>
                </w:tcPr>
                <w:p w14:paraId="6E4EE0DD">
                  <w:pPr>
                    <w:rPr>
                      <w:rFonts w:cs="Arial"/>
                      <w:sz w:val="22"/>
                      <w:szCs w:val="22"/>
                      <w:lang w:val="en-US"/>
                    </w:rPr>
                  </w:pPr>
                  <w:r>
                    <w:rPr>
                      <w:rFonts w:cs="Arial"/>
                      <w:sz w:val="22"/>
                      <w:szCs w:val="22"/>
                      <w:lang w:val="en-US"/>
                    </w:rPr>
                    <w:t>Thesis Submission</w:t>
                  </w:r>
                </w:p>
              </w:tc>
              <w:tc>
                <w:tcPr>
                  <w:tcW w:w="4778" w:type="dxa"/>
                </w:tcPr>
                <w:p w14:paraId="16897254">
                  <w:pPr>
                    <w:rPr>
                      <w:rFonts w:cs="Arial"/>
                      <w:sz w:val="22"/>
                      <w:szCs w:val="22"/>
                      <w:lang w:val="en-US"/>
                    </w:rPr>
                  </w:pPr>
                  <w:r>
                    <w:rPr>
                      <w:rFonts w:cs="Arial"/>
                      <w:sz w:val="22"/>
                      <w:szCs w:val="22"/>
                      <w:lang w:val="en-US"/>
                    </w:rPr>
                    <w:t>Dec 2026</w:t>
                  </w:r>
                </w:p>
              </w:tc>
            </w:tr>
          </w:tbl>
          <w:p w14:paraId="060AE6D5">
            <w:pPr>
              <w:rPr>
                <w:rFonts w:cs="Arial"/>
                <w:sz w:val="22"/>
                <w:szCs w:val="22"/>
              </w:rPr>
            </w:pPr>
          </w:p>
          <w:p w14:paraId="2812B16D">
            <w:pPr>
              <w:rPr>
                <w:rFonts w:cs="Arial"/>
                <w:sz w:val="22"/>
                <w:szCs w:val="22"/>
              </w:rPr>
            </w:pPr>
          </w:p>
        </w:tc>
      </w:tr>
      <w:tr w14:paraId="4A981BC6">
        <w:trPr>
          <w:trHeight w:val="397" w:hRule="atLeast"/>
        </w:trPr>
        <w:tc>
          <w:tcPr>
            <w:tcW w:w="9781" w:type="dxa"/>
            <w:shd w:val="clear" w:color="auto" w:fill="F1F1F1" w:themeFill="background1" w:themeFillShade="F2"/>
            <w:vAlign w:val="center"/>
          </w:tcPr>
          <w:p w14:paraId="2CDBF865">
            <w:pPr>
              <w:rPr>
                <w:rFonts w:cs="Arial"/>
                <w:sz w:val="22"/>
                <w:szCs w:val="22"/>
              </w:rPr>
            </w:pPr>
            <w:r>
              <w:rPr>
                <w:rFonts w:cs="Arial"/>
                <w:sz w:val="22"/>
                <w:szCs w:val="22"/>
              </w:rPr>
              <w:t>Proposed methodology (approx. 500 words):</w:t>
            </w:r>
          </w:p>
        </w:tc>
      </w:tr>
      <w:tr w14:paraId="358D4C6F">
        <w:trPr>
          <w:trHeight w:val="1205" w:hRule="atLeast"/>
        </w:trPr>
        <w:tc>
          <w:tcPr>
            <w:tcW w:w="9781" w:type="dxa"/>
            <w:vAlign w:val="center"/>
          </w:tcPr>
          <w:p w14:paraId="09AFD573">
            <w:pPr>
              <w:numPr>
                <w:ilvl w:val="0"/>
                <w:numId w:val="4"/>
              </w:num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In this section you will need to explain how you will achieve your aims and objectives:</w:t>
            </w:r>
          </w:p>
          <w:p w14:paraId="0E97113D">
            <w:pPr>
              <w:numPr>
                <w:ilvl w:val="0"/>
                <w:numId w:val="4"/>
              </w:num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Explain your disciplinary orientation/ approach</w:t>
            </w:r>
          </w:p>
          <w:p w14:paraId="1ADA1878">
            <w:pPr>
              <w:numPr>
                <w:ilvl w:val="0"/>
                <w:numId w:val="4"/>
              </w:num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Describe the methods you will use to carry out your research: (eg library-based research, on-line research, fieldwork (interviews/ participant-observation), analysis of visual data, combinations of these)</w:t>
            </w:r>
          </w:p>
          <w:p w14:paraId="3286D1D5">
            <w:pPr>
              <w:pStyle w:val="26"/>
              <w:numPr>
                <w:ilvl w:val="0"/>
                <w:numId w:val="0"/>
              </w:numPr>
              <w:autoSpaceDE w:val="0"/>
              <w:autoSpaceDN w:val="0"/>
              <w:adjustRightInd w:val="0"/>
              <w:contextualSpacing/>
              <w:rPr>
                <w:rFonts w:hint="default" w:eastAsia="宋体" w:cs="Arial"/>
                <w:sz w:val="22"/>
                <w:szCs w:val="22"/>
                <w:lang w:val="en-US" w:eastAsia="zh-CN"/>
              </w:rPr>
            </w:pPr>
          </w:p>
          <w:p w14:paraId="020E0648">
            <w:pPr>
              <w:pStyle w:val="26"/>
              <w:numPr>
                <w:ilvl w:val="0"/>
                <w:numId w:val="0"/>
              </w:numPr>
              <w:autoSpaceDE w:val="0"/>
              <w:autoSpaceDN w:val="0"/>
              <w:adjustRightInd w:val="0"/>
              <w:contextualSpacing/>
              <w:rPr>
                <w:rFonts w:hint="default" w:eastAsia="宋体" w:cs="Arial"/>
                <w:sz w:val="22"/>
                <w:szCs w:val="22"/>
                <w:lang w:val="en-US" w:eastAsia="zh-CN"/>
              </w:rPr>
            </w:pPr>
            <w:r>
              <w:rPr>
                <w:rFonts w:hint="default" w:eastAsia="宋体" w:cs="Arial"/>
                <w:sz w:val="22"/>
                <w:szCs w:val="22"/>
                <w:lang w:val="en-US" w:eastAsia="zh-CN"/>
              </w:rPr>
              <w:t>In this study, the author will explore the relationship between the identity of Generation Z young people and the visual aesthetics of bubble tea brand, and analyze how the brand design of bubble tea conforms to the performance identity of Chinese Generation Z young people through visual elements. The author will adopt a multidisciplinary research method, combining literature research, field research, visual analysis and other methods. Explore the relationship between milk tea brand and young people's impression management and identity management in today's cultural environment, and react with the future trend of milk tea brand design.</w:t>
            </w:r>
          </w:p>
          <w:p w14:paraId="20C0AE76">
            <w:pPr>
              <w:numPr>
                <w:ilvl w:val="0"/>
                <w:numId w:val="0"/>
              </w:numPr>
              <w:ind w:left="360" w:leftChars="0"/>
              <w:rPr>
                <w:rFonts w:cs="Arial"/>
                <w:sz w:val="22"/>
                <w:szCs w:val="22"/>
              </w:rPr>
            </w:pPr>
          </w:p>
          <w:p w14:paraId="1284AB75">
            <w:pPr>
              <w:ind w:left="360"/>
              <w:rPr>
                <w:rFonts w:cs="Arial"/>
                <w:sz w:val="22"/>
                <w:szCs w:val="22"/>
              </w:rPr>
            </w:pPr>
          </w:p>
          <w:p w14:paraId="7F317618">
            <w:pPr>
              <w:ind w:left="360"/>
              <w:rPr>
                <w:rFonts w:hint="default" w:eastAsia="宋体" w:cs="Arial"/>
                <w:color w:val="000000" w:themeColor="text1"/>
                <w:sz w:val="22"/>
                <w:szCs w:val="22"/>
                <w:lang w:val="en-US" w:eastAsia="zh-CN"/>
                <w14:textFill>
                  <w14:solidFill>
                    <w14:schemeClr w14:val="tx1"/>
                  </w14:solidFill>
                </w14:textFill>
              </w:rPr>
            </w:pPr>
            <w:r>
              <w:rPr>
                <w:rFonts w:hint="eastAsia" w:eastAsia="宋体" w:cs="Arial"/>
                <w:b/>
                <w:bCs/>
                <w:color w:val="000000" w:themeColor="text1"/>
                <w:sz w:val="22"/>
                <w:szCs w:val="22"/>
                <w:lang w:val="en-US" w:eastAsia="zh-CN"/>
                <w14:textFill>
                  <w14:solidFill>
                    <w14:schemeClr w14:val="tx1"/>
                  </w14:solidFill>
                </w14:textFill>
              </w:rPr>
              <w:t>1.</w:t>
            </w:r>
            <w:r>
              <w:rPr>
                <w:rFonts w:cs="Arial"/>
                <w:b/>
                <w:bCs/>
                <w:color w:val="000000" w:themeColor="text1"/>
                <w:sz w:val="22"/>
                <w:szCs w:val="22"/>
                <w:lang w:val="en-US"/>
                <w14:textFill>
                  <w14:solidFill>
                    <w14:schemeClr w14:val="tx1"/>
                  </w14:solidFill>
                </w14:textFill>
              </w:rPr>
              <w:t>Methodology</w:t>
            </w:r>
            <w:r>
              <w:rPr>
                <w:rFonts w:hint="eastAsia" w:cs="Arial"/>
                <w:b/>
                <w:bCs/>
                <w:color w:val="000000" w:themeColor="text1"/>
                <w:sz w:val="22"/>
                <w:szCs w:val="22"/>
                <w:lang w:val="en-US" w:eastAsia="zh-CN"/>
                <w14:textFill>
                  <w14:solidFill>
                    <w14:schemeClr w14:val="tx1"/>
                  </w14:solidFill>
                </w14:textFill>
              </w:rPr>
              <w:t>：</w:t>
            </w:r>
            <w:r>
              <w:rPr>
                <w:rFonts w:cs="Arial"/>
                <w:b/>
                <w:bCs/>
                <w:color w:val="000000" w:themeColor="text1"/>
                <w:sz w:val="22"/>
                <w:szCs w:val="22"/>
                <w:lang w:val="en-US"/>
                <w14:textFill>
                  <w14:solidFill>
                    <w14:schemeClr w14:val="tx1"/>
                  </w14:solidFill>
                </w14:textFill>
              </w:rPr>
              <w:t>phenomenology</w:t>
            </w:r>
          </w:p>
          <w:p w14:paraId="4C6214BF">
            <w:pPr>
              <w:ind w:left="360"/>
              <w:rPr>
                <w:rFonts w:cs="Arial"/>
                <w:sz w:val="22"/>
                <w:szCs w:val="22"/>
                <w:lang w:val="en-US" w:eastAsia="zh-CN"/>
              </w:rPr>
            </w:pPr>
          </w:p>
          <w:p w14:paraId="2CDCAF69">
            <w:pPr>
              <w:ind w:left="360"/>
              <w:rPr>
                <w:rFonts w:cs="Arial"/>
                <w:sz w:val="22"/>
                <w:szCs w:val="22"/>
                <w:lang w:val="en-US" w:eastAsia="zh-CN"/>
              </w:rPr>
            </w:pPr>
            <w:r>
              <w:rPr>
                <w:rFonts w:cs="Arial"/>
                <w:sz w:val="22"/>
                <w:szCs w:val="22"/>
                <w:lang w:val="en-US" w:eastAsia="zh-CN"/>
              </w:rPr>
              <w:t>Qualitative research is based on different theories such as phenomenology, symbolic interactivity, and constructivism, emphasizing experience, understanding, and meaning, and using different methods to collect, analyze, and interpret research data (Sharan B, 2009). Phenomenology takes the subjective experience of an individual's daily life as the object of study and is often used to understand the interpretations and meanings associated with life experiences. Phenomenologists scrutinize individuals in order to discover the deeper meaning of lived experience in the individual's relationship to space, time, and personal history (Pollio, H.R., Henley, T.B. and Thompson, C.J., 1997). The consumers of milk tea brand are young people. We try to understand their subjective experience of milk tea brand from the personal life experience of young consumers.</w:t>
            </w:r>
          </w:p>
          <w:p w14:paraId="7CF1F089">
            <w:pPr>
              <w:rPr>
                <w:rFonts w:cs="Arial"/>
                <w:sz w:val="22"/>
                <w:szCs w:val="22"/>
                <w:lang w:val="en-US"/>
              </w:rPr>
            </w:pPr>
          </w:p>
          <w:p w14:paraId="31D3907B">
            <w:pPr>
              <w:ind w:left="360"/>
              <w:rPr>
                <w:rFonts w:hint="default" w:cs="Arial"/>
                <w:color w:val="000000" w:themeColor="text1"/>
                <w:sz w:val="22"/>
                <w:szCs w:val="22"/>
                <w:lang w:val="en-US" w:eastAsia="zh-CN"/>
                <w14:textFill>
                  <w14:solidFill>
                    <w14:schemeClr w14:val="tx1"/>
                  </w14:solidFill>
                </w14:textFill>
              </w:rPr>
            </w:pPr>
            <w:r>
              <w:rPr>
                <w:rFonts w:hint="eastAsia" w:cs="Arial"/>
                <w:b/>
                <w:bCs/>
                <w:color w:val="000000" w:themeColor="text1"/>
                <w:sz w:val="22"/>
                <w:szCs w:val="22"/>
                <w:lang w:val="en-US" w:eastAsia="zh-CN"/>
                <w14:textFill>
                  <w14:solidFill>
                    <w14:schemeClr w14:val="tx1"/>
                  </w14:solidFill>
                </w14:textFill>
              </w:rPr>
              <w:t>2.IPA</w:t>
            </w:r>
          </w:p>
          <w:p w14:paraId="4238E1FD">
            <w:pPr>
              <w:ind w:left="360"/>
              <w:rPr>
                <w:rFonts w:cs="Arial"/>
                <w:sz w:val="22"/>
                <w:szCs w:val="22"/>
                <w:lang w:val="en-US" w:eastAsia="zh-CN"/>
              </w:rPr>
            </w:pPr>
            <w:r>
              <w:rPr>
                <w:rFonts w:cs="Arial"/>
                <w:sz w:val="22"/>
                <w:szCs w:val="22"/>
                <w:lang w:val="en-US" w:eastAsia="zh-CN"/>
              </w:rPr>
              <w:t>The phenomenon of interpretive phenomenology</w:t>
            </w:r>
            <w:r>
              <w:rPr>
                <w:rFonts w:hint="eastAsia" w:cs="Arial"/>
                <w:sz w:val="22"/>
                <w:szCs w:val="22"/>
                <w:lang w:val="en-US" w:eastAsia="zh-CN"/>
              </w:rPr>
              <w:t>（IPA）</w:t>
            </w:r>
            <w:r>
              <w:rPr>
                <w:rFonts w:cs="Arial"/>
                <w:sz w:val="22"/>
                <w:szCs w:val="22"/>
                <w:lang w:val="en-US" w:eastAsia="zh-CN"/>
              </w:rPr>
              <w:t>, developed by philosophers such as Hans-Georg Gadamer and Paul Ricœur emphasises the role of interpretation and understanding in human experience, especially in linguistic and cultural contexts</w:t>
            </w:r>
            <w:r>
              <w:rPr>
                <w:rFonts w:hint="eastAsia" w:cs="Arial"/>
                <w:sz w:val="22"/>
                <w:szCs w:val="22"/>
                <w:lang w:val="en-US" w:eastAsia="zh-CN"/>
              </w:rPr>
              <w:t>（</w:t>
            </w:r>
            <w:r>
              <w:rPr>
                <w:rFonts w:cs="Arial"/>
                <w:sz w:val="22"/>
                <w:szCs w:val="22"/>
                <w:lang w:val="en-US" w:eastAsia="zh-CN"/>
              </w:rPr>
              <w:t>Rapport, F., 2005).</w:t>
            </w:r>
          </w:p>
          <w:p w14:paraId="1F646FD4">
            <w:pPr>
              <w:ind w:left="360"/>
              <w:rPr>
                <w:rFonts w:cs="Arial"/>
                <w:sz w:val="22"/>
                <w:szCs w:val="22"/>
                <w:lang w:val="en-US" w:eastAsia="zh-CN"/>
              </w:rPr>
            </w:pPr>
          </w:p>
          <w:p w14:paraId="249E7142">
            <w:pPr>
              <w:ind w:left="360"/>
              <w:rPr>
                <w:rFonts w:cs="Arial"/>
                <w:sz w:val="22"/>
                <w:szCs w:val="22"/>
                <w:lang w:val="en-US" w:eastAsia="zh-CN"/>
              </w:rPr>
            </w:pPr>
            <w:r>
              <w:rPr>
                <w:rFonts w:cs="Arial"/>
                <w:sz w:val="22"/>
                <w:szCs w:val="22"/>
                <w:lang w:val="en-US" w:eastAsia="zh-CN"/>
              </w:rPr>
              <w:t xml:space="preserve">The key to interpretative phenomenological analysis is the ability to examine and interpret the </w:t>
            </w:r>
            <w:r>
              <w:rPr>
                <w:rFonts w:hint="default" w:cs="Arial"/>
                <w:sz w:val="22"/>
                <w:szCs w:val="22"/>
                <w:lang w:val="en-US" w:eastAsia="zh-CN"/>
              </w:rPr>
              <w:t>‘</w:t>
            </w:r>
            <w:r>
              <w:rPr>
                <w:rFonts w:cs="Arial"/>
                <w:sz w:val="22"/>
                <w:szCs w:val="22"/>
                <w:lang w:val="en-US" w:eastAsia="zh-CN"/>
              </w:rPr>
              <w:t>lived experience</w:t>
            </w:r>
            <w:r>
              <w:rPr>
                <w:rFonts w:hint="default" w:cs="Arial"/>
                <w:sz w:val="22"/>
                <w:szCs w:val="22"/>
                <w:lang w:val="en-US" w:eastAsia="zh-CN"/>
              </w:rPr>
              <w:t>’</w:t>
            </w:r>
            <w:r>
              <w:rPr>
                <w:rFonts w:cs="Arial"/>
                <w:sz w:val="22"/>
                <w:szCs w:val="22"/>
                <w:lang w:val="en-US" w:eastAsia="zh-CN"/>
              </w:rPr>
              <w:t xml:space="preserve">of the research participants. In research conducted using interpretative phenomenological analysis, this method allows researchers to establish connections with study participants, which can benefit some aspects of the research. As a </w:t>
            </w:r>
            <w:r>
              <w:rPr>
                <w:rFonts w:hint="default" w:cs="Arial"/>
                <w:sz w:val="22"/>
                <w:szCs w:val="22"/>
                <w:lang w:val="en-US" w:eastAsia="zh-CN"/>
              </w:rPr>
              <w:t>‘</w:t>
            </w:r>
            <w:r>
              <w:rPr>
                <w:rFonts w:cs="Arial"/>
                <w:sz w:val="22"/>
                <w:szCs w:val="22"/>
                <w:lang w:val="en-US" w:eastAsia="zh-CN"/>
              </w:rPr>
              <w:t>participant-centered</w:t>
            </w:r>
            <w:r>
              <w:rPr>
                <w:rFonts w:hint="default" w:cs="Arial"/>
                <w:sz w:val="22"/>
                <w:szCs w:val="22"/>
                <w:lang w:val="en-US" w:eastAsia="zh-CN"/>
              </w:rPr>
              <w:t>’</w:t>
            </w:r>
            <w:r>
              <w:rPr>
                <w:rFonts w:cs="Arial"/>
                <w:sz w:val="22"/>
                <w:szCs w:val="22"/>
                <w:lang w:val="en-US" w:eastAsia="zh-CN"/>
              </w:rPr>
              <w:t xml:space="preserve">approach, the analytical method of interpretative phenomenology encourages participants to express themselves and their thoughts and personal experiences as they see fit, without any distortion of their thoughts. (Alase A, 2017). Heidegger (1962) said that human beings are somehow integrated into their world, resulting in subjective experiences that are closely related to society, culture, and so on. Although individuals have freedom of choice, this freedom is not absolute and is influenced by specific conditions in People's Daily lives. Hermeneutic phenomenology, on the other hand, will focus on describing the meaning of an individual's </w:t>
            </w:r>
            <w:r>
              <w:rPr>
                <w:rFonts w:hint="default" w:cs="Arial"/>
                <w:sz w:val="22"/>
                <w:szCs w:val="22"/>
                <w:lang w:val="en-US" w:eastAsia="zh-CN"/>
              </w:rPr>
              <w:t>‘</w:t>
            </w:r>
            <w:r>
              <w:rPr>
                <w:rFonts w:cs="Arial"/>
                <w:sz w:val="22"/>
                <w:szCs w:val="22"/>
                <w:lang w:val="en-US" w:eastAsia="zh-CN"/>
              </w:rPr>
              <w:t>existence</w:t>
            </w:r>
            <w:r>
              <w:rPr>
                <w:rFonts w:hint="default" w:cs="Arial"/>
                <w:sz w:val="22"/>
                <w:szCs w:val="22"/>
                <w:lang w:val="en-US" w:eastAsia="zh-CN"/>
              </w:rPr>
              <w:t>’</w:t>
            </w:r>
            <w:r>
              <w:rPr>
                <w:rFonts w:cs="Arial"/>
                <w:sz w:val="22"/>
                <w:szCs w:val="22"/>
                <w:lang w:val="en-US" w:eastAsia="zh-CN"/>
              </w:rPr>
              <w:t xml:space="preserve"> and how those meanings affect the choices they make, rather than seeking absolutely true, purely descriptive categories in the stories and descriptions of the participants. To understand young people's personal choice of milk tea brand, their consumption behavior must be influenced in some way, which makes a milk tea brand have special significance for them and makes them make choices. It is necessary to find young consumers to participate in my research, explore the nature of their purchase of milk tea brands, understand their thinking mode of implementing purchase behaviors, and understand whether there are specific reasons for choosing a certain brand, such as brand effect or cultural habits. </w:t>
            </w:r>
          </w:p>
          <w:p w14:paraId="21ED5290">
            <w:pPr>
              <w:rPr>
                <w:rFonts w:cs="Arial"/>
                <w:sz w:val="22"/>
                <w:szCs w:val="22"/>
                <w:lang w:val="en-US"/>
              </w:rPr>
            </w:pPr>
          </w:p>
          <w:p w14:paraId="6A4DDF77">
            <w:pPr>
              <w:ind w:left="360"/>
              <w:rPr>
                <w:rFonts w:hint="default" w:ascii="Arial Bold" w:hAnsi="Arial Bold" w:cs="Arial Bold"/>
                <w:b/>
                <w:bCs/>
                <w:color w:val="000000" w:themeColor="text1"/>
                <w:sz w:val="22"/>
                <w:szCs w:val="22"/>
                <w:lang w:val="en-US" w:eastAsia="zh-CN"/>
                <w14:textFill>
                  <w14:solidFill>
                    <w14:schemeClr w14:val="tx1"/>
                  </w14:solidFill>
                </w14:textFill>
              </w:rPr>
            </w:pPr>
            <w:r>
              <w:rPr>
                <w:rFonts w:hint="default" w:ascii="Arial Bold" w:hAnsi="Arial Bold" w:cs="Arial Bold"/>
                <w:b/>
                <w:bCs/>
                <w:color w:val="000000" w:themeColor="text1"/>
                <w:sz w:val="22"/>
                <w:szCs w:val="22"/>
                <w:lang w:val="en-US" w:eastAsia="zh-CN"/>
                <w14:textFill>
                  <w14:solidFill>
                    <w14:schemeClr w14:val="tx1"/>
                  </w14:solidFill>
                </w14:textFill>
              </w:rPr>
              <w:t>3.Method</w:t>
            </w:r>
          </w:p>
          <w:p w14:paraId="18099A77">
            <w:pPr>
              <w:numPr>
                <w:ilvl w:val="0"/>
                <w:numId w:val="0"/>
              </w:numPr>
              <w:rPr>
                <w:rFonts w:hint="default" w:cs="Arial"/>
                <w:color w:val="4F81BD" w:themeColor="accent1"/>
                <w:sz w:val="22"/>
                <w:szCs w:val="22"/>
                <w:lang w:val="en-US" w:eastAsia="zh-CN"/>
                <w14:textFill>
                  <w14:solidFill>
                    <w14:schemeClr w14:val="accent1"/>
                  </w14:solidFill>
                </w14:textFill>
              </w:rPr>
            </w:pPr>
          </w:p>
          <w:p w14:paraId="17A8E545">
            <w:pPr>
              <w:rPr>
                <w:rFonts w:hint="default" w:cs="Arial"/>
                <w:color w:val="4F81BD" w:themeColor="accent1"/>
                <w:sz w:val="22"/>
                <w:szCs w:val="22"/>
                <w:lang w:val="en-US" w:eastAsia="zh-CN"/>
                <w14:textFill>
                  <w14:solidFill>
                    <w14:schemeClr w14:val="accent1"/>
                  </w14:solidFill>
                </w14:textFill>
              </w:rPr>
            </w:pPr>
          </w:p>
          <w:p w14:paraId="0FE7CA86">
            <w:pPr>
              <w:ind w:left="360"/>
              <w:rPr>
                <w:rFonts w:cs="Arial"/>
                <w:sz w:val="22"/>
                <w:szCs w:val="22"/>
                <w:lang w:val="en-US" w:eastAsia="zh-CN"/>
              </w:rPr>
            </w:pPr>
            <w:r>
              <w:rPr>
                <w:rFonts w:cs="Arial"/>
                <w:sz w:val="22"/>
                <w:szCs w:val="22"/>
                <w:lang w:val="en-US" w:eastAsia="zh-CN"/>
              </w:rPr>
              <w:t xml:space="preserve">This paper </w:t>
            </w:r>
            <w:r>
              <w:rPr>
                <w:rFonts w:hint="eastAsia" w:cs="Arial"/>
                <w:sz w:val="22"/>
                <w:szCs w:val="22"/>
                <w:lang w:val="en-US" w:eastAsia="zh-CN"/>
              </w:rPr>
              <w:t>will use</w:t>
            </w:r>
            <w:r>
              <w:rPr>
                <w:rFonts w:cs="Arial"/>
                <w:sz w:val="22"/>
                <w:szCs w:val="22"/>
                <w:lang w:val="en-US" w:eastAsia="zh-CN"/>
              </w:rPr>
              <w:t xml:space="preserve"> </w:t>
            </w:r>
            <w:r>
              <w:rPr>
                <w:rFonts w:hint="eastAsia" w:cs="Arial"/>
                <w:sz w:val="22"/>
                <w:szCs w:val="22"/>
                <w:lang w:val="en-US" w:eastAsia="zh-CN"/>
              </w:rPr>
              <w:t>semi - structured interview</w:t>
            </w:r>
            <w:r>
              <w:rPr>
                <w:rFonts w:cs="Arial"/>
                <w:sz w:val="22"/>
                <w:szCs w:val="22"/>
                <w:lang w:val="en-US" w:eastAsia="zh-CN"/>
              </w:rPr>
              <w:t xml:space="preserve"> that in-depth interviews</w:t>
            </w:r>
            <w:r>
              <w:rPr>
                <w:rFonts w:hint="eastAsia" w:cs="Arial"/>
                <w:sz w:val="22"/>
                <w:szCs w:val="22"/>
                <w:lang w:val="en-US" w:eastAsia="zh-CN"/>
              </w:rPr>
              <w:t xml:space="preserve"> </w:t>
            </w:r>
            <w:r>
              <w:rPr>
                <w:rFonts w:cs="Arial"/>
                <w:sz w:val="22"/>
                <w:szCs w:val="22"/>
                <w:lang w:val="en-US" w:eastAsia="zh-CN"/>
              </w:rPr>
              <w:t xml:space="preserve">with </w:t>
            </w:r>
            <w:r>
              <w:rPr>
                <w:rFonts w:hint="eastAsia" w:cs="Arial"/>
                <w:sz w:val="22"/>
                <w:szCs w:val="22"/>
                <w:lang w:val="en-US" w:eastAsia="zh-CN"/>
              </w:rPr>
              <w:t>18-2</w:t>
            </w:r>
            <w:r>
              <w:rPr>
                <w:rFonts w:cs="Arial"/>
                <w:sz w:val="22"/>
                <w:szCs w:val="22"/>
                <w:lang w:val="en-US" w:eastAsia="zh-CN"/>
              </w:rPr>
              <w:t>8</w:t>
            </w:r>
            <w:r>
              <w:rPr>
                <w:rFonts w:hint="eastAsia" w:cs="Arial"/>
                <w:sz w:val="22"/>
                <w:szCs w:val="22"/>
                <w:lang w:val="en-US" w:eastAsia="zh-CN"/>
              </w:rPr>
              <w:t xml:space="preserve"> years old young people</w:t>
            </w:r>
            <w:r>
              <w:rPr>
                <w:rFonts w:cs="Arial"/>
                <w:sz w:val="22"/>
                <w:szCs w:val="22"/>
                <w:lang w:val="en-US" w:eastAsia="zh-CN"/>
              </w:rPr>
              <w:t xml:space="preserve">, </w:t>
            </w:r>
            <w:r>
              <w:rPr>
                <w:rFonts w:hint="eastAsia" w:cs="Arial"/>
                <w:sz w:val="22"/>
                <w:szCs w:val="22"/>
                <w:lang w:val="en-US" w:eastAsia="zh-CN"/>
              </w:rPr>
              <w:t xml:space="preserve"> </w:t>
            </w:r>
            <w:r>
              <w:rPr>
                <w:rFonts w:cs="Arial"/>
                <w:sz w:val="22"/>
                <w:szCs w:val="22"/>
                <w:lang w:val="en-US" w:eastAsia="zh-CN"/>
              </w:rPr>
              <w:t>Research shows that the main consumers of milk tea are young people born between 1996 and 2012(</w:t>
            </w:r>
            <w:r>
              <w:rPr>
                <w:rFonts w:hint="eastAsia" w:cs="Arial"/>
                <w:sz w:val="22"/>
                <w:szCs w:val="22"/>
                <w:lang w:val="en-US" w:eastAsia="zh-CN"/>
              </w:rPr>
              <w:t>Lin, X., Yang, J. and Chen, Q.</w:t>
            </w:r>
            <w:r>
              <w:rPr>
                <w:rFonts w:cs="Arial"/>
                <w:sz w:val="22"/>
                <w:szCs w:val="22"/>
                <w:lang w:val="en-US" w:eastAsia="zh-CN"/>
              </w:rPr>
              <w:t>,2023 ). In this study, young</w:t>
            </w:r>
            <w:r>
              <w:rPr>
                <w:rFonts w:hint="eastAsia" w:cs="Arial"/>
                <w:sz w:val="22"/>
                <w:szCs w:val="22"/>
                <w:lang w:val="en-US" w:eastAsia="zh-CN"/>
              </w:rPr>
              <w:t xml:space="preserve"> adult</w:t>
            </w:r>
            <w:r>
              <w:rPr>
                <w:rFonts w:cs="Arial"/>
                <w:sz w:val="22"/>
                <w:szCs w:val="22"/>
                <w:lang w:val="en-US" w:eastAsia="zh-CN"/>
              </w:rPr>
              <w:t xml:space="preserve"> customers are selected as representative samples for two reasons. First of all, compared with the limited allowance for high school students, most </w:t>
            </w:r>
            <w:r>
              <w:rPr>
                <w:rFonts w:hint="eastAsia" w:cs="Arial"/>
                <w:sz w:val="22"/>
                <w:szCs w:val="22"/>
                <w:lang w:val="en-US" w:eastAsia="zh-CN"/>
              </w:rPr>
              <w:t>young adults</w:t>
            </w:r>
            <w:r>
              <w:rPr>
                <w:rFonts w:cs="Arial"/>
                <w:sz w:val="22"/>
                <w:szCs w:val="22"/>
                <w:lang w:val="en-US" w:eastAsia="zh-CN"/>
              </w:rPr>
              <w:t xml:space="preserve"> get a monthly allowance from their parents</w:t>
            </w:r>
            <w:r>
              <w:rPr>
                <w:rFonts w:hint="eastAsia" w:cs="Arial"/>
                <w:sz w:val="22"/>
                <w:szCs w:val="22"/>
                <w:lang w:val="en-US" w:eastAsia="zh-CN"/>
              </w:rPr>
              <w:t xml:space="preserve"> or </w:t>
            </w:r>
            <w:r>
              <w:rPr>
                <w:rFonts w:cs="Arial"/>
                <w:sz w:val="22"/>
                <w:szCs w:val="22"/>
                <w:lang w:val="en-US" w:eastAsia="zh-CN"/>
              </w:rPr>
              <w:t>find a job, and they have the ability to make their own purchasing decisions. So we can conduct surveys on consumer preferences more accurately. Secondly, young adults have better understanding and can understand the content of interviews(</w:t>
            </w:r>
            <w:r>
              <w:rPr>
                <w:rFonts w:hint="eastAsia" w:cs="Arial"/>
                <w:sz w:val="22"/>
                <w:szCs w:val="22"/>
                <w:lang w:val="en-US" w:eastAsia="zh-CN"/>
              </w:rPr>
              <w:t>Lin, X., Yang, J. and Chen, Q.</w:t>
            </w:r>
            <w:r>
              <w:rPr>
                <w:rFonts w:cs="Arial"/>
                <w:sz w:val="22"/>
                <w:szCs w:val="22"/>
                <w:lang w:val="en-US" w:eastAsia="zh-CN"/>
              </w:rPr>
              <w:t>,2023 )</w:t>
            </w:r>
            <w:r>
              <w:rPr>
                <w:rFonts w:hint="eastAsia" w:cs="Arial"/>
                <w:sz w:val="22"/>
                <w:szCs w:val="22"/>
                <w:lang w:val="en-US" w:eastAsia="zh-CN"/>
              </w:rPr>
              <w:t>.The opening interview questions were structured to appeal to the respondents' interest phenomena - the visual aesthetics and design in milk tea brands and their consumption experience. The follow-up questions were spontaneously derived from the responses to the opening questions - inviting respondents to extrapolate from their lived experiences in those moments of consumption</w:t>
            </w:r>
            <w:r>
              <w:rPr>
                <w:rFonts w:cs="Arial"/>
                <w:sz w:val="22"/>
                <w:szCs w:val="22"/>
                <w:lang w:val="en-US" w:eastAsia="zh-CN"/>
              </w:rPr>
              <w:t>.</w:t>
            </w:r>
            <w:r>
              <w:rPr>
                <w:rFonts w:hint="eastAsia" w:cs="Arial"/>
                <w:sz w:val="22"/>
                <w:szCs w:val="22"/>
                <w:lang w:val="en-US" w:eastAsia="zh-CN"/>
              </w:rPr>
              <w:t xml:space="preserve"> </w:t>
            </w:r>
          </w:p>
          <w:p w14:paraId="50839C7F">
            <w:pPr>
              <w:rPr>
                <w:rFonts w:cs="Arial"/>
                <w:sz w:val="22"/>
                <w:szCs w:val="22"/>
                <w:lang w:val="en-US"/>
              </w:rPr>
            </w:pPr>
          </w:p>
        </w:tc>
      </w:tr>
      <w:tr w14:paraId="7D2A9AB2">
        <w:trPr>
          <w:trHeight w:val="397" w:hRule="atLeast"/>
        </w:trPr>
        <w:tc>
          <w:tcPr>
            <w:tcW w:w="9781" w:type="dxa"/>
            <w:shd w:val="clear" w:color="auto" w:fill="F1F1F1" w:themeFill="background1" w:themeFillShade="F2"/>
            <w:vAlign w:val="center"/>
          </w:tcPr>
          <w:p w14:paraId="65DEC3C2">
            <w:pPr>
              <w:rPr>
                <w:rFonts w:cs="Arial"/>
                <w:sz w:val="22"/>
                <w:szCs w:val="22"/>
              </w:rPr>
            </w:pPr>
            <w:r>
              <w:rPr>
                <w:rFonts w:cs="Arial"/>
                <w:sz w:val="22"/>
                <w:szCs w:val="22"/>
              </w:rPr>
              <w:t>Introductory bibliography:</w:t>
            </w:r>
          </w:p>
        </w:tc>
      </w:tr>
      <w:tr w14:paraId="56390EB8">
        <w:trPr>
          <w:trHeight w:val="397" w:hRule="atLeast"/>
        </w:trPr>
        <w:tc>
          <w:tcPr>
            <w:tcW w:w="9781" w:type="dxa"/>
            <w:vAlign w:val="center"/>
          </w:tcPr>
          <w:p w14:paraId="5D3F0D92">
            <w:p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 xml:space="preserve">In this section you should list a minimum of 30 titles that are relevant to your research. </w:t>
            </w:r>
          </w:p>
          <w:p w14:paraId="0ADD78D6">
            <w:p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 xml:space="preserve">You should include all works cited in this form. </w:t>
            </w:r>
          </w:p>
          <w:p w14:paraId="57113E76">
            <w:p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The list should be alphabetical using the referencing system appropriate to your discipline.</w:t>
            </w:r>
          </w:p>
          <w:p w14:paraId="19212B85">
            <w:pPr>
              <w:rPr>
                <w:rFonts w:cs="Arial"/>
                <w:sz w:val="22"/>
                <w:szCs w:val="22"/>
              </w:rPr>
            </w:pPr>
          </w:p>
          <w:p w14:paraId="60346DD4">
            <w:pPr>
              <w:rPr>
                <w:rFonts w:hint="default" w:ascii="Arial Bold" w:hAnsi="Arial Bold" w:eastAsia="Times New Roman" w:cs="Arial Bold"/>
                <w:b/>
                <w:bCs/>
                <w:sz w:val="22"/>
                <w:szCs w:val="22"/>
                <w:lang w:val="en-US" w:eastAsia="zh-CN"/>
              </w:rPr>
            </w:pPr>
            <w:r>
              <w:rPr>
                <w:rFonts w:hint="default" w:ascii="Arial Bold" w:hAnsi="Arial Bold" w:eastAsia="Times New Roman" w:cs="Arial Bold"/>
                <w:b/>
                <w:bCs/>
                <w:sz w:val="22"/>
                <w:szCs w:val="22"/>
                <w:lang w:val="en-US" w:eastAsia="zh-CN"/>
              </w:rPr>
              <w:t>Reference list</w:t>
            </w:r>
          </w:p>
          <w:p w14:paraId="4A0BC91D">
            <w:pPr>
              <w:rPr>
                <w:rFonts w:hint="default" w:ascii="微软雅黑" w:hAnsi="微软雅黑" w:eastAsia="微软雅黑" w:cs="微软雅黑"/>
                <w:color w:val="222222"/>
                <w:sz w:val="18"/>
                <w:szCs w:val="18"/>
                <w:shd w:val="clear" w:color="auto" w:fill="FFFFFF"/>
                <w:lang w:val="en-US" w:eastAsia="zh-CN" w:bidi="ar"/>
              </w:rPr>
            </w:pPr>
            <w:r>
              <w:rPr>
                <w:rFonts w:hint="default" w:ascii="微软雅黑" w:hAnsi="微软雅黑" w:eastAsia="微软雅黑" w:cs="微软雅黑"/>
                <w:color w:val="222222"/>
                <w:sz w:val="18"/>
                <w:szCs w:val="18"/>
                <w:shd w:val="clear" w:color="auto" w:fill="FFFFFF"/>
                <w:lang w:val="en-US" w:eastAsia="zh-CN" w:bidi="ar"/>
              </w:rPr>
              <w:t>Wei,L.and Nuan,W.(2022).From "Happy water" to "social currency" : A sociological analysis of the new tea consumption of Generation Z[Online].Available at:https://sc.panda985.com/scholar?hl=zh-CN&amp;as_sdt=0%2C5&amp;q=从快乐水到社交货币&amp;btnG=[Assessed 5 Jan.2025].</w:t>
            </w:r>
          </w:p>
          <w:p w14:paraId="69EC8932">
            <w:pPr>
              <w:rPr>
                <w:rFonts w:hint="eastAsia" w:ascii="微软雅黑" w:hAnsi="微软雅黑" w:eastAsia="微软雅黑" w:cs="微软雅黑"/>
                <w:b/>
                <w:bCs/>
                <w:color w:val="4F81BD" w:themeColor="accent1"/>
                <w:sz w:val="21"/>
                <w:szCs w:val="21"/>
                <w:lang w:val="en-US" w:eastAsia="zh-CN"/>
                <w14:textFill>
                  <w14:solidFill>
                    <w14:schemeClr w14:val="accent1"/>
                  </w14:solidFill>
                </w14:textFill>
              </w:rPr>
            </w:pPr>
          </w:p>
          <w:p w14:paraId="14036051">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Shi, W., Yang, C. and Yu, P., 2021, December. Brand new milk tea market: Chinese milk tea development and brand analysis. In</w:t>
            </w:r>
            <w:r>
              <w:rPr>
                <w:rFonts w:ascii="微软雅黑" w:hAnsi="微软雅黑" w:eastAsia="微软雅黑" w:cs="微软雅黑"/>
                <w:color w:val="222222"/>
                <w:sz w:val="18"/>
                <w:szCs w:val="18"/>
                <w:shd w:val="clear" w:color="auto" w:fill="FFFFFF"/>
                <w:lang w:val="en-US" w:eastAsia="zh-CN" w:bidi="ar"/>
              </w:rPr>
              <w:t> 2021 3rd International Conference on Economic Management and Cultural Industry (ICEMCI 2021) (pp. 2639-2647). Atlantis Press.</w:t>
            </w:r>
          </w:p>
          <w:p w14:paraId="5F5ACBFA">
            <w:pPr>
              <w:rPr>
                <w:rFonts w:ascii="微软雅黑" w:hAnsi="微软雅黑" w:eastAsia="微软雅黑" w:cs="微软雅黑"/>
                <w:color w:val="222222"/>
                <w:sz w:val="18"/>
                <w:szCs w:val="18"/>
                <w:shd w:val="clear" w:color="auto" w:fill="FFFFFF"/>
                <w:lang w:val="en-US" w:eastAsia="zh-CN" w:bidi="ar"/>
              </w:rPr>
            </w:pPr>
          </w:p>
          <w:p w14:paraId="77CE1B32">
            <w:pPr>
              <w:rPr>
                <w:rFonts w:ascii="微软雅黑" w:hAnsi="微软雅黑" w:eastAsia="微软雅黑" w:cs="微软雅黑"/>
                <w:sz w:val="18"/>
                <w:szCs w:val="18"/>
              </w:rPr>
            </w:pPr>
            <w:r>
              <w:rPr>
                <w:rFonts w:hint="eastAsia" w:ascii="微软雅黑" w:hAnsi="微软雅黑" w:eastAsia="微软雅黑" w:cs="微软雅黑"/>
                <w:color w:val="222222"/>
                <w:sz w:val="18"/>
                <w:szCs w:val="18"/>
                <w:shd w:val="clear" w:color="auto" w:fill="FFFFFF"/>
                <w:lang w:val="en-US" w:eastAsia="zh-CN" w:bidi="ar"/>
              </w:rPr>
              <w:t>Yun, H., Xiao, L., Jingjing, L. and Lin, W.(2022) Visual Elements in Brand Aesthetics: A Review and Prospects. </w:t>
            </w:r>
            <w:r>
              <w:rPr>
                <w:rFonts w:hint="eastAsia" w:ascii="微软雅黑" w:hAnsi="微软雅黑" w:eastAsia="微软雅黑" w:cs="微软雅黑"/>
                <w:i/>
                <w:iCs/>
                <w:color w:val="222222"/>
                <w:sz w:val="18"/>
                <w:szCs w:val="18"/>
                <w:lang w:val="en-US" w:eastAsia="zh-CN" w:bidi="ar"/>
              </w:rPr>
              <w:t>Foreign Economics &amp; Management</w:t>
            </w:r>
            <w:r>
              <w:rPr>
                <w:rFonts w:hint="eastAsia" w:ascii="微软雅黑" w:hAnsi="微软雅黑" w:eastAsia="微软雅黑" w:cs="微软雅黑"/>
                <w:color w:val="222222"/>
                <w:sz w:val="18"/>
                <w:szCs w:val="18"/>
                <w:shd w:val="clear" w:color="auto" w:fill="FFFFFF"/>
                <w:lang w:val="en-US" w:eastAsia="zh-CN" w:bidi="ar"/>
              </w:rPr>
              <w:t>, </w:t>
            </w:r>
            <w:r>
              <w:rPr>
                <w:rFonts w:hint="eastAsia" w:ascii="微软雅黑" w:hAnsi="微软雅黑" w:eastAsia="微软雅黑" w:cs="微软雅黑"/>
                <w:i/>
                <w:iCs/>
                <w:color w:val="222222"/>
                <w:sz w:val="18"/>
                <w:szCs w:val="18"/>
                <w:lang w:val="en-US" w:eastAsia="zh-CN" w:bidi="ar"/>
              </w:rPr>
              <w:t>44</w:t>
            </w:r>
            <w:r>
              <w:rPr>
                <w:rFonts w:hint="eastAsia" w:ascii="微软雅黑" w:hAnsi="微软雅黑" w:eastAsia="微软雅黑" w:cs="微软雅黑"/>
                <w:color w:val="222222"/>
                <w:sz w:val="18"/>
                <w:szCs w:val="18"/>
                <w:shd w:val="clear" w:color="auto" w:fill="FFFFFF"/>
                <w:lang w:val="en-US" w:eastAsia="zh-CN" w:bidi="ar"/>
              </w:rPr>
              <w:t>(08), pp.121-137.</w:t>
            </w:r>
          </w:p>
          <w:p w14:paraId="2989BDBB">
            <w:pPr>
              <w:rPr>
                <w:rFonts w:ascii="微软雅黑" w:hAnsi="微软雅黑" w:eastAsia="微软雅黑" w:cs="微软雅黑"/>
                <w:sz w:val="18"/>
                <w:szCs w:val="18"/>
                <w:lang w:val="en-US" w:eastAsia="zh-CN"/>
              </w:rPr>
            </w:pPr>
          </w:p>
          <w:p w14:paraId="7810B1B3">
            <w:r>
              <w:rPr>
                <w:rFonts w:hint="eastAsia" w:ascii="微软雅黑" w:hAnsi="微软雅黑" w:eastAsia="微软雅黑" w:cs="微软雅黑"/>
                <w:sz w:val="18"/>
                <w:szCs w:val="18"/>
                <w:lang w:val="en-US" w:eastAsia="zh-CN"/>
              </w:rPr>
              <w:t>Siyu,Z. and</w:t>
            </w:r>
            <w:r>
              <w:rPr>
                <w:rFonts w:ascii="微软雅黑" w:hAnsi="微软雅黑" w:eastAsia="微软雅黑" w:cs="微软雅黑"/>
                <w:sz w:val="18"/>
                <w:szCs w:val="18"/>
                <w:lang w:val="en-US" w:eastAsia="zh-CN"/>
              </w:rPr>
              <w:t xml:space="preserve"> </w:t>
            </w:r>
            <w:r>
              <w:rPr>
                <w:rFonts w:hint="eastAsia" w:ascii="微软雅黑" w:hAnsi="微软雅黑" w:eastAsia="微软雅黑" w:cs="微软雅黑"/>
                <w:sz w:val="18"/>
                <w:szCs w:val="18"/>
                <w:lang w:val="en-US" w:eastAsia="zh-CN"/>
              </w:rPr>
              <w:t>Qian C.(2023)On the application of Chinese style in modern milk tea packaging design</w:t>
            </w:r>
            <w:r>
              <w:rPr>
                <w:rFonts w:ascii="微软雅黑" w:hAnsi="微软雅黑" w:eastAsia="微软雅黑" w:cs="微软雅黑"/>
                <w:sz w:val="18"/>
                <w:szCs w:val="18"/>
                <w:lang w:val="en-US" w:eastAsia="zh-CN"/>
              </w:rPr>
              <w:t>.</w:t>
            </w:r>
            <w:r>
              <w:rPr>
                <w:rFonts w:ascii="微软雅黑" w:hAnsi="微软雅黑" w:eastAsia="微软雅黑" w:cs="微软雅黑"/>
                <w:i/>
                <w:iCs/>
                <w:sz w:val="18"/>
                <w:szCs w:val="18"/>
                <w:lang w:val="en-US" w:eastAsia="zh-CN"/>
              </w:rPr>
              <w:t>Chinese Packaging</w:t>
            </w:r>
            <w:r>
              <w:rPr>
                <w:rFonts w:ascii="微软雅黑" w:hAnsi="微软雅黑" w:eastAsia="微软雅黑" w:cs="微软雅黑"/>
                <w:sz w:val="18"/>
                <w:szCs w:val="18"/>
                <w:lang w:val="en-US" w:eastAsia="zh-CN"/>
              </w:rPr>
              <w:t>,</w:t>
            </w:r>
            <w:r>
              <w:rPr>
                <w:rFonts w:hint="eastAsia" w:ascii="微软雅黑" w:hAnsi="微软雅黑" w:eastAsia="微软雅黑" w:cs="微软雅黑"/>
                <w:sz w:val="18"/>
                <w:szCs w:val="18"/>
                <w:lang w:val="en-US" w:eastAsia="zh-CN"/>
              </w:rPr>
              <w:t>43(08),pp.47-49.</w:t>
            </w:r>
          </w:p>
          <w:p w14:paraId="7F308DCE">
            <w:pPr>
              <w:rPr>
                <w:rFonts w:ascii="微软雅黑" w:hAnsi="微软雅黑" w:eastAsia="微软雅黑" w:cs="微软雅黑"/>
                <w:color w:val="222222"/>
                <w:sz w:val="18"/>
                <w:szCs w:val="18"/>
                <w:shd w:val="clear" w:color="auto" w:fill="FFFFFF"/>
                <w:lang w:val="en-US" w:eastAsia="zh-CN" w:bidi="ar"/>
              </w:rPr>
            </w:pPr>
          </w:p>
          <w:p w14:paraId="3BFEA530">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Wen, B.L.J. and Aun, N.B.</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2020</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 xml:space="preserve"> Factors influencing consumers’purchase intention in Klang Valley, Malaysia: A study of bubble milk tea.</w:t>
            </w:r>
            <w:r>
              <w:rPr>
                <w:rFonts w:ascii="微软雅黑" w:hAnsi="微软雅黑" w:eastAsia="微软雅黑" w:cs="微软雅黑"/>
                <w:color w:val="222222"/>
                <w:sz w:val="18"/>
                <w:szCs w:val="18"/>
                <w:shd w:val="clear" w:color="auto" w:fill="FFFFFF"/>
                <w:lang w:val="en-US" w:eastAsia="zh-CN" w:bidi="ar"/>
              </w:rPr>
              <w:t> </w:t>
            </w:r>
            <w:r>
              <w:rPr>
                <w:rFonts w:ascii="微软雅黑" w:hAnsi="微软雅黑" w:eastAsia="微软雅黑" w:cs="微软雅黑"/>
                <w:i/>
                <w:iCs/>
                <w:color w:val="222222"/>
                <w:sz w:val="18"/>
                <w:szCs w:val="18"/>
                <w:shd w:val="clear" w:color="auto" w:fill="FFFFFF"/>
                <w:lang w:val="en-US" w:eastAsia="zh-CN" w:bidi="ar"/>
              </w:rPr>
              <w:t>BERJAYA J. Serv. Manag</w:t>
            </w:r>
            <w:r>
              <w:rPr>
                <w:rFonts w:ascii="微软雅黑" w:hAnsi="微软雅黑" w:eastAsia="微软雅黑" w:cs="微软雅黑"/>
                <w:color w:val="222222"/>
                <w:sz w:val="18"/>
                <w:szCs w:val="18"/>
                <w:shd w:val="clear" w:color="auto" w:fill="FFFFFF"/>
                <w:lang w:val="en-US" w:eastAsia="zh-CN" w:bidi="ar"/>
              </w:rPr>
              <w:t>, 13, pp.29-43.</w:t>
            </w:r>
          </w:p>
          <w:p w14:paraId="5F64B069">
            <w:pPr>
              <w:rPr>
                <w:rFonts w:ascii="微软雅黑" w:hAnsi="微软雅黑" w:eastAsia="微软雅黑" w:cs="微软雅黑"/>
                <w:color w:val="222222"/>
                <w:sz w:val="18"/>
                <w:szCs w:val="18"/>
                <w:shd w:val="clear" w:color="auto" w:fill="FFFFFF"/>
                <w:lang w:val="en-US" w:eastAsia="zh-CN" w:bidi="ar"/>
              </w:rPr>
            </w:pPr>
          </w:p>
          <w:p w14:paraId="2ADD7DC6">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Lin, X., Yang, J. and Chen, Q.</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2023</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College students</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preferences for milk tea: Results from a choice experiment.</w:t>
            </w:r>
            <w:r>
              <w:rPr>
                <w:rFonts w:ascii="微软雅黑" w:hAnsi="微软雅黑" w:eastAsia="微软雅黑" w:cs="微软雅黑"/>
                <w:i/>
                <w:iCs/>
                <w:color w:val="222222"/>
                <w:sz w:val="18"/>
                <w:szCs w:val="18"/>
                <w:shd w:val="clear" w:color="auto" w:fill="FFFFFF"/>
                <w:lang w:val="en-US" w:eastAsia="zh-CN" w:bidi="ar"/>
              </w:rPr>
              <w:t> Foods</w:t>
            </w:r>
            <w:r>
              <w:rPr>
                <w:rFonts w:ascii="微软雅黑" w:hAnsi="微软雅黑" w:eastAsia="微软雅黑" w:cs="微软雅黑"/>
                <w:color w:val="222222"/>
                <w:sz w:val="18"/>
                <w:szCs w:val="18"/>
                <w:shd w:val="clear" w:color="auto" w:fill="FFFFFF"/>
                <w:lang w:val="en-US" w:eastAsia="zh-CN" w:bidi="ar"/>
              </w:rPr>
              <w:t>, 12(7), p.1491.</w:t>
            </w:r>
          </w:p>
          <w:p w14:paraId="61DE9B66">
            <w:pPr>
              <w:rPr>
                <w:rFonts w:ascii="微软雅黑" w:hAnsi="微软雅黑" w:eastAsia="微软雅黑" w:cs="微软雅黑"/>
                <w:color w:val="222222"/>
                <w:sz w:val="18"/>
                <w:szCs w:val="18"/>
                <w:shd w:val="clear" w:color="auto" w:fill="FFFFFF"/>
                <w:lang w:val="en-US" w:eastAsia="zh-CN" w:bidi="ar"/>
              </w:rPr>
            </w:pPr>
          </w:p>
          <w:p w14:paraId="175674D3">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Reimann, M., Schilke, O. and Thomas, J.S.</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2010</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Toward an understanding of industry commoditization: Its nature and role in evolving marketing competition.</w:t>
            </w:r>
            <w:r>
              <w:rPr>
                <w:rFonts w:ascii="微软雅黑" w:hAnsi="微软雅黑" w:eastAsia="微软雅黑" w:cs="微软雅黑"/>
                <w:color w:val="222222"/>
                <w:sz w:val="18"/>
                <w:szCs w:val="18"/>
                <w:shd w:val="clear" w:color="auto" w:fill="FFFFFF"/>
                <w:lang w:val="en-US" w:eastAsia="zh-CN" w:bidi="ar"/>
              </w:rPr>
              <w:t> </w:t>
            </w:r>
            <w:r>
              <w:rPr>
                <w:rFonts w:ascii="微软雅黑" w:hAnsi="微软雅黑" w:eastAsia="微软雅黑" w:cs="微软雅黑"/>
                <w:i/>
                <w:iCs/>
                <w:color w:val="222222"/>
                <w:sz w:val="18"/>
                <w:szCs w:val="18"/>
                <w:shd w:val="clear" w:color="auto" w:fill="FFFFFF"/>
                <w:lang w:val="en-US" w:eastAsia="zh-CN" w:bidi="ar"/>
              </w:rPr>
              <w:t>International Journal of Research in Marketing</w:t>
            </w:r>
            <w:r>
              <w:rPr>
                <w:rFonts w:ascii="微软雅黑" w:hAnsi="微软雅黑" w:eastAsia="微软雅黑" w:cs="微软雅黑"/>
                <w:color w:val="222222"/>
                <w:sz w:val="18"/>
                <w:szCs w:val="18"/>
                <w:shd w:val="clear" w:color="auto" w:fill="FFFFFF"/>
                <w:lang w:val="en-US" w:eastAsia="zh-CN" w:bidi="ar"/>
              </w:rPr>
              <w:t>, 27(2), pp.188-197.</w:t>
            </w:r>
          </w:p>
          <w:p w14:paraId="5EBA4CFF">
            <w:pPr>
              <w:rPr>
                <w:rFonts w:ascii="微软雅黑" w:hAnsi="微软雅黑" w:eastAsia="微软雅黑" w:cs="微软雅黑"/>
                <w:color w:val="222222"/>
                <w:sz w:val="18"/>
                <w:szCs w:val="18"/>
                <w:shd w:val="clear" w:color="auto" w:fill="FFFFFF"/>
                <w:lang w:val="en-US" w:eastAsia="zh-CN" w:bidi="ar"/>
              </w:rPr>
            </w:pPr>
          </w:p>
          <w:p w14:paraId="68FEF0E5">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Reimann, M., Zaichkowsky, J., Neuhaus, C., Bender, T. and Weber, B.</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2010</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 xml:space="preserve"> Aesthetic package design: A behavioral, neural, and psychological investigation.</w:t>
            </w:r>
            <w:r>
              <w:rPr>
                <w:rFonts w:ascii="微软雅黑" w:hAnsi="微软雅黑" w:eastAsia="微软雅黑" w:cs="微软雅黑"/>
                <w:color w:val="222222"/>
                <w:sz w:val="18"/>
                <w:szCs w:val="18"/>
                <w:shd w:val="clear" w:color="auto" w:fill="FFFFFF"/>
                <w:lang w:val="en-US" w:eastAsia="zh-CN" w:bidi="ar"/>
              </w:rPr>
              <w:t> </w:t>
            </w:r>
            <w:r>
              <w:rPr>
                <w:rFonts w:ascii="微软雅黑" w:hAnsi="微软雅黑" w:eastAsia="微软雅黑" w:cs="微软雅黑"/>
                <w:i/>
                <w:iCs/>
                <w:color w:val="222222"/>
                <w:sz w:val="18"/>
                <w:szCs w:val="18"/>
                <w:shd w:val="clear" w:color="auto" w:fill="FFFFFF"/>
                <w:lang w:val="en-US" w:eastAsia="zh-CN" w:bidi="ar"/>
              </w:rPr>
              <w:t>Journal of consumer psychology</w:t>
            </w:r>
            <w:r>
              <w:rPr>
                <w:rFonts w:ascii="微软雅黑" w:hAnsi="微软雅黑" w:eastAsia="微软雅黑" w:cs="微软雅黑"/>
                <w:color w:val="222222"/>
                <w:sz w:val="18"/>
                <w:szCs w:val="18"/>
                <w:shd w:val="clear" w:color="auto" w:fill="FFFFFF"/>
                <w:lang w:val="en-US" w:eastAsia="zh-CN" w:bidi="ar"/>
              </w:rPr>
              <w:t>, 20(4), pp.431-441.</w:t>
            </w:r>
          </w:p>
          <w:p w14:paraId="429B8A8A">
            <w:pPr>
              <w:rPr>
                <w:rFonts w:ascii="微软雅黑" w:hAnsi="微软雅黑" w:eastAsia="微软雅黑" w:cs="微软雅黑"/>
                <w:color w:val="222222"/>
                <w:sz w:val="18"/>
                <w:szCs w:val="18"/>
                <w:shd w:val="clear" w:color="auto" w:fill="FFFFFF"/>
                <w:lang w:val="en-US" w:eastAsia="zh-CN" w:bidi="ar"/>
              </w:rPr>
            </w:pPr>
          </w:p>
          <w:p w14:paraId="64AD9CF2">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Zolli, A.</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2004</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 xml:space="preserve"> Why design matters more.</w:t>
            </w:r>
            <w:r>
              <w:rPr>
                <w:rFonts w:ascii="微软雅黑" w:hAnsi="微软雅黑" w:eastAsia="微软雅黑" w:cs="微软雅黑"/>
                <w:color w:val="222222"/>
                <w:sz w:val="18"/>
                <w:szCs w:val="18"/>
                <w:shd w:val="clear" w:color="auto" w:fill="FFFFFF"/>
                <w:lang w:val="en-US" w:eastAsia="zh-CN" w:bidi="ar"/>
              </w:rPr>
              <w:t> </w:t>
            </w:r>
            <w:r>
              <w:rPr>
                <w:rFonts w:ascii="微软雅黑" w:hAnsi="微软雅黑" w:eastAsia="微软雅黑" w:cs="微软雅黑"/>
                <w:i/>
                <w:iCs/>
                <w:color w:val="222222"/>
                <w:sz w:val="18"/>
                <w:szCs w:val="18"/>
                <w:shd w:val="clear" w:color="auto" w:fill="FFFFFF"/>
                <w:lang w:val="en-US" w:eastAsia="zh-CN" w:bidi="ar"/>
              </w:rPr>
              <w:t>American Demographics</w:t>
            </w:r>
            <w:r>
              <w:rPr>
                <w:rFonts w:ascii="微软雅黑" w:hAnsi="微软雅黑" w:eastAsia="微软雅黑" w:cs="微软雅黑"/>
                <w:color w:val="222222"/>
                <w:sz w:val="18"/>
                <w:szCs w:val="18"/>
                <w:shd w:val="clear" w:color="auto" w:fill="FFFFFF"/>
                <w:lang w:val="en-US" w:eastAsia="zh-CN" w:bidi="ar"/>
              </w:rPr>
              <w:t>, 26, pp.52-55.</w:t>
            </w:r>
          </w:p>
          <w:p w14:paraId="30DD75F8">
            <w:pPr>
              <w:rPr>
                <w:rFonts w:ascii="微软雅黑" w:hAnsi="微软雅黑" w:eastAsia="微软雅黑" w:cs="微软雅黑"/>
                <w:color w:val="222222"/>
                <w:sz w:val="18"/>
                <w:szCs w:val="18"/>
                <w:shd w:val="clear" w:color="auto" w:fill="FFFFFF"/>
                <w:lang w:val="en-US" w:eastAsia="zh-CN" w:bidi="ar"/>
              </w:rPr>
            </w:pPr>
          </w:p>
          <w:p w14:paraId="1024202D">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Brunner, R.J., Emery, S. and Hall, R.</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2008</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w:t>
            </w:r>
            <w:r>
              <w:rPr>
                <w:rFonts w:ascii="微软雅黑" w:hAnsi="微软雅黑" w:eastAsia="微软雅黑" w:cs="微软雅黑"/>
                <w:color w:val="222222"/>
                <w:sz w:val="18"/>
                <w:szCs w:val="18"/>
                <w:shd w:val="clear" w:color="auto" w:fill="FFFFFF"/>
                <w:lang w:val="en-US" w:eastAsia="zh-CN" w:bidi="ar"/>
              </w:rPr>
              <w:t xml:space="preserve">Do you matter?: </w:t>
            </w:r>
            <w:r>
              <w:rPr>
                <w:rFonts w:ascii="微软雅黑" w:hAnsi="微软雅黑" w:eastAsia="微软雅黑" w:cs="微软雅黑"/>
                <w:i/>
                <w:iCs/>
                <w:color w:val="222222"/>
                <w:sz w:val="18"/>
                <w:szCs w:val="18"/>
                <w:shd w:val="clear" w:color="auto" w:fill="FFFFFF"/>
                <w:lang w:val="en-US" w:eastAsia="zh-CN" w:bidi="ar"/>
              </w:rPr>
              <w:t>how great design will make people love your company.</w:t>
            </w:r>
            <w:r>
              <w:rPr>
                <w:rFonts w:ascii="微软雅黑" w:hAnsi="微软雅黑" w:eastAsia="微软雅黑" w:cs="微软雅黑"/>
                <w:color w:val="222222"/>
                <w:sz w:val="18"/>
                <w:szCs w:val="18"/>
                <w:shd w:val="clear" w:color="auto" w:fill="FFFFFF"/>
                <w:lang w:val="en-US" w:eastAsia="zh-CN" w:bidi="ar"/>
              </w:rPr>
              <w:t xml:space="preserve"> FT Press.</w:t>
            </w:r>
          </w:p>
          <w:p w14:paraId="3C462207">
            <w:pPr>
              <w:rPr>
                <w:rFonts w:ascii="微软雅黑" w:hAnsi="微软雅黑" w:eastAsia="微软雅黑" w:cs="微软雅黑"/>
                <w:color w:val="222222"/>
                <w:sz w:val="18"/>
                <w:szCs w:val="18"/>
                <w:shd w:val="clear" w:color="auto" w:fill="FFFFFF"/>
                <w:lang w:val="en-US" w:eastAsia="zh-CN" w:bidi="ar"/>
              </w:rPr>
            </w:pPr>
          </w:p>
          <w:p w14:paraId="21811292">
            <w:pPr>
              <w:rPr>
                <w:rFonts w:ascii="微软雅黑" w:hAnsi="微软雅黑" w:eastAsia="微软雅黑" w:cs="微软雅黑"/>
                <w:color w:val="222222"/>
                <w:sz w:val="18"/>
                <w:szCs w:val="18"/>
                <w:shd w:val="clear" w:color="auto" w:fill="FFFFFF"/>
                <w:lang w:val="en-US" w:eastAsia="zh-CN" w:bidi="ar"/>
              </w:rPr>
            </w:pPr>
            <w:r>
              <w:rPr>
                <w:rFonts w:ascii="微软雅黑" w:hAnsi="微软雅黑" w:eastAsia="微软雅黑" w:cs="微软雅黑"/>
                <w:color w:val="222222"/>
                <w:sz w:val="18"/>
                <w:szCs w:val="18"/>
                <w:shd w:val="clear" w:color="auto" w:fill="FFFFFF"/>
                <w:lang w:val="en-US" w:eastAsia="zh-CN" w:bidi="ar"/>
              </w:rPr>
              <w:t>Yue T.(2010)</w:t>
            </w:r>
            <w:r>
              <w:rPr>
                <w:rFonts w:hint="eastAsia" w:ascii="微软雅黑" w:hAnsi="微软雅黑" w:eastAsia="微软雅黑" w:cs="微软雅黑"/>
                <w:color w:val="222222"/>
                <w:sz w:val="18"/>
                <w:szCs w:val="18"/>
                <w:shd w:val="clear" w:color="auto" w:fill="FFFFFF"/>
                <w:lang w:val="en-US" w:eastAsia="zh-CN" w:bidi="ar"/>
              </w:rPr>
              <w:t>The trend of enterprise brand visual design</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 xml:space="preserve"> </w:t>
            </w:r>
            <w:r>
              <w:rPr>
                <w:rFonts w:hint="eastAsia" w:ascii="微软雅黑" w:hAnsi="微软雅黑" w:eastAsia="微软雅黑" w:cs="微软雅黑"/>
                <w:i/>
                <w:iCs/>
                <w:color w:val="222222"/>
                <w:sz w:val="18"/>
                <w:szCs w:val="18"/>
                <w:shd w:val="clear" w:color="auto" w:fill="FFFFFF"/>
                <w:lang w:val="en-US" w:eastAsia="zh-CN" w:bidi="ar"/>
              </w:rPr>
              <w:t>Economic management</w:t>
            </w:r>
            <w:r>
              <w:rPr>
                <w:rFonts w:hint="eastAsia" w:ascii="微软雅黑" w:hAnsi="微软雅黑" w:eastAsia="微软雅黑" w:cs="微软雅黑"/>
                <w:color w:val="222222"/>
                <w:sz w:val="18"/>
                <w:szCs w:val="18"/>
                <w:shd w:val="clear" w:color="auto" w:fill="FFFFFF"/>
                <w:lang w:val="en-US" w:eastAsia="zh-CN" w:bidi="ar"/>
              </w:rPr>
              <w:t>，22</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85</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，pp.85</w:t>
            </w:r>
          </w:p>
          <w:p w14:paraId="343D8F13">
            <w:pPr>
              <w:rPr>
                <w:rFonts w:ascii="微软雅黑" w:hAnsi="微软雅黑" w:eastAsia="微软雅黑" w:cs="微软雅黑"/>
                <w:color w:val="222222"/>
                <w:sz w:val="18"/>
                <w:szCs w:val="18"/>
                <w:shd w:val="clear" w:color="auto" w:fill="FFFFFF"/>
                <w:lang w:val="en-US" w:eastAsia="zh-CN" w:bidi="ar"/>
              </w:rPr>
            </w:pPr>
          </w:p>
          <w:p w14:paraId="6D72EFB2">
            <w:pPr>
              <w:rPr>
                <w:rFonts w:ascii="微软雅黑" w:hAnsi="微软雅黑" w:eastAsia="微软雅黑" w:cs="微软雅黑"/>
                <w:color w:val="222222"/>
                <w:sz w:val="18"/>
                <w:szCs w:val="18"/>
                <w:shd w:val="clear" w:color="auto" w:fill="FFFFFF"/>
                <w:lang w:val="en-US" w:eastAsia="zh-CN" w:bidi="ar"/>
              </w:rPr>
            </w:pPr>
            <w:r>
              <w:rPr>
                <w:rFonts w:ascii="微软雅黑" w:hAnsi="微软雅黑" w:eastAsia="微软雅黑" w:cs="微软雅黑"/>
                <w:color w:val="222222"/>
                <w:sz w:val="18"/>
                <w:szCs w:val="18"/>
                <w:shd w:val="clear" w:color="auto" w:fill="FFFFFF"/>
                <w:lang w:val="en-US" w:eastAsia="zh-CN" w:bidi="ar"/>
              </w:rPr>
              <w:t>Handoko, I.(2022)What approach and avoidance factors drive Gen-Z consumers to buy bubble tea? An exploratory study. </w:t>
            </w:r>
            <w:r>
              <w:rPr>
                <w:rFonts w:ascii="微软雅黑" w:hAnsi="微软雅黑" w:eastAsia="微软雅黑" w:cs="微软雅黑"/>
                <w:i/>
                <w:iCs/>
                <w:color w:val="222222"/>
                <w:sz w:val="18"/>
                <w:szCs w:val="18"/>
                <w:shd w:val="clear" w:color="auto" w:fill="FFFFFF"/>
                <w:lang w:val="en-US" w:eastAsia="zh-CN" w:bidi="ar"/>
              </w:rPr>
              <w:t>Young Consumers</w:t>
            </w:r>
            <w:r>
              <w:rPr>
                <w:rFonts w:ascii="微软雅黑" w:hAnsi="微软雅黑" w:eastAsia="微软雅黑" w:cs="微软雅黑"/>
                <w:color w:val="222222"/>
                <w:sz w:val="18"/>
                <w:szCs w:val="18"/>
                <w:shd w:val="clear" w:color="auto" w:fill="FFFFFF"/>
                <w:lang w:val="en-US" w:eastAsia="zh-CN" w:bidi="ar"/>
              </w:rPr>
              <w:t>, 23(3), pp.382-396.</w:t>
            </w:r>
          </w:p>
          <w:p w14:paraId="0EF64574">
            <w:pPr>
              <w:rPr>
                <w:rFonts w:ascii="微软雅黑" w:hAnsi="微软雅黑" w:eastAsia="微软雅黑" w:cs="微软雅黑"/>
                <w:color w:val="222222"/>
                <w:sz w:val="18"/>
                <w:szCs w:val="18"/>
                <w:shd w:val="clear" w:color="auto" w:fill="FFFFFF"/>
                <w:lang w:val="en-US" w:eastAsia="zh-CN" w:bidi="ar"/>
              </w:rPr>
            </w:pPr>
          </w:p>
          <w:p w14:paraId="37E21820">
            <w:pPr>
              <w:rPr>
                <w:rFonts w:ascii="微软雅黑" w:hAnsi="微软雅黑" w:eastAsia="微软雅黑" w:cs="微软雅黑"/>
                <w:color w:val="231F20"/>
                <w:sz w:val="21"/>
                <w:szCs w:val="21"/>
                <w:lang w:val="en-US" w:eastAsia="zh-CN" w:bidi="ar"/>
              </w:rPr>
            </w:pPr>
            <w:r>
              <w:rPr>
                <w:rFonts w:hint="eastAsia" w:ascii="微软雅黑" w:hAnsi="微软雅黑" w:eastAsia="微软雅黑" w:cs="微软雅黑"/>
                <w:color w:val="222222"/>
                <w:sz w:val="18"/>
                <w:szCs w:val="18"/>
                <w:shd w:val="clear" w:color="auto" w:fill="FFFFFF"/>
                <w:lang w:val="en-US" w:eastAsia="zh-CN" w:bidi="ar"/>
              </w:rPr>
              <w:t>Norman, D. A. (2004)Emotional design: Why we love (or hate) everyday things. New York, NY: Basic Books.</w:t>
            </w:r>
          </w:p>
          <w:p w14:paraId="6392E476">
            <w:pPr>
              <w:rPr>
                <w:rFonts w:ascii="微软雅黑" w:hAnsi="微软雅黑" w:eastAsia="微软雅黑" w:cs="微软雅黑"/>
                <w:color w:val="231F20"/>
                <w:sz w:val="21"/>
                <w:szCs w:val="21"/>
                <w:lang w:val="en-US" w:eastAsia="zh-CN" w:bidi="ar"/>
              </w:rPr>
            </w:pPr>
          </w:p>
          <w:p w14:paraId="2FF68325">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 xml:space="preserve">Bloch, P. H., Brunel, F. F., &amp; Arnold, T. J. (2003)Individual differences in the centrality of visual product aesthetics: Concept and measurement. </w:t>
            </w:r>
            <w:r>
              <w:rPr>
                <w:rFonts w:hint="eastAsia" w:ascii="微软雅黑" w:hAnsi="微软雅黑" w:eastAsia="微软雅黑" w:cs="微软雅黑"/>
                <w:i/>
                <w:iCs/>
                <w:color w:val="222222"/>
                <w:sz w:val="18"/>
                <w:szCs w:val="18"/>
                <w:shd w:val="clear" w:color="auto" w:fill="FFFFFF"/>
                <w:lang w:val="en-US" w:eastAsia="zh-CN" w:bidi="ar"/>
              </w:rPr>
              <w:t>Journal of Consumer Research</w:t>
            </w:r>
            <w:r>
              <w:rPr>
                <w:rFonts w:hint="eastAsia" w:ascii="微软雅黑" w:hAnsi="微软雅黑" w:eastAsia="微软雅黑" w:cs="微软雅黑"/>
                <w:color w:val="222222"/>
                <w:sz w:val="18"/>
                <w:szCs w:val="18"/>
                <w:shd w:val="clear" w:color="auto" w:fill="FFFFFF"/>
                <w:lang w:val="en-US" w:eastAsia="zh-CN" w:bidi="ar"/>
              </w:rPr>
              <w:t>, 29(4), 551−565.</w:t>
            </w:r>
          </w:p>
          <w:p w14:paraId="3ABFDF7E">
            <w:pPr>
              <w:rPr>
                <w:rFonts w:ascii="微软雅黑" w:hAnsi="微软雅黑" w:eastAsia="微软雅黑" w:cs="微软雅黑"/>
                <w:color w:val="231F20"/>
                <w:sz w:val="21"/>
                <w:szCs w:val="21"/>
                <w:lang w:val="en-US" w:eastAsia="zh-CN" w:bidi="ar"/>
              </w:rPr>
            </w:pPr>
          </w:p>
          <w:p w14:paraId="61083859">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Toufani, S., Stanton, J.P. and Chikweche, T.</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2017</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 xml:space="preserve"> The importance of aesthetics on customers’ intentions to purchase smartphones.</w:t>
            </w:r>
            <w:r>
              <w:rPr>
                <w:rFonts w:ascii="微软雅黑" w:hAnsi="微软雅黑" w:eastAsia="微软雅黑" w:cs="微软雅黑"/>
                <w:color w:val="222222"/>
                <w:sz w:val="18"/>
                <w:szCs w:val="18"/>
                <w:shd w:val="clear" w:color="auto" w:fill="FFFFFF"/>
                <w:lang w:val="en-US" w:eastAsia="zh-CN" w:bidi="ar"/>
              </w:rPr>
              <w:t> </w:t>
            </w:r>
            <w:r>
              <w:rPr>
                <w:rFonts w:ascii="微软雅黑" w:hAnsi="微软雅黑" w:eastAsia="微软雅黑" w:cs="微软雅黑"/>
                <w:i/>
                <w:iCs/>
                <w:color w:val="222222"/>
                <w:sz w:val="18"/>
                <w:szCs w:val="18"/>
                <w:shd w:val="clear" w:color="auto" w:fill="FFFFFF"/>
                <w:lang w:val="en-US" w:eastAsia="zh-CN" w:bidi="ar"/>
              </w:rPr>
              <w:t>Marketing Intelligence &amp; Planning</w:t>
            </w:r>
            <w:r>
              <w:rPr>
                <w:rFonts w:ascii="微软雅黑" w:hAnsi="微软雅黑" w:eastAsia="微软雅黑" w:cs="微软雅黑"/>
                <w:color w:val="222222"/>
                <w:sz w:val="18"/>
                <w:szCs w:val="18"/>
                <w:shd w:val="clear" w:color="auto" w:fill="FFFFFF"/>
                <w:lang w:val="en-US" w:eastAsia="zh-CN" w:bidi="ar"/>
              </w:rPr>
              <w:t>, 35(3), pp.316-338.</w:t>
            </w:r>
          </w:p>
          <w:p w14:paraId="163E810A">
            <w:pPr>
              <w:rPr>
                <w:rFonts w:ascii="微软雅黑" w:hAnsi="微软雅黑" w:eastAsia="微软雅黑" w:cs="微软雅黑"/>
                <w:color w:val="222222"/>
                <w:sz w:val="18"/>
                <w:szCs w:val="18"/>
                <w:shd w:val="clear" w:color="auto" w:fill="FFFFFF"/>
                <w:lang w:val="en-US" w:eastAsia="zh-CN" w:bidi="ar"/>
              </w:rPr>
            </w:pPr>
          </w:p>
          <w:p w14:paraId="513A6530">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Thompson, C.J.,</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1997</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Interpreting consumers: A hermeneutical framework for deriving marketing insights from the texts of consumers’ consumption stories.</w:t>
            </w:r>
            <w:r>
              <w:rPr>
                <w:rFonts w:ascii="微软雅黑" w:hAnsi="微软雅黑" w:eastAsia="微软雅黑" w:cs="微软雅黑"/>
                <w:color w:val="222222"/>
                <w:sz w:val="18"/>
                <w:szCs w:val="18"/>
                <w:shd w:val="clear" w:color="auto" w:fill="FFFFFF"/>
                <w:lang w:val="en-US" w:eastAsia="zh-CN" w:bidi="ar"/>
              </w:rPr>
              <w:t> </w:t>
            </w:r>
            <w:r>
              <w:rPr>
                <w:rFonts w:ascii="微软雅黑" w:hAnsi="微软雅黑" w:eastAsia="微软雅黑" w:cs="微软雅黑"/>
                <w:i/>
                <w:iCs/>
                <w:color w:val="222222"/>
                <w:sz w:val="18"/>
                <w:szCs w:val="18"/>
                <w:shd w:val="clear" w:color="auto" w:fill="FFFFFF"/>
                <w:lang w:val="en-US" w:eastAsia="zh-CN" w:bidi="ar"/>
              </w:rPr>
              <w:t>Journal of marketing Research</w:t>
            </w:r>
            <w:r>
              <w:rPr>
                <w:rFonts w:ascii="微软雅黑" w:hAnsi="微软雅黑" w:eastAsia="微软雅黑" w:cs="微软雅黑"/>
                <w:color w:val="222222"/>
                <w:sz w:val="18"/>
                <w:szCs w:val="18"/>
                <w:shd w:val="clear" w:color="auto" w:fill="FFFFFF"/>
                <w:lang w:val="en-US" w:eastAsia="zh-CN" w:bidi="ar"/>
              </w:rPr>
              <w:t>, 34(4), pp.438-455.</w:t>
            </w:r>
          </w:p>
          <w:p w14:paraId="4B61C77E">
            <w:pPr>
              <w:rPr>
                <w:rFonts w:ascii="AdvTT6120e2aa" w:hAnsi="AdvTT6120e2aa" w:eastAsia="AdvTT6120e2aa" w:cs="AdvTT6120e2aa"/>
                <w:color w:val="231F20"/>
                <w:sz w:val="15"/>
                <w:szCs w:val="15"/>
                <w:lang w:val="en-US" w:eastAsia="zh-CN" w:bidi="ar"/>
              </w:rPr>
            </w:pPr>
          </w:p>
          <w:p w14:paraId="56FE387B">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 xml:space="preserve">Alase A. The interpretative phenomenological analysis (IPA): A guide to a good qualitative research approach[J]. </w:t>
            </w:r>
            <w:r>
              <w:rPr>
                <w:rFonts w:ascii="微软雅黑" w:hAnsi="微软雅黑" w:eastAsia="微软雅黑" w:cs="微软雅黑"/>
                <w:i/>
                <w:iCs/>
                <w:color w:val="222222"/>
                <w:sz w:val="18"/>
                <w:szCs w:val="18"/>
                <w:shd w:val="clear" w:color="auto" w:fill="FFFFFF"/>
                <w:lang w:val="en-US" w:eastAsia="zh-CN" w:bidi="ar"/>
              </w:rPr>
              <w:t>International journal of education and literacy studies</w:t>
            </w:r>
            <w:r>
              <w:rPr>
                <w:rFonts w:hint="eastAsia" w:ascii="微软雅黑" w:hAnsi="微软雅黑" w:eastAsia="微软雅黑" w:cs="微软雅黑"/>
                <w:color w:val="222222"/>
                <w:sz w:val="18"/>
                <w:szCs w:val="18"/>
                <w:shd w:val="clear" w:color="auto" w:fill="FFFFFF"/>
                <w:lang w:val="en-US" w:eastAsia="zh-CN" w:bidi="ar"/>
              </w:rPr>
              <w:t>, 2017, 5(2): 9-19.</w:t>
            </w:r>
          </w:p>
          <w:p w14:paraId="499AB5D6">
            <w:pPr>
              <w:rPr>
                <w:rFonts w:ascii="微软雅黑" w:hAnsi="微软雅黑" w:eastAsia="微软雅黑" w:cs="微软雅黑"/>
                <w:color w:val="222222"/>
                <w:sz w:val="18"/>
                <w:szCs w:val="18"/>
                <w:shd w:val="clear" w:color="auto" w:fill="FFFFFF"/>
                <w:lang w:val="en-US" w:eastAsia="zh-CN" w:bidi="ar"/>
              </w:rPr>
            </w:pPr>
          </w:p>
          <w:p w14:paraId="162EA23E">
            <w:pPr>
              <w:rPr>
                <w:rFonts w:ascii="微软雅黑" w:hAnsi="微软雅黑" w:eastAsia="微软雅黑" w:cs="微软雅黑"/>
                <w:color w:val="222222"/>
                <w:sz w:val="18"/>
                <w:szCs w:val="18"/>
                <w:shd w:val="clear" w:color="auto" w:fill="FFFFFF"/>
                <w:lang w:val="en-US" w:eastAsia="zh-CN" w:bidi="ar"/>
              </w:rPr>
            </w:pPr>
            <w:r>
              <w:rPr>
                <w:rFonts w:hint="eastAsia" w:ascii="微软雅黑" w:hAnsi="微软雅黑" w:eastAsia="微软雅黑" w:cs="微软雅黑"/>
                <w:color w:val="222222"/>
                <w:sz w:val="18"/>
                <w:szCs w:val="18"/>
                <w:shd w:val="clear" w:color="auto" w:fill="FFFFFF"/>
                <w:lang w:val="en-US" w:eastAsia="zh-CN" w:bidi="ar"/>
              </w:rPr>
              <w:t>Koerich, G.H., Trevisol, N.P. and de Sousa, R.P.L.</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2020</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Luxury and technology: a phenomenological analysis of the Louis Vuitton designer handbags Canvas of the Future.</w:t>
            </w:r>
            <w:r>
              <w:rPr>
                <w:rFonts w:ascii="微软雅黑" w:hAnsi="微软雅黑" w:eastAsia="微软雅黑" w:cs="微软雅黑"/>
                <w:color w:val="222222"/>
                <w:sz w:val="18"/>
                <w:szCs w:val="18"/>
                <w:shd w:val="clear" w:color="auto" w:fill="FFFFFF"/>
                <w:lang w:val="en-US" w:eastAsia="zh-CN" w:bidi="ar"/>
              </w:rPr>
              <w:t> </w:t>
            </w:r>
            <w:r>
              <w:rPr>
                <w:rFonts w:ascii="微软雅黑" w:hAnsi="微软雅黑" w:eastAsia="微软雅黑" w:cs="微软雅黑"/>
                <w:i/>
                <w:iCs/>
                <w:color w:val="222222"/>
                <w:sz w:val="18"/>
                <w:szCs w:val="18"/>
                <w:shd w:val="clear" w:color="auto" w:fill="FFFFFF"/>
                <w:lang w:val="en-US" w:eastAsia="zh-CN" w:bidi="ar"/>
              </w:rPr>
              <w:t>ModaPalavra e-periódico</w:t>
            </w:r>
            <w:r>
              <w:rPr>
                <w:rFonts w:ascii="微软雅黑" w:hAnsi="微软雅黑" w:eastAsia="微软雅黑" w:cs="微软雅黑"/>
                <w:color w:val="222222"/>
                <w:sz w:val="18"/>
                <w:szCs w:val="18"/>
                <w:shd w:val="clear" w:color="auto" w:fill="FFFFFF"/>
                <w:lang w:val="en-US" w:eastAsia="zh-CN" w:bidi="ar"/>
              </w:rPr>
              <w:t>, 13(29), pp.203-228.</w:t>
            </w:r>
          </w:p>
          <w:p w14:paraId="7E29928E">
            <w:pPr>
              <w:rPr>
                <w:rFonts w:ascii="微软雅黑" w:hAnsi="微软雅黑" w:eastAsia="微软雅黑" w:cs="微软雅黑"/>
                <w:color w:val="222222"/>
                <w:sz w:val="18"/>
                <w:szCs w:val="18"/>
                <w:shd w:val="clear" w:color="auto" w:fill="FFFFFF"/>
                <w:lang w:val="en-US" w:eastAsia="zh-CN" w:bidi="ar"/>
              </w:rPr>
            </w:pPr>
          </w:p>
          <w:p w14:paraId="3D207379">
            <w:pPr>
              <w:rPr>
                <w:rFonts w:ascii="AdvTT6120e2aa" w:hAnsi="AdvTT6120e2aa" w:eastAsia="AdvTT6120e2aa" w:cs="AdvTT6120e2aa"/>
                <w:sz w:val="16"/>
                <w:szCs w:val="16"/>
              </w:rPr>
            </w:pPr>
            <w:r>
              <w:rPr>
                <w:rFonts w:hint="eastAsia" w:ascii="微软雅黑" w:hAnsi="微软雅黑" w:eastAsia="微软雅黑" w:cs="微软雅黑"/>
                <w:color w:val="222222"/>
                <w:sz w:val="18"/>
                <w:szCs w:val="18"/>
                <w:shd w:val="clear" w:color="auto" w:fill="FFFFFF"/>
                <w:lang w:val="en-US" w:eastAsia="zh-CN" w:bidi="ar"/>
              </w:rPr>
              <w:t>Alhojailan, M.I.</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2012</w:t>
            </w:r>
            <w:r>
              <w:rPr>
                <w:rFonts w:ascii="微软雅黑" w:hAnsi="微软雅黑" w:eastAsia="微软雅黑" w:cs="微软雅黑"/>
                <w:color w:val="222222"/>
                <w:sz w:val="18"/>
                <w:szCs w:val="18"/>
                <w:shd w:val="clear" w:color="auto" w:fill="FFFFFF"/>
                <w:lang w:val="en-US" w:eastAsia="zh-CN" w:bidi="ar"/>
              </w:rPr>
              <w:t>)</w:t>
            </w:r>
            <w:r>
              <w:rPr>
                <w:rFonts w:hint="eastAsia" w:ascii="微软雅黑" w:hAnsi="微软雅黑" w:eastAsia="微软雅黑" w:cs="微软雅黑"/>
                <w:color w:val="222222"/>
                <w:sz w:val="18"/>
                <w:szCs w:val="18"/>
                <w:shd w:val="clear" w:color="auto" w:fill="FFFFFF"/>
                <w:lang w:val="en-US" w:eastAsia="zh-CN" w:bidi="ar"/>
              </w:rPr>
              <w:t xml:space="preserve">Thematic analysis: a critical review ofits process and evaluation. </w:t>
            </w:r>
            <w:r>
              <w:rPr>
                <w:rFonts w:hint="eastAsia" w:ascii="微软雅黑" w:hAnsi="微软雅黑" w:eastAsia="微软雅黑" w:cs="微软雅黑"/>
                <w:i/>
                <w:iCs/>
                <w:color w:val="222222"/>
                <w:sz w:val="18"/>
                <w:szCs w:val="18"/>
                <w:shd w:val="clear" w:color="auto" w:fill="FFFFFF"/>
                <w:lang w:val="en-US" w:eastAsia="zh-CN" w:bidi="ar"/>
              </w:rPr>
              <w:t>In</w:t>
            </w:r>
            <w:r>
              <w:rPr>
                <w:rFonts w:ascii="微软雅黑" w:hAnsi="微软雅黑" w:eastAsia="微软雅黑" w:cs="微软雅黑"/>
                <w:i/>
                <w:iCs/>
                <w:color w:val="222222"/>
                <w:sz w:val="18"/>
                <w:szCs w:val="18"/>
                <w:shd w:val="clear" w:color="auto" w:fill="FFFFFF"/>
                <w:lang w:val="en-US" w:eastAsia="zh-CN" w:bidi="ar"/>
              </w:rPr>
              <w:t> WEI international European academic conference proceedings</w:t>
            </w:r>
            <w:r>
              <w:rPr>
                <w:rFonts w:ascii="微软雅黑" w:hAnsi="微软雅黑" w:eastAsia="微软雅黑" w:cs="微软雅黑"/>
                <w:color w:val="222222"/>
                <w:sz w:val="18"/>
                <w:szCs w:val="18"/>
                <w:shd w:val="clear" w:color="auto" w:fill="FFFFFF"/>
                <w:lang w:val="en-US" w:eastAsia="zh-CN" w:bidi="ar"/>
              </w:rPr>
              <w:t>, Zagreb, Croatia.</w:t>
            </w:r>
          </w:p>
          <w:p w14:paraId="342849C3">
            <w:pPr>
              <w:rPr>
                <w:rFonts w:ascii="AdvTT6120e2aa" w:hAnsi="AdvTT6120e2aa" w:eastAsia="AdvTT6120e2aa" w:cs="AdvTT6120e2aa"/>
                <w:sz w:val="16"/>
                <w:szCs w:val="16"/>
              </w:rPr>
            </w:pPr>
          </w:p>
          <w:p w14:paraId="0A69BE2E">
            <w:pPr>
              <w:rPr>
                <w:rFonts w:ascii="微软雅黑" w:hAnsi="微软雅黑" w:eastAsia="微软雅黑" w:cs="微软雅黑"/>
                <w:color w:val="222222"/>
                <w:sz w:val="18"/>
                <w:szCs w:val="18"/>
                <w:shd w:val="clear" w:color="auto" w:fill="FFFFFF"/>
                <w:lang w:val="en-US" w:eastAsia="zh-CN" w:bidi="ar"/>
              </w:rPr>
            </w:pPr>
            <w:r>
              <w:rPr>
                <w:rFonts w:ascii="微软雅黑" w:hAnsi="微软雅黑" w:eastAsia="微软雅黑" w:cs="微软雅黑"/>
                <w:color w:val="222222"/>
                <w:sz w:val="18"/>
                <w:szCs w:val="18"/>
                <w:shd w:val="clear" w:color="auto" w:fill="FFFFFF"/>
                <w:lang w:val="en-US" w:eastAsia="zh-CN" w:bidi="ar"/>
              </w:rPr>
              <w:t>Rapport, F.(2005) Hermeneutic phenomenology: the science of interpretation of texts. </w:t>
            </w:r>
            <w:r>
              <w:rPr>
                <w:rFonts w:ascii="微软雅黑" w:hAnsi="微软雅黑" w:eastAsia="微软雅黑" w:cs="微软雅黑"/>
                <w:i/>
                <w:iCs/>
                <w:color w:val="222222"/>
                <w:sz w:val="18"/>
                <w:szCs w:val="18"/>
                <w:shd w:val="clear" w:color="auto" w:fill="FFFFFF"/>
                <w:lang w:val="en-US" w:eastAsia="zh-CN" w:bidi="ar"/>
              </w:rPr>
              <w:t>Qualitative research in health car</w:t>
            </w:r>
            <w:r>
              <w:rPr>
                <w:rFonts w:ascii="微软雅黑" w:hAnsi="微软雅黑" w:eastAsia="微软雅黑" w:cs="微软雅黑"/>
                <w:color w:val="222222"/>
                <w:sz w:val="18"/>
                <w:szCs w:val="18"/>
                <w:shd w:val="clear" w:color="auto" w:fill="FFFFFF"/>
                <w:lang w:val="en-US" w:eastAsia="zh-CN" w:bidi="ar"/>
              </w:rPr>
              <w:t>e, 5, pp.125-146.</w:t>
            </w:r>
          </w:p>
          <w:p w14:paraId="311AC2E5">
            <w:pPr>
              <w:rPr>
                <w:rFonts w:ascii="微软雅黑" w:hAnsi="微软雅黑" w:eastAsia="微软雅黑" w:cs="微软雅黑"/>
                <w:color w:val="222222"/>
                <w:sz w:val="18"/>
                <w:szCs w:val="18"/>
                <w:shd w:val="clear" w:color="auto" w:fill="FFFFFF"/>
                <w:lang w:val="en-US" w:eastAsia="zh-CN" w:bidi="ar"/>
              </w:rPr>
            </w:pPr>
          </w:p>
          <w:p w14:paraId="5AB0092D">
            <w:pPr>
              <w:rPr>
                <w:rFonts w:ascii="微软雅黑" w:hAnsi="微软雅黑" w:eastAsia="微软雅黑" w:cs="微软雅黑"/>
                <w:color w:val="222222"/>
                <w:sz w:val="18"/>
                <w:szCs w:val="18"/>
                <w:shd w:val="clear" w:color="auto" w:fill="FFFFFF"/>
                <w:lang w:val="en-US" w:eastAsia="zh-CN" w:bidi="ar"/>
              </w:rPr>
            </w:pPr>
            <w:r>
              <w:rPr>
                <w:rFonts w:ascii="微软雅黑" w:hAnsi="微软雅黑" w:eastAsia="微软雅黑" w:cs="微软雅黑"/>
                <w:color w:val="222222"/>
                <w:sz w:val="18"/>
                <w:szCs w:val="18"/>
                <w:shd w:val="clear" w:color="auto" w:fill="FFFFFF"/>
                <w:lang w:val="en-US" w:eastAsia="zh-CN" w:bidi="ar"/>
              </w:rPr>
              <w:t>Sharan, B.(2009) </w:t>
            </w:r>
            <w:r>
              <w:rPr>
                <w:rFonts w:ascii="微软雅黑" w:hAnsi="微软雅黑" w:eastAsia="微软雅黑" w:cs="微软雅黑"/>
                <w:i/>
                <w:iCs/>
                <w:color w:val="222222"/>
                <w:sz w:val="18"/>
                <w:szCs w:val="18"/>
                <w:shd w:val="clear" w:color="auto" w:fill="FFFFFF"/>
                <w:lang w:val="en-US" w:eastAsia="zh-CN" w:bidi="ar"/>
              </w:rPr>
              <w:t>Qualitative research: A guide to design and implementation</w:t>
            </w:r>
            <w:r>
              <w:rPr>
                <w:rFonts w:ascii="微软雅黑" w:hAnsi="微软雅黑" w:eastAsia="微软雅黑" w:cs="微软雅黑"/>
                <w:color w:val="222222"/>
                <w:sz w:val="18"/>
                <w:szCs w:val="18"/>
                <w:shd w:val="clear" w:color="auto" w:fill="FFFFFF"/>
                <w:lang w:val="en-US" w:eastAsia="zh-CN" w:bidi="ar"/>
              </w:rPr>
              <w:t>. Wiley.</w:t>
            </w:r>
          </w:p>
          <w:p w14:paraId="47629FFD">
            <w:pPr>
              <w:rPr>
                <w:rFonts w:ascii="微软雅黑" w:hAnsi="微软雅黑" w:eastAsia="微软雅黑" w:cs="微软雅黑"/>
                <w:color w:val="222222"/>
                <w:sz w:val="18"/>
                <w:szCs w:val="18"/>
                <w:shd w:val="clear" w:color="auto" w:fill="FFFFFF"/>
                <w:lang w:val="en-US" w:eastAsia="zh-CN" w:bidi="ar"/>
              </w:rPr>
            </w:pPr>
          </w:p>
          <w:p w14:paraId="4AC94C50">
            <w:r>
              <w:rPr>
                <w:rFonts w:ascii="微软雅黑" w:hAnsi="微软雅黑" w:eastAsia="微软雅黑" w:cs="微软雅黑"/>
                <w:color w:val="222222"/>
                <w:sz w:val="18"/>
                <w:szCs w:val="18"/>
                <w:shd w:val="clear" w:color="auto" w:fill="FFFFFF"/>
                <w:lang w:val="en-US" w:eastAsia="zh-CN" w:bidi="ar"/>
              </w:rPr>
              <w:t>Heidegger, M.(1962)</w:t>
            </w:r>
            <w:r>
              <w:rPr>
                <w:rFonts w:ascii="微软雅黑" w:hAnsi="微软雅黑" w:eastAsia="微软雅黑" w:cs="微软雅黑"/>
                <w:i/>
                <w:iCs/>
                <w:color w:val="222222"/>
                <w:sz w:val="18"/>
                <w:szCs w:val="18"/>
                <w:shd w:val="clear" w:color="auto" w:fill="FFFFFF"/>
                <w:lang w:val="en-US" w:eastAsia="zh-CN" w:bidi="ar"/>
              </w:rPr>
              <w:t>Being and time Harper</w:t>
            </w:r>
            <w:r>
              <w:rPr>
                <w:rFonts w:ascii="微软雅黑" w:hAnsi="微软雅黑" w:eastAsia="微软雅黑" w:cs="微软雅黑"/>
                <w:color w:val="222222"/>
                <w:sz w:val="18"/>
                <w:szCs w:val="18"/>
                <w:shd w:val="clear" w:color="auto" w:fill="FFFFFF"/>
                <w:lang w:val="en-US" w:eastAsia="zh-CN" w:bidi="ar"/>
              </w:rPr>
              <w:t>. New York, p.589.</w:t>
            </w:r>
          </w:p>
          <w:p w14:paraId="18B7218E">
            <w:pPr>
              <w:rPr>
                <w:rFonts w:ascii="微软雅黑" w:hAnsi="微软雅黑" w:eastAsia="微软雅黑" w:cs="微软雅黑"/>
                <w:color w:val="222222"/>
                <w:sz w:val="18"/>
                <w:szCs w:val="18"/>
                <w:shd w:val="clear" w:color="auto" w:fill="FFFFFF"/>
                <w:lang w:val="en-US" w:eastAsia="zh-CN" w:bidi="ar"/>
              </w:rPr>
            </w:pPr>
          </w:p>
          <w:p w14:paraId="73D2DADE">
            <w:pPr>
              <w:rPr>
                <w:rFonts w:ascii="微软雅黑" w:hAnsi="微软雅黑" w:eastAsia="微软雅黑" w:cs="微软雅黑"/>
                <w:color w:val="222222"/>
                <w:sz w:val="18"/>
                <w:szCs w:val="18"/>
                <w:shd w:val="clear" w:color="auto" w:fill="FFFFFF"/>
                <w:lang w:val="en-US" w:eastAsia="zh-CN" w:bidi="ar"/>
              </w:rPr>
            </w:pPr>
            <w:r>
              <w:rPr>
                <w:rFonts w:ascii="微软雅黑" w:hAnsi="微软雅黑" w:eastAsia="微软雅黑" w:cs="微软雅黑"/>
                <w:color w:val="222222"/>
                <w:sz w:val="18"/>
                <w:szCs w:val="18"/>
                <w:shd w:val="clear" w:color="auto" w:fill="FFFFFF"/>
                <w:lang w:val="en-US" w:eastAsia="zh-CN" w:bidi="ar"/>
              </w:rPr>
              <w:t>Pollio, H.R., Henley, T.B. and Thompson, C.J.(1997)</w:t>
            </w:r>
            <w:r>
              <w:rPr>
                <w:rFonts w:ascii="微软雅黑" w:hAnsi="微软雅黑" w:eastAsia="微软雅黑" w:cs="微软雅黑"/>
                <w:i/>
                <w:iCs/>
                <w:color w:val="222222"/>
                <w:sz w:val="18"/>
                <w:szCs w:val="18"/>
                <w:shd w:val="clear" w:color="auto" w:fill="FFFFFF"/>
                <w:lang w:val="en-US" w:eastAsia="zh-CN" w:bidi="ar"/>
              </w:rPr>
              <w:t>The phenomenology of everyday life: Empirical investigations of human experience</w:t>
            </w:r>
            <w:r>
              <w:rPr>
                <w:rFonts w:ascii="微软雅黑" w:hAnsi="微软雅黑" w:eastAsia="微软雅黑" w:cs="微软雅黑"/>
                <w:color w:val="222222"/>
                <w:sz w:val="18"/>
                <w:szCs w:val="18"/>
                <w:shd w:val="clear" w:color="auto" w:fill="FFFFFF"/>
                <w:lang w:val="en-US" w:eastAsia="zh-CN" w:bidi="ar"/>
              </w:rPr>
              <w:t>. Cambridge University Press.</w:t>
            </w:r>
          </w:p>
          <w:p w14:paraId="28767CF5"/>
          <w:p w14:paraId="0F182992">
            <w:pPr>
              <w:pStyle w:val="2"/>
              <w:keepNext w:val="0"/>
              <w:spacing w:before="320" w:after="320"/>
              <w:rPr>
                <w:rFonts w:ascii="Times New Roman" w:hAnsi="Times New Roman" w:eastAsiaTheme="minorEastAsia" w:cstheme="minorBidi"/>
                <w:b w:val="0"/>
                <w:kern w:val="2"/>
                <w:sz w:val="24"/>
                <w:szCs w:val="24"/>
                <w:lang w:val="en-US" w:eastAsia="zh-CN"/>
              </w:rPr>
            </w:pPr>
          </w:p>
          <w:p w14:paraId="50CDA607">
            <w:pPr>
              <w:rPr>
                <w:rFonts w:cs="Arial"/>
                <w:sz w:val="22"/>
                <w:szCs w:val="22"/>
              </w:rPr>
            </w:pPr>
          </w:p>
          <w:p w14:paraId="5D9C9CB8">
            <w:pPr>
              <w:rPr>
                <w:rFonts w:cs="Arial"/>
                <w:sz w:val="22"/>
                <w:szCs w:val="22"/>
              </w:rPr>
            </w:pPr>
          </w:p>
        </w:tc>
      </w:tr>
      <w:tr w14:paraId="45804183">
        <w:trPr>
          <w:trHeight w:val="397" w:hRule="atLeast"/>
        </w:trPr>
        <w:tc>
          <w:tcPr>
            <w:tcW w:w="9781" w:type="dxa"/>
            <w:shd w:val="clear" w:color="auto" w:fill="F1F1F1" w:themeFill="background1" w:themeFillShade="F2"/>
            <w:vAlign w:val="center"/>
          </w:tcPr>
          <w:p w14:paraId="31EEAF29">
            <w:pPr>
              <w:rPr>
                <w:rFonts w:cs="Arial"/>
                <w:sz w:val="22"/>
                <w:szCs w:val="22"/>
              </w:rPr>
            </w:pPr>
            <w:r>
              <w:rPr>
                <w:rFonts w:cs="Arial"/>
                <w:sz w:val="22"/>
                <w:szCs w:val="22"/>
              </w:rPr>
              <w:t>Facilities and resources available for the investigation: please indicate if you expect to need any special resources</w:t>
            </w:r>
          </w:p>
        </w:tc>
      </w:tr>
      <w:tr w14:paraId="44743780">
        <w:trPr>
          <w:trHeight w:val="397" w:hRule="atLeast"/>
        </w:trPr>
        <w:tc>
          <w:tcPr>
            <w:tcW w:w="9781" w:type="dxa"/>
            <w:vAlign w:val="center"/>
          </w:tcPr>
          <w:p w14:paraId="2514E7BA">
            <w:pPr>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In this section you should indicate:</w:t>
            </w:r>
          </w:p>
          <w:p w14:paraId="3EC12A82">
            <w:pPr>
              <w:rPr>
                <w:rFonts w:cs="Arial"/>
                <w:color w:val="808080" w:themeColor="text1" w:themeTint="80"/>
                <w:sz w:val="22"/>
                <w:szCs w:val="22"/>
                <w14:textFill>
                  <w14:solidFill>
                    <w14:schemeClr w14:val="tx1">
                      <w14:lumMod w14:val="50000"/>
                      <w14:lumOff w14:val="50000"/>
                    </w14:schemeClr>
                  </w14:solidFill>
                </w14:textFill>
              </w:rPr>
            </w:pPr>
          </w:p>
          <w:p w14:paraId="74DE3119">
            <w:pPr>
              <w:pStyle w:val="26"/>
              <w:numPr>
                <w:ilvl w:val="0"/>
                <w:numId w:val="5"/>
              </w:numPr>
              <w:autoSpaceDE w:val="0"/>
              <w:autoSpaceDN w:val="0"/>
              <w:adjustRightInd w:val="0"/>
              <w:contextualSpacing/>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What facilities you will need access to including libraries, archives, institutions, specialist IT facilities</w:t>
            </w:r>
          </w:p>
          <w:p w14:paraId="7ADF1441">
            <w:pPr>
              <w:pStyle w:val="26"/>
              <w:numPr>
                <w:ilvl w:val="0"/>
                <w:numId w:val="5"/>
              </w:numPr>
              <w:autoSpaceDE w:val="0"/>
              <w:autoSpaceDN w:val="0"/>
              <w:adjustRightInd w:val="0"/>
              <w:contextualSpacing/>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Whether you have permission to access the facilities and resources</w:t>
            </w:r>
          </w:p>
          <w:p w14:paraId="6EB12A3E">
            <w:pPr>
              <w:pStyle w:val="26"/>
              <w:numPr>
                <w:ilvl w:val="0"/>
                <w:numId w:val="5"/>
              </w:numPr>
              <w:autoSpaceDE w:val="0"/>
              <w:autoSpaceDN w:val="0"/>
              <w:adjustRightInd w:val="0"/>
              <w:contextualSpacing/>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Whether you need to travel to access the facilities and resources – where do you need to go, for how long, and how will this be financed</w:t>
            </w:r>
          </w:p>
          <w:p w14:paraId="0E20D37D">
            <w:pPr>
              <w:pStyle w:val="26"/>
              <w:numPr>
                <w:ilvl w:val="0"/>
                <w:numId w:val="5"/>
              </w:numPr>
              <w:autoSpaceDE w:val="0"/>
              <w:autoSpaceDN w:val="0"/>
              <w:adjustRightInd w:val="0"/>
              <w:contextualSpacing/>
              <w:rPr>
                <w:rFonts w:cs="Arial"/>
                <w:color w:val="808080" w:themeColor="text1" w:themeTint="80"/>
                <w:sz w:val="22"/>
                <w:szCs w:val="22"/>
                <w14:textFill>
                  <w14:solidFill>
                    <w14:schemeClr w14:val="tx1">
                      <w14:lumMod w14:val="50000"/>
                      <w14:lumOff w14:val="50000"/>
                    </w14:schemeClr>
                  </w14:solidFill>
                </w14:textFill>
              </w:rPr>
            </w:pPr>
            <w:r>
              <w:rPr>
                <w:rFonts w:cs="Arial"/>
                <w:color w:val="808080" w:themeColor="text1" w:themeTint="80"/>
                <w:sz w:val="22"/>
                <w:szCs w:val="22"/>
                <w14:textFill>
                  <w14:solidFill>
                    <w14:schemeClr w14:val="tx1">
                      <w14:lumMod w14:val="50000"/>
                      <w14:lumOff w14:val="50000"/>
                    </w14:schemeClr>
                  </w14:solidFill>
                </w14:textFill>
              </w:rPr>
              <w:t>Whether you will be carrying out fieldwork or interviews and whether you have followed the correct protocols, secured permission and ethical clearance.</w:t>
            </w:r>
          </w:p>
          <w:p w14:paraId="28573367">
            <w:pPr>
              <w:rPr>
                <w:rFonts w:cs="Arial"/>
                <w:color w:val="808080" w:themeColor="text1" w:themeTint="80"/>
                <w:sz w:val="22"/>
                <w:szCs w:val="22"/>
                <w14:textFill>
                  <w14:solidFill>
                    <w14:schemeClr w14:val="tx1">
                      <w14:lumMod w14:val="50000"/>
                      <w14:lumOff w14:val="50000"/>
                    </w14:schemeClr>
                  </w14:solidFill>
                </w14:textFill>
              </w:rPr>
            </w:pPr>
          </w:p>
          <w:p w14:paraId="32CE88BE">
            <w:pPr>
              <w:rPr>
                <w:rFonts w:cs="Arial"/>
                <w:color w:val="808080" w:themeColor="text1" w:themeTint="80"/>
                <w:sz w:val="22"/>
                <w:szCs w:val="22"/>
                <w:lang w:eastAsia="zh-CN"/>
                <w14:textFill>
                  <w14:solidFill>
                    <w14:schemeClr w14:val="tx1">
                      <w14:lumMod w14:val="50000"/>
                      <w14:lumOff w14:val="50000"/>
                    </w14:schemeClr>
                  </w14:solidFill>
                </w14:textFill>
              </w:rPr>
            </w:pPr>
            <w:r>
              <w:rPr>
                <w:rFonts w:hint="eastAsia" w:cs="Arial"/>
                <w:color w:val="808080" w:themeColor="text1" w:themeTint="80"/>
                <w:sz w:val="22"/>
                <w:szCs w:val="22"/>
                <w:lang w:eastAsia="zh-CN"/>
                <w14:textFill>
                  <w14:solidFill>
                    <w14:schemeClr w14:val="tx1">
                      <w14:lumMod w14:val="50000"/>
                      <w14:lumOff w14:val="50000"/>
                    </w14:schemeClr>
                  </w14:solidFill>
                </w14:textFill>
              </w:rPr>
              <w:t>在这个部分你应该指出：</w:t>
            </w:r>
          </w:p>
          <w:p w14:paraId="0A7E3610">
            <w:pPr>
              <w:rPr>
                <w:rFonts w:cs="Arial"/>
                <w:color w:val="808080" w:themeColor="text1" w:themeTint="80"/>
                <w:sz w:val="22"/>
                <w:szCs w:val="22"/>
                <w:lang w:eastAsia="zh-CN"/>
                <w14:textFill>
                  <w14:solidFill>
                    <w14:schemeClr w14:val="tx1">
                      <w14:lumMod w14:val="50000"/>
                      <w14:lumOff w14:val="50000"/>
                    </w14:schemeClr>
                  </w14:solidFill>
                </w14:textFill>
              </w:rPr>
            </w:pPr>
          </w:p>
          <w:p w14:paraId="733E5141">
            <w:pPr>
              <w:rPr>
                <w:rFonts w:cs="Arial"/>
                <w:color w:val="808080" w:themeColor="text1" w:themeTint="80"/>
                <w:sz w:val="22"/>
                <w:szCs w:val="22"/>
                <w:lang w:eastAsia="zh-CN"/>
                <w14:textFill>
                  <w14:solidFill>
                    <w14:schemeClr w14:val="tx1">
                      <w14:lumMod w14:val="50000"/>
                      <w14:lumOff w14:val="50000"/>
                    </w14:schemeClr>
                  </w14:solidFill>
                </w14:textFill>
              </w:rPr>
            </w:pPr>
            <w:r>
              <w:rPr>
                <w:rFonts w:hint="eastAsia" w:cs="Arial"/>
                <w:color w:val="808080" w:themeColor="text1" w:themeTint="80"/>
                <w:sz w:val="22"/>
                <w:szCs w:val="22"/>
                <w:lang w:eastAsia="zh-CN"/>
                <w14:textFill>
                  <w14:solidFill>
                    <w14:schemeClr w14:val="tx1">
                      <w14:lumMod w14:val="50000"/>
                      <w14:lumOff w14:val="50000"/>
                    </w14:schemeClr>
                  </w14:solidFill>
                </w14:textFill>
              </w:rPr>
              <w:t>你需要使用哪些设施，包括图书馆、档案馆、机构、专业IT设施</w:t>
            </w:r>
          </w:p>
          <w:p w14:paraId="510E3A66">
            <w:pPr>
              <w:rPr>
                <w:rFonts w:cs="Arial"/>
                <w:color w:val="808080" w:themeColor="text1" w:themeTint="80"/>
                <w:sz w:val="22"/>
                <w:szCs w:val="22"/>
                <w:lang w:eastAsia="zh-CN"/>
                <w14:textFill>
                  <w14:solidFill>
                    <w14:schemeClr w14:val="tx1">
                      <w14:lumMod w14:val="50000"/>
                      <w14:lumOff w14:val="50000"/>
                    </w14:schemeClr>
                  </w14:solidFill>
                </w14:textFill>
              </w:rPr>
            </w:pPr>
            <w:r>
              <w:rPr>
                <w:rFonts w:hint="eastAsia" w:cs="Arial"/>
                <w:color w:val="808080" w:themeColor="text1" w:themeTint="80"/>
                <w:sz w:val="22"/>
                <w:szCs w:val="22"/>
                <w:lang w:eastAsia="zh-CN"/>
                <w14:textFill>
                  <w14:solidFill>
                    <w14:schemeClr w14:val="tx1">
                      <w14:lumMod w14:val="50000"/>
                      <w14:lumOff w14:val="50000"/>
                    </w14:schemeClr>
                  </w14:solidFill>
                </w14:textFill>
              </w:rPr>
              <w:t>•您是否有访问设施和资源的权限</w:t>
            </w:r>
          </w:p>
          <w:p w14:paraId="68F3E66F">
            <w:pPr>
              <w:rPr>
                <w:rFonts w:cs="Arial"/>
                <w:color w:val="808080" w:themeColor="text1" w:themeTint="80"/>
                <w:sz w:val="22"/>
                <w:szCs w:val="22"/>
                <w:lang w:eastAsia="zh-CN"/>
                <w14:textFill>
                  <w14:solidFill>
                    <w14:schemeClr w14:val="tx1">
                      <w14:lumMod w14:val="50000"/>
                      <w14:lumOff w14:val="50000"/>
                    </w14:schemeClr>
                  </w14:solidFill>
                </w14:textFill>
              </w:rPr>
            </w:pPr>
            <w:r>
              <w:rPr>
                <w:rFonts w:hint="eastAsia" w:cs="Arial"/>
                <w:color w:val="808080" w:themeColor="text1" w:themeTint="80"/>
                <w:sz w:val="22"/>
                <w:szCs w:val="22"/>
                <w:lang w:eastAsia="zh-CN"/>
                <w14:textFill>
                  <w14:solidFill>
                    <w14:schemeClr w14:val="tx1">
                      <w14:lumMod w14:val="50000"/>
                      <w14:lumOff w14:val="50000"/>
                    </w14:schemeClr>
                  </w14:solidFill>
                </w14:textFill>
              </w:rPr>
              <w:t>•你是否需要出差去获得设施和资源——你需要去哪里，待多久，以及如何提供资金</w:t>
            </w:r>
          </w:p>
          <w:p w14:paraId="58084D0B">
            <w:pPr>
              <w:rPr>
                <w:rFonts w:hint="eastAsia" w:cs="Arial"/>
                <w:color w:val="808080" w:themeColor="text1" w:themeTint="80"/>
                <w:sz w:val="22"/>
                <w:szCs w:val="22"/>
                <w:lang w:eastAsia="zh-CN"/>
                <w14:textFill>
                  <w14:solidFill>
                    <w14:schemeClr w14:val="tx1">
                      <w14:lumMod w14:val="50000"/>
                      <w14:lumOff w14:val="50000"/>
                    </w14:schemeClr>
                  </w14:solidFill>
                </w14:textFill>
              </w:rPr>
            </w:pPr>
            <w:r>
              <w:rPr>
                <w:rFonts w:hint="eastAsia" w:cs="Arial"/>
                <w:color w:val="808080" w:themeColor="text1" w:themeTint="80"/>
                <w:sz w:val="22"/>
                <w:szCs w:val="22"/>
                <w:lang w:eastAsia="zh-CN"/>
                <w14:textFill>
                  <w14:solidFill>
                    <w14:schemeClr w14:val="tx1">
                      <w14:lumMod w14:val="50000"/>
                      <w14:lumOff w14:val="50000"/>
                    </w14:schemeClr>
                  </w14:solidFill>
                </w14:textFill>
              </w:rPr>
              <w:t>•您是否将进行实地调查或访谈，以及您是否遵循了正确的规程，获得了许可和道德许可。</w:t>
            </w:r>
          </w:p>
          <w:p w14:paraId="09FE93DB">
            <w:pPr>
              <w:rPr>
                <w:rFonts w:hint="eastAsia" w:cs="Arial"/>
                <w:sz w:val="22"/>
                <w:szCs w:val="22"/>
                <w:lang w:eastAsia="zh-CN"/>
              </w:rPr>
            </w:pPr>
          </w:p>
          <w:p w14:paraId="4A8A2E86">
            <w:pPr>
              <w:rPr>
                <w:rFonts w:hint="default" w:cs="Arial"/>
                <w:sz w:val="22"/>
                <w:szCs w:val="22"/>
                <w:lang w:val="en-US" w:eastAsia="zh-CN"/>
              </w:rPr>
            </w:pPr>
            <w:r>
              <w:rPr>
                <w:rFonts w:hint="eastAsia" w:cs="Arial"/>
                <w:sz w:val="22"/>
                <w:szCs w:val="22"/>
                <w:lang w:eastAsia="zh-CN"/>
              </w:rPr>
              <w:t>I need to use UWTSD's online and offline libraries</w:t>
            </w:r>
            <w:r>
              <w:rPr>
                <w:rFonts w:hint="eastAsia" w:cs="Arial"/>
                <w:sz w:val="22"/>
                <w:szCs w:val="22"/>
                <w:lang w:val="en-US" w:eastAsia="zh-CN"/>
              </w:rPr>
              <w:t xml:space="preserve"> in</w:t>
            </w:r>
            <w:r>
              <w:rPr>
                <w:rFonts w:hint="default" w:cs="Arial"/>
                <w:sz w:val="22"/>
                <w:szCs w:val="22"/>
                <w:lang w:val="en-US" w:eastAsia="zh-CN"/>
              </w:rPr>
              <w:t xml:space="preserve"> the UK</w:t>
            </w:r>
            <w:r>
              <w:rPr>
                <w:rFonts w:hint="eastAsia" w:cs="Arial"/>
                <w:sz w:val="22"/>
                <w:szCs w:val="22"/>
                <w:lang w:eastAsia="zh-CN"/>
              </w:rPr>
              <w:t xml:space="preserve">. </w:t>
            </w:r>
            <w:r>
              <w:rPr>
                <w:rFonts w:hint="default" w:cs="Arial"/>
                <w:sz w:val="22"/>
                <w:szCs w:val="22"/>
                <w:lang w:val="en-US" w:eastAsia="zh-CN"/>
              </w:rPr>
              <w:t>I also need Chinese library resource ,</w:t>
            </w:r>
            <w:r>
              <w:rPr>
                <w:rFonts w:hint="eastAsia" w:cs="Arial"/>
                <w:sz w:val="22"/>
                <w:szCs w:val="22"/>
                <w:lang w:eastAsia="zh-CN"/>
              </w:rPr>
              <w:t>Hubei Library, located in Wuhan, Hubei Province</w:t>
            </w:r>
            <w:r>
              <w:rPr>
                <w:rFonts w:hint="default" w:cs="Arial"/>
                <w:sz w:val="22"/>
                <w:szCs w:val="22"/>
                <w:lang w:val="en-US" w:eastAsia="zh-CN"/>
              </w:rPr>
              <w:t>. And online platform,</w:t>
            </w:r>
            <w:r>
              <w:rPr>
                <w:rFonts w:hint="eastAsia" w:cs="Arial"/>
                <w:sz w:val="22"/>
                <w:szCs w:val="22"/>
                <w:lang w:val="en-US" w:eastAsia="zh-CN"/>
              </w:rPr>
              <w:t>China National Knowledge Infrastructure，CNK</w:t>
            </w:r>
            <w:r>
              <w:rPr>
                <w:rFonts w:hint="default" w:cs="Arial"/>
                <w:sz w:val="22"/>
                <w:szCs w:val="22"/>
                <w:lang w:val="en-US" w:eastAsia="zh-CN"/>
              </w:rPr>
              <w:t>I.These libraries are open to the public</w:t>
            </w:r>
            <w:r>
              <w:rPr>
                <w:rFonts w:hint="eastAsia" w:cs="Arial"/>
                <w:sz w:val="22"/>
                <w:szCs w:val="22"/>
                <w:lang w:val="en-US" w:eastAsia="zh-CN"/>
              </w:rPr>
              <w:t xml:space="preserve"> and</w:t>
            </w:r>
            <w:r>
              <w:rPr>
                <w:rFonts w:hint="default" w:cs="Arial"/>
                <w:sz w:val="22"/>
                <w:szCs w:val="22"/>
                <w:lang w:val="en-US" w:eastAsia="zh-CN"/>
              </w:rPr>
              <w:t xml:space="preserve"> students.</w:t>
            </w:r>
          </w:p>
          <w:p w14:paraId="6F751C33">
            <w:pPr>
              <w:rPr>
                <w:rFonts w:hint="default" w:cs="Arial"/>
                <w:sz w:val="22"/>
                <w:szCs w:val="22"/>
                <w:lang w:val="en-US" w:eastAsia="zh-CN"/>
              </w:rPr>
            </w:pPr>
          </w:p>
          <w:p w14:paraId="4C8B345D">
            <w:pPr>
              <w:rPr>
                <w:rFonts w:hint="eastAsia" w:cs="Arial"/>
                <w:sz w:val="22"/>
                <w:szCs w:val="22"/>
                <w:lang w:eastAsia="zh-CN"/>
              </w:rPr>
            </w:pPr>
            <w:r>
              <w:rPr>
                <w:rFonts w:hint="eastAsia" w:cs="Arial"/>
                <w:sz w:val="22"/>
                <w:szCs w:val="22"/>
                <w:lang w:eastAsia="zh-CN"/>
              </w:rPr>
              <w:t xml:space="preserve">I need to go on a business trip to the </w:t>
            </w:r>
            <w:r>
              <w:rPr>
                <w:rFonts w:hint="eastAsia" w:cs="Arial"/>
                <w:sz w:val="22"/>
                <w:szCs w:val="22"/>
                <w:lang w:val="en-US" w:eastAsia="zh-CN"/>
              </w:rPr>
              <w:t>bubble</w:t>
            </w:r>
            <w:r>
              <w:rPr>
                <w:rFonts w:hint="eastAsia" w:cs="Arial"/>
                <w:sz w:val="22"/>
                <w:szCs w:val="22"/>
                <w:lang w:eastAsia="zh-CN"/>
              </w:rPr>
              <w:t xml:space="preserve"> tea brand stores in Wuhan and even all over China to obtain the research materials. Within three months, I have obtained the approval of the school and completed the research within the limited time, at my own expense.</w:t>
            </w:r>
          </w:p>
          <w:p w14:paraId="7D7EBEC2">
            <w:pPr>
              <w:rPr>
                <w:rFonts w:hint="eastAsia" w:cs="Arial"/>
                <w:sz w:val="22"/>
                <w:szCs w:val="22"/>
                <w:lang w:eastAsia="zh-CN"/>
              </w:rPr>
            </w:pPr>
          </w:p>
          <w:p w14:paraId="41FE80D5">
            <w:pPr>
              <w:keepNext w:val="0"/>
              <w:keepLines w:val="0"/>
              <w:widowControl/>
              <w:suppressLineNumbers w:val="0"/>
              <w:jc w:val="left"/>
              <w:rPr>
                <w:rFonts w:hint="default" w:cs="Arial"/>
                <w:sz w:val="22"/>
                <w:szCs w:val="22"/>
                <w:lang w:val="en-US" w:eastAsia="zh-CN"/>
              </w:rPr>
            </w:pPr>
            <w:r>
              <w:rPr>
                <w:rFonts w:hint="eastAsia" w:cs="Arial"/>
                <w:sz w:val="22"/>
                <w:szCs w:val="22"/>
                <w:lang w:val="en-US" w:eastAsia="zh-CN"/>
              </w:rPr>
              <w:t>I will</w:t>
            </w:r>
            <w:r>
              <w:rPr>
                <w:rFonts w:hint="default" w:cs="Arial"/>
                <w:sz w:val="22"/>
                <w:szCs w:val="22"/>
                <w:lang w:val="en-US" w:eastAsia="zh-CN"/>
              </w:rPr>
              <w:t xml:space="preserve"> conduct the field trip and interview and follow the Research Ethics &amp;Integrity Code of Practice.Research conducted in China is subject to local laws, such as the Data Security Law of the People's Republic of China, and the ethical standards expected by UWTSD also apply to my research conducted abroad. During the interview, UWTSD's consent is required first and comply with the formal procedures. Before the interview, the interviewees will be asked to sign the consent form, and the privacy of the interviewees will be protected. Anonymous and serial numbers will be used instead of real names.</w:t>
            </w:r>
          </w:p>
          <w:p w14:paraId="7D025AE5">
            <w:pPr>
              <w:rPr>
                <w:rFonts w:cs="Arial"/>
                <w:color w:val="4F81BD" w:themeColor="accent1"/>
                <w:sz w:val="22"/>
                <w:szCs w:val="22"/>
                <w:lang w:val="en-US"/>
                <w14:textFill>
                  <w14:solidFill>
                    <w14:schemeClr w14:val="accent1"/>
                  </w14:solidFill>
                </w14:textFill>
              </w:rPr>
            </w:pPr>
          </w:p>
        </w:tc>
      </w:tr>
    </w:tbl>
    <w:p w14:paraId="36387964">
      <w:pPr>
        <w:rPr>
          <w:rFonts w:cs="Arial"/>
          <w:sz w:val="22"/>
          <w:szCs w:val="22"/>
        </w:rPr>
      </w:pPr>
    </w:p>
    <w:p w14:paraId="65482FA4">
      <w:pPr>
        <w:rPr>
          <w:rFonts w:cs="Arial"/>
          <w:sz w:val="22"/>
          <w:szCs w:val="22"/>
        </w:rPr>
      </w:pPr>
    </w:p>
    <w:p w14:paraId="74556970">
      <w:pPr>
        <w:rPr>
          <w:rFonts w:cs="Arial"/>
          <w:sz w:val="22"/>
          <w:szCs w:val="22"/>
        </w:rPr>
      </w:pPr>
    </w:p>
    <w:p w14:paraId="40B5D148">
      <w:pPr>
        <w:rPr>
          <w:rFonts w:cs="Arial"/>
          <w:b/>
          <w:sz w:val="22"/>
          <w:szCs w:val="22"/>
        </w:rPr>
      </w:pPr>
      <w:r>
        <w:rPr>
          <w:rFonts w:cs="Arial"/>
          <w:b/>
          <w:sz w:val="22"/>
          <w:szCs w:val="22"/>
        </w:rPr>
        <w:t>Intellectual Property IP</w:t>
      </w:r>
    </w:p>
    <w:p w14:paraId="3B5F5212">
      <w:pPr>
        <w:rPr>
          <w:rFonts w:cs="Arial"/>
          <w:b/>
          <w:sz w:val="22"/>
          <w:szCs w:val="22"/>
        </w:rPr>
      </w:pPr>
      <w:r>
        <w:rPr>
          <w:sz w:val="22"/>
        </w:rPr>
        <w:t>It is anticipated that Intellectual Property (IP) will be produced as a result of this research.</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6"/>
        <w:gridCol w:w="1418"/>
        <w:gridCol w:w="1417"/>
      </w:tblGrid>
      <w:tr w14:paraId="61669833">
        <w:trPr>
          <w:trHeight w:val="427" w:hRule="atLeast"/>
        </w:trPr>
        <w:tc>
          <w:tcPr>
            <w:tcW w:w="9781" w:type="dxa"/>
            <w:gridSpan w:val="3"/>
            <w:tcBorders>
              <w:top w:val="nil"/>
              <w:left w:val="nil"/>
              <w:bottom w:val="nil"/>
              <w:right w:val="nil"/>
            </w:tcBorders>
            <w:shd w:val="clear" w:color="auto" w:fill="auto"/>
          </w:tcPr>
          <w:p w14:paraId="11EDA9D9">
            <w:pPr>
              <w:jc w:val="right"/>
              <w:rPr>
                <w:rFonts w:cs="Arial"/>
                <w:b/>
              </w:rPr>
            </w:pPr>
            <w:r>
              <w:rPr>
                <w:rFonts w:cs="Arial"/>
                <w:b/>
              </w:rPr>
              <w:t xml:space="preserve">Tick </w:t>
            </w:r>
            <w:r>
              <w:rPr>
                <w:rFonts w:ascii="Agency FB" w:hAnsi="Agency FB" w:cs="Arial"/>
                <w:b/>
              </w:rPr>
              <w:t>√</w:t>
            </w:r>
          </w:p>
        </w:tc>
      </w:tr>
      <w:tr w14:paraId="308A3CEE">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493E18F9">
            <w:pPr>
              <w:rPr>
                <w:rFonts w:cs="Arial"/>
                <w:sz w:val="22"/>
                <w:szCs w:val="22"/>
              </w:rPr>
            </w:pPr>
          </w:p>
        </w:tc>
        <w:tc>
          <w:tcPr>
            <w:tcW w:w="1418" w:type="dxa"/>
            <w:tcBorders>
              <w:top w:val="single" w:color="auto" w:sz="4" w:space="0"/>
              <w:left w:val="single" w:color="auto" w:sz="4" w:space="0"/>
            </w:tcBorders>
            <w:shd w:val="clear" w:color="auto" w:fill="F1F1F1" w:themeFill="background1" w:themeFillShade="F2"/>
          </w:tcPr>
          <w:p w14:paraId="2356A1EC">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48921484">
            <w:pPr>
              <w:rPr>
                <w:rFonts w:cs="Arial"/>
                <w:sz w:val="22"/>
                <w:szCs w:val="22"/>
              </w:rPr>
            </w:pPr>
            <w:r>
              <w:rPr>
                <w:rFonts w:cs="Arial"/>
                <w:sz w:val="22"/>
                <w:szCs w:val="22"/>
              </w:rPr>
              <w:t>NO</w:t>
            </w:r>
          </w:p>
        </w:tc>
      </w:tr>
      <w:tr w14:paraId="665AF30F">
        <w:trPr>
          <w:trHeight w:val="427" w:hRule="atLeast"/>
        </w:trPr>
        <w:tc>
          <w:tcPr>
            <w:tcW w:w="6946" w:type="dxa"/>
            <w:tcBorders>
              <w:top w:val="single" w:color="auto" w:sz="4" w:space="0"/>
            </w:tcBorders>
            <w:shd w:val="clear" w:color="auto" w:fill="F1F1F1" w:themeFill="background1" w:themeFillShade="F2"/>
          </w:tcPr>
          <w:p w14:paraId="4D46B317">
            <w:pPr>
              <w:rPr>
                <w:rFonts w:cs="Arial"/>
                <w:sz w:val="22"/>
                <w:szCs w:val="22"/>
              </w:rPr>
            </w:pPr>
            <w:r>
              <w:rPr>
                <w:sz w:val="22"/>
              </w:rPr>
              <w:t>Is the IP already subject to a separate agreement with a third party (e.g. employer, sponsor or external funder)? If so please provide details below</w:t>
            </w:r>
          </w:p>
        </w:tc>
        <w:sdt>
          <w:sdtPr>
            <w:rPr>
              <w:rFonts w:cs="Arial"/>
              <w:sz w:val="22"/>
              <w:szCs w:val="22"/>
            </w:rPr>
            <w:id w:val="1557745169"/>
            <w14:checkbox>
              <w14:checked w14:val="0"/>
              <w14:checkedState w14:val="2612" w14:font="MS Gothic"/>
              <w14:uncheckedState w14:val="2610" w14:font="MS Gothic"/>
            </w14:checkbox>
          </w:sdtPr>
          <w:sdtEndPr>
            <w:rPr>
              <w:rFonts w:cs="Arial"/>
              <w:sz w:val="22"/>
              <w:szCs w:val="22"/>
            </w:rPr>
          </w:sdtEndPr>
          <w:sdtContent>
            <w:tc>
              <w:tcPr>
                <w:tcW w:w="1418" w:type="dxa"/>
                <w:tcBorders>
                  <w:top w:val="single" w:color="auto" w:sz="4" w:space="0"/>
                </w:tcBorders>
                <w:shd w:val="clear" w:color="auto" w:fill="auto"/>
              </w:tcPr>
              <w:p w14:paraId="42388DBE">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EndPr>
            <w:rPr>
              <w:rFonts w:cs="Arial"/>
              <w:sz w:val="22"/>
              <w:szCs w:val="22"/>
            </w:rPr>
          </w:sdtEndPr>
          <w:sdtContent>
            <w:tc>
              <w:tcPr>
                <w:tcW w:w="1417" w:type="dxa"/>
                <w:tcBorders>
                  <w:top w:val="single" w:color="auto" w:sz="4" w:space="0"/>
                </w:tcBorders>
                <w:shd w:val="clear" w:color="auto" w:fill="auto"/>
              </w:tcPr>
              <w:p w14:paraId="7D2DC9BB">
                <w:pPr>
                  <w:jc w:val="center"/>
                  <w:rPr>
                    <w:rFonts w:cs="Arial"/>
                    <w:sz w:val="22"/>
                    <w:szCs w:val="22"/>
                  </w:rPr>
                </w:pPr>
                <w:r>
                  <w:rPr>
                    <w:rFonts w:ascii="MS Gothic" w:hAnsi="MS Gothic" w:eastAsia="MS Gothic" w:cs="Arial"/>
                    <w:sz w:val="22"/>
                    <w:szCs w:val="22"/>
                  </w:rPr>
                  <w:t>☒</w:t>
                </w:r>
              </w:p>
            </w:tc>
          </w:sdtContent>
        </w:sdt>
      </w:tr>
      <w:tr w14:paraId="3055AD7E">
        <w:trPr>
          <w:trHeight w:val="572" w:hRule="atLeast"/>
        </w:trPr>
        <w:tc>
          <w:tcPr>
            <w:tcW w:w="6946" w:type="dxa"/>
            <w:shd w:val="clear" w:color="auto" w:fill="F1F1F1" w:themeFill="background1" w:themeFillShade="F2"/>
          </w:tcPr>
          <w:p w14:paraId="0EAECE56">
            <w:pPr>
              <w:rPr>
                <w:sz w:val="22"/>
              </w:rPr>
            </w:pPr>
            <w:r>
              <w:rPr>
                <w:sz w:val="22"/>
              </w:rPr>
              <w:t xml:space="preserve">Is the research dependent upon background IP owned by: </w:t>
            </w:r>
          </w:p>
          <w:p w14:paraId="38BDDBD9">
            <w:pPr>
              <w:rPr>
                <w:rFonts w:cs="Arial"/>
                <w:sz w:val="22"/>
                <w:szCs w:val="22"/>
              </w:rPr>
            </w:pPr>
            <w:r>
              <w:rPr>
                <w:sz w:val="22"/>
              </w:rPr>
              <w:t>If so, please provide details below</w:t>
            </w:r>
          </w:p>
        </w:tc>
        <w:tc>
          <w:tcPr>
            <w:tcW w:w="1418" w:type="dxa"/>
            <w:shd w:val="clear" w:color="auto" w:fill="auto"/>
          </w:tcPr>
          <w:p w14:paraId="79002751">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EndPr>
              <w:rPr>
                <w:rFonts w:cs="Arial"/>
                <w:sz w:val="22"/>
                <w:szCs w:val="22"/>
              </w:rPr>
            </w:sdtEndPr>
            <w:sdtContent>
              <w:p w14:paraId="2B72EB59">
                <w:pPr>
                  <w:jc w:val="center"/>
                  <w:rPr>
                    <w:rFonts w:cs="Arial"/>
                    <w:sz w:val="22"/>
                    <w:szCs w:val="22"/>
                  </w:rPr>
                </w:pPr>
                <w:r>
                  <w:rPr>
                    <w:rFonts w:ascii="MS Gothic" w:hAnsi="MS Gothic" w:eastAsia="MS Gothic" w:cs="Arial"/>
                    <w:sz w:val="22"/>
                    <w:szCs w:val="22"/>
                  </w:rPr>
                  <w:t>☐</w:t>
                </w:r>
              </w:p>
            </w:sdtContent>
          </w:sdt>
        </w:tc>
        <w:tc>
          <w:tcPr>
            <w:tcW w:w="1417" w:type="dxa"/>
            <w:shd w:val="clear" w:color="auto" w:fill="auto"/>
          </w:tcPr>
          <w:p w14:paraId="678B6EA1">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rPr>
                <w:rFonts w:cs="Arial"/>
                <w:sz w:val="22"/>
                <w:szCs w:val="22"/>
              </w:rPr>
            </w:sdtEndPr>
            <w:sdtContent>
              <w:p w14:paraId="57ACBF10">
                <w:pPr>
                  <w:jc w:val="center"/>
                  <w:rPr>
                    <w:rFonts w:cs="Arial"/>
                    <w:sz w:val="22"/>
                    <w:szCs w:val="22"/>
                  </w:rPr>
                </w:pPr>
                <w:r>
                  <w:rPr>
                    <w:rFonts w:ascii="MS Gothic" w:hAnsi="MS Gothic" w:eastAsia="MS Gothic" w:cs="Arial"/>
                    <w:sz w:val="22"/>
                    <w:szCs w:val="22"/>
                  </w:rPr>
                  <w:t>☐</w:t>
                </w:r>
              </w:p>
            </w:sdtContent>
          </w:sdt>
        </w:tc>
      </w:tr>
      <w:tr w14:paraId="5CD8CC95">
        <w:trPr>
          <w:trHeight w:val="572" w:hRule="atLeast"/>
        </w:trPr>
        <w:tc>
          <w:tcPr>
            <w:tcW w:w="9781" w:type="dxa"/>
            <w:gridSpan w:val="3"/>
            <w:shd w:val="clear" w:color="auto" w:fill="auto"/>
          </w:tcPr>
          <w:p w14:paraId="3AC3D3E1">
            <w:pPr>
              <w:rPr>
                <w:i/>
                <w:sz w:val="18"/>
                <w:szCs w:val="18"/>
              </w:rPr>
            </w:pPr>
            <w:r>
              <w:rPr>
                <w:i/>
                <w:sz w:val="18"/>
                <w:szCs w:val="18"/>
              </w:rPr>
              <w:t>Text box will expand</w:t>
            </w:r>
          </w:p>
          <w:p w14:paraId="1D6E2014">
            <w:pPr>
              <w:rPr>
                <w:sz w:val="18"/>
                <w:szCs w:val="18"/>
              </w:rPr>
            </w:pPr>
          </w:p>
          <w:p w14:paraId="328E77C7">
            <w:pPr>
              <w:rPr>
                <w:sz w:val="18"/>
                <w:szCs w:val="18"/>
              </w:rPr>
            </w:pPr>
          </w:p>
          <w:p w14:paraId="54F128DE">
            <w:pPr>
              <w:rPr>
                <w:sz w:val="18"/>
                <w:szCs w:val="18"/>
              </w:rPr>
            </w:pPr>
          </w:p>
        </w:tc>
      </w:tr>
      <w:tr w14:paraId="5BAEC93E">
        <w:trPr>
          <w:trHeight w:val="427" w:hRule="atLeast"/>
        </w:trPr>
        <w:tc>
          <w:tcPr>
            <w:tcW w:w="9781" w:type="dxa"/>
            <w:gridSpan w:val="3"/>
            <w:tcBorders>
              <w:top w:val="nil"/>
              <w:left w:val="nil"/>
              <w:bottom w:val="nil"/>
              <w:right w:val="nil"/>
            </w:tcBorders>
            <w:shd w:val="clear" w:color="auto" w:fill="auto"/>
          </w:tcPr>
          <w:p w14:paraId="097B21D0">
            <w:pPr>
              <w:jc w:val="right"/>
              <w:rPr>
                <w:rFonts w:cs="Arial"/>
                <w:b/>
              </w:rPr>
            </w:pPr>
            <w:r>
              <w:rPr>
                <w:rFonts w:cs="Arial"/>
                <w:b/>
              </w:rPr>
              <w:t xml:space="preserve">Tick </w:t>
            </w:r>
            <w:r>
              <w:rPr>
                <w:rFonts w:ascii="Agency FB" w:hAnsi="Agency FB" w:cs="Arial"/>
                <w:b/>
              </w:rPr>
              <w:t>√</w:t>
            </w:r>
          </w:p>
        </w:tc>
      </w:tr>
      <w:tr w14:paraId="7B2D9A9D">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1725B97B">
            <w:pPr>
              <w:rPr>
                <w:rFonts w:cs="Arial"/>
                <w:sz w:val="22"/>
                <w:szCs w:val="22"/>
              </w:rPr>
            </w:pPr>
            <w:r>
              <w:rPr>
                <w:rFonts w:cs="Arial"/>
                <w:sz w:val="22"/>
                <w:szCs w:val="22"/>
              </w:rPr>
              <w:t>I understand that:</w:t>
            </w:r>
          </w:p>
        </w:tc>
        <w:tc>
          <w:tcPr>
            <w:tcW w:w="1418" w:type="dxa"/>
            <w:tcBorders>
              <w:top w:val="single" w:color="auto" w:sz="4" w:space="0"/>
              <w:left w:val="single" w:color="auto" w:sz="4" w:space="0"/>
            </w:tcBorders>
            <w:shd w:val="clear" w:color="auto" w:fill="F1F1F1" w:themeFill="background1" w:themeFillShade="F2"/>
          </w:tcPr>
          <w:p w14:paraId="5D36F9DD">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41A054B3">
            <w:pPr>
              <w:rPr>
                <w:rFonts w:cs="Arial"/>
                <w:sz w:val="22"/>
                <w:szCs w:val="22"/>
              </w:rPr>
            </w:pPr>
            <w:r>
              <w:rPr>
                <w:rFonts w:cs="Arial"/>
                <w:sz w:val="22"/>
                <w:szCs w:val="22"/>
              </w:rPr>
              <w:t>NO</w:t>
            </w:r>
          </w:p>
        </w:tc>
      </w:tr>
      <w:tr w14:paraId="604C41A0">
        <w:trPr>
          <w:trHeight w:val="399" w:hRule="atLeast"/>
        </w:trPr>
        <w:tc>
          <w:tcPr>
            <w:tcW w:w="6946" w:type="dxa"/>
            <w:shd w:val="clear" w:color="auto" w:fill="F1F1F1" w:themeFill="background1" w:themeFillShade="F2"/>
          </w:tcPr>
          <w:p w14:paraId="5F6C6410">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48B22279">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rPr>
              <w:rFonts w:cs="Arial"/>
              <w:sz w:val="22"/>
              <w:szCs w:val="22"/>
            </w:rPr>
          </w:sdtEndPr>
          <w:sdtContent>
            <w:tc>
              <w:tcPr>
                <w:tcW w:w="1418" w:type="dxa"/>
                <w:shd w:val="clear" w:color="auto" w:fill="auto"/>
              </w:tcPr>
              <w:p w14:paraId="30A6628C">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663116995"/>
            <w14:checkbox>
              <w14:checked w14:val="1"/>
              <w14:checkedState w14:val="2612" w14:font="MS Gothic"/>
              <w14:uncheckedState w14:val="2610" w14:font="MS Gothic"/>
            </w14:checkbox>
          </w:sdtPr>
          <w:sdtEndPr>
            <w:rPr>
              <w:rFonts w:cs="Arial"/>
              <w:sz w:val="22"/>
              <w:szCs w:val="22"/>
            </w:rPr>
          </w:sdtEndPr>
          <w:sdtContent>
            <w:tc>
              <w:tcPr>
                <w:tcW w:w="1417" w:type="dxa"/>
                <w:shd w:val="clear" w:color="auto" w:fill="auto"/>
              </w:tcPr>
              <w:p w14:paraId="19B2D72F">
                <w:pPr>
                  <w:jc w:val="center"/>
                  <w:rPr>
                    <w:rFonts w:cs="Arial"/>
                    <w:sz w:val="22"/>
                    <w:szCs w:val="22"/>
                  </w:rPr>
                </w:pPr>
                <w:r>
                  <w:rPr>
                    <w:rFonts w:ascii="MS Gothic" w:hAnsi="MS Gothic" w:eastAsia="MS Gothic" w:cs="Arial"/>
                    <w:sz w:val="22"/>
                    <w:szCs w:val="22"/>
                  </w:rPr>
                  <w:t>☒</w:t>
                </w:r>
              </w:p>
            </w:tc>
          </w:sdtContent>
        </w:sdt>
      </w:tr>
      <w:tr w14:paraId="4EB3BB5F">
        <w:trPr>
          <w:trHeight w:val="536" w:hRule="atLeast"/>
        </w:trPr>
        <w:tc>
          <w:tcPr>
            <w:tcW w:w="6946" w:type="dxa"/>
            <w:shd w:val="clear" w:color="auto" w:fill="F1F1F1" w:themeFill="background1" w:themeFillShade="F2"/>
          </w:tcPr>
          <w:p w14:paraId="0C68EA50">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r>
              <w:fldChar w:fldCharType="begin"/>
            </w:r>
            <w:r>
              <w:instrText xml:space="preserve"> HYPERLINK "https://www.uwtsd.ac.uk/iiced/protecting-innovation-and-creativity---intellectual-property/" </w:instrText>
            </w:r>
            <w:r>
              <w:fldChar w:fldCharType="separate"/>
            </w:r>
            <w:r>
              <w:rPr>
                <w:rStyle w:val="18"/>
              </w:rPr>
              <w:t>https://www.uwtsd.ac.uk/iiced/protecting-innovation-and-creativity---intellectual-property/</w:t>
            </w:r>
            <w:r>
              <w:rPr>
                <w:rStyle w:val="18"/>
              </w:rPr>
              <w:fldChar w:fldCharType="end"/>
            </w:r>
          </w:p>
          <w:p w14:paraId="6ACCBA6D">
            <w:pPr>
              <w:rPr>
                <w:rFonts w:ascii="Calibri" w:hAnsi="Calibri"/>
              </w:rPr>
            </w:pPr>
          </w:p>
        </w:tc>
        <w:tc>
          <w:tcPr>
            <w:tcW w:w="1418" w:type="dxa"/>
            <w:shd w:val="clear" w:color="auto" w:fill="auto"/>
          </w:tcPr>
          <w:p w14:paraId="7631CE3B">
            <w:pPr>
              <w:jc w:val="center"/>
              <w:rPr>
                <w:rFonts w:cs="Arial"/>
                <w:sz w:val="22"/>
                <w:szCs w:val="22"/>
              </w:rPr>
            </w:pPr>
            <w:sdt>
              <w:sdtPr>
                <w:rPr>
                  <w:rFonts w:cs="Arial"/>
                  <w:sz w:val="22"/>
                  <w:szCs w:val="22"/>
                </w:rPr>
                <w:id w:val="1199513403"/>
                <w14:checkbox>
                  <w14:checked w14:val="0"/>
                  <w14:checkedState w14:val="2612" w14:font="MS Gothic"/>
                  <w14:uncheckedState w14:val="2610" w14:font="MS Gothic"/>
                </w14:checkbox>
              </w:sdtPr>
              <w:sdtEndPr>
                <w:rPr>
                  <w:rFonts w:cs="Arial"/>
                  <w:sz w:val="22"/>
                  <w:szCs w:val="22"/>
                </w:rPr>
              </w:sdtEndPr>
              <w:sdtContent>
                <w:r>
                  <w:rPr>
                    <w:rFonts w:hint="eastAsia" w:ascii="MS Gothic" w:hAnsi="MS Gothic" w:eastAsia="MS Gothic" w:cs="Arial"/>
                    <w:sz w:val="22"/>
                    <w:szCs w:val="22"/>
                  </w:rPr>
                  <w:t>☐</w:t>
                </w:r>
              </w:sdtContent>
            </w:sdt>
          </w:p>
        </w:tc>
        <w:tc>
          <w:tcPr>
            <w:tcW w:w="1417" w:type="dxa"/>
            <w:shd w:val="clear" w:color="auto" w:fill="auto"/>
          </w:tcPr>
          <w:p w14:paraId="6F48986A">
            <w:pPr>
              <w:jc w:val="center"/>
              <w:rPr>
                <w:rFonts w:cs="Arial"/>
                <w:sz w:val="22"/>
                <w:szCs w:val="22"/>
              </w:rPr>
            </w:pPr>
            <w:sdt>
              <w:sdtPr>
                <w:rPr>
                  <w:rFonts w:cs="Arial"/>
                  <w:sz w:val="22"/>
                  <w:szCs w:val="22"/>
                </w:rPr>
                <w:id w:val="1455208757"/>
                <w14:checkbox>
                  <w14:checked w14:val="1"/>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r>
    </w:tbl>
    <w:p w14:paraId="662000A4">
      <w:pPr>
        <w:rPr>
          <w:rFonts w:cs="Arial"/>
          <w:sz w:val="22"/>
          <w:szCs w:val="22"/>
        </w:rPr>
      </w:pPr>
    </w:p>
    <w:tbl>
      <w:tblPr>
        <w:tblStyle w:val="14"/>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47"/>
      </w:tblGrid>
      <w:tr w14:paraId="4519EB7F">
        <w:tc>
          <w:tcPr>
            <w:tcW w:w="9747" w:type="dxa"/>
          </w:tcPr>
          <w:p w14:paraId="6CC7B297">
            <w:pPr>
              <w:rPr>
                <w:rFonts w:cs="Arial"/>
                <w:sz w:val="22"/>
                <w:szCs w:val="22"/>
              </w:rPr>
            </w:pPr>
          </w:p>
          <w:p w14:paraId="2583F4F1">
            <w:pPr>
              <w:rPr>
                <w:rFonts w:cs="Arial"/>
                <w:b/>
                <w:sz w:val="22"/>
                <w:szCs w:val="22"/>
              </w:rPr>
            </w:pPr>
            <w:r>
              <w:rPr>
                <w:rFonts w:cs="Arial"/>
                <w:b/>
                <w:sz w:val="22"/>
                <w:szCs w:val="22"/>
              </w:rPr>
              <w:t>Student Signature</w:t>
            </w:r>
          </w:p>
          <w:p w14:paraId="705849C5">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7"/>
              <w:gridCol w:w="6088"/>
              <w:gridCol w:w="1396"/>
            </w:tblGrid>
            <w:tr w14:paraId="5379933F">
              <w:tc>
                <w:tcPr>
                  <w:tcW w:w="2094" w:type="dxa"/>
                  <w:shd w:val="clear" w:color="auto" w:fill="F1F1F1" w:themeFill="background1" w:themeFillShade="F2"/>
                </w:tcPr>
                <w:p w14:paraId="23DB4CC2">
                  <w:pPr>
                    <w:rPr>
                      <w:rFonts w:cs="Arial"/>
                      <w:sz w:val="22"/>
                      <w:szCs w:val="22"/>
                    </w:rPr>
                  </w:pPr>
                </w:p>
                <w:p w14:paraId="6C1D9CA1">
                  <w:pPr>
                    <w:rPr>
                      <w:rFonts w:cs="Arial"/>
                      <w:sz w:val="22"/>
                      <w:szCs w:val="22"/>
                    </w:rPr>
                  </w:pPr>
                  <w:r>
                    <w:rPr>
                      <w:rFonts w:cs="Arial"/>
                      <w:sz w:val="22"/>
                      <w:szCs w:val="22"/>
                    </w:rPr>
                    <w:t>Signature or Print Name:</w:t>
                  </w:r>
                </w:p>
                <w:p w14:paraId="797BAD4E">
                  <w:pPr>
                    <w:rPr>
                      <w:rFonts w:cs="Arial"/>
                      <w:sz w:val="22"/>
                      <w:szCs w:val="22"/>
                    </w:rPr>
                  </w:pPr>
                </w:p>
              </w:tc>
              <w:tc>
                <w:tcPr>
                  <w:tcW w:w="6265" w:type="dxa"/>
                </w:tcPr>
                <w:p w14:paraId="6997C512">
                  <w:pPr>
                    <w:rPr>
                      <w:rFonts w:hint="eastAsia" w:eastAsia="宋体" w:cs="Arial"/>
                      <w:sz w:val="22"/>
                      <w:szCs w:val="22"/>
                      <w:lang w:eastAsia="zh-CN"/>
                    </w:rPr>
                  </w:pPr>
                  <w:r>
                    <w:rPr>
                      <w:rFonts w:hint="eastAsia" w:eastAsia="宋体" w:cs="Arial"/>
                      <w:sz w:val="22"/>
                      <w:szCs w:val="22"/>
                      <w:lang w:eastAsia="zh-CN"/>
                    </w:rPr>
                    <w:drawing>
                      <wp:inline distT="0" distB="0" distL="114300" distR="114300">
                        <wp:extent cx="1990725" cy="790575"/>
                        <wp:effectExtent l="0" t="0" r="0" b="0"/>
                        <wp:docPr id="1" name="图片 1" descr="未命名作品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未命名作品 4"/>
                                <pic:cNvPicPr>
                                  <a:picLocks noChangeAspect="1"/>
                                </pic:cNvPicPr>
                              </pic:nvPicPr>
                              <pic:blipFill>
                                <a:blip r:embed="rId6"/>
                                <a:stretch>
                                  <a:fillRect/>
                                </a:stretch>
                              </pic:blipFill>
                              <pic:spPr>
                                <a:xfrm>
                                  <a:off x="0" y="0"/>
                                  <a:ext cx="1990725" cy="790575"/>
                                </a:xfrm>
                                <a:prstGeom prst="rect">
                                  <a:avLst/>
                                </a:prstGeom>
                              </pic:spPr>
                            </pic:pic>
                          </a:graphicData>
                        </a:graphic>
                      </wp:inline>
                    </w:drawing>
                  </w:r>
                </w:p>
              </w:tc>
              <w:tc>
                <w:tcPr>
                  <w:tcW w:w="1417" w:type="dxa"/>
                </w:tcPr>
                <w:p w14:paraId="29D9089B">
                  <w:pPr>
                    <w:rPr>
                      <w:rFonts w:cs="Arial"/>
                      <w:sz w:val="22"/>
                      <w:szCs w:val="22"/>
                    </w:rPr>
                  </w:pPr>
                  <w:r>
                    <w:rPr>
                      <w:rFonts w:cs="Arial"/>
                      <w:sz w:val="22"/>
                      <w:szCs w:val="22"/>
                    </w:rPr>
                    <w:t>Date:</w:t>
                  </w:r>
                </w:p>
                <w:p w14:paraId="1F961C59">
                  <w:pPr>
                    <w:rPr>
                      <w:rFonts w:hint="default" w:cs="Arial"/>
                      <w:sz w:val="22"/>
                      <w:szCs w:val="22"/>
                      <w:lang w:val="en-US"/>
                    </w:rPr>
                  </w:pPr>
                  <w:r>
                    <w:rPr>
                      <w:rFonts w:hint="default" w:cs="Arial"/>
                      <w:sz w:val="22"/>
                      <w:szCs w:val="22"/>
                      <w:lang w:val="en-US"/>
                    </w:rPr>
                    <w:t>1/1/2025</w:t>
                  </w:r>
                </w:p>
              </w:tc>
            </w:tr>
          </w:tbl>
          <w:p w14:paraId="1C2E5EF4">
            <w:pPr>
              <w:rPr>
                <w:rFonts w:cs="Arial"/>
                <w:sz w:val="22"/>
                <w:szCs w:val="22"/>
              </w:rPr>
            </w:pPr>
          </w:p>
          <w:p w14:paraId="24AC8E43">
            <w:pPr>
              <w:rPr>
                <w:rFonts w:cs="Arial"/>
                <w:sz w:val="22"/>
                <w:szCs w:val="22"/>
              </w:rPr>
            </w:pPr>
          </w:p>
        </w:tc>
      </w:tr>
    </w:tbl>
    <w:p w14:paraId="3F4DE0B5">
      <w:pPr>
        <w:rPr>
          <w:rFonts w:cs="Arial"/>
          <w:sz w:val="22"/>
          <w:szCs w:val="22"/>
        </w:rPr>
      </w:pPr>
    </w:p>
    <w:p w14:paraId="0A448098">
      <w:pPr>
        <w:rPr>
          <w:rFonts w:cs="Arial"/>
          <w:sz w:val="22"/>
          <w:szCs w:val="22"/>
        </w:rPr>
      </w:pPr>
      <w:r>
        <w:rPr>
          <w:rFonts w:cs="Arial"/>
          <w:sz w:val="22"/>
          <w:szCs w:val="22"/>
        </w:rPr>
        <w:br w:type="page"/>
      </w:r>
    </w:p>
    <w:p w14:paraId="513D9AEF">
      <w:pPr>
        <w:rPr>
          <w:rFonts w:cs="Arial"/>
          <w:sz w:val="22"/>
          <w:szCs w:val="22"/>
        </w:rPr>
      </w:pPr>
    </w:p>
    <w:p w14:paraId="72E34FE3">
      <w:pPr>
        <w:rPr>
          <w:rFonts w:cs="Arial"/>
          <w:sz w:val="22"/>
          <w:szCs w:val="22"/>
        </w:rPr>
      </w:pPr>
    </w:p>
    <w:p w14:paraId="6EB91A6B">
      <w:pPr>
        <w:ind w:left="-142"/>
        <w:rPr>
          <w:rFonts w:cs="Arial"/>
          <w:sz w:val="22"/>
          <w:szCs w:val="22"/>
        </w:rPr>
      </w:pPr>
      <w:r>
        <w:rPr>
          <w:rFonts w:cs="Arial"/>
          <w:b/>
          <w:bCs/>
          <w:sz w:val="22"/>
          <w:szCs w:val="22"/>
        </w:rPr>
        <w:t>Supervisory Team</w:t>
      </w:r>
    </w:p>
    <w:p w14:paraId="156D3475">
      <w:pPr>
        <w:rPr>
          <w:rFonts w:cs="Arial"/>
          <w:sz w:val="22"/>
          <w:szCs w:val="22"/>
        </w:rPr>
      </w:pPr>
    </w:p>
    <w:p w14:paraId="1E33C5C1">
      <w:pPr>
        <w:ind w:left="180"/>
        <w:rPr>
          <w:rFonts w:cs="Arial"/>
          <w:b/>
          <w:sz w:val="22"/>
          <w:szCs w:val="22"/>
        </w:rPr>
      </w:pPr>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7"/>
      </w:tblGrid>
      <w:tr w14:paraId="762AB22A">
        <w:tc>
          <w:tcPr>
            <w:tcW w:w="9747" w:type="dxa"/>
            <w:shd w:val="clear" w:color="auto" w:fill="F1F1F1" w:themeFill="background1" w:themeFillShade="F2"/>
          </w:tcPr>
          <w:p w14:paraId="5B077BEE">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14:paraId="2A35A807">
        <w:tc>
          <w:tcPr>
            <w:tcW w:w="9747" w:type="dxa"/>
          </w:tcPr>
          <w:p w14:paraId="16449E53">
            <w:pPr>
              <w:rPr>
                <w:rFonts w:cs="Arial"/>
                <w:b/>
                <w:sz w:val="22"/>
                <w:szCs w:val="22"/>
              </w:rPr>
            </w:pPr>
          </w:p>
          <w:p w14:paraId="3CB0F994">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Arial"/>
                    <w:b/>
                    <w:sz w:val="22"/>
                    <w:szCs w:val="22"/>
                  </w:rPr>
                  <w:t>☐</w:t>
                </w:r>
              </w:sdtContent>
            </w:sdt>
            <w:r>
              <w:rPr>
                <w:rFonts w:cs="Arial"/>
                <w:b/>
                <w:sz w:val="22"/>
                <w:szCs w:val="22"/>
              </w:rPr>
              <w:t xml:space="preserve">                                                     Not Supported:  </w:t>
            </w:r>
            <w:sdt>
              <w:sdtPr>
                <w:rPr>
                  <w:rFonts w:cs="Arial"/>
                  <w:b/>
                  <w:sz w:val="22"/>
                  <w:szCs w:val="22"/>
                </w:rPr>
                <w:id w:val="1693492707"/>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MS Gothic"/>
                    <w:b/>
                    <w:sz w:val="22"/>
                    <w:szCs w:val="22"/>
                  </w:rPr>
                  <w:t>☐</w:t>
                </w:r>
              </w:sdtContent>
            </w:sdt>
          </w:p>
          <w:p w14:paraId="25D962FE">
            <w:pPr>
              <w:rPr>
                <w:rFonts w:cs="Arial"/>
                <w:b/>
                <w:sz w:val="22"/>
                <w:szCs w:val="22"/>
              </w:rPr>
            </w:pPr>
          </w:p>
          <w:p w14:paraId="2C352047">
            <w:pPr>
              <w:rPr>
                <w:rFonts w:cs="Arial"/>
                <w:b/>
                <w:sz w:val="22"/>
                <w:szCs w:val="22"/>
              </w:rPr>
            </w:pPr>
          </w:p>
        </w:tc>
      </w:tr>
    </w:tbl>
    <w:p w14:paraId="18DD8A14">
      <w:pPr>
        <w:rPr>
          <w:rFonts w:cs="Arial"/>
          <w:sz w:val="22"/>
          <w:szCs w:val="22"/>
        </w:rPr>
      </w:pPr>
    </w:p>
    <w:p w14:paraId="08614F4D">
      <w:pPr>
        <w:rPr>
          <w:rFonts w:cs="Arial"/>
          <w:b/>
          <w:sz w:val="22"/>
          <w:szCs w:val="22"/>
        </w:rPr>
      </w:pPr>
      <w:r>
        <w:rPr>
          <w:rFonts w:cs="Arial"/>
          <w:b/>
          <w:sz w:val="22"/>
          <w:szCs w:val="22"/>
        </w:rPr>
        <w:t>Authorisation</w:t>
      </w:r>
    </w:p>
    <w:p w14:paraId="196B2FEC">
      <w:pPr>
        <w:rPr>
          <w:rFonts w:cs="Arial"/>
          <w:sz w:val="22"/>
          <w:szCs w:val="22"/>
        </w:rPr>
      </w:pPr>
    </w:p>
    <w:tbl>
      <w:tblPr>
        <w:tblStyle w:val="14"/>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5387"/>
        <w:gridCol w:w="1842"/>
      </w:tblGrid>
      <w:tr w14:paraId="07A4796B">
        <w:tc>
          <w:tcPr>
            <w:tcW w:w="2552" w:type="dxa"/>
            <w:shd w:val="clear" w:color="auto" w:fill="F1F1F1" w:themeFill="background1" w:themeFillShade="F2"/>
          </w:tcPr>
          <w:p w14:paraId="297D844A">
            <w:pPr>
              <w:rPr>
                <w:rFonts w:cs="Arial"/>
                <w:sz w:val="22"/>
                <w:szCs w:val="22"/>
              </w:rPr>
            </w:pPr>
            <w:r>
              <w:rPr>
                <w:rFonts w:cs="Arial"/>
                <w:sz w:val="22"/>
                <w:szCs w:val="22"/>
              </w:rPr>
              <w:t>Director of Studies</w:t>
            </w:r>
          </w:p>
        </w:tc>
        <w:tc>
          <w:tcPr>
            <w:tcW w:w="5387" w:type="dxa"/>
          </w:tcPr>
          <w:p w14:paraId="7DBDDF79">
            <w:pPr>
              <w:rPr>
                <w:rFonts w:cs="Arial"/>
                <w:sz w:val="22"/>
                <w:szCs w:val="22"/>
              </w:rPr>
            </w:pPr>
            <w:r>
              <w:rPr>
                <w:rFonts w:cs="Arial"/>
                <w:sz w:val="22"/>
                <w:szCs w:val="22"/>
              </w:rPr>
              <w:t>Signature or Print Name:</w:t>
            </w:r>
          </w:p>
          <w:p w14:paraId="4DF56FB0">
            <w:pPr>
              <w:rPr>
                <w:rFonts w:cs="Arial"/>
                <w:sz w:val="22"/>
                <w:szCs w:val="22"/>
              </w:rPr>
            </w:pPr>
          </w:p>
          <w:p w14:paraId="37AF2270">
            <w:pPr>
              <w:rPr>
                <w:rFonts w:cs="Arial"/>
                <w:sz w:val="22"/>
                <w:szCs w:val="22"/>
              </w:rPr>
            </w:pPr>
          </w:p>
          <w:p w14:paraId="55730D33">
            <w:pPr>
              <w:rPr>
                <w:rFonts w:cs="Arial"/>
                <w:sz w:val="22"/>
                <w:szCs w:val="22"/>
              </w:rPr>
            </w:pPr>
          </w:p>
        </w:tc>
        <w:tc>
          <w:tcPr>
            <w:tcW w:w="1842" w:type="dxa"/>
          </w:tcPr>
          <w:p w14:paraId="07832087">
            <w:pPr>
              <w:rPr>
                <w:rFonts w:cs="Arial"/>
                <w:sz w:val="22"/>
                <w:szCs w:val="22"/>
              </w:rPr>
            </w:pPr>
            <w:r>
              <w:rPr>
                <w:rFonts w:cs="Arial"/>
                <w:sz w:val="22"/>
                <w:szCs w:val="22"/>
              </w:rPr>
              <w:t>Date:</w:t>
            </w:r>
          </w:p>
        </w:tc>
      </w:tr>
      <w:tr w14:paraId="0B7DC0F5">
        <w:tc>
          <w:tcPr>
            <w:tcW w:w="2552" w:type="dxa"/>
            <w:shd w:val="clear" w:color="auto" w:fill="F1F1F1" w:themeFill="background1" w:themeFillShade="F2"/>
          </w:tcPr>
          <w:p w14:paraId="09711E24">
            <w:pPr>
              <w:rPr>
                <w:rFonts w:cs="Arial"/>
                <w:sz w:val="22"/>
                <w:szCs w:val="22"/>
              </w:rPr>
            </w:pPr>
            <w:r>
              <w:rPr>
                <w:rFonts w:cs="Arial"/>
                <w:sz w:val="22"/>
                <w:szCs w:val="22"/>
              </w:rPr>
              <w:t>Institute Manager of Research Degrees</w:t>
            </w:r>
          </w:p>
          <w:p w14:paraId="19DF5E99">
            <w:pPr>
              <w:rPr>
                <w:rFonts w:cs="Arial"/>
                <w:sz w:val="22"/>
                <w:szCs w:val="22"/>
              </w:rPr>
            </w:pPr>
          </w:p>
        </w:tc>
        <w:tc>
          <w:tcPr>
            <w:tcW w:w="5387" w:type="dxa"/>
          </w:tcPr>
          <w:p w14:paraId="15358A83">
            <w:pPr>
              <w:rPr>
                <w:rFonts w:cs="Arial"/>
                <w:sz w:val="22"/>
                <w:szCs w:val="22"/>
              </w:rPr>
            </w:pPr>
            <w:r>
              <w:rPr>
                <w:rFonts w:cs="Arial"/>
                <w:sz w:val="22"/>
                <w:szCs w:val="22"/>
              </w:rPr>
              <w:t>Signature or Print Name:</w:t>
            </w:r>
          </w:p>
          <w:p w14:paraId="629149F0">
            <w:pPr>
              <w:rPr>
                <w:rFonts w:cs="Arial"/>
                <w:sz w:val="22"/>
                <w:szCs w:val="22"/>
              </w:rPr>
            </w:pPr>
          </w:p>
          <w:p w14:paraId="4BB356AC">
            <w:pPr>
              <w:rPr>
                <w:rFonts w:cs="Arial"/>
                <w:sz w:val="22"/>
                <w:szCs w:val="22"/>
              </w:rPr>
            </w:pPr>
          </w:p>
          <w:p w14:paraId="128156F9">
            <w:pPr>
              <w:rPr>
                <w:rFonts w:cs="Arial"/>
                <w:sz w:val="22"/>
                <w:szCs w:val="22"/>
              </w:rPr>
            </w:pPr>
          </w:p>
        </w:tc>
        <w:tc>
          <w:tcPr>
            <w:tcW w:w="1842" w:type="dxa"/>
          </w:tcPr>
          <w:p w14:paraId="5AE71BF2">
            <w:pPr>
              <w:rPr>
                <w:rFonts w:cs="Arial"/>
                <w:sz w:val="22"/>
                <w:szCs w:val="22"/>
              </w:rPr>
            </w:pPr>
            <w:r>
              <w:rPr>
                <w:rFonts w:cs="Arial"/>
                <w:sz w:val="22"/>
                <w:szCs w:val="22"/>
              </w:rPr>
              <w:t>Date:</w:t>
            </w:r>
          </w:p>
        </w:tc>
      </w:tr>
    </w:tbl>
    <w:p w14:paraId="46ABEB68">
      <w:pPr>
        <w:rPr>
          <w:rFonts w:cs="Arial"/>
          <w:sz w:val="22"/>
          <w:szCs w:val="22"/>
        </w:rPr>
      </w:pPr>
    </w:p>
    <w:sectPr>
      <w:headerReference r:id="rId3" w:type="default"/>
      <w:footerReference r:id="rId4" w:type="default"/>
      <w:pgSz w:w="11906" w:h="16838"/>
      <w:pgMar w:top="1440"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黑体-简">
    <w:panose1 w:val="02000000000000000000"/>
    <w:charset w:val="86"/>
    <w:family w:val="auto"/>
    <w:pitch w:val="default"/>
    <w:sig w:usb0="8000002F" w:usb1="0800004A" w:usb2="00000000" w:usb3="00000000" w:csb0="203E0000" w:csb1="00000000"/>
  </w:font>
  <w:font w:name="宋体-简">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HYQiHei">
    <w:panose1 w:val="00020600040101010101"/>
    <w:charset w:val="86"/>
    <w:family w:val="auto"/>
    <w:pitch w:val="default"/>
    <w:sig w:usb0="A00002BF" w:usb1="1ACF7CFA" w:usb2="00000016" w:usb3="00000000" w:csb0="0004009F" w:csb1="DFD70000"/>
  </w:font>
  <w:font w:name="微软雅黑">
    <w:altName w:val="汉仪旗黑"/>
    <w:panose1 w:val="020B0503020204020204"/>
    <w:charset w:val="86"/>
    <w:family w:val="swiss"/>
    <w:pitch w:val="default"/>
    <w:sig w:usb0="00000000" w:usb1="00000000" w:usb2="00000016" w:usb3="00000000" w:csb0="0004001F" w:csb1="00000000"/>
  </w:font>
  <w:font w:name="PINGFANG SC SEMIBOLD">
    <w:panose1 w:val="020B0400000000000000"/>
    <w:charset w:val="86"/>
    <w:family w:val="swiss"/>
    <w:pitch w:val="default"/>
    <w:sig w:usb0="A00002FF" w:usb1="7ACFFDFB" w:usb2="00000017" w:usb3="00000000" w:csb0="00040001" w:csb1="00000000"/>
  </w:font>
  <w:font w:name="AdvTT6120e2aa">
    <w:altName w:val="苹方-简"/>
    <w:panose1 w:val="020B0604020202020204"/>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 w:name="Agency FB">
    <w:altName w:val="苹方-简"/>
    <w:panose1 w:val="020B0503020202020204"/>
    <w:charset w:val="00"/>
    <w:family w:val="swiss"/>
    <w:pitch w:val="default"/>
    <w:sig w:usb0="00000000" w:usb1="0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汉仪旗黑">
    <w:panose1 w:val="00020600040101010101"/>
    <w:charset w:val="86"/>
    <w:family w:val="auto"/>
    <w:pitch w:val="default"/>
    <w:sig w:usb0="A00002BF" w:usb1="1ACF7CFA" w:usb2="00000016" w:usb3="00000000" w:csb0="0004009F" w:csb1="DFD70000"/>
  </w:font>
  <w:font w:name="Kingsoft Sign">
    <w:panose1 w:val="05050102010706020507"/>
    <w:charset w:val="00"/>
    <w:family w:val="auto"/>
    <w:pitch w:val="default"/>
    <w:sig w:usb0="00000000" w:usb1="10000000" w:usb2="00000000" w:usb3="00000000" w:csb0="00000001"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PingFang SC">
    <w:panose1 w:val="020B0400000000000000"/>
    <w:charset w:val="86"/>
    <w:family w:val="auto"/>
    <w:pitch w:val="default"/>
    <w:sig w:usb0="A00002FF" w:usb1="7ACFFDFB" w:usb2="00000017" w:usb3="00000000" w:csb0="00040001" w:csb1="00000000"/>
  </w:font>
  <w:font w:name="Arial Bold">
    <w:panose1 w:val="020B0604020202090204"/>
    <w:charset w:val="00"/>
    <w:family w:val="auto"/>
    <w:pitch w:val="default"/>
    <w:sig w:usb0="E0000AFF" w:usb1="00007843" w:usb2="00000001" w:usb3="00000000" w:csb0="400001BF" w:csb1="DFF70000"/>
  </w:font>
  <w:font w:name="Arial Regular">
    <w:panose1 w:val="020B0604020202090204"/>
    <w:charset w:val="00"/>
    <w:family w:val="auto"/>
    <w:pitch w:val="default"/>
    <w:sig w:usb0="E0000AFF" w:usb1="00007843" w:usb2="00000001" w:usb3="00000000" w:csb0="400001BF" w:csb1="DFF70000"/>
  </w:font>
  <w:font w:name="Arial Italic">
    <w:panose1 w:val="020B0604020202090204"/>
    <w:charset w:val="00"/>
    <w:family w:val="auto"/>
    <w:pitch w:val="default"/>
    <w:sig w:usb0="E0000AFF" w:usb1="00007843" w:usb2="00000001" w:usb3="00000000" w:csb0="400001BF" w:csb1="DFF70000"/>
  </w:font>
  <w:font w:name="Symbol">
    <w:altName w:val="Kingsoft Sig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110303"/>
    </w:sdtPr>
    <w:sdtContent>
      <w:p w14:paraId="6D03EA72">
        <w:pPr>
          <w:pStyle w:val="8"/>
          <w:jc w:val="center"/>
        </w:pPr>
        <w:r>
          <w:fldChar w:fldCharType="begin"/>
        </w:r>
        <w:r>
          <w:instrText xml:space="preserve"> PAGE   \* MERGEFORMAT </w:instrText>
        </w:r>
        <w:r>
          <w:fldChar w:fldCharType="separate"/>
        </w:r>
        <w:r>
          <w:t>1</w:t>
        </w:r>
        <w:r>
          <w:fldChar w:fldCharType="end"/>
        </w:r>
      </w:p>
    </w:sdtContent>
  </w:sdt>
  <w:p w14:paraId="5AD0CCC6">
    <w:pPr>
      <w:pStyle w:val="8"/>
      <w:tabs>
        <w:tab w:val="center" w:pos="4536"/>
        <w:tab w:val="left" w:pos="7371"/>
        <w:tab w:val="clear" w:pos="4320"/>
      </w:tabs>
      <w:ind w:right="-755"/>
    </w:pPr>
    <w:r>
      <w:t>November 2020                                                                                                  PG1 Full Research Proposal</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5D295">
    <w:pPr>
      <w:pStyle w:val="9"/>
    </w:pPr>
    <w:r>
      <w:drawing>
        <wp:anchor distT="0" distB="0" distL="114300" distR="114300" simplePos="0" relativeHeight="251659264" behindDoc="0" locked="0" layoutInCell="1" allowOverlap="1">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14:paraId="31A7883D">
    <w:pPr>
      <w:pStyle w:val="9"/>
      <w:jc w:val="right"/>
    </w:pPr>
    <w:r>
      <w:tab/>
    </w:r>
    <w:r>
      <w:tab/>
    </w:r>
    <w:r>
      <w:tab/>
    </w:r>
    <w:r>
      <w:tab/>
    </w:r>
    <w:r>
      <w:t>Appendix PG1</w:t>
    </w:r>
  </w:p>
  <w:p w14:paraId="3777A448">
    <w:pPr>
      <w:pStyle w:val="9"/>
    </w:pPr>
  </w:p>
  <w:p w14:paraId="5EFCBE2B">
    <w:pPr>
      <w:pStyle w:val="9"/>
    </w:pPr>
  </w:p>
  <w:p w14:paraId="6A516F3E">
    <w:pPr>
      <w:pStyle w:val="9"/>
    </w:pPr>
  </w:p>
  <w:p w14:paraId="25C44DC6">
    <w:pPr>
      <w:pStyle w:val="9"/>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DB51B5"/>
    <w:multiLevelType w:val="singleLevel"/>
    <w:tmpl w:val="BFDB51B5"/>
    <w:lvl w:ilvl="0" w:tentative="0">
      <w:start w:val="1"/>
      <w:numFmt w:val="decimal"/>
      <w:suff w:val="space"/>
      <w:lvlText w:val="%1."/>
      <w:lvlJc w:val="left"/>
    </w:lvl>
  </w:abstractNum>
  <w:abstractNum w:abstractNumId="1">
    <w:nsid w:val="128B0ABE"/>
    <w:multiLevelType w:val="multilevel"/>
    <w:tmpl w:val="128B0AB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75F017F"/>
    <w:multiLevelType w:val="multilevel"/>
    <w:tmpl w:val="375F017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1731D98"/>
    <w:multiLevelType w:val="multilevel"/>
    <w:tmpl w:val="71731D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80352D0"/>
    <w:multiLevelType w:val="multilevel"/>
    <w:tmpl w:val="780352D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5D23"/>
    <w:rsid w:val="00166B83"/>
    <w:rsid w:val="00172F4C"/>
    <w:rsid w:val="00173CC3"/>
    <w:rsid w:val="00185554"/>
    <w:rsid w:val="001B1EEF"/>
    <w:rsid w:val="001C367F"/>
    <w:rsid w:val="001C6B27"/>
    <w:rsid w:val="001D074C"/>
    <w:rsid w:val="001D71EA"/>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39F3"/>
    <w:rsid w:val="00325CBE"/>
    <w:rsid w:val="003275B0"/>
    <w:rsid w:val="003317EE"/>
    <w:rsid w:val="00332B43"/>
    <w:rsid w:val="00335D74"/>
    <w:rsid w:val="0034191A"/>
    <w:rsid w:val="00353C75"/>
    <w:rsid w:val="00363F74"/>
    <w:rsid w:val="00370831"/>
    <w:rsid w:val="00376A02"/>
    <w:rsid w:val="0039092C"/>
    <w:rsid w:val="00391D2C"/>
    <w:rsid w:val="003A11E9"/>
    <w:rsid w:val="003A748D"/>
    <w:rsid w:val="003B4AF0"/>
    <w:rsid w:val="003C062E"/>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419D3"/>
    <w:rsid w:val="00541CFE"/>
    <w:rsid w:val="005513E3"/>
    <w:rsid w:val="0055230D"/>
    <w:rsid w:val="00556BFF"/>
    <w:rsid w:val="00557BD7"/>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17DFA"/>
    <w:rsid w:val="00736D9E"/>
    <w:rsid w:val="00741DF0"/>
    <w:rsid w:val="00753EDE"/>
    <w:rsid w:val="00763457"/>
    <w:rsid w:val="00795C79"/>
    <w:rsid w:val="007A0692"/>
    <w:rsid w:val="007A3641"/>
    <w:rsid w:val="007C2A63"/>
    <w:rsid w:val="007C755A"/>
    <w:rsid w:val="007E550E"/>
    <w:rsid w:val="007F6FC1"/>
    <w:rsid w:val="00802E0D"/>
    <w:rsid w:val="00816ED8"/>
    <w:rsid w:val="00820E04"/>
    <w:rsid w:val="00825E70"/>
    <w:rsid w:val="0083144B"/>
    <w:rsid w:val="00831EF8"/>
    <w:rsid w:val="00832FEA"/>
    <w:rsid w:val="008422EE"/>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D6567"/>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12AB0"/>
    <w:rsid w:val="00B273A5"/>
    <w:rsid w:val="00B3408B"/>
    <w:rsid w:val="00B65D5E"/>
    <w:rsid w:val="00B70B7E"/>
    <w:rsid w:val="00B718D3"/>
    <w:rsid w:val="00B77573"/>
    <w:rsid w:val="00B84A54"/>
    <w:rsid w:val="00B95514"/>
    <w:rsid w:val="00BB2F10"/>
    <w:rsid w:val="00BD2727"/>
    <w:rsid w:val="00BD589F"/>
    <w:rsid w:val="00BD7EF3"/>
    <w:rsid w:val="00BE24D4"/>
    <w:rsid w:val="00BF0916"/>
    <w:rsid w:val="00C037ED"/>
    <w:rsid w:val="00C07705"/>
    <w:rsid w:val="00C14717"/>
    <w:rsid w:val="00C31ED6"/>
    <w:rsid w:val="00C45CE3"/>
    <w:rsid w:val="00C477B6"/>
    <w:rsid w:val="00C525D4"/>
    <w:rsid w:val="00C66E9A"/>
    <w:rsid w:val="00C74109"/>
    <w:rsid w:val="00C75F44"/>
    <w:rsid w:val="00C75F7C"/>
    <w:rsid w:val="00C856A1"/>
    <w:rsid w:val="00C943DE"/>
    <w:rsid w:val="00CA181D"/>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4E91"/>
    <w:rsid w:val="00F02051"/>
    <w:rsid w:val="00F20553"/>
    <w:rsid w:val="00F26723"/>
    <w:rsid w:val="00F274DA"/>
    <w:rsid w:val="00F41F11"/>
    <w:rsid w:val="00F50670"/>
    <w:rsid w:val="00F6356A"/>
    <w:rsid w:val="00F65BA4"/>
    <w:rsid w:val="00F65ECA"/>
    <w:rsid w:val="00F678E5"/>
    <w:rsid w:val="00F7569E"/>
    <w:rsid w:val="00F77B80"/>
    <w:rsid w:val="00F8710D"/>
    <w:rsid w:val="00F901BB"/>
    <w:rsid w:val="00F9060E"/>
    <w:rsid w:val="00F9606E"/>
    <w:rsid w:val="00FD60D8"/>
    <w:rsid w:val="00FD70D5"/>
    <w:rsid w:val="00FE3258"/>
    <w:rsid w:val="00FF5FBE"/>
    <w:rsid w:val="0D8F4A78"/>
    <w:rsid w:val="0FAF0FEB"/>
    <w:rsid w:val="1B3F7FB4"/>
    <w:rsid w:val="1DB5FCA6"/>
    <w:rsid w:val="1FD5C688"/>
    <w:rsid w:val="1FEB6E72"/>
    <w:rsid w:val="26DD3670"/>
    <w:rsid w:val="2737967A"/>
    <w:rsid w:val="282F87AB"/>
    <w:rsid w:val="2CFE4843"/>
    <w:rsid w:val="2FEECE9B"/>
    <w:rsid w:val="309FEC46"/>
    <w:rsid w:val="32BCD311"/>
    <w:rsid w:val="38673D66"/>
    <w:rsid w:val="397D5F89"/>
    <w:rsid w:val="39CF4106"/>
    <w:rsid w:val="3AFF2909"/>
    <w:rsid w:val="3CFEE216"/>
    <w:rsid w:val="3DF7DC02"/>
    <w:rsid w:val="3FF75839"/>
    <w:rsid w:val="3FFF0FD4"/>
    <w:rsid w:val="3FFF58C9"/>
    <w:rsid w:val="3FFFC355"/>
    <w:rsid w:val="43BB14F5"/>
    <w:rsid w:val="43E330CD"/>
    <w:rsid w:val="4AA8CE8C"/>
    <w:rsid w:val="4D378DC8"/>
    <w:rsid w:val="4DFDC951"/>
    <w:rsid w:val="4F774E19"/>
    <w:rsid w:val="53EF5B7C"/>
    <w:rsid w:val="55FDE2CA"/>
    <w:rsid w:val="57F76200"/>
    <w:rsid w:val="59AFCA7F"/>
    <w:rsid w:val="59F707CC"/>
    <w:rsid w:val="5AFBDAA4"/>
    <w:rsid w:val="5BDFEA05"/>
    <w:rsid w:val="5BFBBA5C"/>
    <w:rsid w:val="5CDA2D0F"/>
    <w:rsid w:val="5FED8D82"/>
    <w:rsid w:val="628DCD9D"/>
    <w:rsid w:val="667FD050"/>
    <w:rsid w:val="678E2FB4"/>
    <w:rsid w:val="6BD7D6E4"/>
    <w:rsid w:val="6C77AEAA"/>
    <w:rsid w:val="6DFF73A5"/>
    <w:rsid w:val="6E59F9A7"/>
    <w:rsid w:val="6E9FF853"/>
    <w:rsid w:val="6F7EB61E"/>
    <w:rsid w:val="6FAF3721"/>
    <w:rsid w:val="72FFFDCF"/>
    <w:rsid w:val="73D2D57D"/>
    <w:rsid w:val="73FF1433"/>
    <w:rsid w:val="76A778FA"/>
    <w:rsid w:val="770F5D2D"/>
    <w:rsid w:val="77DC6491"/>
    <w:rsid w:val="77EFE9B7"/>
    <w:rsid w:val="77FE23FF"/>
    <w:rsid w:val="781D25AE"/>
    <w:rsid w:val="79ED7091"/>
    <w:rsid w:val="7AEB6E29"/>
    <w:rsid w:val="7BAA06FF"/>
    <w:rsid w:val="7BB94E8A"/>
    <w:rsid w:val="7BEECBA7"/>
    <w:rsid w:val="7C2F0CFB"/>
    <w:rsid w:val="7CDB0CEC"/>
    <w:rsid w:val="7D8F7386"/>
    <w:rsid w:val="7DAD898C"/>
    <w:rsid w:val="7DBF008A"/>
    <w:rsid w:val="7DD1EDD9"/>
    <w:rsid w:val="7DD59897"/>
    <w:rsid w:val="7DFD82A9"/>
    <w:rsid w:val="7EBB7712"/>
    <w:rsid w:val="7EEFD3AE"/>
    <w:rsid w:val="7EFFBB81"/>
    <w:rsid w:val="7F7D5D58"/>
    <w:rsid w:val="7FDBD001"/>
    <w:rsid w:val="7FDD4D04"/>
    <w:rsid w:val="7FDEF6A6"/>
    <w:rsid w:val="7FDF65EC"/>
    <w:rsid w:val="7FDFDC41"/>
    <w:rsid w:val="7FDFF646"/>
    <w:rsid w:val="7FE6B86E"/>
    <w:rsid w:val="7FE7F1D3"/>
    <w:rsid w:val="7FEF54FC"/>
    <w:rsid w:val="7FFD3D00"/>
    <w:rsid w:val="7FFF46BD"/>
    <w:rsid w:val="7FFFCB80"/>
    <w:rsid w:val="8D7DF6CB"/>
    <w:rsid w:val="94A73575"/>
    <w:rsid w:val="9BD3D390"/>
    <w:rsid w:val="9CE6E9D1"/>
    <w:rsid w:val="9DFB0423"/>
    <w:rsid w:val="9FDF4DF7"/>
    <w:rsid w:val="9FE75DDE"/>
    <w:rsid w:val="AD1EE7E6"/>
    <w:rsid w:val="ADDFCDB7"/>
    <w:rsid w:val="AF9FCF15"/>
    <w:rsid w:val="AFFFAFB9"/>
    <w:rsid w:val="B1EB192C"/>
    <w:rsid w:val="B73D008B"/>
    <w:rsid w:val="BDFACCFB"/>
    <w:rsid w:val="BDFF1879"/>
    <w:rsid w:val="BDFFA294"/>
    <w:rsid w:val="BFBFEEAD"/>
    <w:rsid w:val="BFEFCB2F"/>
    <w:rsid w:val="C5ED13D4"/>
    <w:rsid w:val="C7B753D5"/>
    <w:rsid w:val="C9FE2857"/>
    <w:rsid w:val="C9FF3C29"/>
    <w:rsid w:val="CC3F569E"/>
    <w:rsid w:val="CFEB317C"/>
    <w:rsid w:val="D66AB453"/>
    <w:rsid w:val="D7CC074F"/>
    <w:rsid w:val="DBF5F858"/>
    <w:rsid w:val="DD6F5912"/>
    <w:rsid w:val="DDC7A8BC"/>
    <w:rsid w:val="DEBF5F96"/>
    <w:rsid w:val="DEFD45D4"/>
    <w:rsid w:val="DF9DA11E"/>
    <w:rsid w:val="DFE55041"/>
    <w:rsid w:val="DFFF870E"/>
    <w:rsid w:val="E2FFB94D"/>
    <w:rsid w:val="E875A1AF"/>
    <w:rsid w:val="EDFF1A03"/>
    <w:rsid w:val="EEECAF8E"/>
    <w:rsid w:val="EFBF07A0"/>
    <w:rsid w:val="EFFB27A1"/>
    <w:rsid w:val="EFFF6AC9"/>
    <w:rsid w:val="F17E26B7"/>
    <w:rsid w:val="F2B9CAC3"/>
    <w:rsid w:val="F35F61C3"/>
    <w:rsid w:val="F3CB111D"/>
    <w:rsid w:val="F3FFF982"/>
    <w:rsid w:val="F4F972B0"/>
    <w:rsid w:val="F7CC812A"/>
    <w:rsid w:val="F7F7F19E"/>
    <w:rsid w:val="F7FEF65B"/>
    <w:rsid w:val="F9BFBF1F"/>
    <w:rsid w:val="FB3C3AAB"/>
    <w:rsid w:val="FB5ACB62"/>
    <w:rsid w:val="FB658C92"/>
    <w:rsid w:val="FDDF877C"/>
    <w:rsid w:val="FDF71C8D"/>
    <w:rsid w:val="FDFEF638"/>
    <w:rsid w:val="FE7F6185"/>
    <w:rsid w:val="FEFF6102"/>
    <w:rsid w:val="FF1DDA8B"/>
    <w:rsid w:val="FF5369A5"/>
    <w:rsid w:val="FFB59427"/>
    <w:rsid w:val="FFB9BACB"/>
    <w:rsid w:val="FFBF5804"/>
    <w:rsid w:val="FFBFFFE0"/>
    <w:rsid w:val="FFCA7341"/>
    <w:rsid w:val="FFCF6D78"/>
    <w:rsid w:val="FFDF8076"/>
    <w:rsid w:val="FFDFE98B"/>
    <w:rsid w:val="FFE9007C"/>
    <w:rsid w:val="FFEFF4BA"/>
    <w:rsid w:val="FFF6B19C"/>
    <w:rsid w:val="FFF706A3"/>
    <w:rsid w:val="FFFBA982"/>
    <w:rsid w:val="FFFD1129"/>
    <w:rsid w:val="FFFD5EDF"/>
    <w:rsid w:val="FFFF1CE0"/>
    <w:rsid w:val="FFFF8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0" w:name="footnote text"/>
    <w:lsdException w:uiPriority="99" w:semiHidden="0" w:name="annotation text"/>
    <w:lsdException w:unhideWhenUsed="0" w:uiPriority="0"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3"/>
    <w:unhideWhenUsed/>
    <w:uiPriority w:val="99"/>
    <w:rPr>
      <w:lang w:val="zh-CN" w:eastAsia="zh-CN"/>
    </w:rPr>
  </w:style>
  <w:style w:type="paragraph" w:styleId="5">
    <w:name w:val="Body Text"/>
    <w:basedOn w:val="1"/>
    <w:uiPriority w:val="0"/>
    <w:pPr>
      <w:jc w:val="both"/>
    </w:pPr>
    <w:rPr>
      <w:b/>
    </w:rPr>
  </w:style>
  <w:style w:type="paragraph" w:styleId="6">
    <w:name w:val="Block Text"/>
    <w:basedOn w:val="1"/>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uiPriority w:val="0"/>
    <w:rPr>
      <w:rFonts w:ascii="Tahoma" w:hAnsi="Tahoma" w:cs="Tahoma"/>
      <w:sz w:val="16"/>
      <w:szCs w:val="16"/>
    </w:rPr>
  </w:style>
  <w:style w:type="paragraph" w:styleId="8">
    <w:name w:val="footer"/>
    <w:basedOn w:val="1"/>
    <w:link w:val="25"/>
    <w:uiPriority w:val="99"/>
    <w:pPr>
      <w:tabs>
        <w:tab w:val="center" w:pos="4320"/>
        <w:tab w:val="right" w:pos="8640"/>
      </w:tabs>
    </w:pPr>
  </w:style>
  <w:style w:type="paragraph" w:styleId="9">
    <w:name w:val="header"/>
    <w:basedOn w:val="1"/>
    <w:uiPriority w:val="0"/>
    <w:pPr>
      <w:tabs>
        <w:tab w:val="center" w:pos="4320"/>
        <w:tab w:val="right" w:pos="8640"/>
      </w:tabs>
    </w:pPr>
  </w:style>
  <w:style w:type="paragraph" w:styleId="10">
    <w:name w:val="footnote text"/>
    <w:basedOn w:val="1"/>
    <w:semiHidden/>
    <w:uiPriority w:val="0"/>
  </w:style>
  <w:style w:type="paragraph" w:styleId="11">
    <w:name w:val="Normal (Web)"/>
    <w:basedOn w:val="1"/>
    <w:unhideWhenUsed/>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4"/>
    <w:unhideWhenUsed/>
    <w:uiPriority w:val="99"/>
    <w:rPr>
      <w:b/>
      <w:bCs/>
    </w:rPr>
  </w:style>
  <w:style w:type="table" w:styleId="14">
    <w:name w:val="Table Grid"/>
    <w:basedOn w:val="13"/>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bCs/>
    </w:rPr>
  </w:style>
  <w:style w:type="character" w:styleId="17">
    <w:name w:val="FollowedHyperlink"/>
    <w:uiPriority w:val="0"/>
    <w:rPr>
      <w:color w:val="800080"/>
      <w:u w:val="single"/>
    </w:rPr>
  </w:style>
  <w:style w:type="character" w:styleId="18">
    <w:name w:val="Hyperlink"/>
    <w:uiPriority w:val="0"/>
    <w:rPr>
      <w:color w:val="0000FF"/>
      <w:u w:val="single"/>
    </w:rPr>
  </w:style>
  <w:style w:type="character" w:styleId="19">
    <w:name w:val="annotation reference"/>
    <w:unhideWhenUsed/>
    <w:uiPriority w:val="99"/>
    <w:rPr>
      <w:sz w:val="16"/>
      <w:szCs w:val="16"/>
    </w:rPr>
  </w:style>
  <w:style w:type="character" w:styleId="20">
    <w:name w:val="footnote reference"/>
    <w:semiHidden/>
    <w:uiPriority w:val="0"/>
    <w:rPr>
      <w:vertAlign w:val="superscript"/>
    </w:rPr>
  </w:style>
  <w:style w:type="paragraph" w:customStyle="1" w:styleId="21">
    <w:name w:val="Heading Erasmod"/>
    <w:basedOn w:val="3"/>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uiPriority w:val="99"/>
    <w:rPr>
      <w:rFonts w:ascii="Arial" w:hAnsi="Arial" w:eastAsia="Times New Roman" w:cs="Times New Roman"/>
      <w:lang w:val="en-GB" w:eastAsia="en-GB" w:bidi="ar-SA"/>
    </w:rPr>
  </w:style>
  <w:style w:type="character" w:customStyle="1" w:styleId="23">
    <w:name w:val="批注文字 字符"/>
    <w:link w:val="4"/>
    <w:semiHidden/>
    <w:uiPriority w:val="99"/>
    <w:rPr>
      <w:rFonts w:ascii="Arial" w:hAnsi="Arial"/>
    </w:rPr>
  </w:style>
  <w:style w:type="character" w:customStyle="1" w:styleId="24">
    <w:name w:val="批注主题 字符"/>
    <w:link w:val="12"/>
    <w:semiHidden/>
    <w:uiPriority w:val="99"/>
    <w:rPr>
      <w:rFonts w:ascii="Arial" w:hAnsi="Arial"/>
      <w:b/>
      <w:bCs/>
    </w:rPr>
  </w:style>
  <w:style w:type="character" w:customStyle="1" w:styleId="25">
    <w:name w:val="页脚 字符"/>
    <w:link w:val="8"/>
    <w:uiPriority w:val="99"/>
    <w:rPr>
      <w:rFonts w:ascii="Arial" w:hAnsi="Arial"/>
    </w:rPr>
  </w:style>
  <w:style w:type="paragraph" w:customStyle="1" w:styleId="26">
    <w:name w:val="List Paragraph1"/>
    <w:basedOn w:val="1"/>
    <w:qFormat/>
    <w:uiPriority w:val="99"/>
    <w:pPr>
      <w:ind w:left="720"/>
    </w:pPr>
  </w:style>
  <w:style w:type="paragraph" w:customStyle="1" w:styleId="27">
    <w:name w:val="Revision1"/>
    <w:hidden/>
    <w:semiHidden/>
    <w:uiPriority w:val="99"/>
    <w:rPr>
      <w:rFonts w:ascii="Arial" w:hAnsi="Arial" w:eastAsia="Times New Roman" w:cs="Times New Roman"/>
      <w:lang w:val="en-GB" w:eastAsia="en-GB" w:bidi="ar-SA"/>
    </w:rPr>
  </w:style>
  <w:style w:type="paragraph" w:customStyle="1" w:styleId="28">
    <w:name w:val="No Spacing1"/>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15"/>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UWTSD</Company>
  <Pages>9</Pages>
  <Words>3316</Words>
  <Characters>18906</Characters>
  <Lines>157</Lines>
  <Paragraphs>44</Paragraphs>
  <TotalTime>0</TotalTime>
  <ScaleCrop>false</ScaleCrop>
  <LinksUpToDate>false</LinksUpToDate>
  <CharactersWithSpaces>22178</CharactersWithSpaces>
  <Application>WPS Office_6.14.0.8924_F1E327BC-269C-435d-A152-05C5408002CA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2024-10-31T06:10:00Z</dcterms:created>
  <dc:creator>Academic Office</dc:creator>
  <cp:lastModifiedBy>leaf</cp:lastModifiedBy>
  <cp:lastPrinted>2016-11-06T09:01:00Z</cp:lastPrinted>
  <dcterms:modified xsi:type="dcterms:W3CDTF">2025-01-06T15:30:01Z</dcterms:modified>
  <dc:title>PG1</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2052-6.14.0.8924</vt:lpwstr>
  </property>
  <property fmtid="{D5CDD505-2E9C-101B-9397-08002B2CF9AE}" pid="7" name="ICV">
    <vt:lpwstr>324560CA4BE59FB8A40A216770903094_43</vt:lpwstr>
  </property>
</Properties>
</file>