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20AD7" w14:textId="569840D3" w:rsidR="00CF378E" w:rsidRPr="00551590" w:rsidRDefault="001B3687" w:rsidP="00C61843">
      <w:pPr>
        <w:pStyle w:val="NormalWeb"/>
        <w:rPr>
          <w:rFonts w:asciiTheme="minorHAnsi" w:hAnsiTheme="minorHAnsi" w:cstheme="majorHAnsi"/>
          <w:sz w:val="22"/>
          <w:szCs w:val="22"/>
          <w:lang w:val="en-US"/>
        </w:rPr>
      </w:pPr>
      <w:r w:rsidRPr="00551590">
        <w:rPr>
          <w:rFonts w:asciiTheme="minorHAnsi" w:hAnsiTheme="minorHAnsi" w:cstheme="majorHAnsi"/>
          <w:sz w:val="22"/>
          <w:szCs w:val="22"/>
          <w:lang w:val="en-US"/>
        </w:rPr>
        <w:t xml:space="preserve">Negligence is defined in Blyth V Birmingham Waterworks Co (1856) as not doing something a reasonable man would do or doing something a reasonable man would not do. </w:t>
      </w:r>
      <w:r w:rsidR="00C61843" w:rsidRPr="00551590">
        <w:rPr>
          <w:rFonts w:asciiTheme="minorHAnsi" w:hAnsiTheme="minorHAnsi" w:cstheme="majorHAnsi"/>
          <w:sz w:val="22"/>
          <w:szCs w:val="22"/>
          <w:lang w:val="en-US"/>
        </w:rPr>
        <w:t>A</w:t>
      </w:r>
      <w:r w:rsidR="007836B0" w:rsidRPr="00551590">
        <w:rPr>
          <w:rFonts w:asciiTheme="minorHAnsi" w:hAnsiTheme="minorHAnsi" w:cstheme="majorHAnsi"/>
          <w:sz w:val="22"/>
          <w:szCs w:val="22"/>
          <w:lang w:val="en-US"/>
        </w:rPr>
        <w:t xml:space="preserve"> standard of care relates specifically to a</w:t>
      </w:r>
      <w:r w:rsidR="00C61843" w:rsidRPr="00551590">
        <w:rPr>
          <w:rFonts w:asciiTheme="minorHAnsi" w:hAnsiTheme="minorHAnsi" w:cstheme="majorHAnsi"/>
          <w:sz w:val="22"/>
          <w:szCs w:val="22"/>
          <w:lang w:val="en-US"/>
        </w:rPr>
        <w:t xml:space="preserve"> duty of care</w:t>
      </w:r>
      <w:r w:rsidR="007836B0" w:rsidRPr="00551590">
        <w:rPr>
          <w:rFonts w:asciiTheme="minorHAnsi" w:hAnsiTheme="minorHAnsi" w:cstheme="majorHAnsi"/>
          <w:sz w:val="22"/>
          <w:szCs w:val="22"/>
          <w:lang w:val="en-US"/>
        </w:rPr>
        <w:t>. A duty of care</w:t>
      </w:r>
      <w:r w:rsidR="00C61843" w:rsidRPr="00551590">
        <w:rPr>
          <w:rFonts w:asciiTheme="minorHAnsi" w:hAnsiTheme="minorHAnsi" w:cstheme="majorHAnsi"/>
          <w:sz w:val="22"/>
          <w:szCs w:val="22"/>
          <w:lang w:val="en-US"/>
        </w:rPr>
        <w:t xml:space="preserve"> </w:t>
      </w:r>
      <w:r w:rsidR="007836B0" w:rsidRPr="00551590">
        <w:rPr>
          <w:rFonts w:asciiTheme="minorHAnsi" w:hAnsiTheme="minorHAnsi" w:cstheme="majorHAnsi"/>
          <w:sz w:val="22"/>
          <w:szCs w:val="22"/>
          <w:lang w:val="en-US"/>
        </w:rPr>
        <w:t>refers</w:t>
      </w:r>
      <w:r w:rsidR="00C61843" w:rsidRPr="00551590">
        <w:rPr>
          <w:rFonts w:asciiTheme="minorHAnsi" w:hAnsiTheme="minorHAnsi" w:cstheme="majorHAnsi"/>
          <w:sz w:val="22"/>
          <w:szCs w:val="22"/>
          <w:lang w:val="en-US"/>
        </w:rPr>
        <w:t xml:space="preserve"> to </w:t>
      </w:r>
      <w:r w:rsidR="00023D56" w:rsidRPr="00551590">
        <w:rPr>
          <w:rFonts w:asciiTheme="minorHAnsi" w:hAnsiTheme="minorHAnsi" w:cstheme="majorHAnsi"/>
          <w:sz w:val="22"/>
          <w:szCs w:val="22"/>
          <w:lang w:val="en-US"/>
        </w:rPr>
        <w:t>the</w:t>
      </w:r>
      <w:r w:rsidR="00C61843" w:rsidRPr="00551590">
        <w:rPr>
          <w:rFonts w:asciiTheme="minorHAnsi" w:hAnsiTheme="minorHAnsi" w:cstheme="majorHAnsi"/>
          <w:sz w:val="22"/>
          <w:szCs w:val="22"/>
          <w:lang w:val="en-US"/>
        </w:rPr>
        <w:t xml:space="preserve"> duty of an individual or organization to be aware of the effects their actions and choices may have on an individual or their ‘neighbors’ (</w:t>
      </w:r>
      <w:r w:rsidR="00C61843" w:rsidRPr="00551590">
        <w:rPr>
          <w:rFonts w:asciiTheme="minorHAnsi" w:hAnsiTheme="minorHAnsi" w:cstheme="majorHAnsi"/>
          <w:sz w:val="22"/>
          <w:szCs w:val="22"/>
        </w:rPr>
        <w:t xml:space="preserve">Heaven v Pender 1883, Donoghue v Stevenson 1932). </w:t>
      </w:r>
      <w:r w:rsidRPr="00551590">
        <w:rPr>
          <w:rFonts w:asciiTheme="minorHAnsi" w:hAnsiTheme="minorHAnsi" w:cstheme="majorHAnsi"/>
          <w:sz w:val="22"/>
          <w:szCs w:val="22"/>
          <w:lang w:val="en-US"/>
        </w:rPr>
        <w:t xml:space="preserve">To have a successful negligence case it must be proven the defendant had a duty of care to the claimant, that the duty of care was breached and that the breach of the duty of care </w:t>
      </w:r>
      <w:r w:rsidR="00C61843" w:rsidRPr="00551590">
        <w:rPr>
          <w:rFonts w:asciiTheme="minorHAnsi" w:hAnsiTheme="minorHAnsi" w:cstheme="majorHAnsi"/>
          <w:sz w:val="22"/>
          <w:szCs w:val="22"/>
          <w:lang w:val="en-US"/>
        </w:rPr>
        <w:t>was the cause of the damage to the claimant</w:t>
      </w:r>
      <w:r w:rsidRPr="00551590">
        <w:rPr>
          <w:rFonts w:asciiTheme="minorHAnsi" w:hAnsiTheme="minorHAnsi" w:cstheme="majorHAnsi"/>
          <w:sz w:val="22"/>
          <w:szCs w:val="22"/>
          <w:lang w:val="en-US"/>
        </w:rPr>
        <w:t>.</w:t>
      </w:r>
      <w:r w:rsidR="00C61843" w:rsidRPr="00551590">
        <w:rPr>
          <w:rFonts w:asciiTheme="minorHAnsi" w:hAnsiTheme="minorHAnsi" w:cstheme="majorHAnsi"/>
          <w:sz w:val="22"/>
          <w:szCs w:val="22"/>
          <w:lang w:val="en-US"/>
        </w:rPr>
        <w:t xml:space="preserve"> </w:t>
      </w:r>
      <w:r w:rsidR="007C42EF" w:rsidRPr="00551590">
        <w:rPr>
          <w:rFonts w:asciiTheme="minorHAnsi" w:hAnsiTheme="minorHAnsi" w:cstheme="majorHAnsi"/>
          <w:sz w:val="22"/>
          <w:szCs w:val="22"/>
          <w:lang w:val="en-US"/>
        </w:rPr>
        <w:t xml:space="preserve">The standard of care element comes into place when establishing if the duty of care was breached. </w:t>
      </w:r>
      <w:r w:rsidR="00023D56" w:rsidRPr="00551590">
        <w:rPr>
          <w:rFonts w:asciiTheme="minorHAnsi" w:hAnsiTheme="minorHAnsi" w:cstheme="majorHAnsi"/>
          <w:sz w:val="22"/>
          <w:szCs w:val="22"/>
          <w:lang w:val="en-US"/>
        </w:rPr>
        <w:t>This essay will discuss the fairness and flexibility in the standard of care in negligence between the claimant and the defendant.</w:t>
      </w:r>
    </w:p>
    <w:p w14:paraId="4D3823EA" w14:textId="1A327517" w:rsidR="00D44A7B" w:rsidRPr="00551590" w:rsidRDefault="005C2F3D" w:rsidP="00D44A7B">
      <w:pPr>
        <w:rPr>
          <w:rFonts w:asciiTheme="minorHAnsi" w:hAnsiTheme="minorHAnsi" w:cstheme="majorHAnsi"/>
          <w:sz w:val="22"/>
          <w:szCs w:val="22"/>
        </w:rPr>
      </w:pPr>
      <w:r w:rsidRPr="00551590">
        <w:rPr>
          <w:rFonts w:asciiTheme="minorHAnsi" w:hAnsiTheme="minorHAnsi" w:cstheme="majorHAnsi"/>
          <w:sz w:val="22"/>
          <w:szCs w:val="22"/>
        </w:rPr>
        <w:t xml:space="preserve">A duty of care must be present to establish a negligence case. </w:t>
      </w:r>
      <w:r w:rsidR="004E545C" w:rsidRPr="00551590">
        <w:rPr>
          <w:rFonts w:asciiTheme="minorHAnsi" w:hAnsiTheme="minorHAnsi" w:cstheme="majorHAnsi"/>
          <w:sz w:val="22"/>
          <w:szCs w:val="22"/>
        </w:rPr>
        <w:t>The Caparo test (Caparo Industries PLC v Dickman 1990) lists three criteria to highlight a duty of care</w:t>
      </w:r>
      <w:r w:rsidR="002069B9" w:rsidRPr="00551590">
        <w:rPr>
          <w:rFonts w:asciiTheme="minorHAnsi" w:hAnsiTheme="minorHAnsi" w:cstheme="majorHAnsi"/>
          <w:sz w:val="22"/>
          <w:szCs w:val="22"/>
        </w:rPr>
        <w:t>: foreseeability, proximity and that it is fair just and reasonable to impose a duty of care.</w:t>
      </w:r>
      <w:r w:rsidR="004E545C" w:rsidRPr="00551590">
        <w:rPr>
          <w:rFonts w:asciiTheme="minorHAnsi" w:hAnsiTheme="minorHAnsi" w:cstheme="majorHAnsi"/>
          <w:sz w:val="22"/>
          <w:szCs w:val="22"/>
        </w:rPr>
        <w:t xml:space="preserve"> This test is underpinned by the Neighbour Test established Donoghue v Stevenson (1932). In this case Lord Atkin defines a neighbour in this phrasing ‘</w:t>
      </w:r>
      <w:r w:rsidR="004E545C" w:rsidRPr="00551590">
        <w:rPr>
          <w:rFonts w:asciiTheme="minorHAnsi" w:hAnsiTheme="minorHAnsi" w:cstheme="majorHAnsi"/>
          <w:color w:val="000000"/>
          <w:sz w:val="22"/>
          <w:szCs w:val="22"/>
          <w:shd w:val="clear" w:color="auto" w:fill="FFFFFF"/>
        </w:rPr>
        <w:t>persons who are so closely and directly affected’ that its ‘reasonable’ to consider they would be ‘affected by the acts ‘in question’</w:t>
      </w:r>
      <w:r w:rsidR="007836B0" w:rsidRPr="00551590">
        <w:rPr>
          <w:rFonts w:asciiTheme="minorHAnsi" w:hAnsiTheme="minorHAnsi" w:cstheme="majorHAnsi"/>
          <w:color w:val="000000"/>
          <w:sz w:val="22"/>
          <w:szCs w:val="22"/>
          <w:shd w:val="clear" w:color="auto" w:fill="FFFFFF"/>
        </w:rPr>
        <w:t xml:space="preserve">. </w:t>
      </w:r>
      <w:r w:rsidR="00D44A7B" w:rsidRPr="00551590">
        <w:rPr>
          <w:rFonts w:asciiTheme="minorHAnsi" w:hAnsiTheme="minorHAnsi" w:cstheme="majorHAnsi"/>
          <w:color w:val="000000"/>
          <w:sz w:val="22"/>
          <w:szCs w:val="22"/>
          <w:shd w:val="clear" w:color="auto" w:fill="FFFFFF"/>
        </w:rPr>
        <w:t xml:space="preserve">There are certain situations where there is an assumed duty of </w:t>
      </w:r>
      <w:r w:rsidR="002069B9" w:rsidRPr="00551590">
        <w:rPr>
          <w:rFonts w:asciiTheme="minorHAnsi" w:hAnsiTheme="minorHAnsi" w:cstheme="majorHAnsi"/>
          <w:color w:val="000000"/>
          <w:sz w:val="22"/>
          <w:szCs w:val="22"/>
          <w:shd w:val="clear" w:color="auto" w:fill="FFFFFF"/>
        </w:rPr>
        <w:t>care</w:t>
      </w:r>
      <w:r w:rsidR="00D44A7B" w:rsidRPr="00551590">
        <w:rPr>
          <w:rFonts w:asciiTheme="minorHAnsi" w:hAnsiTheme="minorHAnsi" w:cstheme="majorHAnsi"/>
          <w:color w:val="000000"/>
          <w:sz w:val="22"/>
          <w:szCs w:val="22"/>
          <w:shd w:val="clear" w:color="auto" w:fill="FFFFFF"/>
        </w:rPr>
        <w:t xml:space="preserve">. </w:t>
      </w:r>
      <w:r w:rsidR="00D44A7B" w:rsidRPr="00551590">
        <w:rPr>
          <w:rFonts w:asciiTheme="minorHAnsi" w:hAnsiTheme="minorHAnsi" w:cstheme="majorHAnsi"/>
          <w:color w:val="212529"/>
          <w:sz w:val="22"/>
          <w:szCs w:val="22"/>
          <w:shd w:val="clear" w:color="auto" w:fill="FFFFFF"/>
        </w:rPr>
        <w:t xml:space="preserve">Lord Morris comments in Hedley Byrne v Heller (1964) highlight the established duty of care when an individual has ‘a special skill’ that they ‘apply’ to aid another person who ‘relies on that skill’. This can be used to cover the established duty of care between a doctor and patient, teacher and student or an employee and employer. </w:t>
      </w:r>
      <w:r w:rsidR="00FD2DB2" w:rsidRPr="00551590">
        <w:rPr>
          <w:rFonts w:asciiTheme="minorHAnsi" w:hAnsiTheme="minorHAnsi" w:cstheme="majorHAnsi"/>
          <w:color w:val="000000"/>
          <w:sz w:val="22"/>
          <w:szCs w:val="22"/>
        </w:rPr>
        <w:t xml:space="preserve">It is important to note that the law does not expect the skilled person to act perfectly but merely as a ‘reasonable competent person’ would </w:t>
      </w:r>
      <w:r w:rsidR="00FD2DB2" w:rsidRPr="00551590">
        <w:rPr>
          <w:rFonts w:asciiTheme="minorHAnsi" w:hAnsiTheme="minorHAnsi" w:cstheme="majorHAnsi"/>
          <w:sz w:val="22"/>
          <w:szCs w:val="22"/>
        </w:rPr>
        <w:t>(</w:t>
      </w:r>
      <w:r w:rsidR="00FD2DB2" w:rsidRPr="00551590">
        <w:rPr>
          <w:rFonts w:asciiTheme="minorHAnsi" w:hAnsiTheme="minorHAnsi" w:cstheme="majorHAnsi"/>
          <w:color w:val="212529"/>
          <w:sz w:val="22"/>
          <w:szCs w:val="22"/>
        </w:rPr>
        <w:t>Hall v Brooklands Auto-Racing Club 1933).</w:t>
      </w:r>
    </w:p>
    <w:p w14:paraId="0620D29F" w14:textId="7DC69D0C" w:rsidR="004E545C" w:rsidRPr="00551590" w:rsidRDefault="004E545C" w:rsidP="001374F7">
      <w:pPr>
        <w:rPr>
          <w:rFonts w:asciiTheme="minorHAnsi" w:hAnsiTheme="minorHAnsi" w:cstheme="majorHAnsi"/>
          <w:sz w:val="22"/>
          <w:szCs w:val="22"/>
        </w:rPr>
      </w:pPr>
    </w:p>
    <w:p w14:paraId="5FB9BF18" w14:textId="65123866" w:rsidR="0004500E" w:rsidRPr="00551590" w:rsidRDefault="00D44A7B">
      <w:pPr>
        <w:rPr>
          <w:rFonts w:asciiTheme="minorHAnsi" w:hAnsiTheme="minorHAnsi" w:cstheme="majorHAnsi"/>
          <w:sz w:val="22"/>
          <w:szCs w:val="22"/>
        </w:rPr>
      </w:pPr>
      <w:r w:rsidRPr="00551590">
        <w:rPr>
          <w:rFonts w:asciiTheme="minorHAnsi" w:hAnsiTheme="minorHAnsi" w:cstheme="majorHAnsi"/>
          <w:sz w:val="22"/>
          <w:szCs w:val="22"/>
        </w:rPr>
        <w:t xml:space="preserve">Once a duty of care has been established it needs to be decided if the </w:t>
      </w:r>
      <w:r w:rsidR="009C7C99" w:rsidRPr="00551590">
        <w:rPr>
          <w:rFonts w:asciiTheme="minorHAnsi" w:hAnsiTheme="minorHAnsi" w:cstheme="majorHAnsi"/>
          <w:sz w:val="22"/>
          <w:szCs w:val="22"/>
        </w:rPr>
        <w:t>defendants’</w:t>
      </w:r>
      <w:r w:rsidRPr="00551590">
        <w:rPr>
          <w:rFonts w:asciiTheme="minorHAnsi" w:hAnsiTheme="minorHAnsi" w:cstheme="majorHAnsi"/>
          <w:sz w:val="22"/>
          <w:szCs w:val="22"/>
        </w:rPr>
        <w:t xml:space="preserve"> actions breached the duty of care. </w:t>
      </w:r>
      <w:r w:rsidR="002069B9" w:rsidRPr="00551590">
        <w:rPr>
          <w:rFonts w:asciiTheme="minorHAnsi" w:hAnsiTheme="minorHAnsi" w:cstheme="majorHAnsi"/>
          <w:sz w:val="22"/>
          <w:szCs w:val="22"/>
        </w:rPr>
        <w:t xml:space="preserve">To establish </w:t>
      </w:r>
      <w:r w:rsidR="00551590">
        <w:rPr>
          <w:rFonts w:asciiTheme="minorHAnsi" w:hAnsiTheme="minorHAnsi" w:cstheme="majorHAnsi"/>
          <w:sz w:val="22"/>
          <w:szCs w:val="22"/>
        </w:rPr>
        <w:t>this</w:t>
      </w:r>
      <w:r w:rsidR="00551590" w:rsidRPr="00551590">
        <w:rPr>
          <w:rFonts w:asciiTheme="minorHAnsi" w:hAnsiTheme="minorHAnsi" w:cstheme="majorHAnsi"/>
          <w:sz w:val="22"/>
          <w:szCs w:val="22"/>
        </w:rPr>
        <w:t xml:space="preserve"> two questions</w:t>
      </w:r>
      <w:r w:rsidR="002069B9" w:rsidRPr="00551590">
        <w:rPr>
          <w:rFonts w:asciiTheme="minorHAnsi" w:hAnsiTheme="minorHAnsi" w:cstheme="majorHAnsi"/>
          <w:sz w:val="22"/>
          <w:szCs w:val="22"/>
        </w:rPr>
        <w:t xml:space="preserve"> must be asked. What was the standard of care and did the defendant meet that standard of care. </w:t>
      </w:r>
    </w:p>
    <w:p w14:paraId="2EAD8BEE" w14:textId="77777777" w:rsidR="0004500E" w:rsidRPr="00551590" w:rsidRDefault="0004500E">
      <w:pPr>
        <w:rPr>
          <w:rFonts w:asciiTheme="minorHAnsi" w:hAnsiTheme="minorHAnsi" w:cstheme="majorHAnsi"/>
          <w:sz w:val="22"/>
          <w:szCs w:val="22"/>
        </w:rPr>
      </w:pPr>
    </w:p>
    <w:p w14:paraId="6A848583" w14:textId="1C2712B1" w:rsidR="002069B9" w:rsidRPr="00551590" w:rsidRDefault="00D44A7B">
      <w:pPr>
        <w:rPr>
          <w:rFonts w:asciiTheme="minorHAnsi" w:hAnsiTheme="minorHAnsi" w:cstheme="majorHAnsi"/>
          <w:sz w:val="22"/>
          <w:szCs w:val="22"/>
        </w:rPr>
      </w:pPr>
      <w:r w:rsidRPr="00551590">
        <w:rPr>
          <w:rFonts w:asciiTheme="minorHAnsi" w:hAnsiTheme="minorHAnsi" w:cstheme="majorHAnsi"/>
          <w:sz w:val="22"/>
          <w:szCs w:val="22"/>
        </w:rPr>
        <w:t>This falls within the criteria of foreseeability in The Caparo Test.</w:t>
      </w:r>
      <w:r w:rsidR="00FD2DB2" w:rsidRPr="00551590">
        <w:rPr>
          <w:rFonts w:asciiTheme="minorHAnsi" w:hAnsiTheme="minorHAnsi" w:cstheme="majorHAnsi"/>
          <w:sz w:val="22"/>
          <w:szCs w:val="22"/>
        </w:rPr>
        <w:t xml:space="preserve"> A standard of care is judged objectively and is a question of law. </w:t>
      </w:r>
      <w:r w:rsidR="002069B9" w:rsidRPr="00551590">
        <w:rPr>
          <w:rFonts w:asciiTheme="minorHAnsi" w:hAnsiTheme="minorHAnsi" w:cstheme="majorHAnsi"/>
          <w:color w:val="212529"/>
          <w:sz w:val="22"/>
          <w:szCs w:val="22"/>
        </w:rPr>
        <w:t>Th</w:t>
      </w:r>
      <w:r w:rsidR="00FD2DB2" w:rsidRPr="00551590">
        <w:rPr>
          <w:rFonts w:asciiTheme="minorHAnsi" w:hAnsiTheme="minorHAnsi" w:cstheme="majorHAnsi"/>
          <w:color w:val="212529"/>
          <w:sz w:val="22"/>
          <w:szCs w:val="22"/>
        </w:rPr>
        <w:t>e</w:t>
      </w:r>
      <w:r w:rsidR="002069B9" w:rsidRPr="00551590">
        <w:rPr>
          <w:rFonts w:asciiTheme="minorHAnsi" w:hAnsiTheme="minorHAnsi" w:cstheme="majorHAnsi"/>
          <w:color w:val="212529"/>
          <w:sz w:val="22"/>
          <w:szCs w:val="22"/>
        </w:rPr>
        <w:t xml:space="preserve"> criteria in the standard of care</w:t>
      </w:r>
      <w:r w:rsidR="00FD2DB2" w:rsidRPr="00551590">
        <w:rPr>
          <w:rFonts w:asciiTheme="minorHAnsi" w:hAnsiTheme="minorHAnsi" w:cstheme="majorHAnsi"/>
          <w:color w:val="212529"/>
          <w:sz w:val="22"/>
          <w:szCs w:val="22"/>
        </w:rPr>
        <w:t xml:space="preserve"> is that of a reasonable man</w:t>
      </w:r>
      <w:r w:rsidR="00551590" w:rsidRPr="00551590">
        <w:rPr>
          <w:rFonts w:asciiTheme="minorHAnsi" w:hAnsiTheme="minorHAnsi" w:cstheme="majorHAnsi"/>
          <w:color w:val="212529"/>
          <w:sz w:val="22"/>
          <w:szCs w:val="22"/>
        </w:rPr>
        <w:t xml:space="preserve"> at the time of the event</w:t>
      </w:r>
      <w:r w:rsidR="00FD2DB2" w:rsidRPr="00551590">
        <w:rPr>
          <w:rFonts w:asciiTheme="minorHAnsi" w:hAnsiTheme="minorHAnsi" w:cstheme="majorHAnsi"/>
          <w:color w:val="212529"/>
          <w:sz w:val="22"/>
          <w:szCs w:val="22"/>
        </w:rPr>
        <w:t xml:space="preserve"> (</w:t>
      </w:r>
      <w:r w:rsidR="00FD2DB2" w:rsidRPr="00551590">
        <w:rPr>
          <w:rFonts w:asciiTheme="minorHAnsi" w:hAnsiTheme="minorHAnsi" w:cstheme="majorHAnsi"/>
          <w:sz w:val="22"/>
          <w:szCs w:val="22"/>
          <w:lang w:val="en-US"/>
        </w:rPr>
        <w:t>Blyth V Birmingham Waterworks Co 1856). This</w:t>
      </w:r>
      <w:r w:rsidR="00FD2DB2" w:rsidRPr="00551590">
        <w:rPr>
          <w:rFonts w:asciiTheme="minorHAnsi" w:hAnsiTheme="minorHAnsi" w:cstheme="majorHAnsi"/>
          <w:color w:val="212529"/>
          <w:sz w:val="22"/>
          <w:szCs w:val="22"/>
        </w:rPr>
        <w:t xml:space="preserve"> </w:t>
      </w:r>
      <w:r w:rsidR="002069B9" w:rsidRPr="00551590">
        <w:rPr>
          <w:rFonts w:asciiTheme="minorHAnsi" w:hAnsiTheme="minorHAnsi" w:cstheme="majorHAnsi"/>
          <w:color w:val="212529"/>
          <w:sz w:val="22"/>
          <w:szCs w:val="22"/>
        </w:rPr>
        <w:t xml:space="preserve">protects the defendant from being found negligent when </w:t>
      </w:r>
      <w:r w:rsidR="00FD2DB2" w:rsidRPr="00551590">
        <w:rPr>
          <w:rFonts w:asciiTheme="minorHAnsi" w:hAnsiTheme="minorHAnsi" w:cstheme="majorHAnsi"/>
          <w:color w:val="212529"/>
          <w:sz w:val="22"/>
          <w:szCs w:val="22"/>
        </w:rPr>
        <w:t xml:space="preserve">either </w:t>
      </w:r>
      <w:r w:rsidR="002069B9" w:rsidRPr="00551590">
        <w:rPr>
          <w:rFonts w:asciiTheme="minorHAnsi" w:hAnsiTheme="minorHAnsi" w:cstheme="majorHAnsi"/>
          <w:color w:val="212529"/>
          <w:sz w:val="22"/>
          <w:szCs w:val="22"/>
        </w:rPr>
        <w:t>the events were not forceable</w:t>
      </w:r>
      <w:r w:rsidR="00FD2DB2" w:rsidRPr="00551590">
        <w:rPr>
          <w:rFonts w:asciiTheme="minorHAnsi" w:hAnsiTheme="minorHAnsi" w:cstheme="majorHAnsi"/>
          <w:color w:val="212529"/>
          <w:sz w:val="22"/>
          <w:szCs w:val="22"/>
        </w:rPr>
        <w:t xml:space="preserve"> or </w:t>
      </w:r>
      <w:r w:rsidR="002069B9" w:rsidRPr="00551590">
        <w:rPr>
          <w:rFonts w:asciiTheme="minorHAnsi" w:hAnsiTheme="minorHAnsi" w:cstheme="majorHAnsi"/>
          <w:color w:val="212529"/>
          <w:sz w:val="22"/>
          <w:szCs w:val="22"/>
        </w:rPr>
        <w:t>reasonable measures were put in place to prevent damage</w:t>
      </w:r>
      <w:r w:rsidR="00FD2DB2" w:rsidRPr="00551590">
        <w:rPr>
          <w:rFonts w:asciiTheme="minorHAnsi" w:hAnsiTheme="minorHAnsi" w:cstheme="majorHAnsi"/>
          <w:color w:val="212529"/>
          <w:sz w:val="22"/>
          <w:szCs w:val="22"/>
        </w:rPr>
        <w:t>. The standard of a reasonable person is set against a reasonable person at the same skill level as the defendant. In cases involving a junior doctor or a learner driver a reasonable person to compare them to would be that of a qualified person in that skill (</w:t>
      </w:r>
      <w:r w:rsidR="00FD2DB2" w:rsidRPr="00551590">
        <w:rPr>
          <w:rFonts w:asciiTheme="minorHAnsi" w:hAnsiTheme="minorHAnsi" w:cstheme="majorHAnsi"/>
          <w:color w:val="000000"/>
          <w:sz w:val="22"/>
          <w:szCs w:val="22"/>
        </w:rPr>
        <w:t xml:space="preserve">Willsher v Essex Area Health Authority 1988 and </w:t>
      </w:r>
      <w:r w:rsidR="00FD2DB2" w:rsidRPr="00551590">
        <w:rPr>
          <w:rFonts w:asciiTheme="minorHAnsi" w:hAnsiTheme="minorHAnsi" w:cs="Arial"/>
          <w:sz w:val="22"/>
          <w:szCs w:val="22"/>
        </w:rPr>
        <w:t>Nettleship v Weston 1971</w:t>
      </w:r>
      <w:r w:rsidR="00FD2DB2" w:rsidRPr="00551590">
        <w:rPr>
          <w:rFonts w:asciiTheme="minorHAnsi" w:hAnsiTheme="minorHAnsi" w:cstheme="majorHAnsi"/>
          <w:color w:val="000000"/>
          <w:sz w:val="22"/>
          <w:szCs w:val="22"/>
        </w:rPr>
        <w:t>). This protects the standard of care that should be afforded to potential claimants that potential defendants would be required to take responsibility for their actions when partaking in risky activities.</w:t>
      </w:r>
    </w:p>
    <w:p w14:paraId="265DC55C" w14:textId="77777777" w:rsidR="00FD2DB2" w:rsidRPr="00551590" w:rsidRDefault="00FD2DB2">
      <w:pPr>
        <w:rPr>
          <w:rFonts w:asciiTheme="minorHAnsi" w:hAnsiTheme="minorHAnsi" w:cstheme="majorHAnsi"/>
          <w:color w:val="212529"/>
          <w:sz w:val="22"/>
          <w:szCs w:val="22"/>
        </w:rPr>
      </w:pPr>
    </w:p>
    <w:p w14:paraId="1C768DE3" w14:textId="070A87C9" w:rsidR="00FD2DB2" w:rsidRPr="00551590" w:rsidRDefault="00FD2DB2" w:rsidP="002069B9">
      <w:pPr>
        <w:rPr>
          <w:rFonts w:asciiTheme="minorHAnsi" w:hAnsiTheme="minorHAnsi" w:cstheme="majorHAnsi"/>
          <w:sz w:val="22"/>
          <w:szCs w:val="22"/>
        </w:rPr>
      </w:pPr>
      <w:r w:rsidRPr="00551590">
        <w:rPr>
          <w:rFonts w:asciiTheme="minorHAnsi" w:hAnsiTheme="minorHAnsi" w:cstheme="majorHAnsi"/>
          <w:sz w:val="22"/>
          <w:szCs w:val="22"/>
        </w:rPr>
        <w:t xml:space="preserve">As the standard of care is an objective test it </w:t>
      </w:r>
      <w:r w:rsidR="002069B9" w:rsidRPr="00551590">
        <w:rPr>
          <w:rFonts w:asciiTheme="minorHAnsi" w:hAnsiTheme="minorHAnsi" w:cstheme="majorHAnsi"/>
          <w:sz w:val="22"/>
          <w:szCs w:val="22"/>
        </w:rPr>
        <w:t xml:space="preserve">does not reflect personal characteristics or qualities </w:t>
      </w:r>
      <w:r w:rsidR="00551590" w:rsidRPr="00551590">
        <w:rPr>
          <w:rFonts w:asciiTheme="minorHAnsi" w:hAnsiTheme="minorHAnsi" w:cstheme="majorHAnsi"/>
          <w:sz w:val="22"/>
          <w:szCs w:val="22"/>
        </w:rPr>
        <w:t xml:space="preserve">which prompts that the law lacks flexibility </w:t>
      </w:r>
      <w:r w:rsidR="002069B9" w:rsidRPr="00551590">
        <w:rPr>
          <w:rFonts w:asciiTheme="minorHAnsi" w:hAnsiTheme="minorHAnsi" w:cstheme="majorHAnsi"/>
          <w:sz w:val="22"/>
          <w:szCs w:val="22"/>
        </w:rPr>
        <w:t xml:space="preserve">(Dunnage v Randall and Another 2015). </w:t>
      </w:r>
      <w:r w:rsidR="00551590" w:rsidRPr="00551590">
        <w:rPr>
          <w:rFonts w:asciiTheme="minorHAnsi" w:hAnsiTheme="minorHAnsi" w:cstheme="majorHAnsi"/>
          <w:sz w:val="22"/>
          <w:szCs w:val="22"/>
        </w:rPr>
        <w:t>However, when considering different case law it is clear to see there</w:t>
      </w:r>
      <w:r w:rsidR="007C42EF" w:rsidRPr="00551590">
        <w:rPr>
          <w:rFonts w:asciiTheme="minorHAnsi" w:hAnsiTheme="minorHAnsi" w:cstheme="majorHAnsi"/>
          <w:sz w:val="22"/>
          <w:szCs w:val="22"/>
        </w:rPr>
        <w:t xml:space="preserve"> certain exceptions to this rule</w:t>
      </w:r>
      <w:r w:rsidR="00551590" w:rsidRPr="00551590">
        <w:rPr>
          <w:rFonts w:asciiTheme="minorHAnsi" w:hAnsiTheme="minorHAnsi" w:cstheme="majorHAnsi"/>
          <w:sz w:val="22"/>
          <w:szCs w:val="22"/>
        </w:rPr>
        <w:t xml:space="preserve"> which promotes the fairness and flexibility</w:t>
      </w:r>
      <w:r w:rsidRPr="00551590">
        <w:rPr>
          <w:rFonts w:asciiTheme="minorHAnsi" w:hAnsiTheme="minorHAnsi" w:cstheme="majorHAnsi"/>
          <w:sz w:val="22"/>
          <w:szCs w:val="22"/>
        </w:rPr>
        <w:t xml:space="preserve">. </w:t>
      </w:r>
      <w:r w:rsidR="00551590" w:rsidRPr="00551590">
        <w:rPr>
          <w:rFonts w:asciiTheme="minorHAnsi" w:hAnsiTheme="minorHAnsi" w:cstheme="majorHAnsi"/>
          <w:color w:val="212529"/>
          <w:sz w:val="22"/>
          <w:szCs w:val="22"/>
        </w:rPr>
        <w:t xml:space="preserve">A first example of this </w:t>
      </w:r>
      <w:r w:rsidRPr="00551590">
        <w:rPr>
          <w:rFonts w:asciiTheme="minorHAnsi" w:hAnsiTheme="minorHAnsi" w:cstheme="majorHAnsi"/>
          <w:color w:val="212529"/>
          <w:sz w:val="22"/>
          <w:szCs w:val="22"/>
        </w:rPr>
        <w:t>can be seen in the Bolam Test which was further developed in Bolitho v City and Hackney Health Authority (1997) which requires a doctors actions to be deemed logical with a defensible basis in the circumstance by a board of similarly skilled professionals (Bolam Friern hospital management committee 1957).</w:t>
      </w:r>
      <w:r w:rsidR="002069B9" w:rsidRPr="00551590">
        <w:rPr>
          <w:rFonts w:asciiTheme="minorHAnsi" w:hAnsiTheme="minorHAnsi" w:cstheme="majorHAnsi"/>
          <w:color w:val="212529"/>
          <w:sz w:val="22"/>
          <w:szCs w:val="22"/>
        </w:rPr>
        <w:t xml:space="preserve"> </w:t>
      </w:r>
      <w:r w:rsidRPr="00551590">
        <w:rPr>
          <w:rFonts w:asciiTheme="minorHAnsi" w:hAnsiTheme="minorHAnsi" w:cstheme="majorHAnsi"/>
          <w:color w:val="212529"/>
          <w:sz w:val="22"/>
          <w:szCs w:val="22"/>
        </w:rPr>
        <w:t>This can be seen to bring a fair balance to the interests of the defendants as even when the results are tragic the actions of the professional can still be deemed not negligent if the board agrees with the moves taken (Whitehouse V Jordan 1981). However, this need for a board to find a professional’s actions justifiable provides the claimant with the security of avoiding ‘doctor knows best’ treatment and reassurance that the standard of care is less likely to be negligent (Chester v Afshar 2004)</w:t>
      </w:r>
      <w:r w:rsidR="00551590" w:rsidRPr="00551590">
        <w:rPr>
          <w:rFonts w:asciiTheme="minorHAnsi" w:hAnsiTheme="minorHAnsi" w:cstheme="majorHAnsi"/>
          <w:color w:val="212529"/>
          <w:sz w:val="22"/>
          <w:szCs w:val="22"/>
        </w:rPr>
        <w:t>.</w:t>
      </w:r>
      <w:r w:rsidR="00551590" w:rsidRPr="00551590">
        <w:rPr>
          <w:rFonts w:asciiTheme="minorHAnsi" w:hAnsiTheme="minorHAnsi" w:cstheme="majorHAnsi"/>
          <w:sz w:val="22"/>
          <w:szCs w:val="22"/>
        </w:rPr>
        <w:t xml:space="preserve"> </w:t>
      </w:r>
      <w:r w:rsidRPr="00551590">
        <w:rPr>
          <w:rFonts w:asciiTheme="minorHAnsi" w:hAnsiTheme="minorHAnsi" w:cstheme="majorHAnsi"/>
          <w:sz w:val="22"/>
          <w:szCs w:val="22"/>
        </w:rPr>
        <w:t xml:space="preserve">Another </w:t>
      </w:r>
      <w:r w:rsidRPr="00551590">
        <w:rPr>
          <w:rFonts w:asciiTheme="minorHAnsi" w:hAnsiTheme="minorHAnsi" w:cstheme="majorHAnsi"/>
          <w:sz w:val="22"/>
          <w:szCs w:val="22"/>
        </w:rPr>
        <w:lastRenderedPageBreak/>
        <w:t>characteristic which is taken into consideration when allocating a higher standard of care is if a person has a vulnerability</w:t>
      </w:r>
      <w:r w:rsidR="002069B9" w:rsidRPr="00551590">
        <w:rPr>
          <w:rFonts w:asciiTheme="minorHAnsi" w:hAnsiTheme="minorHAnsi" w:cstheme="majorHAnsi"/>
          <w:sz w:val="22"/>
          <w:szCs w:val="22"/>
        </w:rPr>
        <w:t xml:space="preserve">. This </w:t>
      </w:r>
      <w:r w:rsidRPr="00551590">
        <w:rPr>
          <w:rFonts w:asciiTheme="minorHAnsi" w:hAnsiTheme="minorHAnsi" w:cstheme="majorHAnsi"/>
          <w:sz w:val="22"/>
          <w:szCs w:val="22"/>
        </w:rPr>
        <w:t xml:space="preserve">flexibility </w:t>
      </w:r>
      <w:r w:rsidR="002069B9" w:rsidRPr="00551590">
        <w:rPr>
          <w:rFonts w:asciiTheme="minorHAnsi" w:hAnsiTheme="minorHAnsi" w:cstheme="majorHAnsi"/>
          <w:sz w:val="22"/>
          <w:szCs w:val="22"/>
        </w:rPr>
        <w:t xml:space="preserve">protects the interest of the claimant </w:t>
      </w:r>
      <w:r w:rsidRPr="00551590">
        <w:rPr>
          <w:rFonts w:asciiTheme="minorHAnsi" w:hAnsiTheme="minorHAnsi" w:cstheme="majorHAnsi"/>
          <w:sz w:val="22"/>
          <w:szCs w:val="22"/>
        </w:rPr>
        <w:t>with a vulnerability whose harm if an accident would</w:t>
      </w:r>
      <w:r w:rsidR="00551590" w:rsidRPr="00551590">
        <w:rPr>
          <w:rFonts w:asciiTheme="minorHAnsi" w:hAnsiTheme="minorHAnsi" w:cstheme="majorHAnsi"/>
          <w:sz w:val="22"/>
          <w:szCs w:val="22"/>
        </w:rPr>
        <w:t xml:space="preserve"> occur would</w:t>
      </w:r>
      <w:r w:rsidRPr="00551590">
        <w:rPr>
          <w:rFonts w:asciiTheme="minorHAnsi" w:hAnsiTheme="minorHAnsi" w:cstheme="majorHAnsi"/>
          <w:sz w:val="22"/>
          <w:szCs w:val="22"/>
        </w:rPr>
        <w:t xml:space="preserve"> be higher</w:t>
      </w:r>
      <w:r w:rsidR="002069B9" w:rsidRPr="00551590">
        <w:rPr>
          <w:rFonts w:asciiTheme="minorHAnsi" w:hAnsiTheme="minorHAnsi" w:cstheme="majorHAnsi"/>
          <w:sz w:val="22"/>
          <w:szCs w:val="22"/>
        </w:rPr>
        <w:t xml:space="preserve"> (Paris v Stepney Borough Council 1951). </w:t>
      </w:r>
    </w:p>
    <w:p w14:paraId="2EE0A879" w14:textId="77777777" w:rsidR="00551590" w:rsidRPr="00551590" w:rsidRDefault="00551590" w:rsidP="002069B9">
      <w:pPr>
        <w:rPr>
          <w:rFonts w:asciiTheme="minorHAnsi" w:hAnsiTheme="minorHAnsi" w:cstheme="majorHAnsi"/>
          <w:sz w:val="22"/>
          <w:szCs w:val="22"/>
        </w:rPr>
      </w:pPr>
    </w:p>
    <w:p w14:paraId="03E841EE" w14:textId="3A07DE9F" w:rsidR="002069B9" w:rsidRPr="00551590" w:rsidRDefault="00551590" w:rsidP="002069B9">
      <w:pPr>
        <w:rPr>
          <w:rFonts w:asciiTheme="minorHAnsi" w:hAnsiTheme="minorHAnsi" w:cs="Arial"/>
          <w:sz w:val="22"/>
          <w:szCs w:val="22"/>
        </w:rPr>
      </w:pPr>
      <w:r w:rsidRPr="00551590">
        <w:rPr>
          <w:rFonts w:asciiTheme="minorHAnsi" w:hAnsiTheme="minorHAnsi" w:cstheme="majorHAnsi"/>
          <w:sz w:val="22"/>
          <w:szCs w:val="22"/>
        </w:rPr>
        <w:t>Flexibility is also promoted in the standard of care when considering the objective of the defendant at the time of the incident</w:t>
      </w:r>
      <w:r w:rsidR="00FD2DB2" w:rsidRPr="00551590">
        <w:rPr>
          <w:rFonts w:asciiTheme="minorHAnsi" w:hAnsiTheme="minorHAnsi" w:cstheme="majorHAnsi"/>
          <w:sz w:val="22"/>
          <w:szCs w:val="22"/>
        </w:rPr>
        <w:t xml:space="preserve"> </w:t>
      </w:r>
      <w:r w:rsidR="002069B9" w:rsidRPr="00551590">
        <w:rPr>
          <w:rFonts w:asciiTheme="minorHAnsi" w:hAnsiTheme="minorHAnsi" w:cstheme="majorHAnsi"/>
          <w:sz w:val="22"/>
          <w:szCs w:val="22"/>
        </w:rPr>
        <w:t>(</w:t>
      </w:r>
      <w:r w:rsidR="002069B9" w:rsidRPr="00551590">
        <w:rPr>
          <w:rStyle w:val="Strong"/>
          <w:rFonts w:asciiTheme="minorHAnsi" w:hAnsiTheme="minorHAnsi" w:cs="Segoe UI"/>
          <w:b w:val="0"/>
          <w:bCs w:val="0"/>
          <w:color w:val="212529"/>
          <w:sz w:val="22"/>
          <w:szCs w:val="22"/>
        </w:rPr>
        <w:t>Watt v Hertfordshire County Council 1954)</w:t>
      </w:r>
      <w:r w:rsidR="002069B9" w:rsidRPr="00551590">
        <w:rPr>
          <w:rFonts w:asciiTheme="minorHAnsi" w:hAnsiTheme="minorHAnsi" w:cstheme="majorHAnsi"/>
          <w:sz w:val="22"/>
          <w:szCs w:val="22"/>
        </w:rPr>
        <w:t xml:space="preserve">. </w:t>
      </w:r>
      <w:r w:rsidR="002069B9" w:rsidRPr="00551590">
        <w:rPr>
          <w:rFonts w:asciiTheme="minorHAnsi" w:hAnsiTheme="minorHAnsi" w:cs="Arial"/>
          <w:sz w:val="22"/>
          <w:szCs w:val="22"/>
        </w:rPr>
        <w:t xml:space="preserve">Social Action, Responsibility and Heroism Act (2015) </w:t>
      </w:r>
      <w:r w:rsidRPr="00551590">
        <w:rPr>
          <w:rFonts w:asciiTheme="minorHAnsi" w:hAnsiTheme="minorHAnsi" w:cs="Arial"/>
          <w:sz w:val="22"/>
          <w:szCs w:val="22"/>
        </w:rPr>
        <w:t xml:space="preserve">promotes the flexibility when considering the objective of the individual. </w:t>
      </w:r>
      <w:r w:rsidR="00FD2DB2" w:rsidRPr="00551590">
        <w:rPr>
          <w:rFonts w:asciiTheme="minorHAnsi" w:hAnsiTheme="minorHAnsi" w:cs="Arial"/>
          <w:sz w:val="22"/>
          <w:szCs w:val="22"/>
        </w:rPr>
        <w:t xml:space="preserve">The acts aim is to prevent a compensation culture and to ensure law does not dissuade individuals for helping each other. In cases like </w:t>
      </w:r>
      <w:r w:rsidR="00FD2DB2" w:rsidRPr="00551590">
        <w:rPr>
          <w:rStyle w:val="Strong"/>
          <w:rFonts w:asciiTheme="minorHAnsi" w:hAnsiTheme="minorHAnsi" w:cs="Segoe UI"/>
          <w:b w:val="0"/>
          <w:bCs w:val="0"/>
          <w:color w:val="212529"/>
          <w:sz w:val="22"/>
          <w:szCs w:val="22"/>
        </w:rPr>
        <w:t xml:space="preserve">Watt v Hertfordshire County Council (1954) </w:t>
      </w:r>
      <w:r w:rsidR="00FD2DB2" w:rsidRPr="00551590">
        <w:rPr>
          <w:rFonts w:asciiTheme="minorHAnsi" w:hAnsiTheme="minorHAnsi" w:cs="Arial"/>
          <w:sz w:val="22"/>
          <w:szCs w:val="22"/>
        </w:rPr>
        <w:t>i</w:t>
      </w:r>
      <w:r w:rsidR="002069B9" w:rsidRPr="00551590">
        <w:rPr>
          <w:rFonts w:asciiTheme="minorHAnsi" w:hAnsiTheme="minorHAnsi" w:cs="Arial"/>
          <w:sz w:val="22"/>
          <w:szCs w:val="22"/>
        </w:rPr>
        <w:t>t is important to note</w:t>
      </w:r>
      <w:r w:rsidR="00FD2DB2" w:rsidRPr="00551590">
        <w:rPr>
          <w:rFonts w:asciiTheme="minorHAnsi" w:hAnsiTheme="minorHAnsi" w:cs="Arial"/>
          <w:sz w:val="22"/>
          <w:szCs w:val="22"/>
        </w:rPr>
        <w:t>,</w:t>
      </w:r>
      <w:r w:rsidR="002069B9" w:rsidRPr="00551590">
        <w:rPr>
          <w:rFonts w:asciiTheme="minorHAnsi" w:hAnsiTheme="minorHAnsi" w:cs="Arial"/>
          <w:sz w:val="22"/>
          <w:szCs w:val="22"/>
        </w:rPr>
        <w:t xml:space="preserve"> that </w:t>
      </w:r>
      <w:r w:rsidR="00FD2DB2" w:rsidRPr="00551590">
        <w:rPr>
          <w:rFonts w:asciiTheme="minorHAnsi" w:hAnsiTheme="minorHAnsi" w:cs="Arial"/>
          <w:sz w:val="22"/>
          <w:szCs w:val="22"/>
        </w:rPr>
        <w:t xml:space="preserve">in a modern society, </w:t>
      </w:r>
      <w:r w:rsidR="002069B9" w:rsidRPr="00551590">
        <w:rPr>
          <w:rFonts w:asciiTheme="minorHAnsi" w:hAnsiTheme="minorHAnsi" w:cs="Arial"/>
          <w:sz w:val="22"/>
          <w:szCs w:val="22"/>
        </w:rPr>
        <w:t xml:space="preserve">acts such as The Health and Safety Act at Work </w:t>
      </w:r>
      <w:r w:rsidR="00FD2DB2" w:rsidRPr="00551590">
        <w:rPr>
          <w:rFonts w:asciiTheme="minorHAnsi" w:hAnsiTheme="minorHAnsi" w:cs="Arial"/>
          <w:sz w:val="22"/>
          <w:szCs w:val="22"/>
        </w:rPr>
        <w:t>(</w:t>
      </w:r>
      <w:r w:rsidR="002069B9" w:rsidRPr="00551590">
        <w:rPr>
          <w:rFonts w:asciiTheme="minorHAnsi" w:hAnsiTheme="minorHAnsi" w:cs="Arial"/>
          <w:sz w:val="22"/>
          <w:szCs w:val="22"/>
        </w:rPr>
        <w:t>1974</w:t>
      </w:r>
      <w:r w:rsidR="00FD2DB2" w:rsidRPr="00551590">
        <w:rPr>
          <w:rFonts w:asciiTheme="minorHAnsi" w:hAnsiTheme="minorHAnsi" w:cs="Arial"/>
          <w:sz w:val="22"/>
          <w:szCs w:val="22"/>
        </w:rPr>
        <w:t>)</w:t>
      </w:r>
      <w:r w:rsidR="002069B9" w:rsidRPr="00551590">
        <w:rPr>
          <w:rFonts w:asciiTheme="minorHAnsi" w:hAnsiTheme="minorHAnsi" w:cs="Arial"/>
          <w:sz w:val="22"/>
          <w:szCs w:val="22"/>
        </w:rPr>
        <w:t xml:space="preserve"> offer protection to claimants who would be harmed at work if the actions of someone in an emergency breached rules to aid another and caused harm. Allowing them to claim compensation and not be at a loss due to the defendants’ objectives.</w:t>
      </w:r>
      <w:r w:rsidR="00FD2DB2" w:rsidRPr="00551590">
        <w:rPr>
          <w:rFonts w:asciiTheme="minorHAnsi" w:hAnsiTheme="minorHAnsi" w:cs="Arial"/>
          <w:sz w:val="22"/>
          <w:szCs w:val="22"/>
        </w:rPr>
        <w:t xml:space="preserve"> This factor maintains the fairness in the flexibility of the standard of care between potential defendants and claimants. </w:t>
      </w:r>
      <w:r w:rsidR="002069B9" w:rsidRPr="00551590">
        <w:rPr>
          <w:rFonts w:asciiTheme="minorHAnsi" w:hAnsiTheme="minorHAnsi" w:cs="Arial"/>
          <w:sz w:val="22"/>
          <w:szCs w:val="22"/>
        </w:rPr>
        <w:t>A further factor which effects the expected standard of care is that of the cost of avoiding the harm.</w:t>
      </w:r>
      <w:r w:rsidRPr="00551590">
        <w:rPr>
          <w:rFonts w:asciiTheme="minorHAnsi" w:hAnsiTheme="minorHAnsi" w:cs="Arial"/>
          <w:sz w:val="22"/>
          <w:szCs w:val="22"/>
        </w:rPr>
        <w:t xml:space="preserve"> This promotes flexibility in what is expected of a potential. Defendant by weighing up the cost of completely eliminating the risk with the harm it would cause.</w:t>
      </w:r>
      <w:r w:rsidR="002069B9" w:rsidRPr="00551590">
        <w:rPr>
          <w:rFonts w:asciiTheme="minorHAnsi" w:hAnsiTheme="minorHAnsi" w:cs="Arial"/>
          <w:sz w:val="22"/>
          <w:szCs w:val="22"/>
        </w:rPr>
        <w:t xml:space="preserve"> This protects the defendant </w:t>
      </w:r>
      <w:r w:rsidRPr="00551590">
        <w:rPr>
          <w:rFonts w:asciiTheme="minorHAnsi" w:hAnsiTheme="minorHAnsi" w:cs="Arial"/>
          <w:sz w:val="22"/>
          <w:szCs w:val="22"/>
        </w:rPr>
        <w:t>as long</w:t>
      </w:r>
      <w:r w:rsidR="002069B9" w:rsidRPr="00551590">
        <w:rPr>
          <w:rFonts w:asciiTheme="minorHAnsi" w:hAnsiTheme="minorHAnsi" w:cs="Arial"/>
          <w:sz w:val="22"/>
          <w:szCs w:val="22"/>
        </w:rPr>
        <w:t xml:space="preserve"> as they have made reasonable efforts and put reasonable safeguards in place</w:t>
      </w:r>
      <w:r w:rsidRPr="00551590">
        <w:rPr>
          <w:rFonts w:asciiTheme="minorHAnsi" w:hAnsiTheme="minorHAnsi" w:cs="Arial"/>
          <w:sz w:val="22"/>
          <w:szCs w:val="22"/>
        </w:rPr>
        <w:t xml:space="preserve"> </w:t>
      </w:r>
      <w:r w:rsidR="002069B9" w:rsidRPr="00551590">
        <w:rPr>
          <w:rFonts w:asciiTheme="minorHAnsi" w:hAnsiTheme="minorHAnsi" w:cs="Arial"/>
          <w:sz w:val="22"/>
          <w:szCs w:val="22"/>
        </w:rPr>
        <w:t>(Latimer v AEC 1953).</w:t>
      </w:r>
      <w:r w:rsidR="00FD2DB2" w:rsidRPr="00551590">
        <w:rPr>
          <w:rFonts w:asciiTheme="minorHAnsi" w:hAnsiTheme="minorHAnsi" w:cs="Arial"/>
          <w:sz w:val="22"/>
          <w:szCs w:val="22"/>
        </w:rPr>
        <w:t xml:space="preserve"> </w:t>
      </w:r>
    </w:p>
    <w:p w14:paraId="3189BF21" w14:textId="77777777" w:rsidR="002069B9" w:rsidRPr="00551590" w:rsidRDefault="002069B9" w:rsidP="002069B9">
      <w:pPr>
        <w:rPr>
          <w:rFonts w:asciiTheme="minorHAnsi" w:hAnsiTheme="minorHAnsi" w:cstheme="majorHAnsi"/>
          <w:sz w:val="22"/>
          <w:szCs w:val="22"/>
        </w:rPr>
      </w:pPr>
    </w:p>
    <w:p w14:paraId="5D2D4A5E" w14:textId="6AD5893E" w:rsidR="000418EB" w:rsidRPr="00551590" w:rsidRDefault="000418EB" w:rsidP="000418EB">
      <w:pPr>
        <w:pBdr>
          <w:bottom w:val="single" w:sz="12" w:space="1" w:color="auto"/>
        </w:pBdr>
        <w:rPr>
          <w:rFonts w:asciiTheme="minorHAnsi" w:hAnsiTheme="minorHAnsi" w:cstheme="majorHAnsi"/>
          <w:color w:val="000000" w:themeColor="text1"/>
          <w:sz w:val="22"/>
          <w:szCs w:val="22"/>
        </w:rPr>
      </w:pPr>
      <w:r w:rsidRPr="00551590">
        <w:rPr>
          <w:rFonts w:asciiTheme="minorHAnsi" w:hAnsiTheme="minorHAnsi" w:cstheme="majorHAnsi"/>
          <w:sz w:val="22"/>
          <w:szCs w:val="22"/>
        </w:rPr>
        <w:t xml:space="preserve">The courts do not consider defendants to </w:t>
      </w:r>
      <w:r w:rsidR="00551590" w:rsidRPr="00551590">
        <w:rPr>
          <w:rFonts w:asciiTheme="minorHAnsi" w:hAnsiTheme="minorHAnsi" w:cstheme="majorHAnsi"/>
          <w:sz w:val="22"/>
          <w:szCs w:val="22"/>
        </w:rPr>
        <w:t>have breached a standard of care if the damage is a result of an action caused by a condition the defendant was not aware they had</w:t>
      </w:r>
      <w:r w:rsidRPr="00551590">
        <w:rPr>
          <w:rFonts w:asciiTheme="minorHAnsi" w:hAnsiTheme="minorHAnsi" w:cstheme="majorHAnsi"/>
          <w:sz w:val="22"/>
          <w:szCs w:val="22"/>
        </w:rPr>
        <w:t xml:space="preserve">. This can be seen in Mansfield v Weetabix (1998) which provides precedents in negligence tort that protects the rights of a defendant who causes damage due to a condition they are unaware of. The precedents set here </w:t>
      </w:r>
      <w:r w:rsidR="00551590" w:rsidRPr="00551590">
        <w:rPr>
          <w:rFonts w:asciiTheme="minorHAnsi" w:hAnsiTheme="minorHAnsi" w:cstheme="majorHAnsi"/>
          <w:sz w:val="22"/>
          <w:szCs w:val="22"/>
        </w:rPr>
        <w:t>protects the defendant by offering flexibility to the standard of care expected of them, but it is not seen as fair to the claimant as they left</w:t>
      </w:r>
      <w:r w:rsidRPr="00551590">
        <w:rPr>
          <w:rFonts w:asciiTheme="minorHAnsi" w:hAnsiTheme="minorHAnsi" w:cstheme="majorHAnsi"/>
          <w:sz w:val="22"/>
          <w:szCs w:val="22"/>
        </w:rPr>
        <w:t xml:space="preserve"> suffering the burden of correcting any losses themselves. </w:t>
      </w:r>
      <w:r w:rsidRPr="00551590">
        <w:rPr>
          <w:rFonts w:asciiTheme="minorHAnsi" w:hAnsiTheme="minorHAnsi" w:cstheme="majorHAnsi"/>
          <w:color w:val="000000" w:themeColor="text1"/>
          <w:kern w:val="36"/>
          <w:sz w:val="22"/>
          <w:szCs w:val="22"/>
          <w:bdr w:val="none" w:sz="0" w:space="0" w:color="auto" w:frame="1"/>
        </w:rPr>
        <w:t xml:space="preserve">Roberts v Ramsbottom (1980) offers protection of the claimant’s interest by setting that a defendant will not be seen to be taking reasonable care when damage is caused due to </w:t>
      </w:r>
      <w:r w:rsidR="002069B9" w:rsidRPr="00551590">
        <w:rPr>
          <w:rFonts w:asciiTheme="minorHAnsi" w:hAnsiTheme="minorHAnsi" w:cstheme="majorHAnsi"/>
          <w:color w:val="000000" w:themeColor="text1"/>
          <w:kern w:val="36"/>
          <w:sz w:val="22"/>
          <w:szCs w:val="22"/>
          <w:bdr w:val="none" w:sz="0" w:space="0" w:color="auto" w:frame="1"/>
        </w:rPr>
        <w:t>a</w:t>
      </w:r>
      <w:r w:rsidRPr="00551590">
        <w:rPr>
          <w:rFonts w:asciiTheme="minorHAnsi" w:hAnsiTheme="minorHAnsi" w:cstheme="majorHAnsi"/>
          <w:color w:val="000000" w:themeColor="text1"/>
          <w:kern w:val="36"/>
          <w:sz w:val="22"/>
          <w:szCs w:val="22"/>
          <w:bdr w:val="none" w:sz="0" w:space="0" w:color="auto" w:frame="1"/>
        </w:rPr>
        <w:t xml:space="preserve"> </w:t>
      </w:r>
      <w:r w:rsidR="002069B9" w:rsidRPr="00551590">
        <w:rPr>
          <w:rFonts w:asciiTheme="minorHAnsi" w:hAnsiTheme="minorHAnsi" w:cstheme="majorHAnsi"/>
          <w:color w:val="000000" w:themeColor="text1"/>
          <w:kern w:val="36"/>
          <w:sz w:val="22"/>
          <w:szCs w:val="22"/>
          <w:bdr w:val="none" w:sz="0" w:space="0" w:color="auto" w:frame="1"/>
        </w:rPr>
        <w:t>condition,</w:t>
      </w:r>
      <w:r w:rsidRPr="00551590">
        <w:rPr>
          <w:rFonts w:asciiTheme="minorHAnsi" w:hAnsiTheme="minorHAnsi" w:cstheme="majorHAnsi"/>
          <w:color w:val="000000" w:themeColor="text1"/>
          <w:kern w:val="36"/>
          <w:sz w:val="22"/>
          <w:szCs w:val="22"/>
          <w:bdr w:val="none" w:sz="0" w:space="0" w:color="auto" w:frame="1"/>
        </w:rPr>
        <w:t xml:space="preserve"> they knew they had and that could </w:t>
      </w:r>
      <w:r w:rsidR="00551590" w:rsidRPr="00551590">
        <w:rPr>
          <w:rFonts w:asciiTheme="minorHAnsi" w:hAnsiTheme="minorHAnsi" w:cstheme="majorHAnsi"/>
          <w:color w:val="000000" w:themeColor="text1"/>
          <w:kern w:val="36"/>
          <w:sz w:val="22"/>
          <w:szCs w:val="22"/>
          <w:bdr w:val="none" w:sz="0" w:space="0" w:color="auto" w:frame="1"/>
        </w:rPr>
        <w:t>affect</w:t>
      </w:r>
      <w:r w:rsidRPr="00551590">
        <w:rPr>
          <w:rFonts w:asciiTheme="minorHAnsi" w:hAnsiTheme="minorHAnsi" w:cstheme="majorHAnsi"/>
          <w:color w:val="000000" w:themeColor="text1"/>
          <w:kern w:val="36"/>
          <w:sz w:val="22"/>
          <w:szCs w:val="22"/>
          <w:bdr w:val="none" w:sz="0" w:space="0" w:color="auto" w:frame="1"/>
        </w:rPr>
        <w:t xml:space="preserve"> their ability in that area. </w:t>
      </w:r>
      <w:r w:rsidR="002069B9" w:rsidRPr="00551590">
        <w:rPr>
          <w:rFonts w:asciiTheme="minorHAnsi" w:hAnsiTheme="minorHAnsi" w:cstheme="majorHAnsi"/>
          <w:color w:val="000000" w:themeColor="text1"/>
          <w:kern w:val="36"/>
          <w:sz w:val="22"/>
          <w:szCs w:val="22"/>
          <w:bdr w:val="none" w:sz="0" w:space="0" w:color="auto" w:frame="1"/>
        </w:rPr>
        <w:t>Thus,</w:t>
      </w:r>
      <w:r w:rsidRPr="00551590">
        <w:rPr>
          <w:rFonts w:asciiTheme="minorHAnsi" w:hAnsiTheme="minorHAnsi" w:cstheme="majorHAnsi"/>
          <w:color w:val="000000" w:themeColor="text1"/>
          <w:kern w:val="36"/>
          <w:sz w:val="22"/>
          <w:szCs w:val="22"/>
          <w:bdr w:val="none" w:sz="0" w:space="0" w:color="auto" w:frame="1"/>
        </w:rPr>
        <w:t xml:space="preserve"> meaning they breached their duty of care and would be seen to have acted negligently. </w:t>
      </w:r>
      <w:r w:rsidR="00551590" w:rsidRPr="00551590">
        <w:rPr>
          <w:rFonts w:asciiTheme="minorHAnsi" w:hAnsiTheme="minorHAnsi" w:cstheme="majorHAnsi"/>
          <w:color w:val="000000" w:themeColor="text1"/>
          <w:kern w:val="36"/>
          <w:sz w:val="22"/>
          <w:szCs w:val="22"/>
          <w:bdr w:val="none" w:sz="0" w:space="0" w:color="auto" w:frame="1"/>
        </w:rPr>
        <w:t xml:space="preserve">The flexibility of these two situations offers a balance in the standard of care for the damage being caused by the defendant’s condition. </w:t>
      </w:r>
    </w:p>
    <w:p w14:paraId="0F1B0380" w14:textId="4B4F188A" w:rsidR="006E5A9E" w:rsidRDefault="000418EB" w:rsidP="006E5A9E">
      <w:pPr>
        <w:pBdr>
          <w:bottom w:val="single" w:sz="12" w:space="1" w:color="auto"/>
        </w:pBdr>
        <w:rPr>
          <w:rFonts w:asciiTheme="minorHAnsi" w:hAnsiTheme="minorHAnsi" w:cstheme="majorHAnsi"/>
          <w:color w:val="000000" w:themeColor="text1"/>
          <w:sz w:val="22"/>
          <w:szCs w:val="22"/>
          <w:shd w:val="clear" w:color="auto" w:fill="FFFFFF"/>
        </w:rPr>
      </w:pPr>
      <w:r w:rsidRPr="00551590">
        <w:rPr>
          <w:rFonts w:asciiTheme="minorHAnsi" w:hAnsiTheme="minorHAnsi" w:cstheme="majorHAnsi"/>
          <w:color w:val="000000" w:themeColor="text1"/>
          <w:kern w:val="36"/>
          <w:sz w:val="22"/>
          <w:szCs w:val="22"/>
          <w:bdr w:val="none" w:sz="0" w:space="0" w:color="auto" w:frame="1"/>
        </w:rPr>
        <w:t xml:space="preserve">Another example can be seen in </w:t>
      </w:r>
      <w:r w:rsidRPr="00551590">
        <w:rPr>
          <w:rFonts w:asciiTheme="minorHAnsi" w:hAnsiTheme="minorHAnsi" w:cstheme="majorHAnsi"/>
          <w:color w:val="000000" w:themeColor="text1"/>
          <w:sz w:val="22"/>
          <w:szCs w:val="22"/>
        </w:rPr>
        <w:t>Roe v Minister of Health</w:t>
      </w:r>
      <w:r w:rsidRPr="00551590">
        <w:rPr>
          <w:rFonts w:asciiTheme="minorHAnsi" w:hAnsiTheme="minorHAnsi" w:cstheme="majorHAnsi"/>
          <w:color w:val="000000" w:themeColor="text1"/>
          <w:sz w:val="22"/>
          <w:szCs w:val="22"/>
          <w:shd w:val="clear" w:color="auto" w:fill="FFFFFF"/>
        </w:rPr>
        <w:t> (1954). This case set a precedent that damages caused by drugs that had been contaminated through no fault of the provider and that reasonable procedures had been followed result in the provider not being seen as negligent. This protects the interest of the defendant and allows medical providers to be confident they will not be held negligent providing they follow set criteria. Although this does not typically protect the interest of the claimant it must be noted that without this protection to the defendant it would become impossible for them to guarantee completely the safety of all drugs and procedures as unforeseen situations will arise. If they were not protected in this way from unforeseen events patients would ultimately lose out in their access to the drugs or procedures in fear of the providers being found negligent in any further unforeseen events were to arise</w:t>
      </w:r>
      <w:r w:rsidR="009C37C0">
        <w:rPr>
          <w:rFonts w:asciiTheme="minorHAnsi" w:hAnsiTheme="minorHAnsi" w:cstheme="majorHAnsi"/>
          <w:color w:val="000000" w:themeColor="text1"/>
          <w:sz w:val="22"/>
          <w:szCs w:val="22"/>
          <w:shd w:val="clear" w:color="auto" w:fill="FFFFFF"/>
        </w:rPr>
        <w:t>.</w:t>
      </w:r>
    </w:p>
    <w:p w14:paraId="346D3A34" w14:textId="5D5EAF16" w:rsidR="009C37C0" w:rsidRDefault="009C37C0" w:rsidP="006E5A9E">
      <w:pPr>
        <w:pBdr>
          <w:bottom w:val="single" w:sz="12" w:space="1" w:color="auto"/>
        </w:pBdr>
        <w:rPr>
          <w:rFonts w:asciiTheme="minorHAnsi" w:hAnsiTheme="minorHAnsi" w:cstheme="majorHAnsi"/>
          <w:color w:val="000000" w:themeColor="text1"/>
          <w:sz w:val="22"/>
          <w:szCs w:val="22"/>
          <w:shd w:val="clear" w:color="auto" w:fill="FFFFFF"/>
        </w:rPr>
      </w:pPr>
    </w:p>
    <w:p w14:paraId="146FC2CD" w14:textId="1EDFD2D6" w:rsidR="009C37C0" w:rsidRPr="00551590" w:rsidRDefault="009C37C0" w:rsidP="006E5A9E">
      <w:pPr>
        <w:pBdr>
          <w:bottom w:val="single" w:sz="12" w:space="1" w:color="auto"/>
        </w:pBdr>
        <w:rPr>
          <w:rFonts w:asciiTheme="minorHAnsi" w:hAnsiTheme="minorHAnsi" w:cstheme="majorHAnsi"/>
          <w:color w:val="000000" w:themeColor="text1"/>
          <w:sz w:val="22"/>
          <w:szCs w:val="22"/>
          <w:shd w:val="clear" w:color="auto" w:fill="FFFFFF"/>
        </w:rPr>
      </w:pPr>
      <w:r>
        <w:rPr>
          <w:rFonts w:asciiTheme="minorHAnsi" w:hAnsiTheme="minorHAnsi" w:cstheme="majorHAnsi"/>
          <w:color w:val="000000" w:themeColor="text1"/>
          <w:sz w:val="22"/>
          <w:szCs w:val="22"/>
          <w:shd w:val="clear" w:color="auto" w:fill="FFFFFF"/>
        </w:rPr>
        <w:t>Children can also be found to be negligent. This provides flexibility for a claimant as it does not put an automatic exemption on the child for the damage they have caused simply due to their age. A variation in the standard is given to fit the situation that the child must have acted in the same way of a reasonable child at the time (Mullin v Richards 1998).</w:t>
      </w:r>
    </w:p>
    <w:p w14:paraId="3CC4530B" w14:textId="77777777" w:rsidR="006E5A9E" w:rsidRPr="00551590" w:rsidRDefault="006E5A9E" w:rsidP="006E5A9E">
      <w:pPr>
        <w:pBdr>
          <w:bottom w:val="single" w:sz="12" w:space="1" w:color="auto"/>
        </w:pBdr>
        <w:rPr>
          <w:rFonts w:asciiTheme="minorHAnsi" w:hAnsiTheme="minorHAnsi" w:cstheme="majorHAnsi"/>
          <w:color w:val="323D4F"/>
          <w:sz w:val="22"/>
          <w:szCs w:val="22"/>
          <w:shd w:val="clear" w:color="auto" w:fill="FFFFFF"/>
        </w:rPr>
      </w:pPr>
    </w:p>
    <w:p w14:paraId="6DA1896D" w14:textId="2DD1AAEC" w:rsidR="006E5A9E" w:rsidRPr="00551590" w:rsidRDefault="00C11379" w:rsidP="006E5A9E">
      <w:pPr>
        <w:pBdr>
          <w:bottom w:val="single" w:sz="12" w:space="1" w:color="auto"/>
        </w:pBdr>
        <w:rPr>
          <w:rFonts w:asciiTheme="minorHAnsi" w:hAnsiTheme="minorHAnsi" w:cstheme="majorHAnsi"/>
          <w:sz w:val="22"/>
          <w:szCs w:val="22"/>
        </w:rPr>
      </w:pPr>
      <w:r w:rsidRPr="00551590">
        <w:rPr>
          <w:rFonts w:asciiTheme="minorHAnsi" w:hAnsiTheme="minorHAnsi" w:cstheme="majorHAnsi"/>
          <w:sz w:val="22"/>
          <w:szCs w:val="22"/>
        </w:rPr>
        <w:t xml:space="preserve">Situations where there is a duty of care due </w:t>
      </w:r>
      <w:r w:rsidR="006E5A9E" w:rsidRPr="00551590">
        <w:rPr>
          <w:rFonts w:asciiTheme="minorHAnsi" w:hAnsiTheme="minorHAnsi" w:cstheme="majorHAnsi"/>
          <w:sz w:val="22"/>
          <w:szCs w:val="22"/>
        </w:rPr>
        <w:t xml:space="preserve">do </w:t>
      </w:r>
      <w:r w:rsidRPr="00551590">
        <w:rPr>
          <w:rFonts w:asciiTheme="minorHAnsi" w:hAnsiTheme="minorHAnsi" w:cstheme="majorHAnsi"/>
          <w:sz w:val="22"/>
          <w:szCs w:val="22"/>
        </w:rPr>
        <w:t xml:space="preserve">not put a blanket of blame on the defendant. The law in relation to negligence does not see an omission to act as a failure of a duty to care. This can be seen in </w:t>
      </w:r>
      <w:hyperlink r:id="rId4" w:history="1">
        <w:r w:rsidRPr="00551590">
          <w:rPr>
            <w:rStyle w:val="Hyperlink"/>
            <w:rFonts w:asciiTheme="minorHAnsi" w:hAnsiTheme="minorHAnsi" w:cstheme="majorHAnsi"/>
            <w:color w:val="000000" w:themeColor="text1"/>
            <w:sz w:val="22"/>
            <w:szCs w:val="22"/>
            <w:u w:val="none"/>
          </w:rPr>
          <w:t>Stovin v Wise</w:t>
        </w:r>
      </w:hyperlink>
      <w:r w:rsidRPr="00551590">
        <w:rPr>
          <w:rFonts w:asciiTheme="minorHAnsi" w:hAnsiTheme="minorHAnsi" w:cstheme="majorHAnsi"/>
          <w:color w:val="000000" w:themeColor="text1"/>
          <w:sz w:val="22"/>
          <w:szCs w:val="22"/>
          <w:shd w:val="clear" w:color="auto" w:fill="FFFFFF"/>
        </w:rPr>
        <w:t xml:space="preserve"> (1996). This provid</w:t>
      </w:r>
      <w:r w:rsidR="009C7C99" w:rsidRPr="00551590">
        <w:rPr>
          <w:rFonts w:asciiTheme="minorHAnsi" w:hAnsiTheme="minorHAnsi" w:cstheme="majorHAnsi"/>
          <w:color w:val="000000" w:themeColor="text1"/>
          <w:sz w:val="22"/>
          <w:szCs w:val="22"/>
          <w:shd w:val="clear" w:color="auto" w:fill="FFFFFF"/>
        </w:rPr>
        <w:t xml:space="preserve">es </w:t>
      </w:r>
      <w:r w:rsidRPr="00551590">
        <w:rPr>
          <w:rFonts w:asciiTheme="minorHAnsi" w:hAnsiTheme="minorHAnsi" w:cstheme="majorHAnsi"/>
          <w:color w:val="000000" w:themeColor="text1"/>
          <w:sz w:val="22"/>
          <w:szCs w:val="22"/>
          <w:shd w:val="clear" w:color="auto" w:fill="FFFFFF"/>
        </w:rPr>
        <w:t>fairness to the interests of the defendant as failing to act on something you did not percieve as a danger does not leave you legally liable. However</w:t>
      </w:r>
      <w:r w:rsidR="00774E5B" w:rsidRPr="00551590">
        <w:rPr>
          <w:rFonts w:asciiTheme="minorHAnsi" w:hAnsiTheme="minorHAnsi" w:cstheme="majorHAnsi"/>
          <w:color w:val="000000" w:themeColor="text1"/>
          <w:sz w:val="22"/>
          <w:szCs w:val="22"/>
          <w:shd w:val="clear" w:color="auto" w:fill="FFFFFF"/>
        </w:rPr>
        <w:t>,</w:t>
      </w:r>
      <w:r w:rsidRPr="00551590">
        <w:rPr>
          <w:rFonts w:asciiTheme="minorHAnsi" w:hAnsiTheme="minorHAnsi" w:cstheme="majorHAnsi"/>
          <w:color w:val="000000" w:themeColor="text1"/>
          <w:sz w:val="22"/>
          <w:szCs w:val="22"/>
          <w:shd w:val="clear" w:color="auto" w:fill="FFFFFF"/>
        </w:rPr>
        <w:t xml:space="preserve"> the law surrounding control as seen in </w:t>
      </w:r>
      <w:r w:rsidRPr="00551590">
        <w:rPr>
          <w:rFonts w:asciiTheme="minorHAnsi" w:hAnsiTheme="minorHAnsi" w:cstheme="majorHAnsi"/>
          <w:sz w:val="22"/>
          <w:szCs w:val="22"/>
        </w:rPr>
        <w:t xml:space="preserve">Carmarthenshire County Council v Lewis (1995) protects the fairness </w:t>
      </w:r>
      <w:r w:rsidRPr="00551590">
        <w:rPr>
          <w:rFonts w:asciiTheme="minorHAnsi" w:hAnsiTheme="minorHAnsi" w:cstheme="majorHAnsi"/>
          <w:sz w:val="22"/>
          <w:szCs w:val="22"/>
        </w:rPr>
        <w:lastRenderedPageBreak/>
        <w:t xml:space="preserve">that should be afforded to the claimant as it ensures that the claimant can seek justice on actions caused by someone who </w:t>
      </w:r>
      <w:r w:rsidR="00BF3EE4" w:rsidRPr="00551590">
        <w:rPr>
          <w:rFonts w:asciiTheme="minorHAnsi" w:hAnsiTheme="minorHAnsi" w:cstheme="majorHAnsi"/>
          <w:sz w:val="22"/>
          <w:szCs w:val="22"/>
        </w:rPr>
        <w:t xml:space="preserve">would not be deemed able to be </w:t>
      </w:r>
      <w:r w:rsidR="006E5A9E" w:rsidRPr="00551590">
        <w:rPr>
          <w:rFonts w:asciiTheme="minorHAnsi" w:hAnsiTheme="minorHAnsi" w:cstheme="majorHAnsi"/>
          <w:sz w:val="22"/>
          <w:szCs w:val="22"/>
        </w:rPr>
        <w:t>responsible</w:t>
      </w:r>
      <w:r w:rsidR="00BF3EE4" w:rsidRPr="00551590">
        <w:rPr>
          <w:rFonts w:asciiTheme="minorHAnsi" w:hAnsiTheme="minorHAnsi" w:cstheme="majorHAnsi"/>
          <w:sz w:val="22"/>
          <w:szCs w:val="22"/>
        </w:rPr>
        <w:t xml:space="preserve"> for their actions</w:t>
      </w:r>
      <w:r w:rsidR="006E5A9E" w:rsidRPr="00551590">
        <w:rPr>
          <w:rFonts w:asciiTheme="minorHAnsi" w:hAnsiTheme="minorHAnsi" w:cstheme="majorHAnsi"/>
          <w:sz w:val="22"/>
          <w:szCs w:val="22"/>
        </w:rPr>
        <w:t>.</w:t>
      </w:r>
    </w:p>
    <w:p w14:paraId="5B8226C5" w14:textId="77777777" w:rsidR="006E5A9E" w:rsidRPr="00551590" w:rsidRDefault="006E5A9E" w:rsidP="006E5A9E">
      <w:pPr>
        <w:pBdr>
          <w:bottom w:val="single" w:sz="12" w:space="1" w:color="auto"/>
        </w:pBdr>
        <w:rPr>
          <w:rFonts w:asciiTheme="minorHAnsi" w:hAnsiTheme="minorHAnsi" w:cstheme="majorHAnsi"/>
          <w:sz w:val="22"/>
          <w:szCs w:val="22"/>
        </w:rPr>
      </w:pPr>
    </w:p>
    <w:p w14:paraId="04F8F751" w14:textId="1CFF0E01" w:rsidR="00BF3EE4" w:rsidRPr="00551590" w:rsidRDefault="00774E5B" w:rsidP="006E5A9E">
      <w:pPr>
        <w:pBdr>
          <w:bottom w:val="single" w:sz="12" w:space="1" w:color="auto"/>
        </w:pBdr>
        <w:rPr>
          <w:rFonts w:asciiTheme="minorHAnsi" w:eastAsiaTheme="minorHAnsi" w:hAnsiTheme="minorHAnsi" w:cstheme="majorHAnsi"/>
          <w:sz w:val="22"/>
          <w:szCs w:val="22"/>
          <w:lang w:eastAsia="en-US"/>
        </w:rPr>
      </w:pPr>
      <w:r w:rsidRPr="00551590">
        <w:rPr>
          <w:rFonts w:asciiTheme="minorHAnsi" w:hAnsiTheme="minorHAnsi" w:cstheme="majorHAnsi"/>
          <w:sz w:val="22"/>
          <w:szCs w:val="22"/>
        </w:rPr>
        <w:t>There is an exception to the duty of care principle in relation to certain public services. This maintains the interests of all parties. Hill v Chief Constable of West Yorkshire (1988) sets precedents to exclude the police from the duty of care to prevent crime. This provides fairness to the claimant. However</w:t>
      </w:r>
      <w:r w:rsidR="004E545C" w:rsidRPr="00551590">
        <w:rPr>
          <w:rFonts w:asciiTheme="minorHAnsi" w:hAnsiTheme="minorHAnsi" w:cstheme="majorHAnsi"/>
          <w:sz w:val="22"/>
          <w:szCs w:val="22"/>
        </w:rPr>
        <w:t>,</w:t>
      </w:r>
      <w:r w:rsidRPr="00551590">
        <w:rPr>
          <w:rFonts w:asciiTheme="minorHAnsi" w:hAnsiTheme="minorHAnsi" w:cstheme="majorHAnsi"/>
          <w:sz w:val="22"/>
          <w:szCs w:val="22"/>
        </w:rPr>
        <w:t xml:space="preserve"> Lord Toulson (</w:t>
      </w:r>
      <w:r w:rsidRPr="00551590">
        <w:rPr>
          <w:rFonts w:asciiTheme="minorHAnsi" w:eastAsiaTheme="minorHAnsi" w:hAnsiTheme="minorHAnsi" w:cstheme="majorHAnsi"/>
          <w:sz w:val="22"/>
          <w:szCs w:val="22"/>
          <w:lang w:eastAsia="en-US"/>
        </w:rPr>
        <w:t xml:space="preserve">Michael and others v The Chief Constable of South Wales Police and another 2015) does outline that it would be reasonable to consider the police to have a duty of care if proximity is established: they knew are where reasonably thought to be able to prevent a crime; that it should be seen to be ‘fair, just and reasonable to expect them to take reasonable care to prevent the harm’. </w:t>
      </w:r>
      <w:r w:rsidR="004E545C" w:rsidRPr="00551590">
        <w:rPr>
          <w:rFonts w:asciiTheme="minorHAnsi" w:eastAsiaTheme="minorHAnsi" w:hAnsiTheme="minorHAnsi" w:cstheme="majorHAnsi"/>
          <w:sz w:val="22"/>
          <w:szCs w:val="22"/>
          <w:lang w:eastAsia="en-US"/>
        </w:rPr>
        <w:t>Thus, maintaining fairness to the claimant that the public body are not completely exempt from repercussions for failing to meet a fair level of duty of care to an individual</w:t>
      </w:r>
      <w:r w:rsidR="0004500E" w:rsidRPr="00551590">
        <w:rPr>
          <w:rFonts w:asciiTheme="minorHAnsi" w:eastAsiaTheme="minorHAnsi" w:hAnsiTheme="minorHAnsi" w:cstheme="majorHAnsi"/>
          <w:sz w:val="22"/>
          <w:szCs w:val="22"/>
          <w:lang w:eastAsia="en-US"/>
        </w:rPr>
        <w:t xml:space="preserve"> (Commissioner of Police of the Metropolis v DSD 2018).</w:t>
      </w:r>
    </w:p>
    <w:p w14:paraId="7FC90737" w14:textId="5E26B46D" w:rsidR="00551590" w:rsidRPr="00551590" w:rsidRDefault="00551590" w:rsidP="006E5A9E">
      <w:pPr>
        <w:pBdr>
          <w:bottom w:val="single" w:sz="12" w:space="1" w:color="auto"/>
        </w:pBdr>
        <w:rPr>
          <w:rFonts w:asciiTheme="minorHAnsi" w:eastAsiaTheme="minorHAnsi" w:hAnsiTheme="minorHAnsi" w:cstheme="majorHAnsi"/>
          <w:sz w:val="22"/>
          <w:szCs w:val="22"/>
          <w:lang w:eastAsia="en-US"/>
        </w:rPr>
      </w:pPr>
    </w:p>
    <w:p w14:paraId="47F45602" w14:textId="3F79E2CC" w:rsidR="00551590" w:rsidRPr="00551590" w:rsidRDefault="00551590" w:rsidP="006E5A9E">
      <w:pPr>
        <w:pBdr>
          <w:bottom w:val="single" w:sz="12" w:space="1" w:color="auto"/>
        </w:pBdr>
        <w:rPr>
          <w:rFonts w:asciiTheme="minorHAnsi" w:hAnsiTheme="minorHAnsi" w:cstheme="majorHAnsi"/>
          <w:sz w:val="22"/>
          <w:szCs w:val="22"/>
        </w:rPr>
      </w:pPr>
      <w:r w:rsidRPr="00551590">
        <w:rPr>
          <w:rFonts w:asciiTheme="minorHAnsi" w:hAnsiTheme="minorHAnsi" w:cstheme="majorHAnsi"/>
          <w:sz w:val="22"/>
          <w:szCs w:val="22"/>
        </w:rPr>
        <w:t>Although the initial idea of negligence and the standard of care is rigid further inspection shows that there is flexibility between the interests of the defendant and claimant. Although one will always ‘come off’ at a loss a fair balance is struck. Consideration of carrying characteristics allows not all defendants to be held to the same standard where appropriate. The requirement for people partaking in risky activities without extensive experience or qualifications to be held to the same standard of those qualified provides the claimants with a fair protection of their rights to not be at a loss. All in all a fair and flexible balance is struck.</w:t>
      </w:r>
    </w:p>
    <w:p w14:paraId="711092B8" w14:textId="77777777" w:rsidR="00551590" w:rsidRPr="00551590" w:rsidRDefault="00551590" w:rsidP="006E5A9E">
      <w:pPr>
        <w:pBdr>
          <w:bottom w:val="single" w:sz="12" w:space="1" w:color="auto"/>
        </w:pBdr>
        <w:rPr>
          <w:rFonts w:asciiTheme="minorHAnsi" w:hAnsiTheme="minorHAnsi" w:cstheme="majorHAnsi"/>
          <w:sz w:val="22"/>
          <w:szCs w:val="22"/>
        </w:rPr>
      </w:pPr>
    </w:p>
    <w:p w14:paraId="0DE4A5B9" w14:textId="0394731B" w:rsidR="00551590" w:rsidRPr="00551590" w:rsidRDefault="00551590" w:rsidP="006E5A9E">
      <w:pPr>
        <w:pBdr>
          <w:bottom w:val="single" w:sz="12" w:space="1" w:color="auto"/>
        </w:pBdr>
        <w:rPr>
          <w:rFonts w:asciiTheme="minorHAnsi" w:hAnsiTheme="minorHAnsi" w:cstheme="majorHAnsi"/>
          <w:sz w:val="22"/>
          <w:szCs w:val="22"/>
        </w:rPr>
      </w:pPr>
      <w:r w:rsidRPr="00551590">
        <w:rPr>
          <w:rFonts w:asciiTheme="minorHAnsi" w:hAnsiTheme="minorHAnsi" w:cstheme="majorHAnsi"/>
          <w:sz w:val="22"/>
          <w:szCs w:val="22"/>
        </w:rPr>
        <w:t xml:space="preserve"> </w:t>
      </w:r>
    </w:p>
    <w:p w14:paraId="102E47A4" w14:textId="5A7F1AF8" w:rsidR="00F7386A" w:rsidRPr="00551590" w:rsidRDefault="00F7386A" w:rsidP="001B3687">
      <w:pPr>
        <w:pBdr>
          <w:bottom w:val="single" w:sz="12" w:space="1" w:color="auto"/>
        </w:pBdr>
        <w:rPr>
          <w:rFonts w:asciiTheme="minorHAnsi" w:hAnsiTheme="minorHAnsi" w:cstheme="majorHAnsi"/>
          <w:sz w:val="22"/>
          <w:szCs w:val="22"/>
        </w:rPr>
      </w:pPr>
    </w:p>
    <w:p w14:paraId="3062F6F0" w14:textId="5FA82C54" w:rsidR="000418EB" w:rsidRDefault="000418EB" w:rsidP="001B3687">
      <w:pPr>
        <w:pBdr>
          <w:bottom w:val="single" w:sz="12" w:space="1" w:color="auto"/>
        </w:pBdr>
        <w:rPr>
          <w:rFonts w:ascii="Trebuchet MS" w:hAnsi="Trebuchet MS"/>
          <w:color w:val="323D4F"/>
          <w:sz w:val="27"/>
          <w:szCs w:val="27"/>
          <w:shd w:val="clear" w:color="auto" w:fill="FFFFFF"/>
        </w:rPr>
      </w:pPr>
    </w:p>
    <w:p w14:paraId="51B975DF" w14:textId="05E85E7E" w:rsidR="000418EB" w:rsidRDefault="000418EB" w:rsidP="001B3687">
      <w:pPr>
        <w:pBdr>
          <w:bottom w:val="single" w:sz="12" w:space="1" w:color="auto"/>
        </w:pBdr>
      </w:pPr>
    </w:p>
    <w:p w14:paraId="3E7DCD62" w14:textId="77777777" w:rsidR="00551590" w:rsidRDefault="00551590" w:rsidP="001B3687">
      <w:pPr>
        <w:pBdr>
          <w:bottom w:val="single" w:sz="12" w:space="1" w:color="auto"/>
        </w:pBdr>
      </w:pPr>
    </w:p>
    <w:p w14:paraId="7B5EC5A2" w14:textId="77777777" w:rsidR="001B3687" w:rsidRDefault="001B3687" w:rsidP="001B3687"/>
    <w:p w14:paraId="1EF25CD5" w14:textId="7B3CF89F" w:rsidR="00551590" w:rsidRPr="009C37C0" w:rsidRDefault="001B3687">
      <w:pPr>
        <w:rPr>
          <w:b/>
          <w:bCs/>
        </w:rPr>
      </w:pPr>
      <w:r w:rsidRPr="009C37C0">
        <w:rPr>
          <w:b/>
          <w:bCs/>
        </w:rPr>
        <w:t>References</w:t>
      </w:r>
    </w:p>
    <w:p w14:paraId="24AF65B0" w14:textId="77777777" w:rsidR="009C37C0" w:rsidRPr="00551590" w:rsidRDefault="009C37C0" w:rsidP="00551590">
      <w:pPr>
        <w:rPr>
          <w:rFonts w:asciiTheme="majorHAnsi" w:hAnsiTheme="majorHAnsi" w:cstheme="majorHAnsi"/>
          <w:color w:val="000000" w:themeColor="text1"/>
          <w:lang w:val="en-US"/>
        </w:rPr>
      </w:pPr>
      <w:r w:rsidRPr="00551590">
        <w:rPr>
          <w:rFonts w:asciiTheme="majorHAnsi" w:hAnsiTheme="majorHAnsi" w:cstheme="majorHAnsi"/>
          <w:color w:val="000000" w:themeColor="text1"/>
          <w:lang w:val="en-US"/>
        </w:rPr>
        <w:t>Blyth V Birmingham Waterworks Co (1856) 11 Ex Ch 781</w:t>
      </w:r>
    </w:p>
    <w:p w14:paraId="77DCD319"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shd w:val="clear" w:color="auto" w:fill="FFFFFF"/>
        </w:rPr>
        <w:t>Bolam v Friern Hospital Management Committee [1957] 1 WLR 582</w:t>
      </w:r>
    </w:p>
    <w:p w14:paraId="6D9B4ED4" w14:textId="77777777" w:rsidR="009C37C0" w:rsidRDefault="009C37C0" w:rsidP="00551590">
      <w:pPr>
        <w:rPr>
          <w:rFonts w:asciiTheme="majorHAnsi" w:hAnsiTheme="majorHAnsi" w:cstheme="majorHAnsi"/>
          <w:color w:val="000000" w:themeColor="text1"/>
          <w:shd w:val="clear" w:color="auto" w:fill="FFFFFF"/>
        </w:rPr>
      </w:pPr>
      <w:r w:rsidRPr="00551590">
        <w:rPr>
          <w:rFonts w:asciiTheme="majorHAnsi" w:hAnsiTheme="majorHAnsi" w:cstheme="majorHAnsi"/>
          <w:color w:val="000000" w:themeColor="text1"/>
          <w:shd w:val="clear" w:color="auto" w:fill="FFFFFF"/>
        </w:rPr>
        <w:t>Bolitho v. City and Hackney Health Authority [1996] 4 All ER 771</w:t>
      </w:r>
    </w:p>
    <w:p w14:paraId="7A2C18D1" w14:textId="77777777" w:rsidR="009C37C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Caparo Industries PLC v Dickman (1990) 2 AC 605</w:t>
      </w:r>
    </w:p>
    <w:p w14:paraId="08C1093C" w14:textId="77777777" w:rsidR="009C37C0" w:rsidRPr="00551590" w:rsidRDefault="009C37C0" w:rsidP="00551590">
      <w:pPr>
        <w:rPr>
          <w:rFonts w:asciiTheme="majorHAnsi" w:hAnsiTheme="majorHAnsi" w:cstheme="majorHAnsi"/>
          <w:color w:val="000000" w:themeColor="text1"/>
          <w:shd w:val="clear" w:color="auto" w:fill="FFFFFF"/>
        </w:rPr>
      </w:pPr>
      <w:r w:rsidRPr="00551590">
        <w:rPr>
          <w:rFonts w:asciiTheme="majorHAnsi" w:hAnsiTheme="majorHAnsi" w:cstheme="majorHAnsi"/>
          <w:color w:val="000000" w:themeColor="text1"/>
        </w:rPr>
        <w:t>Carmarthenshire County Council v Lewis (1995) AC 549</w:t>
      </w:r>
    </w:p>
    <w:p w14:paraId="708BE749"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Chester V Afshar (2004) UKHL 41</w:t>
      </w:r>
    </w:p>
    <w:p w14:paraId="4234C6F8" w14:textId="77777777" w:rsidR="009C37C0" w:rsidRDefault="009C37C0" w:rsidP="00551590">
      <w:pPr>
        <w:rPr>
          <w:rStyle w:val="apple-converted-space"/>
          <w:rFonts w:asciiTheme="majorHAnsi" w:hAnsiTheme="majorHAnsi" w:cstheme="majorHAnsi"/>
          <w:color w:val="000000" w:themeColor="text1"/>
          <w:shd w:val="clear" w:color="auto" w:fill="FFFFFF"/>
        </w:rPr>
      </w:pPr>
      <w:r w:rsidRPr="00551590">
        <w:rPr>
          <w:rFonts w:asciiTheme="majorHAnsi" w:eastAsiaTheme="minorHAnsi" w:hAnsiTheme="majorHAnsi" w:cstheme="majorHAnsi"/>
          <w:color w:val="000000" w:themeColor="text1"/>
          <w:lang w:eastAsia="en-US"/>
        </w:rPr>
        <w:t xml:space="preserve">Commissioner of Police of the Metropolis v DSD 2018 </w:t>
      </w:r>
      <w:r w:rsidRPr="00551590">
        <w:rPr>
          <w:rFonts w:asciiTheme="majorHAnsi" w:hAnsiTheme="majorHAnsi" w:cstheme="majorHAnsi"/>
          <w:color w:val="000000" w:themeColor="text1"/>
          <w:shd w:val="clear" w:color="auto" w:fill="FFFFFF"/>
        </w:rPr>
        <w:t>UKSC 11</w:t>
      </w:r>
      <w:r w:rsidRPr="00551590">
        <w:rPr>
          <w:rStyle w:val="apple-converted-space"/>
          <w:rFonts w:asciiTheme="majorHAnsi" w:hAnsiTheme="majorHAnsi" w:cstheme="majorHAnsi"/>
          <w:color w:val="000000" w:themeColor="text1"/>
          <w:shd w:val="clear" w:color="auto" w:fill="FFFFFF"/>
        </w:rPr>
        <w:t> </w:t>
      </w:r>
    </w:p>
    <w:p w14:paraId="7DC1DDD9"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Donoghue v Stevenson (1932) AC 562</w:t>
      </w:r>
    </w:p>
    <w:p w14:paraId="1168D229"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shd w:val="clear" w:color="auto" w:fill="FFFFFF"/>
        </w:rPr>
        <w:t>Dunnage v Randall and Another (2015) EWCA Civ 673</w:t>
      </w:r>
    </w:p>
    <w:p w14:paraId="7D5319FA" w14:textId="77777777" w:rsidR="009C37C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Hall v Brooklands Auto-Racing Club (1933) 1 KB 205</w:t>
      </w:r>
    </w:p>
    <w:p w14:paraId="781876AA"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Heaven v Pender (1883) 11 QBD 503</w:t>
      </w:r>
    </w:p>
    <w:p w14:paraId="5D8D58DC" w14:textId="77777777" w:rsidR="009C37C0" w:rsidRDefault="009C37C0" w:rsidP="00551590">
      <w:pPr>
        <w:rPr>
          <w:rFonts w:asciiTheme="majorHAnsi" w:hAnsiTheme="majorHAnsi" w:cstheme="majorHAnsi"/>
          <w:color w:val="000000" w:themeColor="text1"/>
          <w:shd w:val="clear" w:color="auto" w:fill="FFFFFF"/>
        </w:rPr>
      </w:pPr>
      <w:hyperlink r:id="rId5" w:history="1">
        <w:r w:rsidRPr="00551590">
          <w:rPr>
            <w:rStyle w:val="Hyperlink"/>
            <w:rFonts w:asciiTheme="majorHAnsi" w:hAnsiTheme="majorHAnsi" w:cstheme="majorHAnsi"/>
            <w:color w:val="000000" w:themeColor="text1"/>
            <w:u w:val="none"/>
          </w:rPr>
          <w:t>Hedley Byrne v Heller</w:t>
        </w:r>
      </w:hyperlink>
      <w:r w:rsidRPr="00551590">
        <w:rPr>
          <w:rStyle w:val="apple-converted-space"/>
          <w:rFonts w:asciiTheme="majorHAnsi" w:hAnsiTheme="majorHAnsi" w:cstheme="majorHAnsi"/>
          <w:color w:val="000000" w:themeColor="text1"/>
          <w:shd w:val="clear" w:color="auto" w:fill="FFFFFF"/>
        </w:rPr>
        <w:t> </w:t>
      </w:r>
      <w:r w:rsidRPr="00551590">
        <w:rPr>
          <w:rFonts w:asciiTheme="majorHAnsi" w:hAnsiTheme="majorHAnsi" w:cstheme="majorHAnsi"/>
          <w:color w:val="000000" w:themeColor="text1"/>
          <w:shd w:val="clear" w:color="auto" w:fill="FFFFFF"/>
        </w:rPr>
        <w:t>(1964) AC 465</w:t>
      </w:r>
    </w:p>
    <w:p w14:paraId="1296C891"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Hill v Chief Constable of West Yorkshire (1988) 2 WLR 1049</w:t>
      </w:r>
    </w:p>
    <w:p w14:paraId="3D991195" w14:textId="77777777" w:rsidR="009C37C0" w:rsidRPr="00551590" w:rsidRDefault="009C37C0" w:rsidP="00551590">
      <w:pPr>
        <w:rPr>
          <w:rFonts w:asciiTheme="majorHAnsi" w:hAnsiTheme="majorHAnsi" w:cstheme="majorHAnsi"/>
          <w:color w:val="000000" w:themeColor="text1"/>
        </w:rPr>
      </w:pPr>
      <w:r w:rsidRPr="00551590">
        <w:rPr>
          <w:rStyle w:val="Strong"/>
          <w:rFonts w:asciiTheme="majorHAnsi" w:hAnsiTheme="majorHAnsi" w:cstheme="majorHAnsi"/>
          <w:b w:val="0"/>
          <w:bCs w:val="0"/>
          <w:color w:val="000000" w:themeColor="text1"/>
        </w:rPr>
        <w:t>Latimer v AEC Ltd [1953] AC 643</w:t>
      </w:r>
    </w:p>
    <w:p w14:paraId="34444FBB" w14:textId="77777777" w:rsidR="009C37C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Mansfield v Weetabix (1998) EWCA Civ 1352</w:t>
      </w:r>
    </w:p>
    <w:p w14:paraId="3BB3812A" w14:textId="77777777" w:rsidR="009C37C0" w:rsidRDefault="009C37C0" w:rsidP="00551590">
      <w:pPr>
        <w:rPr>
          <w:rFonts w:asciiTheme="majorHAnsi" w:eastAsiaTheme="minorHAnsi" w:hAnsiTheme="majorHAnsi" w:cstheme="majorHAnsi"/>
          <w:color w:val="000000" w:themeColor="text1"/>
          <w:lang w:eastAsia="en-US"/>
        </w:rPr>
      </w:pPr>
      <w:r w:rsidRPr="00551590">
        <w:rPr>
          <w:rFonts w:asciiTheme="majorHAnsi" w:eastAsiaTheme="minorHAnsi" w:hAnsiTheme="majorHAnsi" w:cstheme="majorHAnsi"/>
          <w:color w:val="000000" w:themeColor="text1"/>
          <w:lang w:eastAsia="en-US"/>
        </w:rPr>
        <w:t>Michael and others v The Chief Constable of South Wales Police and another (2015) UKSC 2</w:t>
      </w:r>
    </w:p>
    <w:p w14:paraId="706F05FE" w14:textId="77777777" w:rsidR="009C37C0" w:rsidRPr="00551590" w:rsidRDefault="009C37C0" w:rsidP="00551590">
      <w:pPr>
        <w:rPr>
          <w:rFonts w:asciiTheme="majorHAnsi" w:hAnsiTheme="majorHAnsi" w:cstheme="majorHAnsi"/>
          <w:color w:val="000000" w:themeColor="text1"/>
        </w:rPr>
      </w:pPr>
      <w:r>
        <w:rPr>
          <w:rFonts w:asciiTheme="majorHAnsi" w:hAnsiTheme="majorHAnsi" w:cstheme="majorHAnsi"/>
          <w:color w:val="000000" w:themeColor="text1"/>
        </w:rPr>
        <w:t>Mullin v Richards (1998) 1 All ER 920</w:t>
      </w:r>
    </w:p>
    <w:p w14:paraId="6E45C407" w14:textId="77777777" w:rsidR="009C37C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Nettleship v Weston [1971] 3 WLR 370</w:t>
      </w:r>
    </w:p>
    <w:p w14:paraId="057E29F9" w14:textId="77777777" w:rsidR="009C37C0" w:rsidRPr="00551590" w:rsidRDefault="009C37C0" w:rsidP="00551590">
      <w:pPr>
        <w:rPr>
          <w:rFonts w:asciiTheme="majorHAnsi" w:hAnsiTheme="majorHAnsi" w:cstheme="majorHAnsi"/>
          <w:color w:val="000000" w:themeColor="text1"/>
        </w:rPr>
      </w:pPr>
      <w:r w:rsidRPr="00551590">
        <w:rPr>
          <w:rStyle w:val="Strong"/>
          <w:rFonts w:asciiTheme="majorHAnsi" w:hAnsiTheme="majorHAnsi" w:cstheme="majorHAnsi"/>
          <w:b w:val="0"/>
          <w:bCs w:val="0"/>
          <w:color w:val="000000" w:themeColor="text1"/>
        </w:rPr>
        <w:t>Paris v Stepney Borough Council [1951] AC 367</w:t>
      </w:r>
    </w:p>
    <w:p w14:paraId="541CD873" w14:textId="77777777" w:rsidR="009C37C0" w:rsidRPr="00551590" w:rsidRDefault="009C37C0" w:rsidP="00551590">
      <w:pPr>
        <w:textAlignment w:val="baseline"/>
        <w:outlineLvl w:val="0"/>
        <w:rPr>
          <w:rFonts w:asciiTheme="majorHAnsi" w:hAnsiTheme="majorHAnsi" w:cstheme="majorHAnsi"/>
          <w:color w:val="000000" w:themeColor="text1"/>
          <w:kern w:val="36"/>
        </w:rPr>
      </w:pPr>
      <w:r w:rsidRPr="00551590">
        <w:rPr>
          <w:rFonts w:asciiTheme="majorHAnsi" w:hAnsiTheme="majorHAnsi" w:cstheme="majorHAnsi"/>
          <w:color w:val="000000" w:themeColor="text1"/>
          <w:kern w:val="36"/>
          <w:bdr w:val="none" w:sz="0" w:space="0" w:color="auto" w:frame="1"/>
        </w:rPr>
        <w:t>Roberts v Ramsbottom (1980) 1 WLR 823</w:t>
      </w:r>
    </w:p>
    <w:p w14:paraId="71A886F2"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lastRenderedPageBreak/>
        <w:t>Roe v Minister of Health</w:t>
      </w:r>
      <w:r w:rsidRPr="00551590">
        <w:rPr>
          <w:rFonts w:asciiTheme="majorHAnsi" w:hAnsiTheme="majorHAnsi" w:cstheme="majorHAnsi"/>
          <w:color w:val="000000" w:themeColor="text1"/>
          <w:shd w:val="clear" w:color="auto" w:fill="FFFFFF"/>
        </w:rPr>
        <w:t> (1954) 2 WLR 915</w:t>
      </w:r>
    </w:p>
    <w:p w14:paraId="694DE394"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 xml:space="preserve">Social Action, Responsibility and Heroism Act </w:t>
      </w:r>
    </w:p>
    <w:p w14:paraId="6C2093BB" w14:textId="77777777" w:rsidR="009C37C0" w:rsidRPr="00551590" w:rsidRDefault="009C37C0" w:rsidP="00551590">
      <w:pPr>
        <w:rPr>
          <w:rFonts w:asciiTheme="majorHAnsi" w:hAnsiTheme="majorHAnsi" w:cstheme="majorHAnsi"/>
          <w:color w:val="000000" w:themeColor="text1"/>
        </w:rPr>
      </w:pPr>
      <w:hyperlink r:id="rId6" w:history="1">
        <w:r w:rsidRPr="00551590">
          <w:rPr>
            <w:rStyle w:val="Hyperlink"/>
            <w:rFonts w:asciiTheme="majorHAnsi" w:hAnsiTheme="majorHAnsi" w:cstheme="majorHAnsi"/>
            <w:color w:val="000000" w:themeColor="text1"/>
            <w:u w:val="none"/>
          </w:rPr>
          <w:t>Stovin v Wise</w:t>
        </w:r>
      </w:hyperlink>
      <w:r w:rsidRPr="00551590">
        <w:rPr>
          <w:rFonts w:asciiTheme="majorHAnsi" w:hAnsiTheme="majorHAnsi" w:cstheme="majorHAnsi"/>
          <w:color w:val="000000" w:themeColor="text1"/>
          <w:shd w:val="clear" w:color="auto" w:fill="FFFFFF"/>
        </w:rPr>
        <w:t xml:space="preserve"> (1996) UKHL 15</w:t>
      </w:r>
    </w:p>
    <w:p w14:paraId="38D06D83" w14:textId="77777777" w:rsidR="009C37C0" w:rsidRPr="00551590" w:rsidRDefault="009C37C0" w:rsidP="00551590">
      <w:pPr>
        <w:rPr>
          <w:rFonts w:asciiTheme="majorHAnsi" w:hAnsiTheme="majorHAnsi" w:cstheme="majorHAnsi"/>
          <w:color w:val="000000" w:themeColor="text1"/>
        </w:rPr>
      </w:pPr>
      <w:r w:rsidRPr="00551590">
        <w:rPr>
          <w:rFonts w:asciiTheme="majorHAnsi" w:hAnsiTheme="majorHAnsi" w:cstheme="majorHAnsi"/>
          <w:color w:val="000000" w:themeColor="text1"/>
        </w:rPr>
        <w:t>The Health and Safety Act at Work 1974 2015</w:t>
      </w:r>
    </w:p>
    <w:p w14:paraId="2F0608BE" w14:textId="77777777" w:rsidR="009C37C0" w:rsidRPr="00551590" w:rsidRDefault="009C37C0" w:rsidP="00551590">
      <w:pPr>
        <w:rPr>
          <w:rFonts w:asciiTheme="majorHAnsi" w:hAnsiTheme="majorHAnsi" w:cstheme="majorHAnsi"/>
          <w:color w:val="000000" w:themeColor="text1"/>
        </w:rPr>
      </w:pPr>
      <w:r w:rsidRPr="00551590">
        <w:rPr>
          <w:rStyle w:val="Strong"/>
          <w:rFonts w:asciiTheme="majorHAnsi" w:hAnsiTheme="majorHAnsi" w:cstheme="majorHAnsi"/>
          <w:b w:val="0"/>
          <w:bCs w:val="0"/>
          <w:color w:val="000000" w:themeColor="text1"/>
        </w:rPr>
        <w:t>Watt v Hertfordshire County Council (1954) 1 WLR 835</w:t>
      </w:r>
    </w:p>
    <w:p w14:paraId="158A25CF" w14:textId="77777777" w:rsidR="009C37C0" w:rsidRPr="00551590" w:rsidRDefault="009C37C0" w:rsidP="00551590">
      <w:pPr>
        <w:rPr>
          <w:rFonts w:asciiTheme="majorHAnsi" w:hAnsiTheme="majorHAnsi" w:cstheme="majorHAnsi"/>
          <w:color w:val="000000" w:themeColor="text1"/>
          <w:lang w:val="en-US"/>
        </w:rPr>
      </w:pPr>
      <w:r w:rsidRPr="00551590">
        <w:rPr>
          <w:rFonts w:asciiTheme="majorHAnsi" w:hAnsiTheme="majorHAnsi" w:cstheme="majorHAnsi"/>
          <w:color w:val="000000" w:themeColor="text1"/>
        </w:rPr>
        <w:t>Whitehouse V Jordan (1981) 1 ALL ER 267</w:t>
      </w:r>
    </w:p>
    <w:sectPr w:rsidR="009C37C0" w:rsidRPr="005515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687"/>
    <w:rsid w:val="00023D56"/>
    <w:rsid w:val="000418EB"/>
    <w:rsid w:val="0004500E"/>
    <w:rsid w:val="000C5942"/>
    <w:rsid w:val="00120DDF"/>
    <w:rsid w:val="0013257F"/>
    <w:rsid w:val="001374F7"/>
    <w:rsid w:val="001B3687"/>
    <w:rsid w:val="002069B9"/>
    <w:rsid w:val="002075B7"/>
    <w:rsid w:val="004E545C"/>
    <w:rsid w:val="00551590"/>
    <w:rsid w:val="005539B2"/>
    <w:rsid w:val="005C2F3D"/>
    <w:rsid w:val="00677D87"/>
    <w:rsid w:val="006E5A9E"/>
    <w:rsid w:val="00711EDF"/>
    <w:rsid w:val="00774E5B"/>
    <w:rsid w:val="007836B0"/>
    <w:rsid w:val="007C42EF"/>
    <w:rsid w:val="009C37C0"/>
    <w:rsid w:val="009C7C99"/>
    <w:rsid w:val="00A13AF8"/>
    <w:rsid w:val="00BF3EE4"/>
    <w:rsid w:val="00C11379"/>
    <w:rsid w:val="00C61843"/>
    <w:rsid w:val="00D44A7B"/>
    <w:rsid w:val="00F7386A"/>
    <w:rsid w:val="00FD2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A58964"/>
  <w15:chartTrackingRefBased/>
  <w15:docId w15:val="{9C3FEF20-967F-E849-8F61-4F06C6F90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DB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11ED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69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B368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B368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1B3687"/>
    <w:rPr>
      <w:color w:val="0000FF"/>
      <w:u w:val="single"/>
    </w:rPr>
  </w:style>
  <w:style w:type="paragraph" w:styleId="NormalWeb">
    <w:name w:val="Normal (Web)"/>
    <w:basedOn w:val="Normal"/>
    <w:uiPriority w:val="99"/>
    <w:unhideWhenUsed/>
    <w:rsid w:val="00C61843"/>
    <w:pPr>
      <w:spacing w:before="100" w:beforeAutospacing="1" w:after="100" w:afterAutospacing="1"/>
    </w:pPr>
  </w:style>
  <w:style w:type="character" w:customStyle="1" w:styleId="apple-converted-space">
    <w:name w:val="apple-converted-space"/>
    <w:basedOn w:val="DefaultParagraphFont"/>
    <w:rsid w:val="005C2F3D"/>
  </w:style>
  <w:style w:type="character" w:styleId="FollowedHyperlink">
    <w:name w:val="FollowedHyperlink"/>
    <w:basedOn w:val="DefaultParagraphFont"/>
    <w:uiPriority w:val="99"/>
    <w:semiHidden/>
    <w:unhideWhenUsed/>
    <w:rsid w:val="005C2F3D"/>
    <w:rPr>
      <w:color w:val="954F72" w:themeColor="followedHyperlink"/>
      <w:u w:val="single"/>
    </w:rPr>
  </w:style>
  <w:style w:type="character" w:styleId="Emphasis">
    <w:name w:val="Emphasis"/>
    <w:basedOn w:val="DefaultParagraphFont"/>
    <w:uiPriority w:val="20"/>
    <w:qFormat/>
    <w:rsid w:val="00C11379"/>
    <w:rPr>
      <w:i/>
      <w:iCs/>
    </w:rPr>
  </w:style>
  <w:style w:type="character" w:styleId="Strong">
    <w:name w:val="Strong"/>
    <w:basedOn w:val="DefaultParagraphFont"/>
    <w:uiPriority w:val="22"/>
    <w:qFormat/>
    <w:rsid w:val="00677D87"/>
    <w:rPr>
      <w:b/>
      <w:bCs/>
    </w:rPr>
  </w:style>
  <w:style w:type="character" w:customStyle="1" w:styleId="Heading1Char">
    <w:name w:val="Heading 1 Char"/>
    <w:basedOn w:val="DefaultParagraphFont"/>
    <w:link w:val="Heading1"/>
    <w:uiPriority w:val="9"/>
    <w:rsid w:val="00711EDF"/>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semiHidden/>
    <w:rsid w:val="002069B9"/>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6523">
      <w:bodyDiv w:val="1"/>
      <w:marLeft w:val="0"/>
      <w:marRight w:val="0"/>
      <w:marTop w:val="0"/>
      <w:marBottom w:val="0"/>
      <w:divBdr>
        <w:top w:val="none" w:sz="0" w:space="0" w:color="auto"/>
        <w:left w:val="none" w:sz="0" w:space="0" w:color="auto"/>
        <w:bottom w:val="none" w:sz="0" w:space="0" w:color="auto"/>
        <w:right w:val="none" w:sz="0" w:space="0" w:color="auto"/>
      </w:divBdr>
    </w:div>
    <w:div w:id="26493920">
      <w:bodyDiv w:val="1"/>
      <w:marLeft w:val="0"/>
      <w:marRight w:val="0"/>
      <w:marTop w:val="0"/>
      <w:marBottom w:val="0"/>
      <w:divBdr>
        <w:top w:val="none" w:sz="0" w:space="0" w:color="auto"/>
        <w:left w:val="none" w:sz="0" w:space="0" w:color="auto"/>
        <w:bottom w:val="none" w:sz="0" w:space="0" w:color="auto"/>
        <w:right w:val="none" w:sz="0" w:space="0" w:color="auto"/>
      </w:divBdr>
      <w:divsChild>
        <w:div w:id="389504734">
          <w:marLeft w:val="0"/>
          <w:marRight w:val="0"/>
          <w:marTop w:val="0"/>
          <w:marBottom w:val="0"/>
          <w:divBdr>
            <w:top w:val="none" w:sz="0" w:space="0" w:color="auto"/>
            <w:left w:val="none" w:sz="0" w:space="0" w:color="auto"/>
            <w:bottom w:val="none" w:sz="0" w:space="0" w:color="auto"/>
            <w:right w:val="none" w:sz="0" w:space="0" w:color="auto"/>
          </w:divBdr>
          <w:divsChild>
            <w:div w:id="1039159002">
              <w:marLeft w:val="0"/>
              <w:marRight w:val="0"/>
              <w:marTop w:val="0"/>
              <w:marBottom w:val="0"/>
              <w:divBdr>
                <w:top w:val="none" w:sz="0" w:space="0" w:color="auto"/>
                <w:left w:val="none" w:sz="0" w:space="0" w:color="auto"/>
                <w:bottom w:val="none" w:sz="0" w:space="0" w:color="auto"/>
                <w:right w:val="none" w:sz="0" w:space="0" w:color="auto"/>
              </w:divBdr>
              <w:divsChild>
                <w:div w:id="9019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90645">
      <w:bodyDiv w:val="1"/>
      <w:marLeft w:val="0"/>
      <w:marRight w:val="0"/>
      <w:marTop w:val="0"/>
      <w:marBottom w:val="0"/>
      <w:divBdr>
        <w:top w:val="none" w:sz="0" w:space="0" w:color="auto"/>
        <w:left w:val="none" w:sz="0" w:space="0" w:color="auto"/>
        <w:bottom w:val="none" w:sz="0" w:space="0" w:color="auto"/>
        <w:right w:val="none" w:sz="0" w:space="0" w:color="auto"/>
      </w:divBdr>
    </w:div>
    <w:div w:id="223758581">
      <w:bodyDiv w:val="1"/>
      <w:marLeft w:val="0"/>
      <w:marRight w:val="0"/>
      <w:marTop w:val="0"/>
      <w:marBottom w:val="0"/>
      <w:divBdr>
        <w:top w:val="none" w:sz="0" w:space="0" w:color="auto"/>
        <w:left w:val="none" w:sz="0" w:space="0" w:color="auto"/>
        <w:bottom w:val="none" w:sz="0" w:space="0" w:color="auto"/>
        <w:right w:val="none" w:sz="0" w:space="0" w:color="auto"/>
      </w:divBdr>
      <w:divsChild>
        <w:div w:id="1245531031">
          <w:marLeft w:val="0"/>
          <w:marRight w:val="0"/>
          <w:marTop w:val="0"/>
          <w:marBottom w:val="0"/>
          <w:divBdr>
            <w:top w:val="none" w:sz="0" w:space="0" w:color="auto"/>
            <w:left w:val="none" w:sz="0" w:space="0" w:color="auto"/>
            <w:bottom w:val="none" w:sz="0" w:space="0" w:color="auto"/>
            <w:right w:val="none" w:sz="0" w:space="0" w:color="auto"/>
          </w:divBdr>
          <w:divsChild>
            <w:div w:id="229274274">
              <w:marLeft w:val="0"/>
              <w:marRight w:val="0"/>
              <w:marTop w:val="0"/>
              <w:marBottom w:val="0"/>
              <w:divBdr>
                <w:top w:val="none" w:sz="0" w:space="0" w:color="auto"/>
                <w:left w:val="none" w:sz="0" w:space="0" w:color="auto"/>
                <w:bottom w:val="none" w:sz="0" w:space="0" w:color="auto"/>
                <w:right w:val="none" w:sz="0" w:space="0" w:color="auto"/>
              </w:divBdr>
              <w:divsChild>
                <w:div w:id="14282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688275">
      <w:bodyDiv w:val="1"/>
      <w:marLeft w:val="0"/>
      <w:marRight w:val="0"/>
      <w:marTop w:val="0"/>
      <w:marBottom w:val="0"/>
      <w:divBdr>
        <w:top w:val="none" w:sz="0" w:space="0" w:color="auto"/>
        <w:left w:val="none" w:sz="0" w:space="0" w:color="auto"/>
        <w:bottom w:val="none" w:sz="0" w:space="0" w:color="auto"/>
        <w:right w:val="none" w:sz="0" w:space="0" w:color="auto"/>
      </w:divBdr>
    </w:div>
    <w:div w:id="408962925">
      <w:bodyDiv w:val="1"/>
      <w:marLeft w:val="0"/>
      <w:marRight w:val="0"/>
      <w:marTop w:val="0"/>
      <w:marBottom w:val="0"/>
      <w:divBdr>
        <w:top w:val="none" w:sz="0" w:space="0" w:color="auto"/>
        <w:left w:val="none" w:sz="0" w:space="0" w:color="auto"/>
        <w:bottom w:val="none" w:sz="0" w:space="0" w:color="auto"/>
        <w:right w:val="none" w:sz="0" w:space="0" w:color="auto"/>
      </w:divBdr>
    </w:div>
    <w:div w:id="503321603">
      <w:bodyDiv w:val="1"/>
      <w:marLeft w:val="0"/>
      <w:marRight w:val="0"/>
      <w:marTop w:val="0"/>
      <w:marBottom w:val="0"/>
      <w:divBdr>
        <w:top w:val="none" w:sz="0" w:space="0" w:color="auto"/>
        <w:left w:val="none" w:sz="0" w:space="0" w:color="auto"/>
        <w:bottom w:val="none" w:sz="0" w:space="0" w:color="auto"/>
        <w:right w:val="none" w:sz="0" w:space="0" w:color="auto"/>
      </w:divBdr>
    </w:div>
    <w:div w:id="515460299">
      <w:bodyDiv w:val="1"/>
      <w:marLeft w:val="0"/>
      <w:marRight w:val="0"/>
      <w:marTop w:val="0"/>
      <w:marBottom w:val="0"/>
      <w:divBdr>
        <w:top w:val="none" w:sz="0" w:space="0" w:color="auto"/>
        <w:left w:val="none" w:sz="0" w:space="0" w:color="auto"/>
        <w:bottom w:val="none" w:sz="0" w:space="0" w:color="auto"/>
        <w:right w:val="none" w:sz="0" w:space="0" w:color="auto"/>
      </w:divBdr>
    </w:div>
    <w:div w:id="546256510">
      <w:bodyDiv w:val="1"/>
      <w:marLeft w:val="0"/>
      <w:marRight w:val="0"/>
      <w:marTop w:val="0"/>
      <w:marBottom w:val="0"/>
      <w:divBdr>
        <w:top w:val="none" w:sz="0" w:space="0" w:color="auto"/>
        <w:left w:val="none" w:sz="0" w:space="0" w:color="auto"/>
        <w:bottom w:val="none" w:sz="0" w:space="0" w:color="auto"/>
        <w:right w:val="none" w:sz="0" w:space="0" w:color="auto"/>
      </w:divBdr>
    </w:div>
    <w:div w:id="720177961">
      <w:bodyDiv w:val="1"/>
      <w:marLeft w:val="0"/>
      <w:marRight w:val="0"/>
      <w:marTop w:val="0"/>
      <w:marBottom w:val="0"/>
      <w:divBdr>
        <w:top w:val="none" w:sz="0" w:space="0" w:color="auto"/>
        <w:left w:val="none" w:sz="0" w:space="0" w:color="auto"/>
        <w:bottom w:val="none" w:sz="0" w:space="0" w:color="auto"/>
        <w:right w:val="none" w:sz="0" w:space="0" w:color="auto"/>
      </w:divBdr>
      <w:divsChild>
        <w:div w:id="1208569526">
          <w:marLeft w:val="0"/>
          <w:marRight w:val="0"/>
          <w:marTop w:val="0"/>
          <w:marBottom w:val="0"/>
          <w:divBdr>
            <w:top w:val="none" w:sz="0" w:space="0" w:color="auto"/>
            <w:left w:val="none" w:sz="0" w:space="0" w:color="auto"/>
            <w:bottom w:val="none" w:sz="0" w:space="0" w:color="auto"/>
            <w:right w:val="none" w:sz="0" w:space="0" w:color="auto"/>
          </w:divBdr>
          <w:divsChild>
            <w:div w:id="1443912205">
              <w:marLeft w:val="0"/>
              <w:marRight w:val="0"/>
              <w:marTop w:val="0"/>
              <w:marBottom w:val="0"/>
              <w:divBdr>
                <w:top w:val="none" w:sz="0" w:space="0" w:color="auto"/>
                <w:left w:val="none" w:sz="0" w:space="0" w:color="auto"/>
                <w:bottom w:val="none" w:sz="0" w:space="0" w:color="auto"/>
                <w:right w:val="none" w:sz="0" w:space="0" w:color="auto"/>
              </w:divBdr>
              <w:divsChild>
                <w:div w:id="171333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703997">
          <w:marLeft w:val="0"/>
          <w:marRight w:val="0"/>
          <w:marTop w:val="0"/>
          <w:marBottom w:val="0"/>
          <w:divBdr>
            <w:top w:val="none" w:sz="0" w:space="0" w:color="auto"/>
            <w:left w:val="none" w:sz="0" w:space="0" w:color="auto"/>
            <w:bottom w:val="none" w:sz="0" w:space="0" w:color="auto"/>
            <w:right w:val="none" w:sz="0" w:space="0" w:color="auto"/>
          </w:divBdr>
          <w:divsChild>
            <w:div w:id="754940043">
              <w:marLeft w:val="0"/>
              <w:marRight w:val="0"/>
              <w:marTop w:val="0"/>
              <w:marBottom w:val="0"/>
              <w:divBdr>
                <w:top w:val="none" w:sz="0" w:space="0" w:color="auto"/>
                <w:left w:val="none" w:sz="0" w:space="0" w:color="auto"/>
                <w:bottom w:val="none" w:sz="0" w:space="0" w:color="auto"/>
                <w:right w:val="none" w:sz="0" w:space="0" w:color="auto"/>
              </w:divBdr>
            </w:div>
          </w:divsChild>
        </w:div>
        <w:div w:id="139198622">
          <w:marLeft w:val="0"/>
          <w:marRight w:val="0"/>
          <w:marTop w:val="0"/>
          <w:marBottom w:val="0"/>
          <w:divBdr>
            <w:top w:val="none" w:sz="0" w:space="0" w:color="auto"/>
            <w:left w:val="none" w:sz="0" w:space="0" w:color="auto"/>
            <w:bottom w:val="none" w:sz="0" w:space="0" w:color="auto"/>
            <w:right w:val="none" w:sz="0" w:space="0" w:color="auto"/>
          </w:divBdr>
        </w:div>
        <w:div w:id="1005322926">
          <w:marLeft w:val="0"/>
          <w:marRight w:val="0"/>
          <w:marTop w:val="0"/>
          <w:marBottom w:val="0"/>
          <w:divBdr>
            <w:top w:val="none" w:sz="0" w:space="0" w:color="auto"/>
            <w:left w:val="none" w:sz="0" w:space="0" w:color="auto"/>
            <w:bottom w:val="none" w:sz="0" w:space="0" w:color="auto"/>
            <w:right w:val="none" w:sz="0" w:space="0" w:color="auto"/>
          </w:divBdr>
          <w:divsChild>
            <w:div w:id="1292401544">
              <w:marLeft w:val="-225"/>
              <w:marRight w:val="-225"/>
              <w:marTop w:val="0"/>
              <w:marBottom w:val="0"/>
              <w:divBdr>
                <w:top w:val="none" w:sz="0" w:space="0" w:color="auto"/>
                <w:left w:val="none" w:sz="0" w:space="0" w:color="auto"/>
                <w:bottom w:val="none" w:sz="0" w:space="0" w:color="auto"/>
                <w:right w:val="none" w:sz="0" w:space="0" w:color="auto"/>
              </w:divBdr>
              <w:divsChild>
                <w:div w:id="668796325">
                  <w:marLeft w:val="0"/>
                  <w:marRight w:val="0"/>
                  <w:marTop w:val="0"/>
                  <w:marBottom w:val="0"/>
                  <w:divBdr>
                    <w:top w:val="none" w:sz="0" w:space="0" w:color="auto"/>
                    <w:left w:val="none" w:sz="0" w:space="0" w:color="auto"/>
                    <w:bottom w:val="none" w:sz="0" w:space="0" w:color="auto"/>
                    <w:right w:val="none" w:sz="0" w:space="0" w:color="auto"/>
                  </w:divBdr>
                  <w:divsChild>
                    <w:div w:id="740642312">
                      <w:marLeft w:val="0"/>
                      <w:marRight w:val="0"/>
                      <w:marTop w:val="0"/>
                      <w:marBottom w:val="0"/>
                      <w:divBdr>
                        <w:top w:val="none" w:sz="0" w:space="0" w:color="auto"/>
                        <w:left w:val="none" w:sz="0" w:space="0" w:color="auto"/>
                        <w:bottom w:val="none" w:sz="0" w:space="0" w:color="auto"/>
                        <w:right w:val="none" w:sz="0" w:space="0" w:color="auto"/>
                      </w:divBdr>
                    </w:div>
                  </w:divsChild>
                </w:div>
                <w:div w:id="340591865">
                  <w:marLeft w:val="0"/>
                  <w:marRight w:val="0"/>
                  <w:marTop w:val="0"/>
                  <w:marBottom w:val="0"/>
                  <w:divBdr>
                    <w:top w:val="none" w:sz="0" w:space="0" w:color="auto"/>
                    <w:left w:val="none" w:sz="0" w:space="0" w:color="auto"/>
                    <w:bottom w:val="none" w:sz="0" w:space="0" w:color="auto"/>
                    <w:right w:val="none" w:sz="0" w:space="0" w:color="auto"/>
                  </w:divBdr>
                  <w:divsChild>
                    <w:div w:id="541403570">
                      <w:marLeft w:val="0"/>
                      <w:marRight w:val="0"/>
                      <w:marTop w:val="0"/>
                      <w:marBottom w:val="0"/>
                      <w:divBdr>
                        <w:top w:val="none" w:sz="0" w:space="0" w:color="auto"/>
                        <w:left w:val="none" w:sz="0" w:space="0" w:color="auto"/>
                        <w:bottom w:val="none" w:sz="0" w:space="0" w:color="auto"/>
                        <w:right w:val="none" w:sz="0" w:space="0" w:color="auto"/>
                      </w:divBdr>
                    </w:div>
                  </w:divsChild>
                </w:div>
                <w:div w:id="971053390">
                  <w:marLeft w:val="0"/>
                  <w:marRight w:val="0"/>
                  <w:marTop w:val="0"/>
                  <w:marBottom w:val="0"/>
                  <w:divBdr>
                    <w:top w:val="none" w:sz="0" w:space="0" w:color="auto"/>
                    <w:left w:val="none" w:sz="0" w:space="0" w:color="auto"/>
                    <w:bottom w:val="none" w:sz="0" w:space="0" w:color="auto"/>
                    <w:right w:val="none" w:sz="0" w:space="0" w:color="auto"/>
                  </w:divBdr>
                  <w:divsChild>
                    <w:div w:id="106491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9527">
          <w:marLeft w:val="0"/>
          <w:marRight w:val="0"/>
          <w:marTop w:val="0"/>
          <w:marBottom w:val="0"/>
          <w:divBdr>
            <w:top w:val="none" w:sz="0" w:space="0" w:color="auto"/>
            <w:left w:val="none" w:sz="0" w:space="0" w:color="auto"/>
            <w:bottom w:val="none" w:sz="0" w:space="0" w:color="auto"/>
            <w:right w:val="none" w:sz="0" w:space="0" w:color="auto"/>
          </w:divBdr>
        </w:div>
        <w:div w:id="759563837">
          <w:marLeft w:val="0"/>
          <w:marRight w:val="0"/>
          <w:marTop w:val="0"/>
          <w:marBottom w:val="0"/>
          <w:divBdr>
            <w:top w:val="none" w:sz="0" w:space="0" w:color="auto"/>
            <w:left w:val="none" w:sz="0" w:space="0" w:color="auto"/>
            <w:bottom w:val="none" w:sz="0" w:space="0" w:color="auto"/>
            <w:right w:val="none" w:sz="0" w:space="0" w:color="auto"/>
          </w:divBdr>
        </w:div>
        <w:div w:id="1563255686">
          <w:marLeft w:val="0"/>
          <w:marRight w:val="0"/>
          <w:marTop w:val="0"/>
          <w:marBottom w:val="0"/>
          <w:divBdr>
            <w:top w:val="none" w:sz="0" w:space="0" w:color="auto"/>
            <w:left w:val="none" w:sz="0" w:space="0" w:color="auto"/>
            <w:bottom w:val="none" w:sz="0" w:space="0" w:color="auto"/>
            <w:right w:val="none" w:sz="0" w:space="0" w:color="auto"/>
          </w:divBdr>
        </w:div>
        <w:div w:id="436489561">
          <w:marLeft w:val="0"/>
          <w:marRight w:val="0"/>
          <w:marTop w:val="0"/>
          <w:marBottom w:val="0"/>
          <w:divBdr>
            <w:top w:val="none" w:sz="0" w:space="0" w:color="auto"/>
            <w:left w:val="none" w:sz="0" w:space="0" w:color="auto"/>
            <w:bottom w:val="none" w:sz="0" w:space="0" w:color="auto"/>
            <w:right w:val="none" w:sz="0" w:space="0" w:color="auto"/>
          </w:divBdr>
        </w:div>
        <w:div w:id="1038313100">
          <w:marLeft w:val="0"/>
          <w:marRight w:val="0"/>
          <w:marTop w:val="0"/>
          <w:marBottom w:val="0"/>
          <w:divBdr>
            <w:top w:val="none" w:sz="0" w:space="0" w:color="auto"/>
            <w:left w:val="none" w:sz="0" w:space="0" w:color="auto"/>
            <w:bottom w:val="none" w:sz="0" w:space="0" w:color="auto"/>
            <w:right w:val="none" w:sz="0" w:space="0" w:color="auto"/>
          </w:divBdr>
          <w:divsChild>
            <w:div w:id="1680699228">
              <w:marLeft w:val="0"/>
              <w:marRight w:val="0"/>
              <w:marTop w:val="0"/>
              <w:marBottom w:val="0"/>
              <w:divBdr>
                <w:top w:val="none" w:sz="0" w:space="0" w:color="auto"/>
                <w:left w:val="none" w:sz="0" w:space="0" w:color="auto"/>
                <w:bottom w:val="none" w:sz="0" w:space="0" w:color="auto"/>
                <w:right w:val="none" w:sz="0" w:space="0" w:color="auto"/>
              </w:divBdr>
            </w:div>
            <w:div w:id="125351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0439">
      <w:bodyDiv w:val="1"/>
      <w:marLeft w:val="0"/>
      <w:marRight w:val="0"/>
      <w:marTop w:val="0"/>
      <w:marBottom w:val="0"/>
      <w:divBdr>
        <w:top w:val="none" w:sz="0" w:space="0" w:color="auto"/>
        <w:left w:val="none" w:sz="0" w:space="0" w:color="auto"/>
        <w:bottom w:val="none" w:sz="0" w:space="0" w:color="auto"/>
        <w:right w:val="none" w:sz="0" w:space="0" w:color="auto"/>
      </w:divBdr>
    </w:div>
    <w:div w:id="775639862">
      <w:bodyDiv w:val="1"/>
      <w:marLeft w:val="0"/>
      <w:marRight w:val="0"/>
      <w:marTop w:val="0"/>
      <w:marBottom w:val="0"/>
      <w:divBdr>
        <w:top w:val="none" w:sz="0" w:space="0" w:color="auto"/>
        <w:left w:val="none" w:sz="0" w:space="0" w:color="auto"/>
        <w:bottom w:val="none" w:sz="0" w:space="0" w:color="auto"/>
        <w:right w:val="none" w:sz="0" w:space="0" w:color="auto"/>
      </w:divBdr>
    </w:div>
    <w:div w:id="798837932">
      <w:bodyDiv w:val="1"/>
      <w:marLeft w:val="0"/>
      <w:marRight w:val="0"/>
      <w:marTop w:val="0"/>
      <w:marBottom w:val="0"/>
      <w:divBdr>
        <w:top w:val="none" w:sz="0" w:space="0" w:color="auto"/>
        <w:left w:val="none" w:sz="0" w:space="0" w:color="auto"/>
        <w:bottom w:val="none" w:sz="0" w:space="0" w:color="auto"/>
        <w:right w:val="none" w:sz="0" w:space="0" w:color="auto"/>
      </w:divBdr>
    </w:div>
    <w:div w:id="853500797">
      <w:bodyDiv w:val="1"/>
      <w:marLeft w:val="0"/>
      <w:marRight w:val="0"/>
      <w:marTop w:val="0"/>
      <w:marBottom w:val="0"/>
      <w:divBdr>
        <w:top w:val="none" w:sz="0" w:space="0" w:color="auto"/>
        <w:left w:val="none" w:sz="0" w:space="0" w:color="auto"/>
        <w:bottom w:val="none" w:sz="0" w:space="0" w:color="auto"/>
        <w:right w:val="none" w:sz="0" w:space="0" w:color="auto"/>
      </w:divBdr>
    </w:div>
    <w:div w:id="926769652">
      <w:bodyDiv w:val="1"/>
      <w:marLeft w:val="0"/>
      <w:marRight w:val="0"/>
      <w:marTop w:val="0"/>
      <w:marBottom w:val="0"/>
      <w:divBdr>
        <w:top w:val="none" w:sz="0" w:space="0" w:color="auto"/>
        <w:left w:val="none" w:sz="0" w:space="0" w:color="auto"/>
        <w:bottom w:val="none" w:sz="0" w:space="0" w:color="auto"/>
        <w:right w:val="none" w:sz="0" w:space="0" w:color="auto"/>
      </w:divBdr>
    </w:div>
    <w:div w:id="941957738">
      <w:bodyDiv w:val="1"/>
      <w:marLeft w:val="0"/>
      <w:marRight w:val="0"/>
      <w:marTop w:val="0"/>
      <w:marBottom w:val="0"/>
      <w:divBdr>
        <w:top w:val="none" w:sz="0" w:space="0" w:color="auto"/>
        <w:left w:val="none" w:sz="0" w:space="0" w:color="auto"/>
        <w:bottom w:val="none" w:sz="0" w:space="0" w:color="auto"/>
        <w:right w:val="none" w:sz="0" w:space="0" w:color="auto"/>
      </w:divBdr>
    </w:div>
    <w:div w:id="983047199">
      <w:bodyDiv w:val="1"/>
      <w:marLeft w:val="0"/>
      <w:marRight w:val="0"/>
      <w:marTop w:val="0"/>
      <w:marBottom w:val="0"/>
      <w:divBdr>
        <w:top w:val="none" w:sz="0" w:space="0" w:color="auto"/>
        <w:left w:val="none" w:sz="0" w:space="0" w:color="auto"/>
        <w:bottom w:val="none" w:sz="0" w:space="0" w:color="auto"/>
        <w:right w:val="none" w:sz="0" w:space="0" w:color="auto"/>
      </w:divBdr>
    </w:div>
    <w:div w:id="1065223397">
      <w:bodyDiv w:val="1"/>
      <w:marLeft w:val="0"/>
      <w:marRight w:val="0"/>
      <w:marTop w:val="0"/>
      <w:marBottom w:val="0"/>
      <w:divBdr>
        <w:top w:val="none" w:sz="0" w:space="0" w:color="auto"/>
        <w:left w:val="none" w:sz="0" w:space="0" w:color="auto"/>
        <w:bottom w:val="none" w:sz="0" w:space="0" w:color="auto"/>
        <w:right w:val="none" w:sz="0" w:space="0" w:color="auto"/>
      </w:divBdr>
    </w:div>
    <w:div w:id="1189952733">
      <w:bodyDiv w:val="1"/>
      <w:marLeft w:val="0"/>
      <w:marRight w:val="0"/>
      <w:marTop w:val="0"/>
      <w:marBottom w:val="0"/>
      <w:divBdr>
        <w:top w:val="none" w:sz="0" w:space="0" w:color="auto"/>
        <w:left w:val="none" w:sz="0" w:space="0" w:color="auto"/>
        <w:bottom w:val="none" w:sz="0" w:space="0" w:color="auto"/>
        <w:right w:val="none" w:sz="0" w:space="0" w:color="auto"/>
      </w:divBdr>
    </w:div>
    <w:div w:id="1233809877">
      <w:bodyDiv w:val="1"/>
      <w:marLeft w:val="0"/>
      <w:marRight w:val="0"/>
      <w:marTop w:val="0"/>
      <w:marBottom w:val="0"/>
      <w:divBdr>
        <w:top w:val="none" w:sz="0" w:space="0" w:color="auto"/>
        <w:left w:val="none" w:sz="0" w:space="0" w:color="auto"/>
        <w:bottom w:val="none" w:sz="0" w:space="0" w:color="auto"/>
        <w:right w:val="none" w:sz="0" w:space="0" w:color="auto"/>
      </w:divBdr>
    </w:div>
    <w:div w:id="1240597432">
      <w:bodyDiv w:val="1"/>
      <w:marLeft w:val="0"/>
      <w:marRight w:val="0"/>
      <w:marTop w:val="0"/>
      <w:marBottom w:val="0"/>
      <w:divBdr>
        <w:top w:val="none" w:sz="0" w:space="0" w:color="auto"/>
        <w:left w:val="none" w:sz="0" w:space="0" w:color="auto"/>
        <w:bottom w:val="none" w:sz="0" w:space="0" w:color="auto"/>
        <w:right w:val="none" w:sz="0" w:space="0" w:color="auto"/>
      </w:divBdr>
      <w:divsChild>
        <w:div w:id="619147210">
          <w:marLeft w:val="0"/>
          <w:marRight w:val="0"/>
          <w:marTop w:val="0"/>
          <w:marBottom w:val="0"/>
          <w:divBdr>
            <w:top w:val="none" w:sz="0" w:space="0" w:color="auto"/>
            <w:left w:val="none" w:sz="0" w:space="0" w:color="auto"/>
            <w:bottom w:val="none" w:sz="0" w:space="0" w:color="auto"/>
            <w:right w:val="none" w:sz="0" w:space="0" w:color="auto"/>
          </w:divBdr>
          <w:divsChild>
            <w:div w:id="314988748">
              <w:marLeft w:val="0"/>
              <w:marRight w:val="0"/>
              <w:marTop w:val="0"/>
              <w:marBottom w:val="0"/>
              <w:divBdr>
                <w:top w:val="none" w:sz="0" w:space="0" w:color="auto"/>
                <w:left w:val="none" w:sz="0" w:space="0" w:color="auto"/>
                <w:bottom w:val="none" w:sz="0" w:space="0" w:color="auto"/>
                <w:right w:val="none" w:sz="0" w:space="0" w:color="auto"/>
              </w:divBdr>
              <w:divsChild>
                <w:div w:id="1986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671578">
      <w:bodyDiv w:val="1"/>
      <w:marLeft w:val="0"/>
      <w:marRight w:val="0"/>
      <w:marTop w:val="0"/>
      <w:marBottom w:val="0"/>
      <w:divBdr>
        <w:top w:val="none" w:sz="0" w:space="0" w:color="auto"/>
        <w:left w:val="none" w:sz="0" w:space="0" w:color="auto"/>
        <w:bottom w:val="none" w:sz="0" w:space="0" w:color="auto"/>
        <w:right w:val="none" w:sz="0" w:space="0" w:color="auto"/>
      </w:divBdr>
    </w:div>
    <w:div w:id="1525481995">
      <w:bodyDiv w:val="1"/>
      <w:marLeft w:val="0"/>
      <w:marRight w:val="0"/>
      <w:marTop w:val="0"/>
      <w:marBottom w:val="0"/>
      <w:divBdr>
        <w:top w:val="none" w:sz="0" w:space="0" w:color="auto"/>
        <w:left w:val="none" w:sz="0" w:space="0" w:color="auto"/>
        <w:bottom w:val="none" w:sz="0" w:space="0" w:color="auto"/>
        <w:right w:val="none" w:sz="0" w:space="0" w:color="auto"/>
      </w:divBdr>
    </w:div>
    <w:div w:id="1558081031">
      <w:bodyDiv w:val="1"/>
      <w:marLeft w:val="0"/>
      <w:marRight w:val="0"/>
      <w:marTop w:val="0"/>
      <w:marBottom w:val="0"/>
      <w:divBdr>
        <w:top w:val="none" w:sz="0" w:space="0" w:color="auto"/>
        <w:left w:val="none" w:sz="0" w:space="0" w:color="auto"/>
        <w:bottom w:val="none" w:sz="0" w:space="0" w:color="auto"/>
        <w:right w:val="none" w:sz="0" w:space="0" w:color="auto"/>
      </w:divBdr>
    </w:div>
    <w:div w:id="1580867885">
      <w:bodyDiv w:val="1"/>
      <w:marLeft w:val="0"/>
      <w:marRight w:val="0"/>
      <w:marTop w:val="0"/>
      <w:marBottom w:val="0"/>
      <w:divBdr>
        <w:top w:val="none" w:sz="0" w:space="0" w:color="auto"/>
        <w:left w:val="none" w:sz="0" w:space="0" w:color="auto"/>
        <w:bottom w:val="none" w:sz="0" w:space="0" w:color="auto"/>
        <w:right w:val="none" w:sz="0" w:space="0" w:color="auto"/>
      </w:divBdr>
    </w:div>
    <w:div w:id="1594587912">
      <w:bodyDiv w:val="1"/>
      <w:marLeft w:val="0"/>
      <w:marRight w:val="0"/>
      <w:marTop w:val="0"/>
      <w:marBottom w:val="0"/>
      <w:divBdr>
        <w:top w:val="none" w:sz="0" w:space="0" w:color="auto"/>
        <w:left w:val="none" w:sz="0" w:space="0" w:color="auto"/>
        <w:bottom w:val="none" w:sz="0" w:space="0" w:color="auto"/>
        <w:right w:val="none" w:sz="0" w:space="0" w:color="auto"/>
      </w:divBdr>
    </w:div>
    <w:div w:id="1629554634">
      <w:bodyDiv w:val="1"/>
      <w:marLeft w:val="0"/>
      <w:marRight w:val="0"/>
      <w:marTop w:val="0"/>
      <w:marBottom w:val="0"/>
      <w:divBdr>
        <w:top w:val="none" w:sz="0" w:space="0" w:color="auto"/>
        <w:left w:val="none" w:sz="0" w:space="0" w:color="auto"/>
        <w:bottom w:val="none" w:sz="0" w:space="0" w:color="auto"/>
        <w:right w:val="none" w:sz="0" w:space="0" w:color="auto"/>
      </w:divBdr>
    </w:div>
    <w:div w:id="1691297519">
      <w:bodyDiv w:val="1"/>
      <w:marLeft w:val="0"/>
      <w:marRight w:val="0"/>
      <w:marTop w:val="0"/>
      <w:marBottom w:val="0"/>
      <w:divBdr>
        <w:top w:val="none" w:sz="0" w:space="0" w:color="auto"/>
        <w:left w:val="none" w:sz="0" w:space="0" w:color="auto"/>
        <w:bottom w:val="none" w:sz="0" w:space="0" w:color="auto"/>
        <w:right w:val="none" w:sz="0" w:space="0" w:color="auto"/>
      </w:divBdr>
    </w:div>
    <w:div w:id="1729497711">
      <w:bodyDiv w:val="1"/>
      <w:marLeft w:val="0"/>
      <w:marRight w:val="0"/>
      <w:marTop w:val="0"/>
      <w:marBottom w:val="0"/>
      <w:divBdr>
        <w:top w:val="none" w:sz="0" w:space="0" w:color="auto"/>
        <w:left w:val="none" w:sz="0" w:space="0" w:color="auto"/>
        <w:bottom w:val="none" w:sz="0" w:space="0" w:color="auto"/>
        <w:right w:val="none" w:sz="0" w:space="0" w:color="auto"/>
      </w:divBdr>
    </w:div>
    <w:div w:id="1762415016">
      <w:bodyDiv w:val="1"/>
      <w:marLeft w:val="0"/>
      <w:marRight w:val="0"/>
      <w:marTop w:val="0"/>
      <w:marBottom w:val="0"/>
      <w:divBdr>
        <w:top w:val="none" w:sz="0" w:space="0" w:color="auto"/>
        <w:left w:val="none" w:sz="0" w:space="0" w:color="auto"/>
        <w:bottom w:val="none" w:sz="0" w:space="0" w:color="auto"/>
        <w:right w:val="none" w:sz="0" w:space="0" w:color="auto"/>
      </w:divBdr>
    </w:div>
    <w:div w:id="206229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wteacher.net/cases/stovin-v-wise.php" TargetMode="External"/><Relationship Id="rId5" Type="http://schemas.openxmlformats.org/officeDocument/2006/relationships/hyperlink" Target="https://www.lawteacher.net/cases/hedley-byrne-v-heller.php" TargetMode="External"/><Relationship Id="rId4" Type="http://schemas.openxmlformats.org/officeDocument/2006/relationships/hyperlink" Target="https://www.lawteacher.net/cases/stovin-v-wis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4</Pages>
  <Words>1817</Words>
  <Characters>10358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8</cp:revision>
  <dcterms:created xsi:type="dcterms:W3CDTF">2021-10-03T09:02:00Z</dcterms:created>
  <dcterms:modified xsi:type="dcterms:W3CDTF">2021-10-17T19:23:00Z</dcterms:modified>
</cp:coreProperties>
</file>