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2EB61" w14:textId="2F0CDEC7" w:rsidR="005C245A" w:rsidRPr="00BA457B" w:rsidRDefault="005C245A" w:rsidP="00BA457B">
      <w:pPr>
        <w:spacing w:line="360" w:lineRule="auto"/>
        <w:rPr>
          <w:rFonts w:ascii="Arial" w:hAnsi="Arial" w:cs="Arial"/>
          <w:sz w:val="22"/>
        </w:rPr>
      </w:pPr>
    </w:p>
    <w:p w14:paraId="1BCB398F" w14:textId="5E6BDE71" w:rsidR="005C245A" w:rsidRPr="00BA457B" w:rsidRDefault="005C245A" w:rsidP="00BA457B">
      <w:pPr>
        <w:spacing w:line="360" w:lineRule="auto"/>
        <w:rPr>
          <w:rFonts w:ascii="Arial" w:hAnsi="Arial" w:cs="Arial"/>
          <w:sz w:val="22"/>
        </w:rPr>
      </w:pPr>
    </w:p>
    <w:p w14:paraId="6B41776E" w14:textId="498FA3C2" w:rsidR="005C245A" w:rsidRPr="00BA457B" w:rsidRDefault="005C245A" w:rsidP="00BA457B">
      <w:pPr>
        <w:spacing w:line="360" w:lineRule="auto"/>
        <w:rPr>
          <w:rFonts w:ascii="Arial" w:hAnsi="Arial" w:cs="Arial"/>
          <w:sz w:val="22"/>
        </w:rPr>
      </w:pPr>
    </w:p>
    <w:p w14:paraId="268A196D" w14:textId="1AFE3D2C" w:rsidR="005C245A" w:rsidRPr="00BA457B" w:rsidRDefault="005C245A" w:rsidP="00BA457B">
      <w:pPr>
        <w:spacing w:line="360" w:lineRule="auto"/>
        <w:rPr>
          <w:rFonts w:ascii="Arial" w:hAnsi="Arial" w:cs="Arial"/>
          <w:sz w:val="22"/>
        </w:rPr>
      </w:pPr>
    </w:p>
    <w:p w14:paraId="267D7AE8" w14:textId="36E0D96B" w:rsidR="005C245A" w:rsidRPr="00BA457B" w:rsidRDefault="005C245A" w:rsidP="00BA457B">
      <w:pPr>
        <w:spacing w:line="360" w:lineRule="auto"/>
        <w:rPr>
          <w:rFonts w:ascii="Arial" w:hAnsi="Arial" w:cs="Arial"/>
          <w:sz w:val="22"/>
        </w:rPr>
      </w:pPr>
    </w:p>
    <w:p w14:paraId="6B01AE1E" w14:textId="3A81A358" w:rsidR="005C245A" w:rsidRPr="00BA457B" w:rsidRDefault="005C245A" w:rsidP="00BA457B">
      <w:pPr>
        <w:spacing w:line="360" w:lineRule="auto"/>
        <w:rPr>
          <w:rFonts w:ascii="Arial" w:hAnsi="Arial" w:cs="Arial"/>
          <w:sz w:val="22"/>
        </w:rPr>
      </w:pPr>
    </w:p>
    <w:p w14:paraId="1A6436EB" w14:textId="119BA7F2" w:rsidR="005C245A" w:rsidRPr="00BA457B" w:rsidRDefault="005C245A" w:rsidP="00BA457B">
      <w:pPr>
        <w:spacing w:line="360" w:lineRule="auto"/>
        <w:rPr>
          <w:rFonts w:ascii="Arial" w:hAnsi="Arial" w:cs="Arial"/>
          <w:sz w:val="22"/>
        </w:rPr>
      </w:pPr>
    </w:p>
    <w:p w14:paraId="5D1D7812" w14:textId="77777777" w:rsidR="005C245A" w:rsidRPr="00BA457B" w:rsidRDefault="005C245A" w:rsidP="00BA457B">
      <w:pPr>
        <w:spacing w:line="360" w:lineRule="auto"/>
        <w:rPr>
          <w:rFonts w:ascii="Arial" w:hAnsi="Arial" w:cs="Arial"/>
          <w:sz w:val="22"/>
        </w:rPr>
      </w:pPr>
    </w:p>
    <w:p w14:paraId="49A0D387" w14:textId="4D87F65B" w:rsidR="00463A29" w:rsidRPr="00BA457B" w:rsidRDefault="0064025E" w:rsidP="00BA457B">
      <w:pPr>
        <w:spacing w:line="360" w:lineRule="auto"/>
        <w:jc w:val="center"/>
        <w:rPr>
          <w:rFonts w:ascii="Arial" w:hAnsi="Arial" w:cs="Arial"/>
          <w:b/>
          <w:sz w:val="22"/>
        </w:rPr>
      </w:pPr>
      <w:r w:rsidRPr="00BA457B">
        <w:rPr>
          <w:rFonts w:ascii="Arial" w:hAnsi="Arial" w:cs="Arial"/>
          <w:b/>
          <w:sz w:val="22"/>
        </w:rPr>
        <w:t>Student Name</w:t>
      </w:r>
    </w:p>
    <w:p w14:paraId="286E6638" w14:textId="3865A161" w:rsidR="00644435" w:rsidRPr="00BA457B" w:rsidRDefault="0064025E" w:rsidP="00BA457B">
      <w:pPr>
        <w:spacing w:line="360" w:lineRule="auto"/>
        <w:jc w:val="center"/>
        <w:rPr>
          <w:rFonts w:ascii="Arial" w:hAnsi="Arial" w:cs="Arial"/>
          <w:b/>
          <w:sz w:val="22"/>
        </w:rPr>
      </w:pPr>
      <w:r w:rsidRPr="00BA457B">
        <w:rPr>
          <w:rFonts w:ascii="Arial" w:hAnsi="Arial" w:cs="Arial"/>
          <w:b/>
          <w:sz w:val="22"/>
        </w:rPr>
        <w:t>Student Number</w:t>
      </w:r>
    </w:p>
    <w:p w14:paraId="2DECE0D4" w14:textId="134F1FC8" w:rsidR="00644435" w:rsidRPr="00BA457B" w:rsidRDefault="0064025E" w:rsidP="00BA457B">
      <w:pPr>
        <w:spacing w:line="360" w:lineRule="auto"/>
        <w:jc w:val="center"/>
        <w:rPr>
          <w:rFonts w:ascii="Arial" w:hAnsi="Arial" w:cs="Arial"/>
          <w:b/>
          <w:sz w:val="22"/>
        </w:rPr>
      </w:pPr>
      <w:r w:rsidRPr="00BA457B">
        <w:rPr>
          <w:rFonts w:ascii="Arial" w:hAnsi="Arial" w:cs="Arial"/>
          <w:b/>
          <w:sz w:val="22"/>
        </w:rPr>
        <w:t>Module Code</w:t>
      </w:r>
      <w:r w:rsidR="005C245A" w:rsidRPr="00BA457B">
        <w:rPr>
          <w:rFonts w:ascii="Arial" w:hAnsi="Arial" w:cs="Arial"/>
          <w:b/>
          <w:sz w:val="22"/>
        </w:rPr>
        <w:t>: BMHP6026</w:t>
      </w:r>
    </w:p>
    <w:p w14:paraId="5EE3654D" w14:textId="2F49A0D1" w:rsidR="00644435" w:rsidRPr="00BA457B" w:rsidRDefault="0064025E" w:rsidP="00BA457B">
      <w:pPr>
        <w:spacing w:line="360" w:lineRule="auto"/>
        <w:jc w:val="center"/>
        <w:rPr>
          <w:rFonts w:ascii="Arial" w:hAnsi="Arial" w:cs="Arial"/>
          <w:b/>
          <w:sz w:val="22"/>
        </w:rPr>
      </w:pPr>
      <w:r w:rsidRPr="00BA457B">
        <w:rPr>
          <w:rFonts w:ascii="Arial" w:hAnsi="Arial" w:cs="Arial"/>
          <w:b/>
          <w:sz w:val="22"/>
        </w:rPr>
        <w:t>Module Title</w:t>
      </w:r>
      <w:r w:rsidR="00410306" w:rsidRPr="00BA457B">
        <w:rPr>
          <w:rFonts w:ascii="Arial" w:hAnsi="Arial" w:cs="Arial"/>
          <w:b/>
          <w:sz w:val="22"/>
        </w:rPr>
        <w:t>: Digital Transformation in the Health and Care Professions</w:t>
      </w:r>
    </w:p>
    <w:p w14:paraId="13A33133" w14:textId="1CE36798" w:rsidR="00644435" w:rsidRDefault="0064025E" w:rsidP="00BA457B">
      <w:pPr>
        <w:spacing w:line="360" w:lineRule="auto"/>
        <w:jc w:val="center"/>
        <w:rPr>
          <w:rFonts w:ascii="Arial" w:hAnsi="Arial" w:cs="Arial"/>
          <w:b/>
          <w:sz w:val="22"/>
        </w:rPr>
      </w:pPr>
      <w:r w:rsidRPr="00BA457B">
        <w:rPr>
          <w:rFonts w:ascii="Arial" w:hAnsi="Arial" w:cs="Arial"/>
          <w:b/>
          <w:sz w:val="22"/>
        </w:rPr>
        <w:t>Assignment Title</w:t>
      </w:r>
      <w:r w:rsidR="0093440D" w:rsidRPr="00BA457B">
        <w:rPr>
          <w:rFonts w:ascii="Arial" w:hAnsi="Arial" w:cs="Arial"/>
          <w:b/>
          <w:sz w:val="22"/>
        </w:rPr>
        <w:t>: Component 1: Written Report</w:t>
      </w:r>
    </w:p>
    <w:p w14:paraId="05A41AC4" w14:textId="248BB084" w:rsidR="0083703B" w:rsidRPr="00BA457B" w:rsidRDefault="0083703B" w:rsidP="00BA457B">
      <w:pPr>
        <w:spacing w:line="360" w:lineRule="auto"/>
        <w:jc w:val="center"/>
        <w:rPr>
          <w:rFonts w:ascii="Arial" w:hAnsi="Arial" w:cs="Arial"/>
          <w:b/>
          <w:sz w:val="22"/>
        </w:rPr>
      </w:pPr>
      <w:r>
        <w:rPr>
          <w:rFonts w:ascii="Arial" w:hAnsi="Arial" w:cs="Arial"/>
          <w:b/>
          <w:sz w:val="22"/>
        </w:rPr>
        <w:t>Submission date</w:t>
      </w:r>
    </w:p>
    <w:p w14:paraId="5B09E9AA" w14:textId="2656087C" w:rsidR="00792595" w:rsidRPr="00BA457B" w:rsidRDefault="00792595" w:rsidP="00BA457B">
      <w:pPr>
        <w:spacing w:line="360" w:lineRule="auto"/>
        <w:jc w:val="center"/>
        <w:rPr>
          <w:rFonts w:ascii="Arial" w:hAnsi="Arial" w:cs="Arial"/>
          <w:b/>
          <w:sz w:val="22"/>
        </w:rPr>
      </w:pPr>
    </w:p>
    <w:p w14:paraId="4D903BD6" w14:textId="315462D3" w:rsidR="00792595" w:rsidRPr="00BA457B" w:rsidRDefault="00792595" w:rsidP="00BA457B">
      <w:pPr>
        <w:spacing w:line="360" w:lineRule="auto"/>
        <w:rPr>
          <w:rFonts w:ascii="Arial" w:hAnsi="Arial" w:cs="Arial"/>
          <w:b/>
          <w:sz w:val="22"/>
        </w:rPr>
      </w:pPr>
      <w:r w:rsidRPr="00BA457B">
        <w:rPr>
          <w:rFonts w:ascii="Arial" w:hAnsi="Arial" w:cs="Arial"/>
          <w:b/>
          <w:sz w:val="22"/>
        </w:rPr>
        <w:br w:type="page"/>
      </w:r>
    </w:p>
    <w:sdt>
      <w:sdtPr>
        <w:rPr>
          <w:rFonts w:ascii="Arial" w:eastAsiaTheme="minorHAnsi" w:hAnsi="Arial" w:cs="Arial"/>
          <w:color w:val="auto"/>
          <w:sz w:val="22"/>
          <w:szCs w:val="22"/>
          <w:lang w:val="en-GB"/>
        </w:rPr>
        <w:id w:val="111868353"/>
        <w:docPartObj>
          <w:docPartGallery w:val="Table of Contents"/>
          <w:docPartUnique/>
        </w:docPartObj>
      </w:sdtPr>
      <w:sdtEndPr>
        <w:rPr>
          <w:b/>
          <w:bCs/>
          <w:noProof/>
        </w:rPr>
      </w:sdtEndPr>
      <w:sdtContent>
        <w:p w14:paraId="10CC727D" w14:textId="232F4F21" w:rsidR="00792595" w:rsidRPr="00BA457B" w:rsidRDefault="00792595" w:rsidP="00BA457B">
          <w:pPr>
            <w:pStyle w:val="TOCHeading"/>
            <w:spacing w:line="360" w:lineRule="auto"/>
            <w:rPr>
              <w:rFonts w:ascii="Arial" w:hAnsi="Arial" w:cs="Arial"/>
              <w:color w:val="auto"/>
              <w:sz w:val="22"/>
              <w:szCs w:val="22"/>
            </w:rPr>
          </w:pPr>
          <w:r w:rsidRPr="00BA457B">
            <w:rPr>
              <w:rFonts w:ascii="Arial" w:hAnsi="Arial" w:cs="Arial"/>
              <w:color w:val="auto"/>
              <w:sz w:val="22"/>
              <w:szCs w:val="22"/>
            </w:rPr>
            <w:t>Table of Contents</w:t>
          </w:r>
        </w:p>
        <w:p w14:paraId="0BFCA5AA" w14:textId="65EFCA18" w:rsidR="005219D2" w:rsidRPr="00BA457B" w:rsidRDefault="00792595" w:rsidP="00BA457B">
          <w:pPr>
            <w:pStyle w:val="TOC1"/>
            <w:tabs>
              <w:tab w:val="right" w:leader="dot" w:pos="9350"/>
            </w:tabs>
            <w:spacing w:line="360" w:lineRule="auto"/>
            <w:rPr>
              <w:rFonts w:ascii="Arial" w:eastAsiaTheme="minorEastAsia" w:hAnsi="Arial" w:cs="Arial"/>
              <w:noProof/>
              <w:sz w:val="22"/>
              <w:lang w:val="en-US"/>
            </w:rPr>
          </w:pPr>
          <w:r w:rsidRPr="00BA457B">
            <w:rPr>
              <w:rFonts w:ascii="Arial" w:hAnsi="Arial" w:cs="Arial"/>
              <w:sz w:val="22"/>
            </w:rPr>
            <w:fldChar w:fldCharType="begin"/>
          </w:r>
          <w:r w:rsidRPr="00BA457B">
            <w:rPr>
              <w:rFonts w:ascii="Arial" w:hAnsi="Arial" w:cs="Arial"/>
              <w:sz w:val="22"/>
            </w:rPr>
            <w:instrText xml:space="preserve"> TOC \o "1-3" \h \z \u </w:instrText>
          </w:r>
          <w:r w:rsidRPr="00BA457B">
            <w:rPr>
              <w:rFonts w:ascii="Arial" w:hAnsi="Arial" w:cs="Arial"/>
              <w:sz w:val="22"/>
            </w:rPr>
            <w:fldChar w:fldCharType="separate"/>
          </w:r>
          <w:hyperlink w:anchor="_Toc210279639" w:history="1">
            <w:r w:rsidR="005219D2" w:rsidRPr="00BA457B">
              <w:rPr>
                <w:rStyle w:val="Hyperlink"/>
                <w:rFonts w:ascii="Arial" w:hAnsi="Arial" w:cs="Arial"/>
                <w:noProof/>
                <w:sz w:val="22"/>
                <w:lang w:val="en-US"/>
              </w:rPr>
              <w:t>Introduction</w:t>
            </w:r>
            <w:r w:rsidR="005219D2" w:rsidRPr="00BA457B">
              <w:rPr>
                <w:rFonts w:ascii="Arial" w:hAnsi="Arial" w:cs="Arial"/>
                <w:noProof/>
                <w:webHidden/>
                <w:sz w:val="22"/>
              </w:rPr>
              <w:tab/>
            </w:r>
            <w:r w:rsidR="005219D2" w:rsidRPr="00BA457B">
              <w:rPr>
                <w:rFonts w:ascii="Arial" w:hAnsi="Arial" w:cs="Arial"/>
                <w:noProof/>
                <w:webHidden/>
                <w:sz w:val="22"/>
              </w:rPr>
              <w:fldChar w:fldCharType="begin"/>
            </w:r>
            <w:r w:rsidR="005219D2" w:rsidRPr="00BA457B">
              <w:rPr>
                <w:rFonts w:ascii="Arial" w:hAnsi="Arial" w:cs="Arial"/>
                <w:noProof/>
                <w:webHidden/>
                <w:sz w:val="22"/>
              </w:rPr>
              <w:instrText xml:space="preserve"> PAGEREF _Toc210279639 \h </w:instrText>
            </w:r>
            <w:r w:rsidR="005219D2" w:rsidRPr="00BA457B">
              <w:rPr>
                <w:rFonts w:ascii="Arial" w:hAnsi="Arial" w:cs="Arial"/>
                <w:noProof/>
                <w:webHidden/>
                <w:sz w:val="22"/>
              </w:rPr>
            </w:r>
            <w:r w:rsidR="005219D2" w:rsidRPr="00BA457B">
              <w:rPr>
                <w:rFonts w:ascii="Arial" w:hAnsi="Arial" w:cs="Arial"/>
                <w:noProof/>
                <w:webHidden/>
                <w:sz w:val="22"/>
              </w:rPr>
              <w:fldChar w:fldCharType="separate"/>
            </w:r>
            <w:r w:rsidR="00A93FCC">
              <w:rPr>
                <w:rFonts w:ascii="Arial" w:hAnsi="Arial" w:cs="Arial"/>
                <w:noProof/>
                <w:webHidden/>
                <w:sz w:val="22"/>
              </w:rPr>
              <w:t>3</w:t>
            </w:r>
            <w:r w:rsidR="005219D2" w:rsidRPr="00BA457B">
              <w:rPr>
                <w:rFonts w:ascii="Arial" w:hAnsi="Arial" w:cs="Arial"/>
                <w:noProof/>
                <w:webHidden/>
                <w:sz w:val="22"/>
              </w:rPr>
              <w:fldChar w:fldCharType="end"/>
            </w:r>
          </w:hyperlink>
        </w:p>
        <w:p w14:paraId="766C3037" w14:textId="70B0F4FC" w:rsidR="005219D2" w:rsidRPr="00BA457B" w:rsidRDefault="005219D2" w:rsidP="00BA457B">
          <w:pPr>
            <w:pStyle w:val="TOC1"/>
            <w:tabs>
              <w:tab w:val="right" w:leader="dot" w:pos="9350"/>
            </w:tabs>
            <w:spacing w:line="360" w:lineRule="auto"/>
            <w:rPr>
              <w:rFonts w:ascii="Arial" w:eastAsiaTheme="minorEastAsia" w:hAnsi="Arial" w:cs="Arial"/>
              <w:noProof/>
              <w:sz w:val="22"/>
              <w:lang w:val="en-US"/>
            </w:rPr>
          </w:pPr>
          <w:hyperlink w:anchor="_Toc210279640" w:history="1">
            <w:r w:rsidRPr="00BA457B">
              <w:rPr>
                <w:rStyle w:val="Hyperlink"/>
                <w:rFonts w:ascii="Arial" w:hAnsi="Arial" w:cs="Arial"/>
                <w:noProof/>
                <w:sz w:val="22"/>
                <w:lang w:val="en-US"/>
              </w:rPr>
              <w:t>Background and Context</w:t>
            </w:r>
            <w:r w:rsidRPr="00BA457B">
              <w:rPr>
                <w:rFonts w:ascii="Arial" w:hAnsi="Arial" w:cs="Arial"/>
                <w:noProof/>
                <w:webHidden/>
                <w:sz w:val="22"/>
              </w:rPr>
              <w:tab/>
            </w:r>
            <w:r w:rsidRPr="00BA457B">
              <w:rPr>
                <w:rFonts w:ascii="Arial" w:hAnsi="Arial" w:cs="Arial"/>
                <w:noProof/>
                <w:webHidden/>
                <w:sz w:val="22"/>
              </w:rPr>
              <w:fldChar w:fldCharType="begin"/>
            </w:r>
            <w:r w:rsidRPr="00BA457B">
              <w:rPr>
                <w:rFonts w:ascii="Arial" w:hAnsi="Arial" w:cs="Arial"/>
                <w:noProof/>
                <w:webHidden/>
                <w:sz w:val="22"/>
              </w:rPr>
              <w:instrText xml:space="preserve"> PAGEREF _Toc210279640 \h </w:instrText>
            </w:r>
            <w:r w:rsidRPr="00BA457B">
              <w:rPr>
                <w:rFonts w:ascii="Arial" w:hAnsi="Arial" w:cs="Arial"/>
                <w:noProof/>
                <w:webHidden/>
                <w:sz w:val="22"/>
              </w:rPr>
            </w:r>
            <w:r w:rsidRPr="00BA457B">
              <w:rPr>
                <w:rFonts w:ascii="Arial" w:hAnsi="Arial" w:cs="Arial"/>
                <w:noProof/>
                <w:webHidden/>
                <w:sz w:val="22"/>
              </w:rPr>
              <w:fldChar w:fldCharType="separate"/>
            </w:r>
            <w:r w:rsidR="00A93FCC">
              <w:rPr>
                <w:rFonts w:ascii="Arial" w:hAnsi="Arial" w:cs="Arial"/>
                <w:noProof/>
                <w:webHidden/>
                <w:sz w:val="22"/>
              </w:rPr>
              <w:t>3</w:t>
            </w:r>
            <w:r w:rsidRPr="00BA457B">
              <w:rPr>
                <w:rFonts w:ascii="Arial" w:hAnsi="Arial" w:cs="Arial"/>
                <w:noProof/>
                <w:webHidden/>
                <w:sz w:val="22"/>
              </w:rPr>
              <w:fldChar w:fldCharType="end"/>
            </w:r>
          </w:hyperlink>
        </w:p>
        <w:p w14:paraId="2F82966F" w14:textId="4D2DA993" w:rsidR="005219D2" w:rsidRPr="00BA457B" w:rsidRDefault="005219D2" w:rsidP="00BA457B">
          <w:pPr>
            <w:pStyle w:val="TOC1"/>
            <w:tabs>
              <w:tab w:val="right" w:leader="dot" w:pos="9350"/>
            </w:tabs>
            <w:spacing w:line="360" w:lineRule="auto"/>
            <w:rPr>
              <w:rFonts w:ascii="Arial" w:eastAsiaTheme="minorEastAsia" w:hAnsi="Arial" w:cs="Arial"/>
              <w:noProof/>
              <w:sz w:val="22"/>
              <w:lang w:val="en-US"/>
            </w:rPr>
          </w:pPr>
          <w:hyperlink w:anchor="_Toc210279641" w:history="1">
            <w:r w:rsidRPr="00BA457B">
              <w:rPr>
                <w:rStyle w:val="Hyperlink"/>
                <w:rFonts w:ascii="Arial" w:hAnsi="Arial" w:cs="Arial"/>
                <w:noProof/>
                <w:sz w:val="22"/>
                <w:lang w:val="en-US"/>
              </w:rPr>
              <w:t>Workforce Implications</w:t>
            </w:r>
            <w:r w:rsidRPr="00BA457B">
              <w:rPr>
                <w:rFonts w:ascii="Arial" w:hAnsi="Arial" w:cs="Arial"/>
                <w:noProof/>
                <w:webHidden/>
                <w:sz w:val="22"/>
              </w:rPr>
              <w:tab/>
            </w:r>
            <w:r w:rsidRPr="00BA457B">
              <w:rPr>
                <w:rFonts w:ascii="Arial" w:hAnsi="Arial" w:cs="Arial"/>
                <w:noProof/>
                <w:webHidden/>
                <w:sz w:val="22"/>
              </w:rPr>
              <w:fldChar w:fldCharType="begin"/>
            </w:r>
            <w:r w:rsidRPr="00BA457B">
              <w:rPr>
                <w:rFonts w:ascii="Arial" w:hAnsi="Arial" w:cs="Arial"/>
                <w:noProof/>
                <w:webHidden/>
                <w:sz w:val="22"/>
              </w:rPr>
              <w:instrText xml:space="preserve"> PAGEREF _Toc210279641 \h </w:instrText>
            </w:r>
            <w:r w:rsidRPr="00BA457B">
              <w:rPr>
                <w:rFonts w:ascii="Arial" w:hAnsi="Arial" w:cs="Arial"/>
                <w:noProof/>
                <w:webHidden/>
                <w:sz w:val="22"/>
              </w:rPr>
            </w:r>
            <w:r w:rsidRPr="00BA457B">
              <w:rPr>
                <w:rFonts w:ascii="Arial" w:hAnsi="Arial" w:cs="Arial"/>
                <w:noProof/>
                <w:webHidden/>
                <w:sz w:val="22"/>
              </w:rPr>
              <w:fldChar w:fldCharType="separate"/>
            </w:r>
            <w:r w:rsidR="00A93FCC">
              <w:rPr>
                <w:rFonts w:ascii="Arial" w:hAnsi="Arial" w:cs="Arial"/>
                <w:noProof/>
                <w:webHidden/>
                <w:sz w:val="22"/>
              </w:rPr>
              <w:t>4</w:t>
            </w:r>
            <w:r w:rsidRPr="00BA457B">
              <w:rPr>
                <w:rFonts w:ascii="Arial" w:hAnsi="Arial" w:cs="Arial"/>
                <w:noProof/>
                <w:webHidden/>
                <w:sz w:val="22"/>
              </w:rPr>
              <w:fldChar w:fldCharType="end"/>
            </w:r>
          </w:hyperlink>
        </w:p>
        <w:p w14:paraId="3FD1DBE4" w14:textId="4461E023" w:rsidR="005219D2" w:rsidRPr="00BA457B" w:rsidRDefault="005219D2" w:rsidP="00BA457B">
          <w:pPr>
            <w:pStyle w:val="TOC1"/>
            <w:tabs>
              <w:tab w:val="right" w:leader="dot" w:pos="9350"/>
            </w:tabs>
            <w:spacing w:line="360" w:lineRule="auto"/>
            <w:rPr>
              <w:rFonts w:ascii="Arial" w:eastAsiaTheme="minorEastAsia" w:hAnsi="Arial" w:cs="Arial"/>
              <w:noProof/>
              <w:sz w:val="22"/>
              <w:lang w:val="en-US"/>
            </w:rPr>
          </w:pPr>
          <w:hyperlink w:anchor="_Toc210279642" w:history="1">
            <w:r w:rsidRPr="00BA457B">
              <w:rPr>
                <w:rStyle w:val="Hyperlink"/>
                <w:rFonts w:ascii="Arial" w:hAnsi="Arial" w:cs="Arial"/>
                <w:noProof/>
                <w:sz w:val="22"/>
                <w:lang w:val="en-US"/>
              </w:rPr>
              <w:t>Service Delivery</w:t>
            </w:r>
            <w:r w:rsidRPr="00BA457B">
              <w:rPr>
                <w:rFonts w:ascii="Arial" w:hAnsi="Arial" w:cs="Arial"/>
                <w:noProof/>
                <w:webHidden/>
                <w:sz w:val="22"/>
              </w:rPr>
              <w:tab/>
            </w:r>
            <w:r w:rsidRPr="00BA457B">
              <w:rPr>
                <w:rFonts w:ascii="Arial" w:hAnsi="Arial" w:cs="Arial"/>
                <w:noProof/>
                <w:webHidden/>
                <w:sz w:val="22"/>
              </w:rPr>
              <w:fldChar w:fldCharType="begin"/>
            </w:r>
            <w:r w:rsidRPr="00BA457B">
              <w:rPr>
                <w:rFonts w:ascii="Arial" w:hAnsi="Arial" w:cs="Arial"/>
                <w:noProof/>
                <w:webHidden/>
                <w:sz w:val="22"/>
              </w:rPr>
              <w:instrText xml:space="preserve"> PAGEREF _Toc210279642 \h </w:instrText>
            </w:r>
            <w:r w:rsidRPr="00BA457B">
              <w:rPr>
                <w:rFonts w:ascii="Arial" w:hAnsi="Arial" w:cs="Arial"/>
                <w:noProof/>
                <w:webHidden/>
                <w:sz w:val="22"/>
              </w:rPr>
            </w:r>
            <w:r w:rsidRPr="00BA457B">
              <w:rPr>
                <w:rFonts w:ascii="Arial" w:hAnsi="Arial" w:cs="Arial"/>
                <w:noProof/>
                <w:webHidden/>
                <w:sz w:val="22"/>
              </w:rPr>
              <w:fldChar w:fldCharType="separate"/>
            </w:r>
            <w:r w:rsidR="00A93FCC">
              <w:rPr>
                <w:rFonts w:ascii="Arial" w:hAnsi="Arial" w:cs="Arial"/>
                <w:noProof/>
                <w:webHidden/>
                <w:sz w:val="22"/>
              </w:rPr>
              <w:t>5</w:t>
            </w:r>
            <w:r w:rsidRPr="00BA457B">
              <w:rPr>
                <w:rFonts w:ascii="Arial" w:hAnsi="Arial" w:cs="Arial"/>
                <w:noProof/>
                <w:webHidden/>
                <w:sz w:val="22"/>
              </w:rPr>
              <w:fldChar w:fldCharType="end"/>
            </w:r>
          </w:hyperlink>
        </w:p>
        <w:p w14:paraId="70EDA32D" w14:textId="11D7A53D" w:rsidR="005219D2" w:rsidRPr="00BA457B" w:rsidRDefault="005219D2" w:rsidP="00BA457B">
          <w:pPr>
            <w:pStyle w:val="TOC1"/>
            <w:tabs>
              <w:tab w:val="right" w:leader="dot" w:pos="9350"/>
            </w:tabs>
            <w:spacing w:line="360" w:lineRule="auto"/>
            <w:rPr>
              <w:rFonts w:ascii="Arial" w:eastAsiaTheme="minorEastAsia" w:hAnsi="Arial" w:cs="Arial"/>
              <w:noProof/>
              <w:sz w:val="22"/>
              <w:lang w:val="en-US"/>
            </w:rPr>
          </w:pPr>
          <w:hyperlink w:anchor="_Toc210279643" w:history="1">
            <w:r w:rsidRPr="00BA457B">
              <w:rPr>
                <w:rStyle w:val="Hyperlink"/>
                <w:rFonts w:ascii="Arial" w:hAnsi="Arial" w:cs="Arial"/>
                <w:noProof/>
                <w:sz w:val="22"/>
                <w:lang w:val="en-US"/>
              </w:rPr>
              <w:t>Patient and Service User Impacts</w:t>
            </w:r>
            <w:r w:rsidRPr="00BA457B">
              <w:rPr>
                <w:rFonts w:ascii="Arial" w:hAnsi="Arial" w:cs="Arial"/>
                <w:noProof/>
                <w:webHidden/>
                <w:sz w:val="22"/>
              </w:rPr>
              <w:tab/>
            </w:r>
            <w:r w:rsidRPr="00BA457B">
              <w:rPr>
                <w:rFonts w:ascii="Arial" w:hAnsi="Arial" w:cs="Arial"/>
                <w:noProof/>
                <w:webHidden/>
                <w:sz w:val="22"/>
              </w:rPr>
              <w:fldChar w:fldCharType="begin"/>
            </w:r>
            <w:r w:rsidRPr="00BA457B">
              <w:rPr>
                <w:rFonts w:ascii="Arial" w:hAnsi="Arial" w:cs="Arial"/>
                <w:noProof/>
                <w:webHidden/>
                <w:sz w:val="22"/>
              </w:rPr>
              <w:instrText xml:space="preserve"> PAGEREF _Toc210279643 \h </w:instrText>
            </w:r>
            <w:r w:rsidRPr="00BA457B">
              <w:rPr>
                <w:rFonts w:ascii="Arial" w:hAnsi="Arial" w:cs="Arial"/>
                <w:noProof/>
                <w:webHidden/>
                <w:sz w:val="22"/>
              </w:rPr>
            </w:r>
            <w:r w:rsidRPr="00BA457B">
              <w:rPr>
                <w:rFonts w:ascii="Arial" w:hAnsi="Arial" w:cs="Arial"/>
                <w:noProof/>
                <w:webHidden/>
                <w:sz w:val="22"/>
              </w:rPr>
              <w:fldChar w:fldCharType="separate"/>
            </w:r>
            <w:r w:rsidR="00A93FCC">
              <w:rPr>
                <w:rFonts w:ascii="Arial" w:hAnsi="Arial" w:cs="Arial"/>
                <w:noProof/>
                <w:webHidden/>
                <w:sz w:val="22"/>
              </w:rPr>
              <w:t>6</w:t>
            </w:r>
            <w:r w:rsidRPr="00BA457B">
              <w:rPr>
                <w:rFonts w:ascii="Arial" w:hAnsi="Arial" w:cs="Arial"/>
                <w:noProof/>
                <w:webHidden/>
                <w:sz w:val="22"/>
              </w:rPr>
              <w:fldChar w:fldCharType="end"/>
            </w:r>
          </w:hyperlink>
        </w:p>
        <w:p w14:paraId="6799DE05" w14:textId="75C7949D" w:rsidR="005219D2" w:rsidRPr="00BA457B" w:rsidRDefault="005219D2" w:rsidP="00BA457B">
          <w:pPr>
            <w:pStyle w:val="TOC1"/>
            <w:tabs>
              <w:tab w:val="right" w:leader="dot" w:pos="9350"/>
            </w:tabs>
            <w:spacing w:line="360" w:lineRule="auto"/>
            <w:rPr>
              <w:rFonts w:ascii="Arial" w:eastAsiaTheme="minorEastAsia" w:hAnsi="Arial" w:cs="Arial"/>
              <w:noProof/>
              <w:sz w:val="22"/>
              <w:lang w:val="en-US"/>
            </w:rPr>
          </w:pPr>
          <w:hyperlink w:anchor="_Toc210279644" w:history="1">
            <w:r w:rsidRPr="00BA457B">
              <w:rPr>
                <w:rStyle w:val="Hyperlink"/>
                <w:rFonts w:ascii="Arial" w:hAnsi="Arial" w:cs="Arial"/>
                <w:noProof/>
                <w:sz w:val="22"/>
                <w:lang w:val="en-US"/>
              </w:rPr>
              <w:t>Community and Public Health Implications</w:t>
            </w:r>
            <w:r w:rsidRPr="00BA457B">
              <w:rPr>
                <w:rFonts w:ascii="Arial" w:hAnsi="Arial" w:cs="Arial"/>
                <w:noProof/>
                <w:webHidden/>
                <w:sz w:val="22"/>
              </w:rPr>
              <w:tab/>
            </w:r>
            <w:r w:rsidRPr="00BA457B">
              <w:rPr>
                <w:rFonts w:ascii="Arial" w:hAnsi="Arial" w:cs="Arial"/>
                <w:noProof/>
                <w:webHidden/>
                <w:sz w:val="22"/>
              </w:rPr>
              <w:fldChar w:fldCharType="begin"/>
            </w:r>
            <w:r w:rsidRPr="00BA457B">
              <w:rPr>
                <w:rFonts w:ascii="Arial" w:hAnsi="Arial" w:cs="Arial"/>
                <w:noProof/>
                <w:webHidden/>
                <w:sz w:val="22"/>
              </w:rPr>
              <w:instrText xml:space="preserve"> PAGEREF _Toc210279644 \h </w:instrText>
            </w:r>
            <w:r w:rsidRPr="00BA457B">
              <w:rPr>
                <w:rFonts w:ascii="Arial" w:hAnsi="Arial" w:cs="Arial"/>
                <w:noProof/>
                <w:webHidden/>
                <w:sz w:val="22"/>
              </w:rPr>
            </w:r>
            <w:r w:rsidRPr="00BA457B">
              <w:rPr>
                <w:rFonts w:ascii="Arial" w:hAnsi="Arial" w:cs="Arial"/>
                <w:noProof/>
                <w:webHidden/>
                <w:sz w:val="22"/>
              </w:rPr>
              <w:fldChar w:fldCharType="separate"/>
            </w:r>
            <w:r w:rsidR="00A93FCC">
              <w:rPr>
                <w:rFonts w:ascii="Arial" w:hAnsi="Arial" w:cs="Arial"/>
                <w:noProof/>
                <w:webHidden/>
                <w:sz w:val="22"/>
              </w:rPr>
              <w:t>6</w:t>
            </w:r>
            <w:r w:rsidRPr="00BA457B">
              <w:rPr>
                <w:rFonts w:ascii="Arial" w:hAnsi="Arial" w:cs="Arial"/>
                <w:noProof/>
                <w:webHidden/>
                <w:sz w:val="22"/>
              </w:rPr>
              <w:fldChar w:fldCharType="end"/>
            </w:r>
          </w:hyperlink>
        </w:p>
        <w:p w14:paraId="14E75C95" w14:textId="6FA9AB7D" w:rsidR="005219D2" w:rsidRPr="00BA457B" w:rsidRDefault="005219D2" w:rsidP="00BA457B">
          <w:pPr>
            <w:pStyle w:val="TOC1"/>
            <w:tabs>
              <w:tab w:val="right" w:leader="dot" w:pos="9350"/>
            </w:tabs>
            <w:spacing w:line="360" w:lineRule="auto"/>
            <w:rPr>
              <w:rFonts w:ascii="Arial" w:eastAsiaTheme="minorEastAsia" w:hAnsi="Arial" w:cs="Arial"/>
              <w:noProof/>
              <w:sz w:val="22"/>
              <w:lang w:val="en-US"/>
            </w:rPr>
          </w:pPr>
          <w:hyperlink w:anchor="_Toc210279645" w:history="1">
            <w:r w:rsidRPr="00BA457B">
              <w:rPr>
                <w:rStyle w:val="Hyperlink"/>
                <w:rFonts w:ascii="Arial" w:hAnsi="Arial" w:cs="Arial"/>
                <w:noProof/>
                <w:sz w:val="22"/>
                <w:lang w:val="en-US"/>
              </w:rPr>
              <w:t>Conclusion</w:t>
            </w:r>
            <w:r w:rsidRPr="00BA457B">
              <w:rPr>
                <w:rFonts w:ascii="Arial" w:hAnsi="Arial" w:cs="Arial"/>
                <w:noProof/>
                <w:webHidden/>
                <w:sz w:val="22"/>
              </w:rPr>
              <w:tab/>
            </w:r>
            <w:r w:rsidRPr="00BA457B">
              <w:rPr>
                <w:rFonts w:ascii="Arial" w:hAnsi="Arial" w:cs="Arial"/>
                <w:noProof/>
                <w:webHidden/>
                <w:sz w:val="22"/>
              </w:rPr>
              <w:fldChar w:fldCharType="begin"/>
            </w:r>
            <w:r w:rsidRPr="00BA457B">
              <w:rPr>
                <w:rFonts w:ascii="Arial" w:hAnsi="Arial" w:cs="Arial"/>
                <w:noProof/>
                <w:webHidden/>
                <w:sz w:val="22"/>
              </w:rPr>
              <w:instrText xml:space="preserve"> PAGEREF _Toc210279645 \h </w:instrText>
            </w:r>
            <w:r w:rsidRPr="00BA457B">
              <w:rPr>
                <w:rFonts w:ascii="Arial" w:hAnsi="Arial" w:cs="Arial"/>
                <w:noProof/>
                <w:webHidden/>
                <w:sz w:val="22"/>
              </w:rPr>
            </w:r>
            <w:r w:rsidRPr="00BA457B">
              <w:rPr>
                <w:rFonts w:ascii="Arial" w:hAnsi="Arial" w:cs="Arial"/>
                <w:noProof/>
                <w:webHidden/>
                <w:sz w:val="22"/>
              </w:rPr>
              <w:fldChar w:fldCharType="separate"/>
            </w:r>
            <w:r w:rsidR="00A93FCC">
              <w:rPr>
                <w:rFonts w:ascii="Arial" w:hAnsi="Arial" w:cs="Arial"/>
                <w:noProof/>
                <w:webHidden/>
                <w:sz w:val="22"/>
              </w:rPr>
              <w:t>7</w:t>
            </w:r>
            <w:r w:rsidRPr="00BA457B">
              <w:rPr>
                <w:rFonts w:ascii="Arial" w:hAnsi="Arial" w:cs="Arial"/>
                <w:noProof/>
                <w:webHidden/>
                <w:sz w:val="22"/>
              </w:rPr>
              <w:fldChar w:fldCharType="end"/>
            </w:r>
          </w:hyperlink>
        </w:p>
        <w:p w14:paraId="0AD76FC9" w14:textId="5B0F924B" w:rsidR="005219D2" w:rsidRPr="00BA457B" w:rsidRDefault="005219D2" w:rsidP="00BA457B">
          <w:pPr>
            <w:pStyle w:val="TOC1"/>
            <w:tabs>
              <w:tab w:val="right" w:leader="dot" w:pos="9350"/>
            </w:tabs>
            <w:spacing w:line="360" w:lineRule="auto"/>
            <w:rPr>
              <w:rFonts w:ascii="Arial" w:eastAsiaTheme="minorEastAsia" w:hAnsi="Arial" w:cs="Arial"/>
              <w:noProof/>
              <w:sz w:val="22"/>
              <w:lang w:val="en-US"/>
            </w:rPr>
          </w:pPr>
          <w:hyperlink w:anchor="_Toc210279646" w:history="1">
            <w:r w:rsidRPr="00BA457B">
              <w:rPr>
                <w:rStyle w:val="Hyperlink"/>
                <w:rFonts w:ascii="Arial" w:hAnsi="Arial" w:cs="Arial"/>
                <w:noProof/>
                <w:sz w:val="22"/>
                <w:lang w:val="en-US"/>
              </w:rPr>
              <w:t>References</w:t>
            </w:r>
            <w:r w:rsidRPr="00BA457B">
              <w:rPr>
                <w:rFonts w:ascii="Arial" w:hAnsi="Arial" w:cs="Arial"/>
                <w:noProof/>
                <w:webHidden/>
                <w:sz w:val="22"/>
              </w:rPr>
              <w:tab/>
            </w:r>
            <w:r w:rsidRPr="00BA457B">
              <w:rPr>
                <w:rFonts w:ascii="Arial" w:hAnsi="Arial" w:cs="Arial"/>
                <w:noProof/>
                <w:webHidden/>
                <w:sz w:val="22"/>
              </w:rPr>
              <w:fldChar w:fldCharType="begin"/>
            </w:r>
            <w:r w:rsidRPr="00BA457B">
              <w:rPr>
                <w:rFonts w:ascii="Arial" w:hAnsi="Arial" w:cs="Arial"/>
                <w:noProof/>
                <w:webHidden/>
                <w:sz w:val="22"/>
              </w:rPr>
              <w:instrText xml:space="preserve"> PAGEREF _Toc210279646 \h </w:instrText>
            </w:r>
            <w:r w:rsidRPr="00BA457B">
              <w:rPr>
                <w:rFonts w:ascii="Arial" w:hAnsi="Arial" w:cs="Arial"/>
                <w:noProof/>
                <w:webHidden/>
                <w:sz w:val="22"/>
              </w:rPr>
            </w:r>
            <w:r w:rsidRPr="00BA457B">
              <w:rPr>
                <w:rFonts w:ascii="Arial" w:hAnsi="Arial" w:cs="Arial"/>
                <w:noProof/>
                <w:webHidden/>
                <w:sz w:val="22"/>
              </w:rPr>
              <w:fldChar w:fldCharType="separate"/>
            </w:r>
            <w:r w:rsidR="00A93FCC">
              <w:rPr>
                <w:rFonts w:ascii="Arial" w:hAnsi="Arial" w:cs="Arial"/>
                <w:noProof/>
                <w:webHidden/>
                <w:sz w:val="22"/>
              </w:rPr>
              <w:t>9</w:t>
            </w:r>
            <w:r w:rsidRPr="00BA457B">
              <w:rPr>
                <w:rFonts w:ascii="Arial" w:hAnsi="Arial" w:cs="Arial"/>
                <w:noProof/>
                <w:webHidden/>
                <w:sz w:val="22"/>
              </w:rPr>
              <w:fldChar w:fldCharType="end"/>
            </w:r>
          </w:hyperlink>
        </w:p>
        <w:p w14:paraId="0E50CD6D" w14:textId="7BDDEDE7" w:rsidR="00792595" w:rsidRPr="00BA457B" w:rsidRDefault="00792595" w:rsidP="00BA457B">
          <w:pPr>
            <w:spacing w:line="360" w:lineRule="auto"/>
            <w:rPr>
              <w:rFonts w:ascii="Arial" w:hAnsi="Arial" w:cs="Arial"/>
              <w:sz w:val="22"/>
            </w:rPr>
          </w:pPr>
          <w:r w:rsidRPr="00BA457B">
            <w:rPr>
              <w:rFonts w:ascii="Arial" w:hAnsi="Arial" w:cs="Arial"/>
              <w:b/>
              <w:bCs/>
              <w:noProof/>
              <w:sz w:val="22"/>
            </w:rPr>
            <w:fldChar w:fldCharType="end"/>
          </w:r>
        </w:p>
      </w:sdtContent>
    </w:sdt>
    <w:p w14:paraId="0D600994" w14:textId="77777777" w:rsidR="00792595" w:rsidRPr="00BA457B" w:rsidRDefault="00792595" w:rsidP="00BA457B">
      <w:pPr>
        <w:spacing w:line="360" w:lineRule="auto"/>
        <w:rPr>
          <w:rFonts w:ascii="Arial" w:hAnsi="Arial" w:cs="Arial"/>
          <w:b/>
          <w:sz w:val="22"/>
        </w:rPr>
      </w:pPr>
    </w:p>
    <w:p w14:paraId="2597BD47" w14:textId="49450404" w:rsidR="00644435" w:rsidRPr="00BA457B" w:rsidRDefault="00644435" w:rsidP="00BA457B">
      <w:pPr>
        <w:spacing w:line="360" w:lineRule="auto"/>
        <w:rPr>
          <w:rFonts w:ascii="Arial" w:hAnsi="Arial" w:cs="Arial"/>
          <w:sz w:val="22"/>
        </w:rPr>
      </w:pPr>
    </w:p>
    <w:p w14:paraId="77B7E245" w14:textId="64706295" w:rsidR="00644435" w:rsidRPr="00BA457B" w:rsidRDefault="0064025E" w:rsidP="00BA457B">
      <w:pPr>
        <w:spacing w:line="360" w:lineRule="auto"/>
        <w:rPr>
          <w:rFonts w:ascii="Arial" w:hAnsi="Arial" w:cs="Arial"/>
          <w:sz w:val="22"/>
        </w:rPr>
      </w:pPr>
      <w:r w:rsidRPr="00BA457B">
        <w:rPr>
          <w:rFonts w:ascii="Arial" w:hAnsi="Arial" w:cs="Arial"/>
          <w:sz w:val="22"/>
        </w:rPr>
        <w:br w:type="page"/>
      </w:r>
    </w:p>
    <w:p w14:paraId="12F670A1" w14:textId="0C80F4B7" w:rsidR="0099395B" w:rsidRPr="00BA457B" w:rsidRDefault="0064025E" w:rsidP="00BA457B">
      <w:pPr>
        <w:pStyle w:val="Heading1"/>
        <w:spacing w:line="360" w:lineRule="auto"/>
        <w:rPr>
          <w:rFonts w:ascii="Arial" w:hAnsi="Arial" w:cs="Arial"/>
          <w:sz w:val="22"/>
          <w:szCs w:val="22"/>
          <w:lang w:val="en-US"/>
        </w:rPr>
      </w:pPr>
      <w:bookmarkStart w:id="0" w:name="_Toc210279639"/>
      <w:r w:rsidRPr="00BA457B">
        <w:rPr>
          <w:rFonts w:ascii="Arial" w:hAnsi="Arial" w:cs="Arial"/>
          <w:sz w:val="22"/>
          <w:szCs w:val="22"/>
          <w:lang w:val="en-US"/>
        </w:rPr>
        <w:lastRenderedPageBreak/>
        <w:t>Introduction</w:t>
      </w:r>
      <w:bookmarkEnd w:id="0"/>
    </w:p>
    <w:p w14:paraId="128959D3" w14:textId="486AC0D4" w:rsidR="00B50BB4" w:rsidRPr="00BA457B" w:rsidRDefault="0064025E" w:rsidP="00C316ED">
      <w:pPr>
        <w:spacing w:line="360" w:lineRule="auto"/>
        <w:jc w:val="both"/>
        <w:rPr>
          <w:rFonts w:ascii="Arial" w:hAnsi="Arial" w:cs="Arial"/>
          <w:sz w:val="22"/>
          <w:lang w:val="en-US"/>
        </w:rPr>
      </w:pPr>
      <w:r w:rsidRPr="00BA457B">
        <w:rPr>
          <w:rFonts w:ascii="Arial" w:hAnsi="Arial" w:cs="Arial"/>
          <w:sz w:val="22"/>
          <w:lang w:val="en-US"/>
        </w:rPr>
        <w:t>The UK health and care system has become a major focus of digital transformation to enhance efficiency, access, and patient outcomes by means of tech integration in the system. In the NHS Long Term Plan, digital innovation is one of the priorities of service delivery modernisation, which focuses on the importance of apps, artificial intelligence and data-driven tools in personalised care with minimised system pressures (NHS, 2019). Among the most prominent is the NHS App, released in 2018 and maintained by NHS Digital, which offers patients access to some of the basic services, such as booking a GP appointment, ordering prescription refills, securely seeing medical records, and, most recently, getting a COVID-19 vaccination and a travel pass. The app has been downloaded more than 33 million times by 2023 (Neves and Laranjo, 2025), and it has quickly become a digital healthcare staple in England. In this report, I will critically assess the NHS App in terms of its effects on the workforce, service delivery, patients, and communities.</w:t>
      </w:r>
    </w:p>
    <w:p w14:paraId="64DE8835" w14:textId="77777777" w:rsidR="00703758" w:rsidRPr="00BA457B" w:rsidRDefault="00703758" w:rsidP="00BA457B">
      <w:pPr>
        <w:spacing w:line="360" w:lineRule="auto"/>
        <w:rPr>
          <w:rFonts w:ascii="Arial" w:hAnsi="Arial" w:cs="Arial"/>
          <w:sz w:val="22"/>
          <w:lang w:val="en-US"/>
        </w:rPr>
      </w:pPr>
    </w:p>
    <w:p w14:paraId="39A9904D" w14:textId="6E122FE2" w:rsidR="0099395B" w:rsidRPr="00BA457B" w:rsidRDefault="0064025E" w:rsidP="00BA457B">
      <w:pPr>
        <w:pStyle w:val="Heading1"/>
        <w:spacing w:line="360" w:lineRule="auto"/>
        <w:rPr>
          <w:rFonts w:ascii="Arial" w:hAnsi="Arial" w:cs="Arial"/>
          <w:sz w:val="22"/>
          <w:szCs w:val="22"/>
          <w:lang w:val="en-US"/>
        </w:rPr>
      </w:pPr>
      <w:bookmarkStart w:id="1" w:name="_Toc210279640"/>
      <w:r w:rsidRPr="00BA457B">
        <w:rPr>
          <w:rFonts w:ascii="Arial" w:hAnsi="Arial" w:cs="Arial"/>
          <w:sz w:val="22"/>
          <w:szCs w:val="22"/>
          <w:lang w:val="en-US"/>
        </w:rPr>
        <w:t>Background and Context</w:t>
      </w:r>
      <w:bookmarkEnd w:id="1"/>
      <w:r w:rsidR="00AA610A">
        <w:rPr>
          <w:rFonts w:ascii="Arial" w:hAnsi="Arial" w:cs="Arial"/>
          <w:sz w:val="22"/>
          <w:szCs w:val="22"/>
          <w:lang w:val="en-US"/>
        </w:rPr>
        <w:t xml:space="preserve"> – should be subsection</w:t>
      </w:r>
    </w:p>
    <w:p w14:paraId="29F211F9" w14:textId="236454EE" w:rsidR="00D071EA" w:rsidRPr="00BA457B" w:rsidRDefault="0064025E" w:rsidP="0020541E">
      <w:pPr>
        <w:spacing w:line="360" w:lineRule="auto"/>
        <w:jc w:val="both"/>
        <w:rPr>
          <w:rFonts w:ascii="Arial" w:hAnsi="Arial" w:cs="Arial"/>
          <w:sz w:val="22"/>
          <w:lang w:val="en-US"/>
        </w:rPr>
      </w:pPr>
      <w:r w:rsidRPr="00BA457B">
        <w:rPr>
          <w:rFonts w:ascii="Arial" w:hAnsi="Arial" w:cs="Arial"/>
          <w:sz w:val="22"/>
          <w:lang w:val="en-US"/>
        </w:rPr>
        <w:t>Patient empowerment via digital-first primary care and workforce digital readiness have also been placed at the centre of NHS modernisation strategies that have been instigated by commitments to patient empowerment in policy documents like the NHS Long Term Plan and the requirement of workforce digital readiness, respectively</w:t>
      </w:r>
      <w:r w:rsidR="00D65CEC" w:rsidRPr="00BA457B">
        <w:rPr>
          <w:rFonts w:ascii="Arial" w:hAnsi="Arial" w:cs="Arial"/>
          <w:sz w:val="22"/>
          <w:lang w:val="en-US"/>
        </w:rPr>
        <w:t xml:space="preserve"> (England, </w:t>
      </w:r>
      <w:r w:rsidR="005E2A81" w:rsidRPr="00BA457B">
        <w:rPr>
          <w:rFonts w:ascii="Arial" w:hAnsi="Arial" w:cs="Arial"/>
          <w:sz w:val="22"/>
          <w:lang w:val="en-US"/>
        </w:rPr>
        <w:t>2023</w:t>
      </w:r>
      <w:r w:rsidR="00DD0D9B" w:rsidRPr="00BA457B">
        <w:rPr>
          <w:rFonts w:ascii="Arial" w:hAnsi="Arial" w:cs="Arial"/>
          <w:sz w:val="22"/>
          <w:lang w:val="en-US"/>
        </w:rPr>
        <w:t>)</w:t>
      </w:r>
      <w:r w:rsidRPr="00BA457B">
        <w:rPr>
          <w:rFonts w:ascii="Arial" w:hAnsi="Arial" w:cs="Arial"/>
          <w:sz w:val="22"/>
          <w:lang w:val="en-US"/>
        </w:rPr>
        <w:t>. Digital adoption was further boosted by the COVID-19 pandemic, and remote consultations and mobile health tools have become a significant part of continuity of care. The NHS App, which was introduced in the country in 2018, has developed within such a landscape from a humble self-service device into a centralised digital healthcare gateway. Its capabilities have expanded to include appointment management, prescription ordering, medical record access and, as of 2021, COVID-19 vaccination certification</w:t>
      </w:r>
      <w:r w:rsidR="00214B0C" w:rsidRPr="00BA457B">
        <w:rPr>
          <w:rFonts w:ascii="Arial" w:hAnsi="Arial" w:cs="Arial"/>
          <w:sz w:val="22"/>
          <w:lang w:val="en-US"/>
        </w:rPr>
        <w:t xml:space="preserve"> (</w:t>
      </w:r>
      <w:proofErr w:type="spellStart"/>
      <w:r w:rsidR="00E801CC" w:rsidRPr="00BA457B">
        <w:rPr>
          <w:rFonts w:ascii="Arial" w:hAnsi="Arial" w:cs="Arial"/>
          <w:sz w:val="22"/>
          <w:lang w:val="en-US"/>
        </w:rPr>
        <w:t>Asamani</w:t>
      </w:r>
      <w:proofErr w:type="spellEnd"/>
      <w:r w:rsidR="00E801CC" w:rsidRPr="00BA457B">
        <w:rPr>
          <w:rFonts w:ascii="Arial" w:hAnsi="Arial" w:cs="Arial"/>
          <w:sz w:val="22"/>
          <w:lang w:val="en-US"/>
        </w:rPr>
        <w:t xml:space="preserve"> et al., 2024</w:t>
      </w:r>
      <w:r w:rsidR="00214B0C" w:rsidRPr="00BA457B">
        <w:rPr>
          <w:rFonts w:ascii="Arial" w:hAnsi="Arial" w:cs="Arial"/>
          <w:sz w:val="22"/>
          <w:lang w:val="en-US"/>
        </w:rPr>
        <w:t>)</w:t>
      </w:r>
      <w:r w:rsidRPr="00BA457B">
        <w:rPr>
          <w:rFonts w:ascii="Arial" w:hAnsi="Arial" w:cs="Arial"/>
          <w:sz w:val="22"/>
          <w:lang w:val="en-US"/>
        </w:rPr>
        <w:t xml:space="preserve">. </w:t>
      </w:r>
    </w:p>
    <w:p w14:paraId="39119C23" w14:textId="2A9646DC" w:rsidR="0099395B" w:rsidRPr="00BA457B" w:rsidRDefault="0064025E" w:rsidP="0020541E">
      <w:pPr>
        <w:spacing w:line="360" w:lineRule="auto"/>
        <w:jc w:val="both"/>
        <w:rPr>
          <w:rFonts w:ascii="Arial" w:hAnsi="Arial" w:cs="Arial"/>
          <w:sz w:val="22"/>
          <w:lang w:val="en-US"/>
        </w:rPr>
      </w:pPr>
      <w:r w:rsidRPr="00BA457B">
        <w:rPr>
          <w:rFonts w:ascii="Arial" w:hAnsi="Arial" w:cs="Arial"/>
          <w:sz w:val="22"/>
          <w:lang w:val="en-US"/>
        </w:rPr>
        <w:t>Adoption has been stagnant, and by 2023, it had more than 33 million downloads, which reflects the impact it had on 2023 as patient demand grew, there was a workforce shortage, and healthcare management need</w:t>
      </w:r>
      <w:r w:rsidR="00792E04" w:rsidRPr="00BA457B">
        <w:rPr>
          <w:rFonts w:ascii="Arial" w:hAnsi="Arial" w:cs="Arial"/>
          <w:sz w:val="22"/>
          <w:lang w:val="en-US"/>
        </w:rPr>
        <w:t xml:space="preserve">ed </w:t>
      </w:r>
      <w:r w:rsidRPr="00BA457B">
        <w:rPr>
          <w:rFonts w:ascii="Arial" w:hAnsi="Arial" w:cs="Arial"/>
          <w:sz w:val="22"/>
          <w:lang w:val="en-US"/>
        </w:rPr>
        <w:t>to lower the administrative load (</w:t>
      </w:r>
      <w:r w:rsidR="009C325C" w:rsidRPr="00BA457B">
        <w:rPr>
          <w:rFonts w:ascii="Arial" w:hAnsi="Arial" w:cs="Arial"/>
          <w:sz w:val="22"/>
          <w:lang w:val="en-US"/>
        </w:rPr>
        <w:t>Neves and Laranjo, 2025</w:t>
      </w:r>
      <w:r w:rsidRPr="00BA457B">
        <w:rPr>
          <w:rFonts w:ascii="Arial" w:hAnsi="Arial" w:cs="Arial"/>
          <w:sz w:val="22"/>
          <w:lang w:val="en-US"/>
        </w:rPr>
        <w:t xml:space="preserve">). The recognition of the app can be of great significance through the Technology Acceptance Model (Aburbeian et al., 2022), according to which perceived usefulness and ease of use are correlated with behavioural intention, or the Rogers Diffusion of Innovation Theory (Rogers, 2022), through which one can learn how innovations flow through social systems. These models can be used to </w:t>
      </w:r>
      <w:r w:rsidRPr="00BA457B">
        <w:rPr>
          <w:rFonts w:ascii="Arial" w:hAnsi="Arial" w:cs="Arial"/>
          <w:sz w:val="22"/>
          <w:lang w:val="en-US"/>
        </w:rPr>
        <w:lastRenderedPageBreak/>
        <w:t xml:space="preserve">place the NHS App as an exemplar of the ways digital health innovations can be incorporated into complex healthcare systems. </w:t>
      </w:r>
    </w:p>
    <w:p w14:paraId="332FFB05" w14:textId="77777777" w:rsidR="00CF5B03" w:rsidRPr="00BA457B" w:rsidRDefault="00CF5B03" w:rsidP="00BA457B">
      <w:pPr>
        <w:spacing w:line="360" w:lineRule="auto"/>
        <w:rPr>
          <w:rFonts w:ascii="Arial" w:hAnsi="Arial" w:cs="Arial"/>
          <w:sz w:val="22"/>
          <w:lang w:val="en-US"/>
        </w:rPr>
      </w:pPr>
    </w:p>
    <w:p w14:paraId="16288124" w14:textId="28B73D1F" w:rsidR="0099395B" w:rsidRPr="00BA457B" w:rsidRDefault="0064025E" w:rsidP="00BA457B">
      <w:pPr>
        <w:pStyle w:val="Heading1"/>
        <w:spacing w:line="360" w:lineRule="auto"/>
        <w:rPr>
          <w:rFonts w:ascii="Arial" w:hAnsi="Arial" w:cs="Arial"/>
          <w:sz w:val="22"/>
          <w:szCs w:val="22"/>
          <w:lang w:val="en-US"/>
        </w:rPr>
      </w:pPr>
      <w:bookmarkStart w:id="2" w:name="_Toc210279641"/>
      <w:r w:rsidRPr="00BA457B">
        <w:rPr>
          <w:rFonts w:ascii="Arial" w:hAnsi="Arial" w:cs="Arial"/>
          <w:sz w:val="22"/>
          <w:szCs w:val="22"/>
          <w:lang w:val="en-US"/>
        </w:rPr>
        <w:t>Workforce Implications</w:t>
      </w:r>
      <w:bookmarkEnd w:id="2"/>
    </w:p>
    <w:p w14:paraId="01E241BA" w14:textId="04C0DD0D" w:rsidR="000403BB" w:rsidRPr="00BA457B" w:rsidRDefault="0064025E" w:rsidP="006E5FAA">
      <w:pPr>
        <w:spacing w:line="360" w:lineRule="auto"/>
        <w:jc w:val="both"/>
        <w:rPr>
          <w:rFonts w:ascii="Arial" w:hAnsi="Arial" w:cs="Arial"/>
          <w:sz w:val="22"/>
          <w:lang w:val="en-US"/>
        </w:rPr>
      </w:pPr>
      <w:r w:rsidRPr="00BA457B">
        <w:rPr>
          <w:rFonts w:ascii="Arial" w:hAnsi="Arial" w:cs="Arial"/>
          <w:sz w:val="22"/>
          <w:lang w:val="en-US"/>
        </w:rPr>
        <w:t xml:space="preserve">The implementation of the NHS App has come with profound effects on the workforce in the health and care sector, especially in primary care, where a lot of its capabilities revolve. The redefining of the role of administrative and reception workers has been one of the most visible changes. Historically, these workers handled </w:t>
      </w:r>
      <w:r w:rsidR="00F33519" w:rsidRPr="00BA457B">
        <w:rPr>
          <w:rFonts w:ascii="Arial" w:hAnsi="Arial" w:cs="Arial"/>
          <w:sz w:val="22"/>
          <w:lang w:val="en-US"/>
        </w:rPr>
        <w:t>large</w:t>
      </w:r>
      <w:r w:rsidRPr="00BA457B">
        <w:rPr>
          <w:rFonts w:ascii="Arial" w:hAnsi="Arial" w:cs="Arial"/>
          <w:sz w:val="22"/>
          <w:lang w:val="en-US"/>
        </w:rPr>
        <w:t xml:space="preserve"> amounts of phone booking and prescription orders, but now that the app has become self-service, many GP practices have </w:t>
      </w:r>
      <w:r w:rsidR="00D21610" w:rsidRPr="00BA457B">
        <w:rPr>
          <w:rFonts w:ascii="Arial" w:hAnsi="Arial" w:cs="Arial"/>
          <w:sz w:val="22"/>
          <w:lang w:val="en-US"/>
        </w:rPr>
        <w:t xml:space="preserve">observed </w:t>
      </w:r>
      <w:r w:rsidRPr="00BA457B">
        <w:rPr>
          <w:rFonts w:ascii="Arial" w:hAnsi="Arial" w:cs="Arial"/>
          <w:sz w:val="22"/>
          <w:lang w:val="en-US"/>
        </w:rPr>
        <w:t>a 20</w:t>
      </w:r>
      <w:r w:rsidR="00D21610" w:rsidRPr="00BA457B">
        <w:rPr>
          <w:rFonts w:ascii="Arial" w:hAnsi="Arial" w:cs="Arial"/>
          <w:sz w:val="22"/>
          <w:lang w:val="en-US"/>
        </w:rPr>
        <w:t>-</w:t>
      </w:r>
      <w:r w:rsidRPr="00BA457B">
        <w:rPr>
          <w:rFonts w:ascii="Arial" w:hAnsi="Arial" w:cs="Arial"/>
          <w:sz w:val="22"/>
          <w:lang w:val="en-US"/>
        </w:rPr>
        <w:t>30% decrease in calls (Tomi et al., 2025). Though this decrease reduces the strains of workload, it also requires a restructuring of tasks, whereby employees are furthermore required to assist patients in negotiating digital platforms and to resolve technical complications. This transition shows that improved digital literacy and training are essential not just to administrative personnel but also clinicians at this moment, since they should now be able to handle electronic prescribing and secure messaging as well as manage patient records in a digital format (Scott et al., 2023).</w:t>
      </w:r>
    </w:p>
    <w:p w14:paraId="2F5E9DA2" w14:textId="77777777" w:rsidR="00EF3905" w:rsidRPr="00BA457B" w:rsidRDefault="0064025E" w:rsidP="006E5FAA">
      <w:pPr>
        <w:spacing w:line="360" w:lineRule="auto"/>
        <w:jc w:val="both"/>
        <w:rPr>
          <w:rFonts w:ascii="Arial" w:hAnsi="Arial" w:cs="Arial"/>
          <w:sz w:val="22"/>
          <w:lang w:val="en-US"/>
        </w:rPr>
      </w:pPr>
      <w:r w:rsidRPr="00BA457B">
        <w:rPr>
          <w:rFonts w:ascii="Arial" w:hAnsi="Arial" w:cs="Arial"/>
          <w:sz w:val="22"/>
          <w:lang w:val="en-US"/>
        </w:rPr>
        <w:t xml:space="preserve">The beneficial effects of a positive workforce are higher efficiency, facilitated workflow, and enhanced data available to the professionals to cover continuity of care (Alasmar et al., 2024). Nevertheless, resistance to change and digital stress among employees have already been reported, some of whom have a negative attitude toward new systems, believing that they disrupt the current clinical programme or do not integrate well (Graf and Burrell, 2024). Additionally, differences in digital capabilities can produce disparities in the workforce, where individuals aged over (or being less digitally confident) are unable to adjust and therefore need continuous investment in training and assistance following digital capabilities (Singh and Singh, 2025). In theory, the social-technical systems theory emphasises that successful digital transformation is dependent on balancing the technological implementation and human factors (Münch et al., 2022). </w:t>
      </w:r>
    </w:p>
    <w:p w14:paraId="015F8D40" w14:textId="6E10C2B5" w:rsidR="00B059BD" w:rsidRPr="00BA457B" w:rsidRDefault="0064025E" w:rsidP="006E5FAA">
      <w:pPr>
        <w:spacing w:line="360" w:lineRule="auto"/>
        <w:jc w:val="both"/>
        <w:rPr>
          <w:rFonts w:ascii="Arial" w:hAnsi="Arial" w:cs="Arial"/>
          <w:sz w:val="22"/>
          <w:lang w:val="en-US"/>
        </w:rPr>
      </w:pPr>
      <w:r w:rsidRPr="00BA457B">
        <w:rPr>
          <w:rFonts w:ascii="Arial" w:hAnsi="Arial" w:cs="Arial"/>
          <w:sz w:val="22"/>
          <w:lang w:val="en-US"/>
        </w:rPr>
        <w:t xml:space="preserve">That is, as structured a technical solution as the NHS App </w:t>
      </w:r>
      <w:r w:rsidR="00904B5F" w:rsidRPr="00BA457B">
        <w:rPr>
          <w:rFonts w:ascii="Arial" w:hAnsi="Arial" w:cs="Arial"/>
          <w:sz w:val="22"/>
          <w:lang w:val="en-US"/>
        </w:rPr>
        <w:t>appears</w:t>
      </w:r>
      <w:r w:rsidRPr="00BA457B">
        <w:rPr>
          <w:rFonts w:ascii="Arial" w:hAnsi="Arial" w:cs="Arial"/>
          <w:sz w:val="22"/>
          <w:lang w:val="en-US"/>
        </w:rPr>
        <w:t>, its success is limited to workforce preparedness, cultural acclimatisation, and organisational alignment. In the absence of proper support, the risk exists of causing new challenges instead of mitigating the ones in existence.</w:t>
      </w:r>
      <w:r w:rsidR="00EF3905" w:rsidRPr="00BA457B">
        <w:rPr>
          <w:rFonts w:ascii="Arial" w:hAnsi="Arial" w:cs="Arial"/>
          <w:sz w:val="22"/>
          <w:lang w:val="en-US"/>
        </w:rPr>
        <w:t xml:space="preserve"> </w:t>
      </w:r>
      <w:r w:rsidRPr="00BA457B">
        <w:rPr>
          <w:rFonts w:ascii="Arial" w:hAnsi="Arial" w:cs="Arial"/>
          <w:sz w:val="22"/>
          <w:lang w:val="en-US"/>
        </w:rPr>
        <w:t xml:space="preserve">Thus, although the app has already proven that it can significantly decrease the administrative load and enhance efficiency, the success of its work in the long term depends on the workforce imbalances and integrating long-term professional development plans. </w:t>
      </w:r>
    </w:p>
    <w:p w14:paraId="2AEEF508" w14:textId="73F7AF91" w:rsidR="0099395B" w:rsidRPr="00BA457B" w:rsidRDefault="0099395B" w:rsidP="00BA457B">
      <w:pPr>
        <w:spacing w:line="360" w:lineRule="auto"/>
        <w:rPr>
          <w:rFonts w:ascii="Arial" w:hAnsi="Arial" w:cs="Arial"/>
          <w:sz w:val="22"/>
          <w:lang w:val="en-US"/>
        </w:rPr>
      </w:pPr>
    </w:p>
    <w:p w14:paraId="79F79183" w14:textId="69931210" w:rsidR="0099395B" w:rsidRPr="00BA457B" w:rsidRDefault="0064025E" w:rsidP="00BA457B">
      <w:pPr>
        <w:pStyle w:val="Heading1"/>
        <w:spacing w:line="360" w:lineRule="auto"/>
        <w:rPr>
          <w:rFonts w:ascii="Arial" w:hAnsi="Arial" w:cs="Arial"/>
          <w:sz w:val="22"/>
          <w:szCs w:val="22"/>
          <w:lang w:val="en-US"/>
        </w:rPr>
      </w:pPr>
      <w:bookmarkStart w:id="3" w:name="_Toc210279642"/>
      <w:r w:rsidRPr="00BA457B">
        <w:rPr>
          <w:rFonts w:ascii="Arial" w:hAnsi="Arial" w:cs="Arial"/>
          <w:sz w:val="22"/>
          <w:szCs w:val="22"/>
          <w:lang w:val="en-US"/>
        </w:rPr>
        <w:t>Service Delivery</w:t>
      </w:r>
      <w:bookmarkEnd w:id="3"/>
    </w:p>
    <w:p w14:paraId="718441D4" w14:textId="5A0851BD" w:rsidR="001E5433" w:rsidRPr="00BA457B" w:rsidRDefault="0064025E" w:rsidP="006E5FAA">
      <w:pPr>
        <w:spacing w:line="360" w:lineRule="auto"/>
        <w:jc w:val="both"/>
        <w:rPr>
          <w:rFonts w:ascii="Arial" w:hAnsi="Arial" w:cs="Arial"/>
          <w:sz w:val="22"/>
          <w:lang w:val="en-US"/>
        </w:rPr>
      </w:pPr>
      <w:r w:rsidRPr="00BA457B">
        <w:rPr>
          <w:rFonts w:ascii="Arial" w:hAnsi="Arial" w:cs="Arial"/>
          <w:sz w:val="22"/>
          <w:lang w:val="en-US"/>
        </w:rPr>
        <w:t>The NHS App has made enormous changes in the daily practice of service delivery in primary care and especially the way patients engage in booking an appointment, repeat prescriptions and accessing medical records</w:t>
      </w:r>
      <w:r w:rsidR="00E213AA" w:rsidRPr="00BA457B">
        <w:rPr>
          <w:rFonts w:ascii="Arial" w:hAnsi="Arial" w:cs="Arial"/>
          <w:sz w:val="22"/>
          <w:lang w:val="en-US"/>
        </w:rPr>
        <w:t xml:space="preserve"> (</w:t>
      </w:r>
      <w:proofErr w:type="spellStart"/>
      <w:r w:rsidR="00E213AA" w:rsidRPr="00BA457B">
        <w:rPr>
          <w:rFonts w:ascii="Arial" w:hAnsi="Arial" w:cs="Arial"/>
          <w:sz w:val="22"/>
          <w:lang w:val="en-US"/>
        </w:rPr>
        <w:t>Alhammad</w:t>
      </w:r>
      <w:proofErr w:type="spellEnd"/>
      <w:r w:rsidR="00E213AA" w:rsidRPr="00BA457B">
        <w:rPr>
          <w:rFonts w:ascii="Arial" w:hAnsi="Arial" w:cs="Arial"/>
          <w:sz w:val="22"/>
          <w:lang w:val="en-US"/>
        </w:rPr>
        <w:t xml:space="preserve"> et al., 2024)</w:t>
      </w:r>
      <w:r w:rsidRPr="00BA457B">
        <w:rPr>
          <w:rFonts w:ascii="Arial" w:hAnsi="Arial" w:cs="Arial"/>
          <w:sz w:val="22"/>
          <w:lang w:val="en-US"/>
        </w:rPr>
        <w:t xml:space="preserve">. Activities that previously required telephone calls or face-to-face meetings are being delegated to the Internet more frequently, and the role of administrative personnel is being relieved; moreover, patients have the opportunity to accomplish some routine activities on the Internet, at their convenience. Some of these areas reported that as of 2022, more than 67% of repeat prescriptions were done using the NHS App, which reflects a significant transformation of the models of service delivery (NHS, 2022). This </w:t>
      </w:r>
      <w:r w:rsidR="00292A00" w:rsidRPr="00BA457B">
        <w:rPr>
          <w:rFonts w:ascii="Arial" w:hAnsi="Arial" w:cs="Arial"/>
          <w:sz w:val="22"/>
          <w:lang w:val="en-US"/>
        </w:rPr>
        <w:t>agrees</w:t>
      </w:r>
      <w:r w:rsidRPr="00BA457B">
        <w:rPr>
          <w:rFonts w:ascii="Arial" w:hAnsi="Arial" w:cs="Arial"/>
          <w:sz w:val="22"/>
          <w:lang w:val="en-US"/>
        </w:rPr>
        <w:t xml:space="preserve"> with the principles of Lean Healthcare that emphasise the minimi</w:t>
      </w:r>
      <w:r w:rsidR="005B74BD" w:rsidRPr="00BA457B">
        <w:rPr>
          <w:rFonts w:ascii="Arial" w:hAnsi="Arial" w:cs="Arial"/>
          <w:sz w:val="22"/>
          <w:lang w:val="en-US"/>
        </w:rPr>
        <w:t>s</w:t>
      </w:r>
      <w:r w:rsidRPr="00BA457B">
        <w:rPr>
          <w:rFonts w:ascii="Arial" w:hAnsi="Arial" w:cs="Arial"/>
          <w:sz w:val="22"/>
          <w:lang w:val="en-US"/>
        </w:rPr>
        <w:t xml:space="preserve">ation of waste and enhancement of process efficiency (Ojo et al., 2022). The app makes patient flow faster and enhances continuity of care, as prescriptions and appointments are more reliably managed through streamlining the administrative processes. </w:t>
      </w:r>
    </w:p>
    <w:p w14:paraId="6B759991" w14:textId="32DDE4CC" w:rsidR="00445CA0" w:rsidRPr="00BA457B" w:rsidRDefault="0064025E" w:rsidP="006E5FAA">
      <w:pPr>
        <w:spacing w:line="360" w:lineRule="auto"/>
        <w:jc w:val="both"/>
        <w:rPr>
          <w:rFonts w:ascii="Arial" w:hAnsi="Arial" w:cs="Arial"/>
          <w:sz w:val="22"/>
          <w:lang w:val="en-US"/>
        </w:rPr>
      </w:pPr>
      <w:r w:rsidRPr="00BA457B">
        <w:rPr>
          <w:rFonts w:ascii="Arial" w:hAnsi="Arial" w:cs="Arial"/>
          <w:sz w:val="22"/>
          <w:lang w:val="en-US"/>
        </w:rPr>
        <w:t>The pandemic also emphasised the centrality of the app to the service delivery process, as it was quickly expanded to also support the booking and certification services of COVID-19 vaccinations. According to Khoshmaram et al. (2025), this integration was an essential innovation in continuity of public health in a crisis, which minimised the burden of GP practices and vaccination centres. George et al. (2024), however, opine that the use of digital systems also created gaps in the form of technical malfunctions, slow updates and downtime, which were highly prevalent during the high demand times, like travel certification, causing frustration to the patients and staff members. This brings up an issue of excessive dependence on technology in important health service processes.</w:t>
      </w:r>
    </w:p>
    <w:p w14:paraId="29963698" w14:textId="32E539CE" w:rsidR="0099395B" w:rsidRPr="00BA457B" w:rsidRDefault="0064025E" w:rsidP="006E5FAA">
      <w:pPr>
        <w:spacing w:line="360" w:lineRule="auto"/>
        <w:jc w:val="both"/>
        <w:rPr>
          <w:rFonts w:ascii="Arial" w:hAnsi="Arial" w:cs="Arial"/>
          <w:sz w:val="22"/>
          <w:lang w:val="en-US"/>
        </w:rPr>
      </w:pPr>
      <w:r w:rsidRPr="00BA457B">
        <w:rPr>
          <w:rFonts w:ascii="Arial" w:hAnsi="Arial" w:cs="Arial"/>
          <w:sz w:val="22"/>
          <w:lang w:val="en-US"/>
        </w:rPr>
        <w:t xml:space="preserve">Moreover, as most patients accepted the newfound convenience of digital access, patients who are not digitally literate or have limited access to smartphones could face marginalisation. Husain and Greenhalgh (2025) evaluate digital-first health strategies as potentially increasing differences in health, specifically between older adults, low-income populations, and limited English speakers. Greater Manchester has provided some local evidence on both aspects of this issue: on the </w:t>
      </w:r>
      <w:r w:rsidR="000504D1" w:rsidRPr="00BA457B">
        <w:rPr>
          <w:rFonts w:ascii="Arial" w:hAnsi="Arial" w:cs="Arial"/>
          <w:sz w:val="22"/>
          <w:lang w:val="en-US"/>
        </w:rPr>
        <w:t>contrary</w:t>
      </w:r>
      <w:r w:rsidRPr="00BA457B">
        <w:rPr>
          <w:rFonts w:ascii="Arial" w:hAnsi="Arial" w:cs="Arial"/>
          <w:sz w:val="22"/>
          <w:lang w:val="en-US"/>
        </w:rPr>
        <w:t>, the CCGs indicated a decrease in the number of calls and a quicker turnaround, and on the other hand, digital exclusion continued to be a barrier to vulnerable populations (Stubbs and Brown, 2022). Overall, the NHS App is highly likely to promote efficient services that are in line with efficiency models in the healthcare environment.</w:t>
      </w:r>
    </w:p>
    <w:p w14:paraId="1EE76FA0" w14:textId="77777777" w:rsidR="00A01D80" w:rsidRPr="00BA457B" w:rsidRDefault="00A01D80" w:rsidP="00BA457B">
      <w:pPr>
        <w:spacing w:line="360" w:lineRule="auto"/>
        <w:rPr>
          <w:rFonts w:ascii="Arial" w:hAnsi="Arial" w:cs="Arial"/>
          <w:sz w:val="22"/>
          <w:lang w:val="en-US"/>
        </w:rPr>
      </w:pPr>
    </w:p>
    <w:p w14:paraId="73D9DA74" w14:textId="3C7EDC2C" w:rsidR="0099395B" w:rsidRPr="00BA457B" w:rsidRDefault="0064025E" w:rsidP="00BA457B">
      <w:pPr>
        <w:pStyle w:val="Heading1"/>
        <w:spacing w:line="360" w:lineRule="auto"/>
        <w:rPr>
          <w:rFonts w:ascii="Arial" w:hAnsi="Arial" w:cs="Arial"/>
          <w:sz w:val="22"/>
          <w:szCs w:val="22"/>
          <w:lang w:val="en-US"/>
        </w:rPr>
      </w:pPr>
      <w:bookmarkStart w:id="4" w:name="_Toc210279643"/>
      <w:r w:rsidRPr="00BA457B">
        <w:rPr>
          <w:rFonts w:ascii="Arial" w:hAnsi="Arial" w:cs="Arial"/>
          <w:sz w:val="22"/>
          <w:szCs w:val="22"/>
          <w:lang w:val="en-US"/>
        </w:rPr>
        <w:t>Patient and Service User Impacts</w:t>
      </w:r>
      <w:bookmarkEnd w:id="4"/>
    </w:p>
    <w:p w14:paraId="3750372C" w14:textId="08DDFA26" w:rsidR="00E04D54" w:rsidRPr="00BA457B" w:rsidRDefault="0064025E" w:rsidP="006E5FAA">
      <w:pPr>
        <w:spacing w:line="360" w:lineRule="auto"/>
        <w:jc w:val="both"/>
        <w:rPr>
          <w:rFonts w:ascii="Arial" w:hAnsi="Arial" w:cs="Arial"/>
          <w:sz w:val="22"/>
          <w:lang w:val="en-US"/>
        </w:rPr>
      </w:pPr>
      <w:r w:rsidRPr="00BA457B">
        <w:rPr>
          <w:rFonts w:ascii="Arial" w:hAnsi="Arial" w:cs="Arial"/>
          <w:sz w:val="22"/>
          <w:lang w:val="en-US"/>
        </w:rPr>
        <w:t>To patients and service users, the NHS App has revolutionised the experience of care by giving them more autonomy, convenience, and access to personal health information. By offering features like access to medical records, ordering prescriptions, and appointment booking, the patient is enabled to assume a more proactive role in their health management. This aligns with the Patient-Centred Care model that focuses on shared decision-making and the involvement of the patient (Molyneux, 2022). The findings of studies by Shah et al. (2021) confirm the opinion that mobile health applications increase patient empowerment and effectiveness in treatment, especially by lowering the obstacles to daily care and contributing to continuity. The Health Belief Model also implies that patients who feel that digital tools are useful and accessible tend to use them in their health behaviour (Alyafei and Easton-Carr, 2024). Research indicate</w:t>
      </w:r>
      <w:r w:rsidR="00617184" w:rsidRPr="00BA457B">
        <w:rPr>
          <w:rFonts w:ascii="Arial" w:hAnsi="Arial" w:cs="Arial"/>
          <w:sz w:val="22"/>
          <w:lang w:val="en-US"/>
        </w:rPr>
        <w:t>s</w:t>
      </w:r>
      <w:r w:rsidRPr="00BA457B">
        <w:rPr>
          <w:rFonts w:ascii="Arial" w:hAnsi="Arial" w:cs="Arial"/>
          <w:sz w:val="22"/>
          <w:lang w:val="en-US"/>
        </w:rPr>
        <w:t xml:space="preserve"> that confidence in NHS online services increased amid the pandemic as patients appreciated the power to retrieve medical records of vaccines and COVID passes in a short period of time (Peckham, 2023).</w:t>
      </w:r>
    </w:p>
    <w:p w14:paraId="1B6176A4" w14:textId="111DCFD6" w:rsidR="00E04D54" w:rsidRPr="00BA457B" w:rsidRDefault="00E03318" w:rsidP="006E5FAA">
      <w:pPr>
        <w:spacing w:line="360" w:lineRule="auto"/>
        <w:jc w:val="both"/>
        <w:rPr>
          <w:rFonts w:ascii="Arial" w:hAnsi="Arial" w:cs="Arial"/>
          <w:sz w:val="22"/>
          <w:lang w:val="en-US"/>
        </w:rPr>
      </w:pPr>
      <w:r w:rsidRPr="00BA457B">
        <w:rPr>
          <w:rFonts w:ascii="Arial" w:hAnsi="Arial" w:cs="Arial"/>
          <w:sz w:val="22"/>
          <w:lang w:val="en-US"/>
        </w:rPr>
        <w:t>However, n</w:t>
      </w:r>
      <w:r w:rsidR="0064025E" w:rsidRPr="00BA457B">
        <w:rPr>
          <w:rFonts w:ascii="Arial" w:hAnsi="Arial" w:cs="Arial"/>
          <w:sz w:val="22"/>
          <w:lang w:val="en-US"/>
        </w:rPr>
        <w:t xml:space="preserve">ot all GP practices have completely integrated the functionality of the apps, which results in a frustrating experience where the services promoted in the app cannot be found locally (Ullah, 2024). These discrepancies frustrate user trust and may turn them away, e.g. when adoption among older adults improved throughout the pandemic, digital literacy and smartphone access remain as a limiting factor. A study by Yao et al. (2024) has criticised digital health efforts to further increase health disparities, especially in populations with low income, the elderly, and the rural population. Another issue is data privacy, as some patients are unwilling to use the app because of the fear of tracking down or abusing the data (Alhammad et al., 2024). </w:t>
      </w:r>
      <w:r w:rsidR="00602192" w:rsidRPr="00BA457B">
        <w:rPr>
          <w:rFonts w:ascii="Arial" w:hAnsi="Arial" w:cs="Arial"/>
          <w:sz w:val="22"/>
          <w:lang w:val="en-US"/>
        </w:rPr>
        <w:t>Overall</w:t>
      </w:r>
      <w:r w:rsidR="0064025E" w:rsidRPr="00BA457B">
        <w:rPr>
          <w:rFonts w:ascii="Arial" w:hAnsi="Arial" w:cs="Arial"/>
          <w:sz w:val="22"/>
          <w:lang w:val="en-US"/>
        </w:rPr>
        <w:t>, the NHS App has provided patients with significant benefits due to convenience, reduced waiting time and better adherence; nonetheless, its effectiveness relies not only on the technical functionality but also on ensuring inclusivity, data protection, and connectivity with the local healthcare services.</w:t>
      </w:r>
    </w:p>
    <w:p w14:paraId="4DB0A5B7" w14:textId="77777777" w:rsidR="00283C26" w:rsidRPr="00BA457B" w:rsidRDefault="00283C26" w:rsidP="00BA457B">
      <w:pPr>
        <w:spacing w:line="360" w:lineRule="auto"/>
        <w:rPr>
          <w:rFonts w:ascii="Arial" w:hAnsi="Arial" w:cs="Arial"/>
          <w:sz w:val="22"/>
          <w:lang w:val="en-US"/>
        </w:rPr>
      </w:pPr>
    </w:p>
    <w:p w14:paraId="3542D9B4" w14:textId="2A45D56F" w:rsidR="0099395B" w:rsidRPr="00BA457B" w:rsidRDefault="0064025E" w:rsidP="00BA457B">
      <w:pPr>
        <w:pStyle w:val="Heading1"/>
        <w:spacing w:line="360" w:lineRule="auto"/>
        <w:rPr>
          <w:rFonts w:ascii="Arial" w:hAnsi="Arial" w:cs="Arial"/>
          <w:sz w:val="22"/>
          <w:szCs w:val="22"/>
          <w:lang w:val="en-US"/>
        </w:rPr>
      </w:pPr>
      <w:bookmarkStart w:id="5" w:name="_Toc210279644"/>
      <w:r w:rsidRPr="00BA457B">
        <w:rPr>
          <w:rFonts w:ascii="Arial" w:hAnsi="Arial" w:cs="Arial"/>
          <w:sz w:val="22"/>
          <w:szCs w:val="22"/>
          <w:lang w:val="en-US"/>
        </w:rPr>
        <w:t>Community and Public Health Implications</w:t>
      </w:r>
      <w:bookmarkEnd w:id="5"/>
    </w:p>
    <w:p w14:paraId="31EC145B" w14:textId="77777777" w:rsidR="00391D10" w:rsidRPr="00BA457B" w:rsidRDefault="0064025E" w:rsidP="006E5FAA">
      <w:pPr>
        <w:spacing w:line="360" w:lineRule="auto"/>
        <w:jc w:val="both"/>
        <w:rPr>
          <w:rFonts w:ascii="Arial" w:hAnsi="Arial" w:cs="Arial"/>
          <w:sz w:val="22"/>
          <w:lang w:val="en-US"/>
        </w:rPr>
      </w:pPr>
      <w:r w:rsidRPr="00BA457B">
        <w:rPr>
          <w:rFonts w:ascii="Arial" w:hAnsi="Arial" w:cs="Arial"/>
          <w:sz w:val="22"/>
          <w:lang w:val="en-US"/>
        </w:rPr>
        <w:t xml:space="preserve">On the community level, the NHS App has been instrumental in transforming access to medical care and assisting healthcare in population health. To populations living remotely and in rural </w:t>
      </w:r>
      <w:r w:rsidRPr="00BA457B">
        <w:rPr>
          <w:rFonts w:ascii="Arial" w:hAnsi="Arial" w:cs="Arial"/>
          <w:sz w:val="22"/>
          <w:lang w:val="en-US"/>
        </w:rPr>
        <w:lastRenderedPageBreak/>
        <w:t>places, as was the case with Cumbira, the app has enabled them to save on long journeys to undertake their routine errands, such as picking up their prescription or making appointments, and thereby improving access and inequalities in service delivery</w:t>
      </w:r>
      <w:r w:rsidR="004D0D3A" w:rsidRPr="00BA457B">
        <w:rPr>
          <w:rFonts w:ascii="Arial" w:hAnsi="Arial" w:cs="Arial"/>
          <w:sz w:val="22"/>
          <w:lang w:val="en-US"/>
        </w:rPr>
        <w:t xml:space="preserve"> </w:t>
      </w:r>
      <w:r w:rsidR="00776710" w:rsidRPr="00BA457B">
        <w:rPr>
          <w:rFonts w:ascii="Arial" w:hAnsi="Arial" w:cs="Arial"/>
          <w:sz w:val="22"/>
          <w:lang w:val="en-US"/>
        </w:rPr>
        <w:t>(Russel et al., 202</w:t>
      </w:r>
      <w:r w:rsidR="0045022F" w:rsidRPr="00BA457B">
        <w:rPr>
          <w:rFonts w:ascii="Arial" w:hAnsi="Arial" w:cs="Arial"/>
          <w:sz w:val="22"/>
          <w:lang w:val="en-US"/>
        </w:rPr>
        <w:t>3</w:t>
      </w:r>
      <w:r w:rsidR="00776710" w:rsidRPr="00BA457B">
        <w:rPr>
          <w:rFonts w:ascii="Arial" w:hAnsi="Arial" w:cs="Arial"/>
          <w:sz w:val="22"/>
          <w:lang w:val="en-US"/>
        </w:rPr>
        <w:t>)</w:t>
      </w:r>
      <w:r w:rsidRPr="00BA457B">
        <w:rPr>
          <w:rFonts w:ascii="Arial" w:hAnsi="Arial" w:cs="Arial"/>
          <w:sz w:val="22"/>
          <w:lang w:val="en-US"/>
        </w:rPr>
        <w:t xml:space="preserve">. According to the Office for Health Improvement and Disparities (GOV.UK, 2021), barriers in geography can be overcome by digital solutions, allowing continuity of care in poorly served areas. A more engaged participation of family members in assisting the relatives to use the app can also be seen as an example of how digital resource support can build co-production in health, in which patients and carers are active agents in care management (Brotherdale et al., 2024). </w:t>
      </w:r>
    </w:p>
    <w:p w14:paraId="53E98D95" w14:textId="2C525966" w:rsidR="00B9054A" w:rsidRPr="00BA457B" w:rsidRDefault="0064025E" w:rsidP="006E5FAA">
      <w:pPr>
        <w:spacing w:line="360" w:lineRule="auto"/>
        <w:jc w:val="both"/>
        <w:rPr>
          <w:rFonts w:ascii="Arial" w:hAnsi="Arial" w:cs="Arial"/>
          <w:sz w:val="22"/>
          <w:lang w:val="en-US"/>
        </w:rPr>
      </w:pPr>
      <w:r w:rsidRPr="00BA457B">
        <w:rPr>
          <w:rFonts w:ascii="Arial" w:hAnsi="Arial" w:cs="Arial"/>
          <w:sz w:val="22"/>
          <w:lang w:val="en-US"/>
        </w:rPr>
        <w:t>The impact of the app in public health has been especially experienced during the COVID-19 pandemic, when it served as a digital health passport, enabling certification of vaccination and booking of immunisation appointments on a large scale.</w:t>
      </w:r>
      <w:r w:rsidR="00487D72" w:rsidRPr="00BA457B">
        <w:rPr>
          <w:rFonts w:ascii="Arial" w:hAnsi="Arial" w:cs="Arial"/>
          <w:sz w:val="22"/>
          <w:lang w:val="en-US"/>
        </w:rPr>
        <w:t xml:space="preserve"> Along with crisis management, the NHS App can support preventive health, where patients can place an order regarding organ donation and get a reminder about vaccination (</w:t>
      </w:r>
      <w:proofErr w:type="spellStart"/>
      <w:r w:rsidR="00487D72" w:rsidRPr="00BA457B">
        <w:rPr>
          <w:rFonts w:ascii="Arial" w:hAnsi="Arial" w:cs="Arial"/>
          <w:sz w:val="22"/>
          <w:lang w:val="en-US"/>
        </w:rPr>
        <w:t>Alasmari</w:t>
      </w:r>
      <w:proofErr w:type="spellEnd"/>
      <w:r w:rsidR="00487D72" w:rsidRPr="00BA457B">
        <w:rPr>
          <w:rFonts w:ascii="Arial" w:hAnsi="Arial" w:cs="Arial"/>
          <w:sz w:val="22"/>
          <w:lang w:val="en-US"/>
        </w:rPr>
        <w:t xml:space="preserve"> et al., 2024). It is a commendable shift to population health management, and is consistent with NHS expectations of people taking personal responsibility to health. Nonetheless, </w:t>
      </w:r>
      <w:r w:rsidR="00BE7885" w:rsidRPr="00BA457B">
        <w:rPr>
          <w:rFonts w:ascii="Arial" w:hAnsi="Arial" w:cs="Arial"/>
          <w:sz w:val="22"/>
          <w:lang w:val="en-US"/>
        </w:rPr>
        <w:t>research has</w:t>
      </w:r>
      <w:r w:rsidR="00487D72" w:rsidRPr="00BA457B">
        <w:rPr>
          <w:rFonts w:ascii="Arial" w:hAnsi="Arial" w:cs="Arial"/>
          <w:sz w:val="22"/>
          <w:lang w:val="en-US"/>
        </w:rPr>
        <w:t xml:space="preserve"> indicated that disadvantaged groups tend to be disproportionately affected by digital exclusion, including older patients with low digital literacy, families with low income lacking access to a smartphone, and migrants without English (Heaslip et al., 2022). </w:t>
      </w:r>
    </w:p>
    <w:p w14:paraId="418B361B" w14:textId="41E97009" w:rsidR="007F34D6" w:rsidRPr="00BA457B" w:rsidRDefault="00487D72" w:rsidP="006E5FAA">
      <w:pPr>
        <w:spacing w:line="360" w:lineRule="auto"/>
        <w:jc w:val="both"/>
        <w:rPr>
          <w:rFonts w:ascii="Arial" w:hAnsi="Arial" w:cs="Arial"/>
          <w:sz w:val="22"/>
          <w:lang w:val="en-US"/>
        </w:rPr>
      </w:pPr>
      <w:r w:rsidRPr="00BA457B">
        <w:rPr>
          <w:rFonts w:ascii="Arial" w:hAnsi="Arial" w:cs="Arial"/>
          <w:sz w:val="22"/>
          <w:lang w:val="en-US"/>
        </w:rPr>
        <w:t xml:space="preserve">Hill et al. (2025) argue that their equity ambitions and intentions to some of the most susceptible groups can be negated by a digital first strategy. </w:t>
      </w:r>
      <w:r w:rsidR="009C0455" w:rsidRPr="00BA457B">
        <w:rPr>
          <w:rFonts w:ascii="Arial" w:hAnsi="Arial" w:cs="Arial"/>
          <w:sz w:val="22"/>
          <w:lang w:val="en-US"/>
        </w:rPr>
        <w:t>For</w:t>
      </w:r>
      <w:r w:rsidRPr="00BA457B">
        <w:rPr>
          <w:rFonts w:ascii="Arial" w:hAnsi="Arial" w:cs="Arial"/>
          <w:sz w:val="22"/>
          <w:lang w:val="en-US"/>
        </w:rPr>
        <w:t xml:space="preserve"> example, the countryside such as </w:t>
      </w:r>
      <w:proofErr w:type="spellStart"/>
      <w:r w:rsidRPr="00BA457B">
        <w:rPr>
          <w:rFonts w:ascii="Arial" w:hAnsi="Arial" w:cs="Arial"/>
          <w:sz w:val="22"/>
          <w:lang w:val="en-US"/>
        </w:rPr>
        <w:t>Cumbira</w:t>
      </w:r>
      <w:proofErr w:type="spellEnd"/>
      <w:r w:rsidRPr="00BA457B">
        <w:rPr>
          <w:rFonts w:ascii="Arial" w:hAnsi="Arial" w:cs="Arial"/>
          <w:sz w:val="22"/>
          <w:lang w:val="en-US"/>
        </w:rPr>
        <w:t xml:space="preserve"> have a lighter load in regard to commuting to holdings, but the government-deprived towns and cities tend to have a lower uptake rate</w:t>
      </w:r>
      <w:r w:rsidR="00B115F7" w:rsidRPr="00BA457B">
        <w:rPr>
          <w:rFonts w:ascii="Arial" w:hAnsi="Arial" w:cs="Arial"/>
          <w:sz w:val="22"/>
          <w:lang w:val="en-US"/>
        </w:rPr>
        <w:t xml:space="preserve"> </w:t>
      </w:r>
      <w:r w:rsidR="008E0C30" w:rsidRPr="00BA457B">
        <w:rPr>
          <w:rFonts w:ascii="Arial" w:hAnsi="Arial" w:cs="Arial"/>
          <w:sz w:val="22"/>
          <w:lang w:val="en-US"/>
        </w:rPr>
        <w:t>(Russel et al., 2023)</w:t>
      </w:r>
      <w:r w:rsidRPr="00BA457B">
        <w:rPr>
          <w:rFonts w:ascii="Arial" w:hAnsi="Arial" w:cs="Arial"/>
          <w:sz w:val="22"/>
          <w:lang w:val="en-US"/>
        </w:rPr>
        <w:t xml:space="preserve">. </w:t>
      </w:r>
      <w:r w:rsidR="0064025E" w:rsidRPr="00BA457B">
        <w:rPr>
          <w:rFonts w:ascii="Arial" w:hAnsi="Arial" w:cs="Arial"/>
          <w:sz w:val="22"/>
          <w:lang w:val="en-US"/>
        </w:rPr>
        <w:t>Applying the Social Determinants of Health model, one can deduce that income, education, and access to the Internet influence the experiences of the NHS App in the community. The innovation can enhance the infrastructure of public health, reinforce prevention measures, but, at the same time, can reinforce inequalities in case of the disregard of systematic harms to digital inclusion (Asthana and Prime, 2023). This duality shows how targeted digital inclusion policies are required in order to make the app achieve its potential as a truly universal public health tool.</w:t>
      </w:r>
    </w:p>
    <w:p w14:paraId="1A4DBD02" w14:textId="16D3DD05" w:rsidR="0099395B" w:rsidRPr="00BA457B" w:rsidRDefault="0099395B" w:rsidP="00BA457B">
      <w:pPr>
        <w:spacing w:line="360" w:lineRule="auto"/>
        <w:rPr>
          <w:rFonts w:ascii="Arial" w:hAnsi="Arial" w:cs="Arial"/>
          <w:sz w:val="22"/>
          <w:lang w:val="en-US"/>
        </w:rPr>
      </w:pPr>
    </w:p>
    <w:p w14:paraId="4682CF29" w14:textId="65B96AF7" w:rsidR="00644435" w:rsidRPr="00BA457B" w:rsidRDefault="0064025E" w:rsidP="00BA457B">
      <w:pPr>
        <w:pStyle w:val="Heading1"/>
        <w:spacing w:line="360" w:lineRule="auto"/>
        <w:rPr>
          <w:rFonts w:ascii="Arial" w:hAnsi="Arial" w:cs="Arial"/>
          <w:sz w:val="22"/>
          <w:szCs w:val="22"/>
          <w:lang w:val="en-US"/>
        </w:rPr>
      </w:pPr>
      <w:bookmarkStart w:id="6" w:name="_Toc210279645"/>
      <w:r w:rsidRPr="00BA457B">
        <w:rPr>
          <w:rFonts w:ascii="Arial" w:hAnsi="Arial" w:cs="Arial"/>
          <w:sz w:val="22"/>
          <w:szCs w:val="22"/>
          <w:lang w:val="en-US"/>
        </w:rPr>
        <w:t>Conclusion</w:t>
      </w:r>
      <w:bookmarkEnd w:id="6"/>
    </w:p>
    <w:p w14:paraId="4B420ABA" w14:textId="0D11FCA3" w:rsidR="00FA69C4" w:rsidRPr="00BA457B" w:rsidRDefault="0064025E" w:rsidP="006E5FAA">
      <w:pPr>
        <w:spacing w:line="360" w:lineRule="auto"/>
        <w:jc w:val="both"/>
        <w:rPr>
          <w:rFonts w:ascii="Arial" w:hAnsi="Arial" w:cs="Arial"/>
          <w:sz w:val="22"/>
          <w:lang w:val="en-US"/>
        </w:rPr>
      </w:pPr>
      <w:r w:rsidRPr="00BA457B">
        <w:rPr>
          <w:rFonts w:ascii="Arial" w:hAnsi="Arial" w:cs="Arial"/>
          <w:sz w:val="22"/>
          <w:lang w:val="en-US"/>
        </w:rPr>
        <w:t xml:space="preserve">Digital transformation has emerged as a critical component of modernising health and care, providing unprecedented opportunities to provide efficient and patient-centred services. The NHS </w:t>
      </w:r>
      <w:r w:rsidRPr="00BA457B">
        <w:rPr>
          <w:rFonts w:ascii="Arial" w:hAnsi="Arial" w:cs="Arial"/>
          <w:sz w:val="22"/>
          <w:lang w:val="en-US"/>
        </w:rPr>
        <w:lastRenderedPageBreak/>
        <w:t>App is an excellent but flawed innovation that simplifies the process of accessing appointments, prescriptions, and records, and contributes to population health in the face of a pandemic. Nevertheless, there are issues like digital exclusion, inconsistent integration, and adapting the workforce. Next, artificial intelligence and the use of personalised care tools that are likely to emerge in the future can further improve its value. To achieve an equitable impact, continuous investment in education, sound digital inclusion plans and long-term policy follow-up are essential to maximise the performance of the app among the UK population.</w:t>
      </w:r>
    </w:p>
    <w:p w14:paraId="53758E26" w14:textId="5FDB29A9" w:rsidR="001B24C7" w:rsidRPr="00BA457B" w:rsidRDefault="0064025E" w:rsidP="00BA457B">
      <w:pPr>
        <w:spacing w:line="360" w:lineRule="auto"/>
        <w:rPr>
          <w:rFonts w:ascii="Arial" w:hAnsi="Arial" w:cs="Arial"/>
          <w:sz w:val="22"/>
          <w:lang w:val="en-US"/>
        </w:rPr>
      </w:pPr>
      <w:r w:rsidRPr="00BA457B">
        <w:rPr>
          <w:rFonts w:ascii="Arial" w:hAnsi="Arial" w:cs="Arial"/>
          <w:sz w:val="22"/>
          <w:lang w:val="en-US"/>
        </w:rPr>
        <w:br w:type="page"/>
      </w:r>
    </w:p>
    <w:p w14:paraId="16B2BDEF" w14:textId="4F44E918" w:rsidR="00910B48" w:rsidRPr="00BA457B" w:rsidRDefault="0064025E" w:rsidP="00BA457B">
      <w:pPr>
        <w:pStyle w:val="Heading1"/>
        <w:spacing w:line="360" w:lineRule="auto"/>
        <w:rPr>
          <w:rFonts w:ascii="Arial" w:hAnsi="Arial" w:cs="Arial"/>
          <w:sz w:val="22"/>
          <w:szCs w:val="22"/>
          <w:lang w:val="en-US"/>
        </w:rPr>
      </w:pPr>
      <w:bookmarkStart w:id="7" w:name="_Toc210279646"/>
      <w:r w:rsidRPr="00BA457B">
        <w:rPr>
          <w:rFonts w:ascii="Arial" w:hAnsi="Arial" w:cs="Arial"/>
          <w:sz w:val="22"/>
          <w:szCs w:val="22"/>
          <w:lang w:val="en-US"/>
        </w:rPr>
        <w:lastRenderedPageBreak/>
        <w:t>References</w:t>
      </w:r>
      <w:bookmarkEnd w:id="7"/>
    </w:p>
    <w:p w14:paraId="28B499C1" w14:textId="77777777" w:rsidR="0057188A" w:rsidRPr="00BA457B" w:rsidRDefault="0057188A" w:rsidP="00331642">
      <w:pPr>
        <w:spacing w:line="360" w:lineRule="auto"/>
        <w:ind w:left="720" w:hanging="720"/>
        <w:jc w:val="both"/>
        <w:rPr>
          <w:rFonts w:ascii="Arial" w:hAnsi="Arial" w:cs="Arial"/>
          <w:sz w:val="22"/>
        </w:rPr>
      </w:pPr>
      <w:proofErr w:type="spellStart"/>
      <w:r w:rsidRPr="00BA457B">
        <w:rPr>
          <w:rFonts w:ascii="Arial" w:hAnsi="Arial" w:cs="Arial"/>
          <w:sz w:val="22"/>
        </w:rPr>
        <w:t>Aburbeian</w:t>
      </w:r>
      <w:proofErr w:type="spellEnd"/>
      <w:r w:rsidRPr="00BA457B">
        <w:rPr>
          <w:rFonts w:ascii="Arial" w:hAnsi="Arial" w:cs="Arial"/>
          <w:sz w:val="22"/>
        </w:rPr>
        <w:t xml:space="preserve">, A.M., </w:t>
      </w:r>
      <w:proofErr w:type="spellStart"/>
      <w:r w:rsidRPr="00BA457B">
        <w:rPr>
          <w:rFonts w:ascii="Arial" w:hAnsi="Arial" w:cs="Arial"/>
          <w:sz w:val="22"/>
        </w:rPr>
        <w:t>Owda</w:t>
      </w:r>
      <w:proofErr w:type="spellEnd"/>
      <w:r w:rsidRPr="00BA457B">
        <w:rPr>
          <w:rFonts w:ascii="Arial" w:hAnsi="Arial" w:cs="Arial"/>
          <w:sz w:val="22"/>
        </w:rPr>
        <w:t>, A.Y. and Owda, M., (2022). A technology acceptance model survey of the metaverse prospects. </w:t>
      </w:r>
      <w:r w:rsidRPr="00BA457B">
        <w:rPr>
          <w:rFonts w:ascii="Arial" w:hAnsi="Arial" w:cs="Arial"/>
          <w:i/>
          <w:iCs/>
          <w:sz w:val="22"/>
        </w:rPr>
        <w:t>Ai</w:t>
      </w:r>
      <w:r w:rsidRPr="00BA457B">
        <w:rPr>
          <w:rFonts w:ascii="Arial" w:hAnsi="Arial" w:cs="Arial"/>
          <w:sz w:val="22"/>
        </w:rPr>
        <w:t>, </w:t>
      </w:r>
      <w:r w:rsidRPr="00BA457B">
        <w:rPr>
          <w:rFonts w:ascii="Arial" w:hAnsi="Arial" w:cs="Arial"/>
          <w:i/>
          <w:iCs/>
          <w:sz w:val="22"/>
        </w:rPr>
        <w:t>3</w:t>
      </w:r>
      <w:r w:rsidRPr="00BA457B">
        <w:rPr>
          <w:rFonts w:ascii="Arial" w:hAnsi="Arial" w:cs="Arial"/>
          <w:sz w:val="22"/>
        </w:rPr>
        <w:t>(2), pp.285-302.</w:t>
      </w:r>
    </w:p>
    <w:p w14:paraId="337B4E84" w14:textId="77777777" w:rsidR="0057188A" w:rsidRPr="00BA457B" w:rsidRDefault="0057188A" w:rsidP="00331642">
      <w:pPr>
        <w:spacing w:line="360" w:lineRule="auto"/>
        <w:ind w:left="720" w:hanging="720"/>
        <w:jc w:val="both"/>
        <w:rPr>
          <w:rFonts w:ascii="Arial" w:hAnsi="Arial" w:cs="Arial"/>
          <w:sz w:val="22"/>
        </w:rPr>
      </w:pPr>
      <w:r w:rsidRPr="00BA457B">
        <w:rPr>
          <w:rFonts w:ascii="Arial" w:hAnsi="Arial" w:cs="Arial"/>
          <w:sz w:val="22"/>
        </w:rPr>
        <w:t>Alasmari, Z.A.M., Al Shamri, M.A.K., Albusaysi, G.M.H., Alshehri, F.M., Almalki, S.M.A., Alqurashi, A.K.M., Mardoom, I.M., Alamri, I.A., Alshammari, S.A.S., Alkhairi, W.A.M. and Alazmi, N.O.M., (2024). Enhancing Efficiency in Healthcare Facilities the Role of Health Administration and Medical Secretaries in Streamlining Patient Care Processes. </w:t>
      </w:r>
      <w:r w:rsidRPr="00BA457B">
        <w:rPr>
          <w:rFonts w:ascii="Arial" w:hAnsi="Arial" w:cs="Arial"/>
          <w:i/>
          <w:iCs/>
          <w:sz w:val="22"/>
        </w:rPr>
        <w:t>Journal of International Crisis and Risk Communication Research</w:t>
      </w:r>
      <w:r w:rsidRPr="00BA457B">
        <w:rPr>
          <w:rFonts w:ascii="Arial" w:hAnsi="Arial" w:cs="Arial"/>
          <w:sz w:val="22"/>
        </w:rPr>
        <w:t>, </w:t>
      </w:r>
      <w:r w:rsidRPr="00BA457B">
        <w:rPr>
          <w:rFonts w:ascii="Arial" w:hAnsi="Arial" w:cs="Arial"/>
          <w:i/>
          <w:iCs/>
          <w:sz w:val="22"/>
        </w:rPr>
        <w:t>7</w:t>
      </w:r>
      <w:r w:rsidRPr="00BA457B">
        <w:rPr>
          <w:rFonts w:ascii="Arial" w:hAnsi="Arial" w:cs="Arial"/>
          <w:sz w:val="22"/>
        </w:rPr>
        <w:t>(S5), p.487.</w:t>
      </w:r>
    </w:p>
    <w:p w14:paraId="1C7FE9C8" w14:textId="77777777" w:rsidR="0057188A" w:rsidRPr="00BA457B" w:rsidRDefault="0057188A" w:rsidP="00331642">
      <w:pPr>
        <w:spacing w:line="360" w:lineRule="auto"/>
        <w:ind w:left="720" w:hanging="720"/>
        <w:jc w:val="both"/>
        <w:rPr>
          <w:rFonts w:ascii="Arial" w:hAnsi="Arial" w:cs="Arial"/>
          <w:sz w:val="22"/>
        </w:rPr>
      </w:pPr>
      <w:r w:rsidRPr="00BA457B">
        <w:rPr>
          <w:rFonts w:ascii="Arial" w:hAnsi="Arial" w:cs="Arial"/>
          <w:sz w:val="22"/>
        </w:rPr>
        <w:t>Alhammad, N., Alajlani, M., Abd-Alrazaq, A., Epiphaniou, G. and Arvanitis, T., (2024). Patients’ perspectives on the data confidentiality, privacy, and security of mHealth apps: systematic review. </w:t>
      </w:r>
      <w:r w:rsidRPr="00BA457B">
        <w:rPr>
          <w:rFonts w:ascii="Arial" w:hAnsi="Arial" w:cs="Arial"/>
          <w:i/>
          <w:iCs/>
          <w:sz w:val="22"/>
        </w:rPr>
        <w:t>Journal of Medical Internet Research</w:t>
      </w:r>
      <w:r w:rsidRPr="00BA457B">
        <w:rPr>
          <w:rFonts w:ascii="Arial" w:hAnsi="Arial" w:cs="Arial"/>
          <w:sz w:val="22"/>
        </w:rPr>
        <w:t>, </w:t>
      </w:r>
      <w:r w:rsidRPr="00BA457B">
        <w:rPr>
          <w:rFonts w:ascii="Arial" w:hAnsi="Arial" w:cs="Arial"/>
          <w:i/>
          <w:iCs/>
          <w:sz w:val="22"/>
        </w:rPr>
        <w:t>26</w:t>
      </w:r>
      <w:r w:rsidRPr="00BA457B">
        <w:rPr>
          <w:rFonts w:ascii="Arial" w:hAnsi="Arial" w:cs="Arial"/>
          <w:sz w:val="22"/>
        </w:rPr>
        <w:t>, p.e50715.</w:t>
      </w:r>
    </w:p>
    <w:p w14:paraId="72387099" w14:textId="77777777" w:rsidR="0057188A" w:rsidRPr="00BA457B" w:rsidRDefault="0057188A" w:rsidP="00331642">
      <w:pPr>
        <w:spacing w:line="360" w:lineRule="auto"/>
        <w:ind w:left="720" w:hanging="720"/>
        <w:jc w:val="both"/>
        <w:rPr>
          <w:rFonts w:ascii="Arial" w:hAnsi="Arial" w:cs="Arial"/>
          <w:sz w:val="22"/>
        </w:rPr>
      </w:pPr>
      <w:r w:rsidRPr="00BA457B">
        <w:rPr>
          <w:rFonts w:ascii="Arial" w:hAnsi="Arial" w:cs="Arial"/>
          <w:sz w:val="22"/>
        </w:rPr>
        <w:t>Alyafei, A. and Easton-Carr, R., (2024). The health belief model of behavior change. </w:t>
      </w:r>
      <w:r w:rsidRPr="00BA457B">
        <w:rPr>
          <w:rFonts w:ascii="Arial" w:hAnsi="Arial" w:cs="Arial"/>
          <w:i/>
          <w:iCs/>
          <w:sz w:val="22"/>
        </w:rPr>
        <w:t>StatPearls</w:t>
      </w:r>
      <w:r w:rsidRPr="00BA457B">
        <w:rPr>
          <w:rFonts w:ascii="Arial" w:hAnsi="Arial" w:cs="Arial"/>
          <w:sz w:val="22"/>
        </w:rPr>
        <w:t>.</w:t>
      </w:r>
    </w:p>
    <w:p w14:paraId="7A44A0B4" w14:textId="77777777" w:rsidR="0057188A" w:rsidRPr="00BA457B" w:rsidRDefault="0057188A" w:rsidP="00331642">
      <w:pPr>
        <w:spacing w:line="360" w:lineRule="auto"/>
        <w:ind w:left="720" w:hanging="720"/>
        <w:jc w:val="both"/>
        <w:rPr>
          <w:rFonts w:ascii="Arial" w:hAnsi="Arial" w:cs="Arial"/>
          <w:sz w:val="22"/>
        </w:rPr>
      </w:pPr>
      <w:r w:rsidRPr="00BA457B">
        <w:rPr>
          <w:rFonts w:ascii="Arial" w:hAnsi="Arial" w:cs="Arial"/>
          <w:sz w:val="22"/>
        </w:rPr>
        <w:t>Asamani, J.A., Bediakon, K.S.B., Boniol, M., Munga’tu, J.K., Akugri, F.A., Muvango, L.L., Bayiga, E.D.Z., Christmals, C.D., Okoroafor, S., Titus, M. and Titi-Ofei, R., (2024). Projected health workforce requirements and shortage for addressing the disease burden in the WHO Africa Region, 2022–2030: a needs-based modelling study. </w:t>
      </w:r>
      <w:r w:rsidRPr="00BA457B">
        <w:rPr>
          <w:rFonts w:ascii="Arial" w:hAnsi="Arial" w:cs="Arial"/>
          <w:i/>
          <w:iCs/>
          <w:sz w:val="22"/>
        </w:rPr>
        <w:t>BMJ Global Health</w:t>
      </w:r>
      <w:r w:rsidRPr="00BA457B">
        <w:rPr>
          <w:rFonts w:ascii="Arial" w:hAnsi="Arial" w:cs="Arial"/>
          <w:sz w:val="22"/>
        </w:rPr>
        <w:t>, </w:t>
      </w:r>
      <w:r w:rsidRPr="00BA457B">
        <w:rPr>
          <w:rFonts w:ascii="Arial" w:hAnsi="Arial" w:cs="Arial"/>
          <w:i/>
          <w:iCs/>
          <w:sz w:val="22"/>
        </w:rPr>
        <w:t>7</w:t>
      </w:r>
      <w:r w:rsidRPr="00BA457B">
        <w:rPr>
          <w:rFonts w:ascii="Arial" w:hAnsi="Arial" w:cs="Arial"/>
          <w:sz w:val="22"/>
        </w:rPr>
        <w:t>(Suppl 1), p.e015972.</w:t>
      </w:r>
    </w:p>
    <w:p w14:paraId="35D614CC" w14:textId="77777777" w:rsidR="0057188A" w:rsidRPr="00BA457B" w:rsidRDefault="0057188A" w:rsidP="00331642">
      <w:pPr>
        <w:spacing w:line="360" w:lineRule="auto"/>
        <w:ind w:left="720" w:hanging="720"/>
        <w:jc w:val="both"/>
        <w:rPr>
          <w:rFonts w:ascii="Arial" w:hAnsi="Arial" w:cs="Arial"/>
          <w:sz w:val="22"/>
          <w:lang w:val="en-US"/>
        </w:rPr>
      </w:pPr>
      <w:r w:rsidRPr="00BA457B">
        <w:rPr>
          <w:rFonts w:ascii="Arial" w:hAnsi="Arial" w:cs="Arial"/>
          <w:sz w:val="22"/>
        </w:rPr>
        <w:t>Asthana, S. and Prime, S., (2023). The role of digital transformation in addressing health inequalities in coastal communities: barriers and enablers. </w:t>
      </w:r>
      <w:r w:rsidRPr="00BA457B">
        <w:rPr>
          <w:rFonts w:ascii="Arial" w:hAnsi="Arial" w:cs="Arial"/>
          <w:i/>
          <w:iCs/>
          <w:sz w:val="22"/>
        </w:rPr>
        <w:t>Frontiers in health services</w:t>
      </w:r>
      <w:r w:rsidRPr="00BA457B">
        <w:rPr>
          <w:rFonts w:ascii="Arial" w:hAnsi="Arial" w:cs="Arial"/>
          <w:sz w:val="22"/>
        </w:rPr>
        <w:t>, </w:t>
      </w:r>
      <w:r w:rsidRPr="00BA457B">
        <w:rPr>
          <w:rFonts w:ascii="Arial" w:hAnsi="Arial" w:cs="Arial"/>
          <w:i/>
          <w:iCs/>
          <w:sz w:val="22"/>
        </w:rPr>
        <w:t>3</w:t>
      </w:r>
      <w:r w:rsidRPr="00BA457B">
        <w:rPr>
          <w:rFonts w:ascii="Arial" w:hAnsi="Arial" w:cs="Arial"/>
          <w:sz w:val="22"/>
        </w:rPr>
        <w:t>, p.1225757.</w:t>
      </w:r>
    </w:p>
    <w:p w14:paraId="70E8B63D" w14:textId="77777777" w:rsidR="0057188A" w:rsidRPr="00BA457B" w:rsidRDefault="0057188A" w:rsidP="00331642">
      <w:pPr>
        <w:spacing w:line="360" w:lineRule="auto"/>
        <w:ind w:left="720" w:hanging="720"/>
        <w:jc w:val="both"/>
        <w:rPr>
          <w:rFonts w:ascii="Arial" w:hAnsi="Arial" w:cs="Arial"/>
          <w:sz w:val="22"/>
        </w:rPr>
      </w:pPr>
      <w:r w:rsidRPr="00BA457B">
        <w:rPr>
          <w:rFonts w:ascii="Arial" w:hAnsi="Arial" w:cs="Arial"/>
          <w:sz w:val="22"/>
        </w:rPr>
        <w:t>Brotherdale, R., Berry, K., Branitsky, A. and Bucci, S., (2024). Co-producing digital mental health interventions: a systematic review. </w:t>
      </w:r>
      <w:r w:rsidRPr="00BA457B">
        <w:rPr>
          <w:rFonts w:ascii="Arial" w:hAnsi="Arial" w:cs="Arial"/>
          <w:i/>
          <w:iCs/>
          <w:sz w:val="22"/>
        </w:rPr>
        <w:t>Digital Health</w:t>
      </w:r>
      <w:r w:rsidRPr="00BA457B">
        <w:rPr>
          <w:rFonts w:ascii="Arial" w:hAnsi="Arial" w:cs="Arial"/>
          <w:sz w:val="22"/>
        </w:rPr>
        <w:t>, </w:t>
      </w:r>
      <w:r w:rsidRPr="00BA457B">
        <w:rPr>
          <w:rFonts w:ascii="Arial" w:hAnsi="Arial" w:cs="Arial"/>
          <w:i/>
          <w:iCs/>
          <w:sz w:val="22"/>
        </w:rPr>
        <w:t>10</w:t>
      </w:r>
      <w:r w:rsidRPr="00BA457B">
        <w:rPr>
          <w:rFonts w:ascii="Arial" w:hAnsi="Arial" w:cs="Arial"/>
          <w:sz w:val="22"/>
        </w:rPr>
        <w:t>, p.20552076241239172.</w:t>
      </w:r>
    </w:p>
    <w:p w14:paraId="2AA44416" w14:textId="77777777" w:rsidR="0057188A" w:rsidRPr="00BA457B" w:rsidRDefault="0057188A" w:rsidP="00331642">
      <w:pPr>
        <w:spacing w:line="360" w:lineRule="auto"/>
        <w:ind w:left="720" w:hanging="720"/>
        <w:jc w:val="both"/>
        <w:rPr>
          <w:rFonts w:ascii="Arial" w:hAnsi="Arial" w:cs="Arial"/>
          <w:sz w:val="22"/>
        </w:rPr>
      </w:pPr>
      <w:r w:rsidRPr="00BA457B">
        <w:rPr>
          <w:rFonts w:ascii="Arial" w:hAnsi="Arial" w:cs="Arial"/>
          <w:sz w:val="22"/>
        </w:rPr>
        <w:t>England, N.H.S., (2023). </w:t>
      </w:r>
      <w:r w:rsidRPr="00BA457B">
        <w:rPr>
          <w:rFonts w:ascii="Arial" w:hAnsi="Arial" w:cs="Arial"/>
          <w:i/>
          <w:iCs/>
          <w:sz w:val="22"/>
        </w:rPr>
        <w:t>NHS long term workforce plan</w:t>
      </w:r>
      <w:r w:rsidRPr="00BA457B">
        <w:rPr>
          <w:rFonts w:ascii="Arial" w:hAnsi="Arial" w:cs="Arial"/>
          <w:sz w:val="22"/>
        </w:rPr>
        <w:t> [online]</w:t>
      </w:r>
    </w:p>
    <w:p w14:paraId="7AD4D8A1" w14:textId="77777777" w:rsidR="0057188A" w:rsidRPr="00BA457B" w:rsidRDefault="0057188A" w:rsidP="00331642">
      <w:pPr>
        <w:spacing w:line="360" w:lineRule="auto"/>
        <w:ind w:left="720" w:hanging="720"/>
        <w:jc w:val="both"/>
        <w:rPr>
          <w:rFonts w:ascii="Arial" w:hAnsi="Arial" w:cs="Arial"/>
          <w:sz w:val="22"/>
        </w:rPr>
      </w:pPr>
      <w:r w:rsidRPr="00BA457B">
        <w:rPr>
          <w:rFonts w:ascii="Arial" w:hAnsi="Arial" w:cs="Arial"/>
          <w:sz w:val="22"/>
        </w:rPr>
        <w:t>George, A.S., Baskar, T. and Srikaanth, P.B., (2024). Cyber threats to critical infrastructure: assessing vulnerabilities across key sectors. </w:t>
      </w:r>
      <w:r w:rsidRPr="00BA457B">
        <w:rPr>
          <w:rFonts w:ascii="Arial" w:hAnsi="Arial" w:cs="Arial"/>
          <w:i/>
          <w:iCs/>
          <w:sz w:val="22"/>
        </w:rPr>
        <w:t>Partners Universal International Innovation Journal</w:t>
      </w:r>
      <w:r w:rsidRPr="00BA457B">
        <w:rPr>
          <w:rFonts w:ascii="Arial" w:hAnsi="Arial" w:cs="Arial"/>
          <w:sz w:val="22"/>
        </w:rPr>
        <w:t>, </w:t>
      </w:r>
      <w:r w:rsidRPr="00BA457B">
        <w:rPr>
          <w:rFonts w:ascii="Arial" w:hAnsi="Arial" w:cs="Arial"/>
          <w:i/>
          <w:iCs/>
          <w:sz w:val="22"/>
        </w:rPr>
        <w:t>2</w:t>
      </w:r>
      <w:r w:rsidRPr="00BA457B">
        <w:rPr>
          <w:rFonts w:ascii="Arial" w:hAnsi="Arial" w:cs="Arial"/>
          <w:sz w:val="22"/>
        </w:rPr>
        <w:t>(1), pp.51-75.</w:t>
      </w:r>
    </w:p>
    <w:p w14:paraId="5287941F" w14:textId="77777777" w:rsidR="0057188A" w:rsidRPr="00BA457B" w:rsidRDefault="0057188A" w:rsidP="00331642">
      <w:pPr>
        <w:spacing w:line="360" w:lineRule="auto"/>
        <w:ind w:left="720" w:hanging="720"/>
        <w:jc w:val="both"/>
        <w:rPr>
          <w:rFonts w:ascii="Arial" w:hAnsi="Arial" w:cs="Arial"/>
          <w:sz w:val="22"/>
          <w:lang w:val="en-US"/>
        </w:rPr>
      </w:pPr>
      <w:r w:rsidRPr="00BA457B">
        <w:rPr>
          <w:rFonts w:ascii="Arial" w:hAnsi="Arial" w:cs="Arial"/>
          <w:sz w:val="22"/>
          <w:lang w:val="en-US"/>
        </w:rPr>
        <w:t xml:space="preserve">GOV.UK. (2021). Health Disparities and health inequalities: Applying all our health. Retrieved from </w:t>
      </w:r>
      <w:hyperlink r:id="rId11" w:history="1">
        <w:r w:rsidRPr="00BA457B">
          <w:rPr>
            <w:rStyle w:val="Hyperlink"/>
            <w:rFonts w:ascii="Arial" w:hAnsi="Arial" w:cs="Arial"/>
            <w:sz w:val="22"/>
            <w:lang w:val="en-US"/>
          </w:rPr>
          <w:t>http://www.gov.uk/government/publications/health-disparities-and-health-inequalities-applying-all-our-health/health-disparities-and-health-inequalities-applying-all-our-health</w:t>
        </w:r>
      </w:hyperlink>
    </w:p>
    <w:p w14:paraId="364A3803" w14:textId="77777777" w:rsidR="0057188A" w:rsidRPr="00BA457B" w:rsidRDefault="0057188A" w:rsidP="00331642">
      <w:pPr>
        <w:spacing w:line="360" w:lineRule="auto"/>
        <w:ind w:left="720" w:hanging="720"/>
        <w:jc w:val="both"/>
        <w:rPr>
          <w:rFonts w:ascii="Arial" w:hAnsi="Arial" w:cs="Arial"/>
          <w:sz w:val="22"/>
          <w:lang w:val="en-US"/>
        </w:rPr>
      </w:pPr>
      <w:r w:rsidRPr="00BA457B">
        <w:rPr>
          <w:rFonts w:ascii="Arial" w:hAnsi="Arial" w:cs="Arial"/>
          <w:sz w:val="22"/>
        </w:rPr>
        <w:lastRenderedPageBreak/>
        <w:t>Graf, D.G. and Burrell, D.N., (2024). Utilising resistance feedback for software implementation in healthcare. </w:t>
      </w:r>
      <w:r w:rsidRPr="00BA457B">
        <w:rPr>
          <w:rFonts w:ascii="Arial" w:hAnsi="Arial" w:cs="Arial"/>
          <w:i/>
          <w:iCs/>
          <w:sz w:val="22"/>
        </w:rPr>
        <w:t>Health Economics and Management Review</w:t>
      </w:r>
      <w:r w:rsidRPr="00BA457B">
        <w:rPr>
          <w:rFonts w:ascii="Arial" w:hAnsi="Arial" w:cs="Arial"/>
          <w:sz w:val="22"/>
        </w:rPr>
        <w:t>, </w:t>
      </w:r>
      <w:r w:rsidRPr="00BA457B">
        <w:rPr>
          <w:rFonts w:ascii="Arial" w:hAnsi="Arial" w:cs="Arial"/>
          <w:i/>
          <w:iCs/>
          <w:sz w:val="22"/>
        </w:rPr>
        <w:t>5</w:t>
      </w:r>
      <w:r w:rsidRPr="00BA457B">
        <w:rPr>
          <w:rFonts w:ascii="Arial" w:hAnsi="Arial" w:cs="Arial"/>
          <w:sz w:val="22"/>
        </w:rPr>
        <w:t>(1), pp.106-116.</w:t>
      </w:r>
    </w:p>
    <w:p w14:paraId="5853A142" w14:textId="77777777" w:rsidR="0057188A" w:rsidRPr="00BA457B" w:rsidRDefault="0057188A" w:rsidP="00331642">
      <w:pPr>
        <w:spacing w:line="360" w:lineRule="auto"/>
        <w:ind w:left="720" w:hanging="720"/>
        <w:jc w:val="both"/>
        <w:rPr>
          <w:rFonts w:ascii="Arial" w:hAnsi="Arial" w:cs="Arial"/>
          <w:sz w:val="22"/>
        </w:rPr>
      </w:pPr>
      <w:r w:rsidRPr="00BA457B">
        <w:rPr>
          <w:rFonts w:ascii="Arial" w:hAnsi="Arial" w:cs="Arial"/>
          <w:sz w:val="22"/>
        </w:rPr>
        <w:t xml:space="preserve">Heaslip, V., Thompson, R., Tauringana, M., Holland, S. and Glendening, N., </w:t>
      </w:r>
      <w:bookmarkStart w:id="8" w:name="_Hlk210266260"/>
      <w:r w:rsidRPr="00BA457B">
        <w:rPr>
          <w:rFonts w:ascii="Arial" w:hAnsi="Arial" w:cs="Arial"/>
          <w:sz w:val="22"/>
        </w:rPr>
        <w:t>(</w:t>
      </w:r>
      <w:bookmarkEnd w:id="8"/>
      <w:r w:rsidRPr="00BA457B">
        <w:rPr>
          <w:rFonts w:ascii="Arial" w:hAnsi="Arial" w:cs="Arial"/>
          <w:sz w:val="22"/>
        </w:rPr>
        <w:t>2022). Health inequity in the UK: exploring health inequality and inequity. </w:t>
      </w:r>
      <w:r w:rsidRPr="00BA457B">
        <w:rPr>
          <w:rFonts w:ascii="Arial" w:hAnsi="Arial" w:cs="Arial"/>
          <w:i/>
          <w:iCs/>
          <w:sz w:val="22"/>
        </w:rPr>
        <w:t>Practice Nursing</w:t>
      </w:r>
      <w:r w:rsidRPr="00BA457B">
        <w:rPr>
          <w:rFonts w:ascii="Arial" w:hAnsi="Arial" w:cs="Arial"/>
          <w:sz w:val="22"/>
        </w:rPr>
        <w:t>, </w:t>
      </w:r>
      <w:r w:rsidRPr="00BA457B">
        <w:rPr>
          <w:rFonts w:ascii="Arial" w:hAnsi="Arial" w:cs="Arial"/>
          <w:i/>
          <w:iCs/>
          <w:sz w:val="22"/>
        </w:rPr>
        <w:t>33</w:t>
      </w:r>
      <w:r w:rsidRPr="00BA457B">
        <w:rPr>
          <w:rFonts w:ascii="Arial" w:hAnsi="Arial" w:cs="Arial"/>
          <w:sz w:val="22"/>
        </w:rPr>
        <w:t>(2), pp.72-76.</w:t>
      </w:r>
    </w:p>
    <w:p w14:paraId="1B5E3679" w14:textId="77777777" w:rsidR="0057188A" w:rsidRPr="00BA457B" w:rsidRDefault="0057188A" w:rsidP="00331642">
      <w:pPr>
        <w:spacing w:line="360" w:lineRule="auto"/>
        <w:ind w:left="720" w:hanging="720"/>
        <w:jc w:val="both"/>
        <w:rPr>
          <w:rFonts w:ascii="Arial" w:hAnsi="Arial" w:cs="Arial"/>
          <w:sz w:val="22"/>
        </w:rPr>
      </w:pPr>
      <w:r w:rsidRPr="00BA457B">
        <w:rPr>
          <w:rFonts w:ascii="Arial" w:hAnsi="Arial" w:cs="Arial"/>
          <w:sz w:val="22"/>
        </w:rPr>
        <w:t xml:space="preserve">Hill, J.A., </w:t>
      </w:r>
      <w:proofErr w:type="spellStart"/>
      <w:r w:rsidRPr="00BA457B">
        <w:rPr>
          <w:rFonts w:ascii="Arial" w:hAnsi="Arial" w:cs="Arial"/>
          <w:sz w:val="22"/>
        </w:rPr>
        <w:t>Boonyaratanakornkit</w:t>
      </w:r>
      <w:proofErr w:type="spellEnd"/>
      <w:r w:rsidRPr="00BA457B">
        <w:rPr>
          <w:rFonts w:ascii="Arial" w:hAnsi="Arial" w:cs="Arial"/>
          <w:sz w:val="22"/>
        </w:rPr>
        <w:t>, J., Mikulska, M., Teh, B.W., Hahn, W.O., Haidar, G., Liu, C., Kumar, D., Ison, M.G. and Halasa, N., (2025). Innovation in active and passive immunisation of people who are immunocompromised: a call to action. </w:t>
      </w:r>
      <w:r w:rsidRPr="00BA457B">
        <w:rPr>
          <w:rFonts w:ascii="Arial" w:hAnsi="Arial" w:cs="Arial"/>
          <w:i/>
          <w:iCs/>
          <w:sz w:val="22"/>
        </w:rPr>
        <w:t>The Lancet Infectious Diseases</w:t>
      </w:r>
      <w:r w:rsidRPr="00BA457B">
        <w:rPr>
          <w:rFonts w:ascii="Arial" w:hAnsi="Arial" w:cs="Arial"/>
          <w:sz w:val="22"/>
        </w:rPr>
        <w:t>.</w:t>
      </w:r>
    </w:p>
    <w:p w14:paraId="085C7D1A" w14:textId="77777777" w:rsidR="0057188A" w:rsidRPr="00BA457B" w:rsidRDefault="0057188A" w:rsidP="00331642">
      <w:pPr>
        <w:spacing w:line="360" w:lineRule="auto"/>
        <w:ind w:left="720" w:hanging="720"/>
        <w:jc w:val="both"/>
        <w:rPr>
          <w:rFonts w:ascii="Arial" w:hAnsi="Arial" w:cs="Arial"/>
          <w:sz w:val="22"/>
        </w:rPr>
      </w:pPr>
      <w:r w:rsidRPr="00BA457B">
        <w:rPr>
          <w:rFonts w:ascii="Arial" w:hAnsi="Arial" w:cs="Arial"/>
          <w:sz w:val="22"/>
        </w:rPr>
        <w:t>Husain, L. and Greenhalgh, T., (2025). Examining intersectionality and barriers to the uptake of video consultations among older adults from disadvantaged backgrounds with limited english proficiency: qualitative narrative interview study. </w:t>
      </w:r>
      <w:r w:rsidRPr="00BA457B">
        <w:rPr>
          <w:rFonts w:ascii="Arial" w:hAnsi="Arial" w:cs="Arial"/>
          <w:i/>
          <w:iCs/>
          <w:sz w:val="22"/>
        </w:rPr>
        <w:t>Journal of Medical Internet Research</w:t>
      </w:r>
      <w:r w:rsidRPr="00BA457B">
        <w:rPr>
          <w:rFonts w:ascii="Arial" w:hAnsi="Arial" w:cs="Arial"/>
          <w:sz w:val="22"/>
        </w:rPr>
        <w:t>, </w:t>
      </w:r>
      <w:r w:rsidRPr="00BA457B">
        <w:rPr>
          <w:rFonts w:ascii="Arial" w:hAnsi="Arial" w:cs="Arial"/>
          <w:i/>
          <w:iCs/>
          <w:sz w:val="22"/>
        </w:rPr>
        <w:t>27</w:t>
      </w:r>
      <w:r w:rsidRPr="00BA457B">
        <w:rPr>
          <w:rFonts w:ascii="Arial" w:hAnsi="Arial" w:cs="Arial"/>
          <w:sz w:val="22"/>
        </w:rPr>
        <w:t>, p.e65690.</w:t>
      </w:r>
    </w:p>
    <w:p w14:paraId="5F380A50" w14:textId="77777777" w:rsidR="0057188A" w:rsidRPr="00BA457B" w:rsidRDefault="0057188A" w:rsidP="00331642">
      <w:pPr>
        <w:spacing w:line="360" w:lineRule="auto"/>
        <w:ind w:left="720" w:hanging="720"/>
        <w:jc w:val="both"/>
        <w:rPr>
          <w:rFonts w:ascii="Arial" w:hAnsi="Arial" w:cs="Arial"/>
          <w:sz w:val="22"/>
        </w:rPr>
      </w:pPr>
      <w:proofErr w:type="spellStart"/>
      <w:r w:rsidRPr="00BA457B">
        <w:rPr>
          <w:rFonts w:ascii="Arial" w:hAnsi="Arial" w:cs="Arial"/>
          <w:sz w:val="22"/>
        </w:rPr>
        <w:t>Khoshmaram</w:t>
      </w:r>
      <w:proofErr w:type="spellEnd"/>
      <w:r w:rsidRPr="00BA457B">
        <w:rPr>
          <w:rFonts w:ascii="Arial" w:hAnsi="Arial" w:cs="Arial"/>
          <w:sz w:val="22"/>
        </w:rPr>
        <w:t>, N., Gholipour, K., Farahbakhsh, M. and Tabrizi, J.S., (2025). Strategies and challenges for maintaining the continuity of essential health services during a pandemic: a scoping review. </w:t>
      </w:r>
      <w:r w:rsidRPr="00BA457B">
        <w:rPr>
          <w:rFonts w:ascii="Arial" w:hAnsi="Arial" w:cs="Arial"/>
          <w:i/>
          <w:iCs/>
          <w:sz w:val="22"/>
        </w:rPr>
        <w:t>BMC Health Services Research</w:t>
      </w:r>
      <w:r w:rsidRPr="00BA457B">
        <w:rPr>
          <w:rFonts w:ascii="Arial" w:hAnsi="Arial" w:cs="Arial"/>
          <w:sz w:val="22"/>
        </w:rPr>
        <w:t>, </w:t>
      </w:r>
      <w:r w:rsidRPr="00BA457B">
        <w:rPr>
          <w:rFonts w:ascii="Arial" w:hAnsi="Arial" w:cs="Arial"/>
          <w:i/>
          <w:iCs/>
          <w:sz w:val="22"/>
        </w:rPr>
        <w:t>25</w:t>
      </w:r>
      <w:r w:rsidRPr="00BA457B">
        <w:rPr>
          <w:rFonts w:ascii="Arial" w:hAnsi="Arial" w:cs="Arial"/>
          <w:sz w:val="22"/>
        </w:rPr>
        <w:t>(1), p.691.</w:t>
      </w:r>
    </w:p>
    <w:p w14:paraId="03F07DED" w14:textId="77777777" w:rsidR="0057188A" w:rsidRPr="00BA457B" w:rsidRDefault="0057188A" w:rsidP="00331642">
      <w:pPr>
        <w:spacing w:line="360" w:lineRule="auto"/>
        <w:ind w:left="720" w:hanging="720"/>
        <w:jc w:val="both"/>
        <w:rPr>
          <w:rFonts w:ascii="Arial" w:hAnsi="Arial" w:cs="Arial"/>
          <w:sz w:val="22"/>
        </w:rPr>
      </w:pPr>
      <w:r w:rsidRPr="00BA457B">
        <w:rPr>
          <w:rFonts w:ascii="Arial" w:hAnsi="Arial" w:cs="Arial"/>
          <w:sz w:val="22"/>
        </w:rPr>
        <w:t>MOLYNEUX, C., (2022). Patient-centred care and the biopsychosocial model. </w:t>
      </w:r>
      <w:r w:rsidRPr="00BA457B">
        <w:rPr>
          <w:rFonts w:ascii="Arial" w:hAnsi="Arial" w:cs="Arial"/>
          <w:i/>
          <w:iCs/>
          <w:sz w:val="22"/>
        </w:rPr>
        <w:t>Wounds UK</w:t>
      </w:r>
      <w:r w:rsidRPr="00BA457B">
        <w:rPr>
          <w:rFonts w:ascii="Arial" w:hAnsi="Arial" w:cs="Arial"/>
          <w:sz w:val="22"/>
        </w:rPr>
        <w:t>, </w:t>
      </w:r>
      <w:r w:rsidRPr="00BA457B">
        <w:rPr>
          <w:rFonts w:ascii="Arial" w:hAnsi="Arial" w:cs="Arial"/>
          <w:i/>
          <w:iCs/>
          <w:sz w:val="22"/>
        </w:rPr>
        <w:t>18</w:t>
      </w:r>
      <w:r w:rsidRPr="00BA457B">
        <w:rPr>
          <w:rFonts w:ascii="Arial" w:hAnsi="Arial" w:cs="Arial"/>
          <w:sz w:val="22"/>
        </w:rPr>
        <w:t>(1).</w:t>
      </w:r>
    </w:p>
    <w:p w14:paraId="3C1B9EED" w14:textId="77777777" w:rsidR="0057188A" w:rsidRPr="00BA457B" w:rsidRDefault="0057188A" w:rsidP="00331642">
      <w:pPr>
        <w:spacing w:line="360" w:lineRule="auto"/>
        <w:ind w:left="720" w:hanging="720"/>
        <w:jc w:val="both"/>
        <w:rPr>
          <w:rFonts w:ascii="Arial" w:hAnsi="Arial" w:cs="Arial"/>
          <w:sz w:val="22"/>
        </w:rPr>
      </w:pPr>
      <w:r w:rsidRPr="00BA457B">
        <w:rPr>
          <w:rFonts w:ascii="Arial" w:hAnsi="Arial" w:cs="Arial"/>
          <w:sz w:val="22"/>
        </w:rPr>
        <w:t>Münch, C., Marx, E., Benz, L., Hartmann, E. and Matzner, M., (2022). Capabilities of digital servitization: Evidence from the socio-technical systems theory. </w:t>
      </w:r>
      <w:r w:rsidRPr="00BA457B">
        <w:rPr>
          <w:rFonts w:ascii="Arial" w:hAnsi="Arial" w:cs="Arial"/>
          <w:i/>
          <w:iCs/>
          <w:sz w:val="22"/>
        </w:rPr>
        <w:t>Technological Forecasting and Social Change</w:t>
      </w:r>
      <w:r w:rsidRPr="00BA457B">
        <w:rPr>
          <w:rFonts w:ascii="Arial" w:hAnsi="Arial" w:cs="Arial"/>
          <w:sz w:val="22"/>
        </w:rPr>
        <w:t>, </w:t>
      </w:r>
      <w:r w:rsidRPr="00BA457B">
        <w:rPr>
          <w:rFonts w:ascii="Arial" w:hAnsi="Arial" w:cs="Arial"/>
          <w:i/>
          <w:iCs/>
          <w:sz w:val="22"/>
        </w:rPr>
        <w:t>176</w:t>
      </w:r>
      <w:r w:rsidRPr="00BA457B">
        <w:rPr>
          <w:rFonts w:ascii="Arial" w:hAnsi="Arial" w:cs="Arial"/>
          <w:sz w:val="22"/>
        </w:rPr>
        <w:t>, p.121361.</w:t>
      </w:r>
    </w:p>
    <w:p w14:paraId="0AACBBEC" w14:textId="77777777" w:rsidR="0057188A" w:rsidRPr="00BA457B" w:rsidRDefault="0057188A" w:rsidP="00331642">
      <w:pPr>
        <w:spacing w:line="360" w:lineRule="auto"/>
        <w:ind w:left="720" w:hanging="720"/>
        <w:jc w:val="both"/>
        <w:rPr>
          <w:rFonts w:ascii="Arial" w:hAnsi="Arial" w:cs="Arial"/>
          <w:sz w:val="22"/>
        </w:rPr>
      </w:pPr>
      <w:r w:rsidRPr="00BA457B">
        <w:rPr>
          <w:rFonts w:ascii="Arial" w:hAnsi="Arial" w:cs="Arial"/>
          <w:sz w:val="22"/>
        </w:rPr>
        <w:t>Neves, A.L. and Laranjo, L. eds., (2025). </w:t>
      </w:r>
      <w:r w:rsidRPr="00BA457B">
        <w:rPr>
          <w:rFonts w:ascii="Arial" w:hAnsi="Arial" w:cs="Arial"/>
          <w:i/>
          <w:iCs/>
          <w:sz w:val="22"/>
        </w:rPr>
        <w:t>Digital Health for Primary Care</w:t>
      </w:r>
      <w:r w:rsidRPr="00BA457B">
        <w:rPr>
          <w:rFonts w:ascii="Arial" w:hAnsi="Arial" w:cs="Arial"/>
          <w:sz w:val="22"/>
        </w:rPr>
        <w:t>. CRC Press.</w:t>
      </w:r>
    </w:p>
    <w:p w14:paraId="1FB20DB3" w14:textId="77777777" w:rsidR="0057188A" w:rsidRPr="00BA457B" w:rsidRDefault="0057188A" w:rsidP="00331642">
      <w:pPr>
        <w:spacing w:line="360" w:lineRule="auto"/>
        <w:ind w:left="720" w:hanging="720"/>
        <w:jc w:val="both"/>
        <w:rPr>
          <w:rFonts w:ascii="Arial" w:hAnsi="Arial" w:cs="Arial"/>
          <w:sz w:val="22"/>
          <w:lang w:val="en-US"/>
        </w:rPr>
      </w:pPr>
      <w:r w:rsidRPr="00BA457B">
        <w:rPr>
          <w:rFonts w:ascii="Arial" w:hAnsi="Arial" w:cs="Arial"/>
          <w:sz w:val="22"/>
          <w:lang w:val="en-US"/>
        </w:rPr>
        <w:t xml:space="preserve">NHS. (2019). Retrieved from </w:t>
      </w:r>
      <w:hyperlink r:id="rId12" w:history="1">
        <w:r w:rsidRPr="00BA457B">
          <w:rPr>
            <w:rStyle w:val="Hyperlink"/>
            <w:rFonts w:ascii="Arial" w:hAnsi="Arial" w:cs="Arial"/>
            <w:sz w:val="22"/>
            <w:lang w:val="en-US"/>
          </w:rPr>
          <w:t>https://www.longtermplan.nhs.uk/</w:t>
        </w:r>
      </w:hyperlink>
      <w:r w:rsidRPr="00BA457B">
        <w:rPr>
          <w:rFonts w:ascii="Arial" w:hAnsi="Arial" w:cs="Arial"/>
          <w:sz w:val="22"/>
          <w:lang w:val="en-US"/>
        </w:rPr>
        <w:t xml:space="preserve"> </w:t>
      </w:r>
    </w:p>
    <w:p w14:paraId="0CC45204" w14:textId="77777777" w:rsidR="0057188A" w:rsidRPr="00BA457B" w:rsidRDefault="0057188A" w:rsidP="00331642">
      <w:pPr>
        <w:spacing w:line="360" w:lineRule="auto"/>
        <w:ind w:left="720" w:hanging="720"/>
        <w:jc w:val="both"/>
        <w:rPr>
          <w:rFonts w:ascii="Arial" w:hAnsi="Arial" w:cs="Arial"/>
          <w:sz w:val="22"/>
          <w:lang w:val="en-US"/>
        </w:rPr>
      </w:pPr>
      <w:r w:rsidRPr="00BA457B">
        <w:rPr>
          <w:rFonts w:ascii="Arial" w:hAnsi="Arial" w:cs="Arial"/>
          <w:sz w:val="22"/>
          <w:lang w:val="en-US"/>
        </w:rPr>
        <w:t xml:space="preserve">NHS. (2022). Retrieved from https://digital.nhs.uk/blog/transformation-blog/2022/how-the-nhs-app-has-helped-relieve-pressure-in-my-pharmacy-team </w:t>
      </w:r>
    </w:p>
    <w:p w14:paraId="628B0997" w14:textId="77777777" w:rsidR="0057188A" w:rsidRPr="00BA457B" w:rsidRDefault="0057188A" w:rsidP="00331642">
      <w:pPr>
        <w:spacing w:line="360" w:lineRule="auto"/>
        <w:ind w:left="720" w:hanging="720"/>
        <w:jc w:val="both"/>
        <w:rPr>
          <w:rFonts w:ascii="Arial" w:hAnsi="Arial" w:cs="Arial"/>
          <w:sz w:val="22"/>
        </w:rPr>
      </w:pPr>
      <w:r w:rsidRPr="00BA457B">
        <w:rPr>
          <w:rFonts w:ascii="Arial" w:hAnsi="Arial" w:cs="Arial"/>
          <w:sz w:val="22"/>
        </w:rPr>
        <w:t>Notley, T. and Aziz, A., (2024). The unjust burden of digital inclusion for low</w:t>
      </w:r>
      <w:r w:rsidRPr="00BA457B">
        <w:rPr>
          <w:rFonts w:ascii="Cambria Math" w:hAnsi="Cambria Math" w:cs="Cambria Math"/>
          <w:sz w:val="22"/>
        </w:rPr>
        <w:t>‐</w:t>
      </w:r>
      <w:r w:rsidRPr="00BA457B">
        <w:rPr>
          <w:rFonts w:ascii="Arial" w:hAnsi="Arial" w:cs="Arial"/>
          <w:sz w:val="22"/>
        </w:rPr>
        <w:t>income migrant parents. </w:t>
      </w:r>
      <w:r w:rsidRPr="00BA457B">
        <w:rPr>
          <w:rFonts w:ascii="Arial" w:hAnsi="Arial" w:cs="Arial"/>
          <w:i/>
          <w:iCs/>
          <w:sz w:val="22"/>
        </w:rPr>
        <w:t>Policy &amp; Internet</w:t>
      </w:r>
      <w:r w:rsidRPr="00BA457B">
        <w:rPr>
          <w:rFonts w:ascii="Arial" w:hAnsi="Arial" w:cs="Arial"/>
          <w:sz w:val="22"/>
        </w:rPr>
        <w:t>, </w:t>
      </w:r>
      <w:r w:rsidRPr="00BA457B">
        <w:rPr>
          <w:rFonts w:ascii="Arial" w:hAnsi="Arial" w:cs="Arial"/>
          <w:i/>
          <w:iCs/>
          <w:sz w:val="22"/>
        </w:rPr>
        <w:t>16</w:t>
      </w:r>
      <w:r w:rsidRPr="00BA457B">
        <w:rPr>
          <w:rFonts w:ascii="Arial" w:hAnsi="Arial" w:cs="Arial"/>
          <w:sz w:val="22"/>
        </w:rPr>
        <w:t>(2), pp.428-442.</w:t>
      </w:r>
    </w:p>
    <w:p w14:paraId="0AFBD128" w14:textId="77777777" w:rsidR="0057188A" w:rsidRPr="00BA457B" w:rsidRDefault="0057188A" w:rsidP="00331642">
      <w:pPr>
        <w:spacing w:line="360" w:lineRule="auto"/>
        <w:ind w:left="720" w:hanging="720"/>
        <w:jc w:val="both"/>
        <w:rPr>
          <w:rFonts w:ascii="Arial" w:hAnsi="Arial" w:cs="Arial"/>
          <w:sz w:val="22"/>
        </w:rPr>
      </w:pPr>
      <w:r w:rsidRPr="00BA457B">
        <w:rPr>
          <w:rFonts w:ascii="Arial" w:hAnsi="Arial" w:cs="Arial"/>
          <w:sz w:val="22"/>
        </w:rPr>
        <w:t>Ojo, B., Feldman, R. and Rampersad, S., (2022). Lean methodology in quality improvement. </w:t>
      </w:r>
      <w:r w:rsidRPr="00BA457B">
        <w:rPr>
          <w:rFonts w:ascii="Arial" w:hAnsi="Arial" w:cs="Arial"/>
          <w:i/>
          <w:iCs/>
          <w:sz w:val="22"/>
        </w:rPr>
        <w:t>Pediatric Anesthesia</w:t>
      </w:r>
      <w:r w:rsidRPr="00BA457B">
        <w:rPr>
          <w:rFonts w:ascii="Arial" w:hAnsi="Arial" w:cs="Arial"/>
          <w:sz w:val="22"/>
        </w:rPr>
        <w:t>, </w:t>
      </w:r>
      <w:r w:rsidRPr="00BA457B">
        <w:rPr>
          <w:rFonts w:ascii="Arial" w:hAnsi="Arial" w:cs="Arial"/>
          <w:i/>
          <w:iCs/>
          <w:sz w:val="22"/>
        </w:rPr>
        <w:t>32</w:t>
      </w:r>
      <w:r w:rsidRPr="00BA457B">
        <w:rPr>
          <w:rFonts w:ascii="Arial" w:hAnsi="Arial" w:cs="Arial"/>
          <w:sz w:val="22"/>
        </w:rPr>
        <w:t>(11), pp.1209-1215.</w:t>
      </w:r>
    </w:p>
    <w:p w14:paraId="7993A333" w14:textId="77777777" w:rsidR="0057188A" w:rsidRPr="00BA457B" w:rsidRDefault="0057188A" w:rsidP="00331642">
      <w:pPr>
        <w:spacing w:line="360" w:lineRule="auto"/>
        <w:ind w:left="720" w:hanging="720"/>
        <w:jc w:val="both"/>
        <w:rPr>
          <w:rFonts w:ascii="Arial" w:hAnsi="Arial" w:cs="Arial"/>
          <w:sz w:val="22"/>
        </w:rPr>
      </w:pPr>
      <w:r w:rsidRPr="00BA457B">
        <w:rPr>
          <w:rFonts w:ascii="Arial" w:hAnsi="Arial" w:cs="Arial"/>
          <w:sz w:val="22"/>
        </w:rPr>
        <w:lastRenderedPageBreak/>
        <w:t>Peckham, S., (2023). Evaluation of Government Commitments made on the digitisation of the NHS.</w:t>
      </w:r>
    </w:p>
    <w:p w14:paraId="2FE8DA28" w14:textId="77777777" w:rsidR="0057188A" w:rsidRPr="00BA457B" w:rsidRDefault="0057188A" w:rsidP="00331642">
      <w:pPr>
        <w:spacing w:line="360" w:lineRule="auto"/>
        <w:ind w:left="720" w:hanging="720"/>
        <w:jc w:val="both"/>
        <w:rPr>
          <w:rFonts w:ascii="Arial" w:hAnsi="Arial" w:cs="Arial"/>
          <w:sz w:val="22"/>
        </w:rPr>
      </w:pPr>
      <w:r w:rsidRPr="00BA457B">
        <w:rPr>
          <w:rFonts w:ascii="Arial" w:hAnsi="Arial" w:cs="Arial"/>
          <w:sz w:val="22"/>
        </w:rPr>
        <w:t>Russell, S., Stocker, R., Cockshott, Z., Mason, S., Knight, J., Hanratty, B. and Preston, N., (2023). Use of a digital application to enhance communication and triage between care homes and National Health Service community services in the United Kingdom: a qualitative evaluation. </w:t>
      </w:r>
      <w:proofErr w:type="spellStart"/>
      <w:r w:rsidRPr="00BA457B">
        <w:rPr>
          <w:rFonts w:ascii="Arial" w:hAnsi="Arial" w:cs="Arial"/>
          <w:i/>
          <w:iCs/>
          <w:sz w:val="22"/>
        </w:rPr>
        <w:t>medRxiv</w:t>
      </w:r>
      <w:proofErr w:type="spellEnd"/>
      <w:r w:rsidRPr="00BA457B">
        <w:rPr>
          <w:rFonts w:ascii="Arial" w:hAnsi="Arial" w:cs="Arial"/>
          <w:sz w:val="22"/>
        </w:rPr>
        <w:t>, pp.2023-03.</w:t>
      </w:r>
    </w:p>
    <w:p w14:paraId="13060979" w14:textId="77777777" w:rsidR="0057188A" w:rsidRPr="00BA457B" w:rsidRDefault="0057188A" w:rsidP="00331642">
      <w:pPr>
        <w:spacing w:line="360" w:lineRule="auto"/>
        <w:ind w:left="720" w:hanging="720"/>
        <w:jc w:val="both"/>
        <w:rPr>
          <w:rFonts w:ascii="Arial" w:hAnsi="Arial" w:cs="Arial"/>
          <w:sz w:val="22"/>
        </w:rPr>
      </w:pPr>
      <w:r w:rsidRPr="00BA457B">
        <w:rPr>
          <w:rFonts w:ascii="Arial" w:hAnsi="Arial" w:cs="Arial"/>
          <w:sz w:val="22"/>
        </w:rPr>
        <w:t>Salisbury, C., Murphy, M. and Duncan, P., (2020). The impact of digital-first consultations on workload in general practice: modeling study. </w:t>
      </w:r>
      <w:r w:rsidRPr="00BA457B">
        <w:rPr>
          <w:rFonts w:ascii="Arial" w:hAnsi="Arial" w:cs="Arial"/>
          <w:i/>
          <w:iCs/>
          <w:sz w:val="22"/>
        </w:rPr>
        <w:t>Journal of medical Internet research</w:t>
      </w:r>
      <w:r w:rsidRPr="00BA457B">
        <w:rPr>
          <w:rFonts w:ascii="Arial" w:hAnsi="Arial" w:cs="Arial"/>
          <w:sz w:val="22"/>
        </w:rPr>
        <w:t>, </w:t>
      </w:r>
      <w:r w:rsidRPr="00BA457B">
        <w:rPr>
          <w:rFonts w:ascii="Arial" w:hAnsi="Arial" w:cs="Arial"/>
          <w:i/>
          <w:iCs/>
          <w:sz w:val="22"/>
        </w:rPr>
        <w:t>22</w:t>
      </w:r>
      <w:r w:rsidRPr="00BA457B">
        <w:rPr>
          <w:rFonts w:ascii="Arial" w:hAnsi="Arial" w:cs="Arial"/>
          <w:sz w:val="22"/>
        </w:rPr>
        <w:t>(6), p.e18203.</w:t>
      </w:r>
    </w:p>
    <w:p w14:paraId="69A631BC" w14:textId="77777777" w:rsidR="0057188A" w:rsidRPr="00BA457B" w:rsidRDefault="0057188A" w:rsidP="00331642">
      <w:pPr>
        <w:spacing w:line="360" w:lineRule="auto"/>
        <w:ind w:left="720" w:hanging="720"/>
        <w:jc w:val="both"/>
        <w:rPr>
          <w:rFonts w:ascii="Arial" w:hAnsi="Arial" w:cs="Arial"/>
          <w:sz w:val="22"/>
        </w:rPr>
      </w:pPr>
      <w:r w:rsidRPr="00BA457B">
        <w:rPr>
          <w:rFonts w:ascii="Arial" w:hAnsi="Arial" w:cs="Arial"/>
          <w:sz w:val="22"/>
        </w:rPr>
        <w:t>Scott, I.A., Shaw, T., Slade, C., Wan, T.T., Coorey, C., Johnson, S.L. and Sullivan, C.M., (2023). Digital health competencies for the next generation of physicians. </w:t>
      </w:r>
      <w:r w:rsidRPr="00BA457B">
        <w:rPr>
          <w:rFonts w:ascii="Arial" w:hAnsi="Arial" w:cs="Arial"/>
          <w:i/>
          <w:iCs/>
          <w:sz w:val="22"/>
        </w:rPr>
        <w:t>Internal Medicine Journal</w:t>
      </w:r>
      <w:r w:rsidRPr="00BA457B">
        <w:rPr>
          <w:rFonts w:ascii="Arial" w:hAnsi="Arial" w:cs="Arial"/>
          <w:sz w:val="22"/>
        </w:rPr>
        <w:t>, </w:t>
      </w:r>
      <w:r w:rsidRPr="00BA457B">
        <w:rPr>
          <w:rFonts w:ascii="Arial" w:hAnsi="Arial" w:cs="Arial"/>
          <w:i/>
          <w:iCs/>
          <w:sz w:val="22"/>
        </w:rPr>
        <w:t>53</w:t>
      </w:r>
      <w:r w:rsidRPr="00BA457B">
        <w:rPr>
          <w:rFonts w:ascii="Arial" w:hAnsi="Arial" w:cs="Arial"/>
          <w:sz w:val="22"/>
        </w:rPr>
        <w:t>(6), pp.1042-1049.</w:t>
      </w:r>
    </w:p>
    <w:p w14:paraId="27CEDDC7" w14:textId="77777777" w:rsidR="0057188A" w:rsidRPr="00BA457B" w:rsidRDefault="0057188A" w:rsidP="00331642">
      <w:pPr>
        <w:spacing w:line="360" w:lineRule="auto"/>
        <w:ind w:left="720" w:hanging="720"/>
        <w:jc w:val="both"/>
        <w:rPr>
          <w:rFonts w:ascii="Arial" w:hAnsi="Arial" w:cs="Arial"/>
          <w:sz w:val="22"/>
        </w:rPr>
      </w:pPr>
      <w:r w:rsidRPr="00BA457B">
        <w:rPr>
          <w:rFonts w:ascii="Arial" w:hAnsi="Arial" w:cs="Arial"/>
          <w:sz w:val="22"/>
        </w:rPr>
        <w:t>Singh, S.K. and Singh, K., (2025). The Workplace Digital Divide: Addressing Skills Gaps and Employment Inequality. </w:t>
      </w:r>
      <w:r w:rsidRPr="00BA457B">
        <w:rPr>
          <w:rFonts w:ascii="Arial" w:hAnsi="Arial" w:cs="Arial"/>
          <w:i/>
          <w:iCs/>
          <w:sz w:val="22"/>
        </w:rPr>
        <w:t>Journal of Interdisciplinary and Multidisciplinary Research</w:t>
      </w:r>
      <w:r w:rsidRPr="00BA457B">
        <w:rPr>
          <w:rFonts w:ascii="Arial" w:hAnsi="Arial" w:cs="Arial"/>
          <w:sz w:val="22"/>
        </w:rPr>
        <w:t>, </w:t>
      </w:r>
      <w:r w:rsidRPr="00BA457B">
        <w:rPr>
          <w:rFonts w:ascii="Arial" w:hAnsi="Arial" w:cs="Arial"/>
          <w:i/>
          <w:iCs/>
          <w:sz w:val="22"/>
        </w:rPr>
        <w:t>11</w:t>
      </w:r>
      <w:r w:rsidRPr="00BA457B">
        <w:rPr>
          <w:rFonts w:ascii="Arial" w:hAnsi="Arial" w:cs="Arial"/>
          <w:sz w:val="22"/>
        </w:rPr>
        <w:t>(1), pp.6035-6037.</w:t>
      </w:r>
    </w:p>
    <w:p w14:paraId="461EE506" w14:textId="77777777" w:rsidR="0057188A" w:rsidRPr="00BA457B" w:rsidRDefault="0057188A" w:rsidP="00331642">
      <w:pPr>
        <w:spacing w:line="360" w:lineRule="auto"/>
        <w:ind w:left="720" w:hanging="720"/>
        <w:jc w:val="both"/>
        <w:rPr>
          <w:rFonts w:ascii="Arial" w:hAnsi="Arial" w:cs="Arial"/>
          <w:sz w:val="22"/>
        </w:rPr>
      </w:pPr>
      <w:r w:rsidRPr="00BA457B">
        <w:rPr>
          <w:rFonts w:ascii="Arial" w:hAnsi="Arial" w:cs="Arial"/>
          <w:sz w:val="22"/>
        </w:rPr>
        <w:t>Stubbs, R. and Brown, M.A.R.Y., (2022). The Digital Divide: Reducing inequalities for better health. </w:t>
      </w:r>
      <w:r w:rsidRPr="00BA457B">
        <w:rPr>
          <w:rFonts w:ascii="Arial" w:hAnsi="Arial" w:cs="Arial"/>
          <w:i/>
          <w:iCs/>
          <w:sz w:val="22"/>
        </w:rPr>
        <w:t>United Kingdom: Public Policy Projects</w:t>
      </w:r>
      <w:r w:rsidRPr="00BA457B">
        <w:rPr>
          <w:rFonts w:ascii="Arial" w:hAnsi="Arial" w:cs="Arial"/>
          <w:sz w:val="22"/>
        </w:rPr>
        <w:t>.</w:t>
      </w:r>
    </w:p>
    <w:p w14:paraId="2A44E6D5" w14:textId="77777777" w:rsidR="0057188A" w:rsidRPr="00BA457B" w:rsidRDefault="0057188A" w:rsidP="00331642">
      <w:pPr>
        <w:spacing w:line="360" w:lineRule="auto"/>
        <w:ind w:left="720" w:hanging="720"/>
        <w:jc w:val="both"/>
        <w:rPr>
          <w:rFonts w:ascii="Arial" w:hAnsi="Arial" w:cs="Arial"/>
          <w:sz w:val="22"/>
        </w:rPr>
      </w:pPr>
      <w:r w:rsidRPr="00BA457B">
        <w:rPr>
          <w:rFonts w:ascii="Arial" w:hAnsi="Arial" w:cs="Arial"/>
          <w:sz w:val="22"/>
        </w:rPr>
        <w:t>Tomi, S.H., peter Mayowa, O., Vincent, A.E., Dantala, M.A. and Ogbaje, E.R., (2025). Finance and Beyond: Self-Service Transformation Case Studies. In </w:t>
      </w:r>
      <w:r w:rsidRPr="00BA457B">
        <w:rPr>
          <w:rFonts w:ascii="Arial" w:hAnsi="Arial" w:cs="Arial"/>
          <w:i/>
          <w:iCs/>
          <w:sz w:val="22"/>
        </w:rPr>
        <w:t>Practical Applications of Self-Service Technologies Across Industries</w:t>
      </w:r>
      <w:r w:rsidRPr="00BA457B">
        <w:rPr>
          <w:rFonts w:ascii="Arial" w:hAnsi="Arial" w:cs="Arial"/>
          <w:sz w:val="22"/>
        </w:rPr>
        <w:t> (pp. 349-386). IGI Global Scientific Publishing.</w:t>
      </w:r>
    </w:p>
    <w:p w14:paraId="30583014" w14:textId="77777777" w:rsidR="0057188A" w:rsidRPr="00BA457B" w:rsidRDefault="0057188A" w:rsidP="00331642">
      <w:pPr>
        <w:spacing w:line="360" w:lineRule="auto"/>
        <w:ind w:left="720" w:hanging="720"/>
        <w:jc w:val="both"/>
        <w:rPr>
          <w:rFonts w:ascii="Arial" w:hAnsi="Arial" w:cs="Arial"/>
          <w:sz w:val="22"/>
        </w:rPr>
      </w:pPr>
      <w:r w:rsidRPr="00BA457B">
        <w:rPr>
          <w:rFonts w:ascii="Arial" w:hAnsi="Arial" w:cs="Arial"/>
          <w:sz w:val="22"/>
        </w:rPr>
        <w:t>ULLAH, I., (2024). </w:t>
      </w:r>
      <w:r w:rsidRPr="00BA457B">
        <w:rPr>
          <w:rFonts w:ascii="Arial" w:hAnsi="Arial" w:cs="Arial"/>
          <w:i/>
          <w:iCs/>
          <w:sz w:val="22"/>
        </w:rPr>
        <w:t>Investigating the use of online symptom checkers in general practice from the perspectives of older adults and general practitioners</w:t>
      </w:r>
      <w:r w:rsidRPr="00BA457B">
        <w:rPr>
          <w:rFonts w:ascii="Arial" w:hAnsi="Arial" w:cs="Arial"/>
          <w:sz w:val="22"/>
        </w:rPr>
        <w:t> (Doctoral dissertation, University of Sheffield).</w:t>
      </w:r>
    </w:p>
    <w:p w14:paraId="423939AB" w14:textId="77777777" w:rsidR="0057188A" w:rsidRPr="00BA457B" w:rsidRDefault="0057188A" w:rsidP="00331642">
      <w:pPr>
        <w:spacing w:line="360" w:lineRule="auto"/>
        <w:ind w:left="720" w:hanging="720"/>
        <w:jc w:val="both"/>
        <w:rPr>
          <w:rFonts w:ascii="Arial" w:hAnsi="Arial" w:cs="Arial"/>
          <w:sz w:val="22"/>
        </w:rPr>
      </w:pPr>
      <w:r w:rsidRPr="00BA457B">
        <w:rPr>
          <w:rFonts w:ascii="Arial" w:hAnsi="Arial" w:cs="Arial"/>
          <w:sz w:val="22"/>
        </w:rPr>
        <w:t>Yao, R., Zhang, W., Evans, R., Cao, G., Rui, T. and Shen, L., (2022). Inequities in health care services caused by the adoption of digital health technologies: scoping review. </w:t>
      </w:r>
      <w:r w:rsidRPr="00BA457B">
        <w:rPr>
          <w:rFonts w:ascii="Arial" w:hAnsi="Arial" w:cs="Arial"/>
          <w:i/>
          <w:iCs/>
          <w:sz w:val="22"/>
        </w:rPr>
        <w:t>Journal of medical Internet research</w:t>
      </w:r>
      <w:r w:rsidRPr="00BA457B">
        <w:rPr>
          <w:rFonts w:ascii="Arial" w:hAnsi="Arial" w:cs="Arial"/>
          <w:sz w:val="22"/>
        </w:rPr>
        <w:t>, </w:t>
      </w:r>
      <w:r w:rsidRPr="00BA457B">
        <w:rPr>
          <w:rFonts w:ascii="Arial" w:hAnsi="Arial" w:cs="Arial"/>
          <w:i/>
          <w:iCs/>
          <w:sz w:val="22"/>
        </w:rPr>
        <w:t>24</w:t>
      </w:r>
      <w:r w:rsidRPr="00BA457B">
        <w:rPr>
          <w:rFonts w:ascii="Arial" w:hAnsi="Arial" w:cs="Arial"/>
          <w:sz w:val="22"/>
        </w:rPr>
        <w:t>(3), p. e34144.</w:t>
      </w:r>
    </w:p>
    <w:p w14:paraId="28663D20" w14:textId="77777777" w:rsidR="0057188A" w:rsidRPr="00BA457B" w:rsidRDefault="0057188A" w:rsidP="00331642">
      <w:pPr>
        <w:spacing w:line="360" w:lineRule="auto"/>
        <w:ind w:left="720" w:hanging="720"/>
        <w:jc w:val="both"/>
        <w:rPr>
          <w:rFonts w:ascii="Arial" w:hAnsi="Arial" w:cs="Arial"/>
          <w:sz w:val="22"/>
        </w:rPr>
      </w:pPr>
      <w:r w:rsidRPr="00BA457B">
        <w:rPr>
          <w:rFonts w:ascii="Arial" w:hAnsi="Arial" w:cs="Arial"/>
          <w:sz w:val="22"/>
        </w:rPr>
        <w:t>Yu, P., (2022). Diffusion of Innovation theory. In </w:t>
      </w:r>
      <w:r w:rsidRPr="00BA457B">
        <w:rPr>
          <w:rFonts w:ascii="Arial" w:hAnsi="Arial" w:cs="Arial"/>
          <w:i/>
          <w:iCs/>
          <w:sz w:val="22"/>
        </w:rPr>
        <w:t>Implementation Science</w:t>
      </w:r>
      <w:r w:rsidRPr="00BA457B">
        <w:rPr>
          <w:rFonts w:ascii="Arial" w:hAnsi="Arial" w:cs="Arial"/>
          <w:sz w:val="22"/>
        </w:rPr>
        <w:t> (pp. 59-61). Routledge.</w:t>
      </w:r>
    </w:p>
    <w:sectPr w:rsidR="0057188A" w:rsidRPr="00BA457B">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00C77" w14:textId="77777777" w:rsidR="00484BF7" w:rsidRDefault="00484BF7">
      <w:pPr>
        <w:spacing w:after="0" w:line="240" w:lineRule="auto"/>
      </w:pPr>
      <w:r>
        <w:separator/>
      </w:r>
    </w:p>
  </w:endnote>
  <w:endnote w:type="continuationSeparator" w:id="0">
    <w:p w14:paraId="77EFAAAC" w14:textId="77777777" w:rsidR="00484BF7" w:rsidRDefault="00484B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634DC" w14:textId="77777777" w:rsidR="00540FF6" w:rsidRDefault="00540F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A205B" w14:textId="77777777" w:rsidR="00540FF6" w:rsidRDefault="00540F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30A06" w14:textId="77777777" w:rsidR="00540FF6" w:rsidRDefault="00540F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7B308" w14:textId="77777777" w:rsidR="00484BF7" w:rsidRDefault="00484BF7">
      <w:pPr>
        <w:spacing w:after="0" w:line="240" w:lineRule="auto"/>
      </w:pPr>
      <w:r>
        <w:separator/>
      </w:r>
    </w:p>
  </w:footnote>
  <w:footnote w:type="continuationSeparator" w:id="0">
    <w:p w14:paraId="53D72782" w14:textId="77777777" w:rsidR="00484BF7" w:rsidRDefault="00484B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8DDB8" w14:textId="77777777" w:rsidR="00540FF6" w:rsidRDefault="00540F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327924"/>
      <w:docPartObj>
        <w:docPartGallery w:val="Page Numbers (Top of Page)"/>
        <w:docPartUnique/>
      </w:docPartObj>
    </w:sdtPr>
    <w:sdtEndPr>
      <w:rPr>
        <w:noProof/>
      </w:rPr>
    </w:sdtEndPr>
    <w:sdtContent>
      <w:p w14:paraId="4A3AFE00" w14:textId="2FC86290" w:rsidR="00540FF6" w:rsidRDefault="0064025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FB6753B" w14:textId="77777777" w:rsidR="00A87576" w:rsidRDefault="00A87576" w:rsidP="007029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D13B0" w14:textId="77777777" w:rsidR="00540FF6" w:rsidRDefault="00540F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260F8"/>
    <w:multiLevelType w:val="multilevel"/>
    <w:tmpl w:val="AB80F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3557C"/>
    <w:multiLevelType w:val="multilevel"/>
    <w:tmpl w:val="743EC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A11F25"/>
    <w:multiLevelType w:val="hybridMultilevel"/>
    <w:tmpl w:val="25F0AD82"/>
    <w:lvl w:ilvl="0" w:tplc="88604784">
      <w:start w:val="1"/>
      <w:numFmt w:val="bullet"/>
      <w:lvlText w:val=""/>
      <w:lvlJc w:val="left"/>
      <w:pPr>
        <w:ind w:left="720" w:hanging="360"/>
      </w:pPr>
      <w:rPr>
        <w:rFonts w:ascii="Symbol" w:hAnsi="Symbol" w:hint="default"/>
      </w:rPr>
    </w:lvl>
    <w:lvl w:ilvl="1" w:tplc="108E86A8" w:tentative="1">
      <w:start w:val="1"/>
      <w:numFmt w:val="bullet"/>
      <w:lvlText w:val="o"/>
      <w:lvlJc w:val="left"/>
      <w:pPr>
        <w:ind w:left="1440" w:hanging="360"/>
      </w:pPr>
      <w:rPr>
        <w:rFonts w:ascii="Courier New" w:hAnsi="Courier New" w:cs="Courier New" w:hint="default"/>
      </w:rPr>
    </w:lvl>
    <w:lvl w:ilvl="2" w:tplc="7C50783C" w:tentative="1">
      <w:start w:val="1"/>
      <w:numFmt w:val="bullet"/>
      <w:lvlText w:val=""/>
      <w:lvlJc w:val="left"/>
      <w:pPr>
        <w:ind w:left="2160" w:hanging="360"/>
      </w:pPr>
      <w:rPr>
        <w:rFonts w:ascii="Wingdings" w:hAnsi="Wingdings" w:hint="default"/>
      </w:rPr>
    </w:lvl>
    <w:lvl w:ilvl="3" w:tplc="F41C8422" w:tentative="1">
      <w:start w:val="1"/>
      <w:numFmt w:val="bullet"/>
      <w:lvlText w:val=""/>
      <w:lvlJc w:val="left"/>
      <w:pPr>
        <w:ind w:left="2880" w:hanging="360"/>
      </w:pPr>
      <w:rPr>
        <w:rFonts w:ascii="Symbol" w:hAnsi="Symbol" w:hint="default"/>
      </w:rPr>
    </w:lvl>
    <w:lvl w:ilvl="4" w:tplc="96585796" w:tentative="1">
      <w:start w:val="1"/>
      <w:numFmt w:val="bullet"/>
      <w:lvlText w:val="o"/>
      <w:lvlJc w:val="left"/>
      <w:pPr>
        <w:ind w:left="3600" w:hanging="360"/>
      </w:pPr>
      <w:rPr>
        <w:rFonts w:ascii="Courier New" w:hAnsi="Courier New" w:cs="Courier New" w:hint="default"/>
      </w:rPr>
    </w:lvl>
    <w:lvl w:ilvl="5" w:tplc="872ACC1A" w:tentative="1">
      <w:start w:val="1"/>
      <w:numFmt w:val="bullet"/>
      <w:lvlText w:val=""/>
      <w:lvlJc w:val="left"/>
      <w:pPr>
        <w:ind w:left="4320" w:hanging="360"/>
      </w:pPr>
      <w:rPr>
        <w:rFonts w:ascii="Wingdings" w:hAnsi="Wingdings" w:hint="default"/>
      </w:rPr>
    </w:lvl>
    <w:lvl w:ilvl="6" w:tplc="BB147B4C" w:tentative="1">
      <w:start w:val="1"/>
      <w:numFmt w:val="bullet"/>
      <w:lvlText w:val=""/>
      <w:lvlJc w:val="left"/>
      <w:pPr>
        <w:ind w:left="5040" w:hanging="360"/>
      </w:pPr>
      <w:rPr>
        <w:rFonts w:ascii="Symbol" w:hAnsi="Symbol" w:hint="default"/>
      </w:rPr>
    </w:lvl>
    <w:lvl w:ilvl="7" w:tplc="8618B310" w:tentative="1">
      <w:start w:val="1"/>
      <w:numFmt w:val="bullet"/>
      <w:lvlText w:val="o"/>
      <w:lvlJc w:val="left"/>
      <w:pPr>
        <w:ind w:left="5760" w:hanging="360"/>
      </w:pPr>
      <w:rPr>
        <w:rFonts w:ascii="Courier New" w:hAnsi="Courier New" w:cs="Courier New" w:hint="default"/>
      </w:rPr>
    </w:lvl>
    <w:lvl w:ilvl="8" w:tplc="EF6CB94E" w:tentative="1">
      <w:start w:val="1"/>
      <w:numFmt w:val="bullet"/>
      <w:lvlText w:val=""/>
      <w:lvlJc w:val="left"/>
      <w:pPr>
        <w:ind w:left="6480" w:hanging="360"/>
      </w:pPr>
      <w:rPr>
        <w:rFonts w:ascii="Wingdings" w:hAnsi="Wingdings" w:hint="default"/>
      </w:rPr>
    </w:lvl>
  </w:abstractNum>
  <w:abstractNum w:abstractNumId="3" w15:restartNumberingAfterBreak="0">
    <w:nsid w:val="16586BF2"/>
    <w:multiLevelType w:val="hybridMultilevel"/>
    <w:tmpl w:val="E5C8BE4E"/>
    <w:lvl w:ilvl="0" w:tplc="07C8DFEC">
      <w:start w:val="1"/>
      <w:numFmt w:val="bullet"/>
      <w:lvlText w:val=""/>
      <w:lvlJc w:val="left"/>
      <w:pPr>
        <w:ind w:left="720" w:hanging="360"/>
      </w:pPr>
      <w:rPr>
        <w:rFonts w:ascii="Symbol" w:hAnsi="Symbol" w:hint="default"/>
      </w:rPr>
    </w:lvl>
    <w:lvl w:ilvl="1" w:tplc="E5941988" w:tentative="1">
      <w:start w:val="1"/>
      <w:numFmt w:val="bullet"/>
      <w:lvlText w:val="o"/>
      <w:lvlJc w:val="left"/>
      <w:pPr>
        <w:ind w:left="1440" w:hanging="360"/>
      </w:pPr>
      <w:rPr>
        <w:rFonts w:ascii="Courier New" w:hAnsi="Courier New" w:cs="Courier New" w:hint="default"/>
      </w:rPr>
    </w:lvl>
    <w:lvl w:ilvl="2" w:tplc="EB907B5C" w:tentative="1">
      <w:start w:val="1"/>
      <w:numFmt w:val="bullet"/>
      <w:lvlText w:val=""/>
      <w:lvlJc w:val="left"/>
      <w:pPr>
        <w:ind w:left="2160" w:hanging="360"/>
      </w:pPr>
      <w:rPr>
        <w:rFonts w:ascii="Wingdings" w:hAnsi="Wingdings" w:hint="default"/>
      </w:rPr>
    </w:lvl>
    <w:lvl w:ilvl="3" w:tplc="E8EAFF1C" w:tentative="1">
      <w:start w:val="1"/>
      <w:numFmt w:val="bullet"/>
      <w:lvlText w:val=""/>
      <w:lvlJc w:val="left"/>
      <w:pPr>
        <w:ind w:left="2880" w:hanging="360"/>
      </w:pPr>
      <w:rPr>
        <w:rFonts w:ascii="Symbol" w:hAnsi="Symbol" w:hint="default"/>
      </w:rPr>
    </w:lvl>
    <w:lvl w:ilvl="4" w:tplc="5852A8B4" w:tentative="1">
      <w:start w:val="1"/>
      <w:numFmt w:val="bullet"/>
      <w:lvlText w:val="o"/>
      <w:lvlJc w:val="left"/>
      <w:pPr>
        <w:ind w:left="3600" w:hanging="360"/>
      </w:pPr>
      <w:rPr>
        <w:rFonts w:ascii="Courier New" w:hAnsi="Courier New" w:cs="Courier New" w:hint="default"/>
      </w:rPr>
    </w:lvl>
    <w:lvl w:ilvl="5" w:tplc="9752C93A" w:tentative="1">
      <w:start w:val="1"/>
      <w:numFmt w:val="bullet"/>
      <w:lvlText w:val=""/>
      <w:lvlJc w:val="left"/>
      <w:pPr>
        <w:ind w:left="4320" w:hanging="360"/>
      </w:pPr>
      <w:rPr>
        <w:rFonts w:ascii="Wingdings" w:hAnsi="Wingdings" w:hint="default"/>
      </w:rPr>
    </w:lvl>
    <w:lvl w:ilvl="6" w:tplc="6E5E9E78" w:tentative="1">
      <w:start w:val="1"/>
      <w:numFmt w:val="bullet"/>
      <w:lvlText w:val=""/>
      <w:lvlJc w:val="left"/>
      <w:pPr>
        <w:ind w:left="5040" w:hanging="360"/>
      </w:pPr>
      <w:rPr>
        <w:rFonts w:ascii="Symbol" w:hAnsi="Symbol" w:hint="default"/>
      </w:rPr>
    </w:lvl>
    <w:lvl w:ilvl="7" w:tplc="F3DA9300" w:tentative="1">
      <w:start w:val="1"/>
      <w:numFmt w:val="bullet"/>
      <w:lvlText w:val="o"/>
      <w:lvlJc w:val="left"/>
      <w:pPr>
        <w:ind w:left="5760" w:hanging="360"/>
      </w:pPr>
      <w:rPr>
        <w:rFonts w:ascii="Courier New" w:hAnsi="Courier New" w:cs="Courier New" w:hint="default"/>
      </w:rPr>
    </w:lvl>
    <w:lvl w:ilvl="8" w:tplc="0FEC37A4" w:tentative="1">
      <w:start w:val="1"/>
      <w:numFmt w:val="bullet"/>
      <w:lvlText w:val=""/>
      <w:lvlJc w:val="left"/>
      <w:pPr>
        <w:ind w:left="6480" w:hanging="360"/>
      </w:pPr>
      <w:rPr>
        <w:rFonts w:ascii="Wingdings" w:hAnsi="Wingdings" w:hint="default"/>
      </w:rPr>
    </w:lvl>
  </w:abstractNum>
  <w:abstractNum w:abstractNumId="4" w15:restartNumberingAfterBreak="0">
    <w:nsid w:val="21E61C34"/>
    <w:multiLevelType w:val="multilevel"/>
    <w:tmpl w:val="3C70E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ED7FD2"/>
    <w:multiLevelType w:val="multilevel"/>
    <w:tmpl w:val="DCFA0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273A1D"/>
    <w:multiLevelType w:val="multilevel"/>
    <w:tmpl w:val="6E0C4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671407"/>
    <w:multiLevelType w:val="hybridMultilevel"/>
    <w:tmpl w:val="274E4772"/>
    <w:lvl w:ilvl="0" w:tplc="03B0B99C">
      <w:start w:val="1"/>
      <w:numFmt w:val="decimal"/>
      <w:lvlText w:val="%1."/>
      <w:lvlJc w:val="left"/>
      <w:pPr>
        <w:ind w:left="720" w:hanging="360"/>
      </w:pPr>
    </w:lvl>
    <w:lvl w:ilvl="1" w:tplc="04A0BDBA" w:tentative="1">
      <w:start w:val="1"/>
      <w:numFmt w:val="lowerLetter"/>
      <w:lvlText w:val="%2."/>
      <w:lvlJc w:val="left"/>
      <w:pPr>
        <w:ind w:left="1440" w:hanging="360"/>
      </w:pPr>
    </w:lvl>
    <w:lvl w:ilvl="2" w:tplc="2342E086" w:tentative="1">
      <w:start w:val="1"/>
      <w:numFmt w:val="lowerRoman"/>
      <w:lvlText w:val="%3."/>
      <w:lvlJc w:val="right"/>
      <w:pPr>
        <w:ind w:left="2160" w:hanging="180"/>
      </w:pPr>
    </w:lvl>
    <w:lvl w:ilvl="3" w:tplc="0DC83204" w:tentative="1">
      <w:start w:val="1"/>
      <w:numFmt w:val="decimal"/>
      <w:lvlText w:val="%4."/>
      <w:lvlJc w:val="left"/>
      <w:pPr>
        <w:ind w:left="2880" w:hanging="360"/>
      </w:pPr>
    </w:lvl>
    <w:lvl w:ilvl="4" w:tplc="503EBCE8" w:tentative="1">
      <w:start w:val="1"/>
      <w:numFmt w:val="lowerLetter"/>
      <w:lvlText w:val="%5."/>
      <w:lvlJc w:val="left"/>
      <w:pPr>
        <w:ind w:left="3600" w:hanging="360"/>
      </w:pPr>
    </w:lvl>
    <w:lvl w:ilvl="5" w:tplc="9A96F162" w:tentative="1">
      <w:start w:val="1"/>
      <w:numFmt w:val="lowerRoman"/>
      <w:lvlText w:val="%6."/>
      <w:lvlJc w:val="right"/>
      <w:pPr>
        <w:ind w:left="4320" w:hanging="180"/>
      </w:pPr>
    </w:lvl>
    <w:lvl w:ilvl="6" w:tplc="075E05BA" w:tentative="1">
      <w:start w:val="1"/>
      <w:numFmt w:val="decimal"/>
      <w:lvlText w:val="%7."/>
      <w:lvlJc w:val="left"/>
      <w:pPr>
        <w:ind w:left="5040" w:hanging="360"/>
      </w:pPr>
    </w:lvl>
    <w:lvl w:ilvl="7" w:tplc="F828D4AC" w:tentative="1">
      <w:start w:val="1"/>
      <w:numFmt w:val="lowerLetter"/>
      <w:lvlText w:val="%8."/>
      <w:lvlJc w:val="left"/>
      <w:pPr>
        <w:ind w:left="5760" w:hanging="360"/>
      </w:pPr>
    </w:lvl>
    <w:lvl w:ilvl="8" w:tplc="45A2BF46" w:tentative="1">
      <w:start w:val="1"/>
      <w:numFmt w:val="lowerRoman"/>
      <w:lvlText w:val="%9."/>
      <w:lvlJc w:val="right"/>
      <w:pPr>
        <w:ind w:left="6480" w:hanging="180"/>
      </w:pPr>
    </w:lvl>
  </w:abstractNum>
  <w:abstractNum w:abstractNumId="8" w15:restartNumberingAfterBreak="0">
    <w:nsid w:val="61C515CC"/>
    <w:multiLevelType w:val="multilevel"/>
    <w:tmpl w:val="DC1A4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22709A"/>
    <w:multiLevelType w:val="multilevel"/>
    <w:tmpl w:val="22624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A30A32"/>
    <w:multiLevelType w:val="multilevel"/>
    <w:tmpl w:val="C7C8B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566229">
    <w:abstractNumId w:val="2"/>
  </w:num>
  <w:num w:numId="2" w16cid:durableId="696085595">
    <w:abstractNumId w:val="3"/>
  </w:num>
  <w:num w:numId="3" w16cid:durableId="972293165">
    <w:abstractNumId w:val="7"/>
  </w:num>
  <w:num w:numId="4" w16cid:durableId="1203715254">
    <w:abstractNumId w:val="9"/>
  </w:num>
  <w:num w:numId="5" w16cid:durableId="1877888611">
    <w:abstractNumId w:val="5"/>
  </w:num>
  <w:num w:numId="6" w16cid:durableId="733241255">
    <w:abstractNumId w:val="4"/>
  </w:num>
  <w:num w:numId="7" w16cid:durableId="1179195695">
    <w:abstractNumId w:val="8"/>
  </w:num>
  <w:num w:numId="8" w16cid:durableId="991298949">
    <w:abstractNumId w:val="1"/>
  </w:num>
  <w:num w:numId="9" w16cid:durableId="982781131">
    <w:abstractNumId w:val="10"/>
  </w:num>
  <w:num w:numId="10" w16cid:durableId="396318235">
    <w:abstractNumId w:val="6"/>
  </w:num>
  <w:num w:numId="11" w16cid:durableId="1232931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F89"/>
    <w:rsid w:val="00001AA3"/>
    <w:rsid w:val="000023DB"/>
    <w:rsid w:val="0000711C"/>
    <w:rsid w:val="00017183"/>
    <w:rsid w:val="00022609"/>
    <w:rsid w:val="00022C9A"/>
    <w:rsid w:val="0003458B"/>
    <w:rsid w:val="00034E85"/>
    <w:rsid w:val="000403BB"/>
    <w:rsid w:val="000403DC"/>
    <w:rsid w:val="00040DA7"/>
    <w:rsid w:val="0004320A"/>
    <w:rsid w:val="00043794"/>
    <w:rsid w:val="000504D1"/>
    <w:rsid w:val="000528D5"/>
    <w:rsid w:val="000609F2"/>
    <w:rsid w:val="0006684D"/>
    <w:rsid w:val="00071AD3"/>
    <w:rsid w:val="00073712"/>
    <w:rsid w:val="0008069F"/>
    <w:rsid w:val="0009227C"/>
    <w:rsid w:val="00093BA8"/>
    <w:rsid w:val="00093C6D"/>
    <w:rsid w:val="0009714D"/>
    <w:rsid w:val="000A099F"/>
    <w:rsid w:val="000A0B5A"/>
    <w:rsid w:val="000A1D73"/>
    <w:rsid w:val="000A31C2"/>
    <w:rsid w:val="000B2B02"/>
    <w:rsid w:val="000B3046"/>
    <w:rsid w:val="000C00A0"/>
    <w:rsid w:val="000C0556"/>
    <w:rsid w:val="000C1CA1"/>
    <w:rsid w:val="000D099A"/>
    <w:rsid w:val="000D79C1"/>
    <w:rsid w:val="000E04CB"/>
    <w:rsid w:val="000E4057"/>
    <w:rsid w:val="000F0C31"/>
    <w:rsid w:val="000F4A6E"/>
    <w:rsid w:val="00102444"/>
    <w:rsid w:val="00104C71"/>
    <w:rsid w:val="00106D3F"/>
    <w:rsid w:val="00107498"/>
    <w:rsid w:val="00112CB7"/>
    <w:rsid w:val="00122FDD"/>
    <w:rsid w:val="00124B90"/>
    <w:rsid w:val="00134F6B"/>
    <w:rsid w:val="00144F69"/>
    <w:rsid w:val="00145914"/>
    <w:rsid w:val="00145C7E"/>
    <w:rsid w:val="001546C1"/>
    <w:rsid w:val="0015638A"/>
    <w:rsid w:val="001574FE"/>
    <w:rsid w:val="00160724"/>
    <w:rsid w:val="00166BCE"/>
    <w:rsid w:val="001721A2"/>
    <w:rsid w:val="001732CE"/>
    <w:rsid w:val="001817CB"/>
    <w:rsid w:val="0018235D"/>
    <w:rsid w:val="0018380D"/>
    <w:rsid w:val="0018545A"/>
    <w:rsid w:val="00185A25"/>
    <w:rsid w:val="001863CD"/>
    <w:rsid w:val="00191971"/>
    <w:rsid w:val="00192B0D"/>
    <w:rsid w:val="00192C77"/>
    <w:rsid w:val="001A3032"/>
    <w:rsid w:val="001A7574"/>
    <w:rsid w:val="001B04D1"/>
    <w:rsid w:val="001B0942"/>
    <w:rsid w:val="001B12A6"/>
    <w:rsid w:val="001B24C7"/>
    <w:rsid w:val="001B4D0B"/>
    <w:rsid w:val="001C159B"/>
    <w:rsid w:val="001D689E"/>
    <w:rsid w:val="001D7C27"/>
    <w:rsid w:val="001E30B5"/>
    <w:rsid w:val="001E5172"/>
    <w:rsid w:val="001E5433"/>
    <w:rsid w:val="002034D9"/>
    <w:rsid w:val="0020541E"/>
    <w:rsid w:val="00205FBC"/>
    <w:rsid w:val="00206204"/>
    <w:rsid w:val="00214B0C"/>
    <w:rsid w:val="0022050C"/>
    <w:rsid w:val="00236B4A"/>
    <w:rsid w:val="00250ACB"/>
    <w:rsid w:val="00250BAF"/>
    <w:rsid w:val="00252656"/>
    <w:rsid w:val="00256E5C"/>
    <w:rsid w:val="00265487"/>
    <w:rsid w:val="00283C26"/>
    <w:rsid w:val="00287DEB"/>
    <w:rsid w:val="00292A00"/>
    <w:rsid w:val="002A7E44"/>
    <w:rsid w:val="002D45C2"/>
    <w:rsid w:val="002D4E24"/>
    <w:rsid w:val="002F31F6"/>
    <w:rsid w:val="002F5E77"/>
    <w:rsid w:val="00307E34"/>
    <w:rsid w:val="003171C1"/>
    <w:rsid w:val="00323DE7"/>
    <w:rsid w:val="00324C80"/>
    <w:rsid w:val="00331642"/>
    <w:rsid w:val="00350909"/>
    <w:rsid w:val="00353711"/>
    <w:rsid w:val="00354E9B"/>
    <w:rsid w:val="00361B94"/>
    <w:rsid w:val="00381AFE"/>
    <w:rsid w:val="00381D9D"/>
    <w:rsid w:val="00391D10"/>
    <w:rsid w:val="00392165"/>
    <w:rsid w:val="003966CB"/>
    <w:rsid w:val="00397A12"/>
    <w:rsid w:val="003B0BC8"/>
    <w:rsid w:val="003B2E32"/>
    <w:rsid w:val="003B48D7"/>
    <w:rsid w:val="003B6220"/>
    <w:rsid w:val="003B6D98"/>
    <w:rsid w:val="003D3815"/>
    <w:rsid w:val="003F0953"/>
    <w:rsid w:val="003F0F03"/>
    <w:rsid w:val="003F1E6B"/>
    <w:rsid w:val="003F2565"/>
    <w:rsid w:val="003F3465"/>
    <w:rsid w:val="003F5B41"/>
    <w:rsid w:val="003F5D5F"/>
    <w:rsid w:val="00407E47"/>
    <w:rsid w:val="00410306"/>
    <w:rsid w:val="00414780"/>
    <w:rsid w:val="00434DE5"/>
    <w:rsid w:val="00437195"/>
    <w:rsid w:val="00437BF4"/>
    <w:rsid w:val="00440D8C"/>
    <w:rsid w:val="00445CA0"/>
    <w:rsid w:val="0044709B"/>
    <w:rsid w:val="0044797B"/>
    <w:rsid w:val="0045022F"/>
    <w:rsid w:val="00454DC2"/>
    <w:rsid w:val="00462A1C"/>
    <w:rsid w:val="00463A29"/>
    <w:rsid w:val="0046442B"/>
    <w:rsid w:val="00466B61"/>
    <w:rsid w:val="00466B91"/>
    <w:rsid w:val="004768E0"/>
    <w:rsid w:val="004769D4"/>
    <w:rsid w:val="004812ED"/>
    <w:rsid w:val="004828BC"/>
    <w:rsid w:val="004839F2"/>
    <w:rsid w:val="00484BF7"/>
    <w:rsid w:val="00486402"/>
    <w:rsid w:val="00487D72"/>
    <w:rsid w:val="00492A34"/>
    <w:rsid w:val="004959F3"/>
    <w:rsid w:val="0049655F"/>
    <w:rsid w:val="00496A07"/>
    <w:rsid w:val="004A02E4"/>
    <w:rsid w:val="004A0F89"/>
    <w:rsid w:val="004A351B"/>
    <w:rsid w:val="004B0727"/>
    <w:rsid w:val="004C085F"/>
    <w:rsid w:val="004C30B1"/>
    <w:rsid w:val="004C341C"/>
    <w:rsid w:val="004C5212"/>
    <w:rsid w:val="004D0240"/>
    <w:rsid w:val="004D0D3A"/>
    <w:rsid w:val="004D1F75"/>
    <w:rsid w:val="004D6823"/>
    <w:rsid w:val="004E1414"/>
    <w:rsid w:val="00500ED0"/>
    <w:rsid w:val="005037DE"/>
    <w:rsid w:val="00511C4C"/>
    <w:rsid w:val="0052118B"/>
    <w:rsid w:val="005219D2"/>
    <w:rsid w:val="00521BE3"/>
    <w:rsid w:val="0052215F"/>
    <w:rsid w:val="00522429"/>
    <w:rsid w:val="005236E9"/>
    <w:rsid w:val="00524026"/>
    <w:rsid w:val="00525069"/>
    <w:rsid w:val="00532E4D"/>
    <w:rsid w:val="00535137"/>
    <w:rsid w:val="0054023C"/>
    <w:rsid w:val="00540FF6"/>
    <w:rsid w:val="005475A8"/>
    <w:rsid w:val="005673ED"/>
    <w:rsid w:val="00570492"/>
    <w:rsid w:val="0057188A"/>
    <w:rsid w:val="00590411"/>
    <w:rsid w:val="005A0FCA"/>
    <w:rsid w:val="005A482B"/>
    <w:rsid w:val="005A6D79"/>
    <w:rsid w:val="005A78C0"/>
    <w:rsid w:val="005B2A8C"/>
    <w:rsid w:val="005B61EA"/>
    <w:rsid w:val="005B74BD"/>
    <w:rsid w:val="005C0391"/>
    <w:rsid w:val="005C1D9B"/>
    <w:rsid w:val="005C245A"/>
    <w:rsid w:val="005D3FF2"/>
    <w:rsid w:val="005E1801"/>
    <w:rsid w:val="005E1D3B"/>
    <w:rsid w:val="005E2A81"/>
    <w:rsid w:val="005F1FBF"/>
    <w:rsid w:val="00602192"/>
    <w:rsid w:val="0060528A"/>
    <w:rsid w:val="00617184"/>
    <w:rsid w:val="00630E40"/>
    <w:rsid w:val="00634403"/>
    <w:rsid w:val="0063770E"/>
    <w:rsid w:val="0064025E"/>
    <w:rsid w:val="006437A2"/>
    <w:rsid w:val="00644435"/>
    <w:rsid w:val="00645C6F"/>
    <w:rsid w:val="006468C0"/>
    <w:rsid w:val="006475B8"/>
    <w:rsid w:val="0065581E"/>
    <w:rsid w:val="00655D80"/>
    <w:rsid w:val="00656F55"/>
    <w:rsid w:val="00667FD1"/>
    <w:rsid w:val="006747F3"/>
    <w:rsid w:val="0069375E"/>
    <w:rsid w:val="00693C5D"/>
    <w:rsid w:val="006A2AED"/>
    <w:rsid w:val="006A3C3F"/>
    <w:rsid w:val="006B1DB8"/>
    <w:rsid w:val="006B745F"/>
    <w:rsid w:val="006C4239"/>
    <w:rsid w:val="006C6F76"/>
    <w:rsid w:val="006D7BF8"/>
    <w:rsid w:val="006E1F87"/>
    <w:rsid w:val="006E4C6E"/>
    <w:rsid w:val="006E5FAA"/>
    <w:rsid w:val="006E6917"/>
    <w:rsid w:val="006E7D34"/>
    <w:rsid w:val="006F0759"/>
    <w:rsid w:val="006F5378"/>
    <w:rsid w:val="006F60E1"/>
    <w:rsid w:val="006F789B"/>
    <w:rsid w:val="007029F9"/>
    <w:rsid w:val="00703758"/>
    <w:rsid w:val="00703936"/>
    <w:rsid w:val="00703D22"/>
    <w:rsid w:val="00710864"/>
    <w:rsid w:val="00713C96"/>
    <w:rsid w:val="007161E0"/>
    <w:rsid w:val="00717810"/>
    <w:rsid w:val="00730027"/>
    <w:rsid w:val="0074113A"/>
    <w:rsid w:val="00742BA4"/>
    <w:rsid w:val="00745758"/>
    <w:rsid w:val="007465C7"/>
    <w:rsid w:val="007511E4"/>
    <w:rsid w:val="007521CF"/>
    <w:rsid w:val="00774249"/>
    <w:rsid w:val="00775555"/>
    <w:rsid w:val="007765C6"/>
    <w:rsid w:val="00776710"/>
    <w:rsid w:val="00785EB4"/>
    <w:rsid w:val="007906DF"/>
    <w:rsid w:val="00791442"/>
    <w:rsid w:val="00791586"/>
    <w:rsid w:val="00792595"/>
    <w:rsid w:val="00792E04"/>
    <w:rsid w:val="007978B8"/>
    <w:rsid w:val="007A3A32"/>
    <w:rsid w:val="007B1BC4"/>
    <w:rsid w:val="007B21A0"/>
    <w:rsid w:val="007B3780"/>
    <w:rsid w:val="007B45FB"/>
    <w:rsid w:val="007B6534"/>
    <w:rsid w:val="007C5313"/>
    <w:rsid w:val="007D1C1A"/>
    <w:rsid w:val="007D3C92"/>
    <w:rsid w:val="007E07BB"/>
    <w:rsid w:val="007E3411"/>
    <w:rsid w:val="007E42C3"/>
    <w:rsid w:val="007E6673"/>
    <w:rsid w:val="007E74A7"/>
    <w:rsid w:val="007F34D6"/>
    <w:rsid w:val="007F54F4"/>
    <w:rsid w:val="007F71C7"/>
    <w:rsid w:val="008006A9"/>
    <w:rsid w:val="00807AE4"/>
    <w:rsid w:val="008118D2"/>
    <w:rsid w:val="00823052"/>
    <w:rsid w:val="00835DCA"/>
    <w:rsid w:val="0083703B"/>
    <w:rsid w:val="00840E87"/>
    <w:rsid w:val="00843E71"/>
    <w:rsid w:val="00844D78"/>
    <w:rsid w:val="00846FB0"/>
    <w:rsid w:val="00853131"/>
    <w:rsid w:val="00854362"/>
    <w:rsid w:val="008556F7"/>
    <w:rsid w:val="008718F9"/>
    <w:rsid w:val="00876428"/>
    <w:rsid w:val="0088274F"/>
    <w:rsid w:val="008B7D40"/>
    <w:rsid w:val="008C0ABF"/>
    <w:rsid w:val="008C4453"/>
    <w:rsid w:val="008D27B5"/>
    <w:rsid w:val="008D404B"/>
    <w:rsid w:val="008D4B30"/>
    <w:rsid w:val="008E0C30"/>
    <w:rsid w:val="008E20B3"/>
    <w:rsid w:val="008E693D"/>
    <w:rsid w:val="008E7435"/>
    <w:rsid w:val="008E78C9"/>
    <w:rsid w:val="008F3A59"/>
    <w:rsid w:val="008F7FA2"/>
    <w:rsid w:val="00904B5F"/>
    <w:rsid w:val="00910B48"/>
    <w:rsid w:val="0091483F"/>
    <w:rsid w:val="009150DA"/>
    <w:rsid w:val="009167D1"/>
    <w:rsid w:val="0091704F"/>
    <w:rsid w:val="00921602"/>
    <w:rsid w:val="0092632C"/>
    <w:rsid w:val="00927825"/>
    <w:rsid w:val="00932987"/>
    <w:rsid w:val="0093440D"/>
    <w:rsid w:val="00935075"/>
    <w:rsid w:val="00937C07"/>
    <w:rsid w:val="00937C4B"/>
    <w:rsid w:val="0094411A"/>
    <w:rsid w:val="00946997"/>
    <w:rsid w:val="00951735"/>
    <w:rsid w:val="00955871"/>
    <w:rsid w:val="009721F0"/>
    <w:rsid w:val="00983947"/>
    <w:rsid w:val="00983A31"/>
    <w:rsid w:val="00985A16"/>
    <w:rsid w:val="0099086B"/>
    <w:rsid w:val="00990EE3"/>
    <w:rsid w:val="00991F89"/>
    <w:rsid w:val="0099341C"/>
    <w:rsid w:val="0099395B"/>
    <w:rsid w:val="0099472D"/>
    <w:rsid w:val="009953C5"/>
    <w:rsid w:val="00995F46"/>
    <w:rsid w:val="009A4EAD"/>
    <w:rsid w:val="009A5F09"/>
    <w:rsid w:val="009B1D06"/>
    <w:rsid w:val="009B6312"/>
    <w:rsid w:val="009B6724"/>
    <w:rsid w:val="009C0455"/>
    <w:rsid w:val="009C325C"/>
    <w:rsid w:val="009C5319"/>
    <w:rsid w:val="009C60F1"/>
    <w:rsid w:val="009D1C88"/>
    <w:rsid w:val="009E55C6"/>
    <w:rsid w:val="009F6BDF"/>
    <w:rsid w:val="00A01D80"/>
    <w:rsid w:val="00A030FF"/>
    <w:rsid w:val="00A04A04"/>
    <w:rsid w:val="00A05A71"/>
    <w:rsid w:val="00A0768B"/>
    <w:rsid w:val="00A105DC"/>
    <w:rsid w:val="00A13400"/>
    <w:rsid w:val="00A14505"/>
    <w:rsid w:val="00A16140"/>
    <w:rsid w:val="00A2343C"/>
    <w:rsid w:val="00A250A0"/>
    <w:rsid w:val="00A25AD8"/>
    <w:rsid w:val="00A370F6"/>
    <w:rsid w:val="00A4032D"/>
    <w:rsid w:val="00A433DA"/>
    <w:rsid w:val="00A478DB"/>
    <w:rsid w:val="00A53E0A"/>
    <w:rsid w:val="00A544FC"/>
    <w:rsid w:val="00A55B7C"/>
    <w:rsid w:val="00A56384"/>
    <w:rsid w:val="00A610B5"/>
    <w:rsid w:val="00A61B84"/>
    <w:rsid w:val="00A67CE4"/>
    <w:rsid w:val="00A723F4"/>
    <w:rsid w:val="00A731A5"/>
    <w:rsid w:val="00A74605"/>
    <w:rsid w:val="00A810E4"/>
    <w:rsid w:val="00A85B54"/>
    <w:rsid w:val="00A85BE5"/>
    <w:rsid w:val="00A87576"/>
    <w:rsid w:val="00A87622"/>
    <w:rsid w:val="00A93FCC"/>
    <w:rsid w:val="00A94AE9"/>
    <w:rsid w:val="00A952B2"/>
    <w:rsid w:val="00AA1A8B"/>
    <w:rsid w:val="00AA35A8"/>
    <w:rsid w:val="00AA610A"/>
    <w:rsid w:val="00AD3547"/>
    <w:rsid w:val="00AD4684"/>
    <w:rsid w:val="00AD5B39"/>
    <w:rsid w:val="00AD7D89"/>
    <w:rsid w:val="00AE0CC6"/>
    <w:rsid w:val="00AE1CE2"/>
    <w:rsid w:val="00AE2663"/>
    <w:rsid w:val="00AF01F3"/>
    <w:rsid w:val="00AF0E7E"/>
    <w:rsid w:val="00AF1065"/>
    <w:rsid w:val="00AF540C"/>
    <w:rsid w:val="00B023BA"/>
    <w:rsid w:val="00B04C54"/>
    <w:rsid w:val="00B059BD"/>
    <w:rsid w:val="00B115F7"/>
    <w:rsid w:val="00B12550"/>
    <w:rsid w:val="00B176D2"/>
    <w:rsid w:val="00B214DE"/>
    <w:rsid w:val="00B316F2"/>
    <w:rsid w:val="00B31D7D"/>
    <w:rsid w:val="00B37745"/>
    <w:rsid w:val="00B44CA7"/>
    <w:rsid w:val="00B45FD2"/>
    <w:rsid w:val="00B46594"/>
    <w:rsid w:val="00B47BEB"/>
    <w:rsid w:val="00B50BB4"/>
    <w:rsid w:val="00B51C40"/>
    <w:rsid w:val="00B548C3"/>
    <w:rsid w:val="00B55170"/>
    <w:rsid w:val="00B606D9"/>
    <w:rsid w:val="00B73529"/>
    <w:rsid w:val="00B7417B"/>
    <w:rsid w:val="00B81445"/>
    <w:rsid w:val="00B83D0E"/>
    <w:rsid w:val="00B849CC"/>
    <w:rsid w:val="00B9054A"/>
    <w:rsid w:val="00B9792F"/>
    <w:rsid w:val="00BA0F5F"/>
    <w:rsid w:val="00BA14E4"/>
    <w:rsid w:val="00BA414C"/>
    <w:rsid w:val="00BA457B"/>
    <w:rsid w:val="00BA4BE3"/>
    <w:rsid w:val="00BA5040"/>
    <w:rsid w:val="00BA5652"/>
    <w:rsid w:val="00BC6237"/>
    <w:rsid w:val="00BD003D"/>
    <w:rsid w:val="00BD46ED"/>
    <w:rsid w:val="00BD7018"/>
    <w:rsid w:val="00BE1926"/>
    <w:rsid w:val="00BE30D6"/>
    <w:rsid w:val="00BE646F"/>
    <w:rsid w:val="00BE7885"/>
    <w:rsid w:val="00BF1A56"/>
    <w:rsid w:val="00C019D3"/>
    <w:rsid w:val="00C0287D"/>
    <w:rsid w:val="00C042E4"/>
    <w:rsid w:val="00C07098"/>
    <w:rsid w:val="00C145DB"/>
    <w:rsid w:val="00C17040"/>
    <w:rsid w:val="00C200DF"/>
    <w:rsid w:val="00C21186"/>
    <w:rsid w:val="00C23CE5"/>
    <w:rsid w:val="00C315AF"/>
    <w:rsid w:val="00C316ED"/>
    <w:rsid w:val="00C33318"/>
    <w:rsid w:val="00C342FF"/>
    <w:rsid w:val="00C351AD"/>
    <w:rsid w:val="00C3542F"/>
    <w:rsid w:val="00C35665"/>
    <w:rsid w:val="00C404C2"/>
    <w:rsid w:val="00C40DF5"/>
    <w:rsid w:val="00C40FFB"/>
    <w:rsid w:val="00C4185F"/>
    <w:rsid w:val="00C56DF4"/>
    <w:rsid w:val="00C579D7"/>
    <w:rsid w:val="00C60C92"/>
    <w:rsid w:val="00C61FA4"/>
    <w:rsid w:val="00C64055"/>
    <w:rsid w:val="00C67B6F"/>
    <w:rsid w:val="00C71C6A"/>
    <w:rsid w:val="00C72E94"/>
    <w:rsid w:val="00C74044"/>
    <w:rsid w:val="00C76260"/>
    <w:rsid w:val="00C809C2"/>
    <w:rsid w:val="00C83029"/>
    <w:rsid w:val="00C83971"/>
    <w:rsid w:val="00C87318"/>
    <w:rsid w:val="00C91D4B"/>
    <w:rsid w:val="00C9395F"/>
    <w:rsid w:val="00C93A96"/>
    <w:rsid w:val="00CA0925"/>
    <w:rsid w:val="00CA4D05"/>
    <w:rsid w:val="00CA60A3"/>
    <w:rsid w:val="00CB5DE8"/>
    <w:rsid w:val="00CB7CD3"/>
    <w:rsid w:val="00CC6206"/>
    <w:rsid w:val="00CE149A"/>
    <w:rsid w:val="00CE20FE"/>
    <w:rsid w:val="00CF40DB"/>
    <w:rsid w:val="00CF5B03"/>
    <w:rsid w:val="00D071EA"/>
    <w:rsid w:val="00D07DDB"/>
    <w:rsid w:val="00D165ED"/>
    <w:rsid w:val="00D21610"/>
    <w:rsid w:val="00D33EED"/>
    <w:rsid w:val="00D410CC"/>
    <w:rsid w:val="00D51288"/>
    <w:rsid w:val="00D65CEC"/>
    <w:rsid w:val="00D717A2"/>
    <w:rsid w:val="00D82749"/>
    <w:rsid w:val="00D82995"/>
    <w:rsid w:val="00D84710"/>
    <w:rsid w:val="00D91595"/>
    <w:rsid w:val="00D92853"/>
    <w:rsid w:val="00DB1622"/>
    <w:rsid w:val="00DB6CEB"/>
    <w:rsid w:val="00DD0D9B"/>
    <w:rsid w:val="00DD194E"/>
    <w:rsid w:val="00DD47E6"/>
    <w:rsid w:val="00DD5E48"/>
    <w:rsid w:val="00DD6690"/>
    <w:rsid w:val="00DD77F2"/>
    <w:rsid w:val="00DE1E73"/>
    <w:rsid w:val="00DE7A27"/>
    <w:rsid w:val="00DF5018"/>
    <w:rsid w:val="00E03318"/>
    <w:rsid w:val="00E04D54"/>
    <w:rsid w:val="00E118C0"/>
    <w:rsid w:val="00E13095"/>
    <w:rsid w:val="00E13BAC"/>
    <w:rsid w:val="00E155D3"/>
    <w:rsid w:val="00E15ABD"/>
    <w:rsid w:val="00E176D1"/>
    <w:rsid w:val="00E213AA"/>
    <w:rsid w:val="00E30880"/>
    <w:rsid w:val="00E45E2D"/>
    <w:rsid w:val="00E47C7D"/>
    <w:rsid w:val="00E56D9A"/>
    <w:rsid w:val="00E6132D"/>
    <w:rsid w:val="00E62C04"/>
    <w:rsid w:val="00E7014C"/>
    <w:rsid w:val="00E72A72"/>
    <w:rsid w:val="00E769C3"/>
    <w:rsid w:val="00E801CC"/>
    <w:rsid w:val="00E8050E"/>
    <w:rsid w:val="00E8536D"/>
    <w:rsid w:val="00E9616C"/>
    <w:rsid w:val="00EB0F6B"/>
    <w:rsid w:val="00EB191A"/>
    <w:rsid w:val="00EB5E21"/>
    <w:rsid w:val="00EB6749"/>
    <w:rsid w:val="00EC2FE6"/>
    <w:rsid w:val="00ED63A9"/>
    <w:rsid w:val="00ED7F35"/>
    <w:rsid w:val="00EE4701"/>
    <w:rsid w:val="00EF2049"/>
    <w:rsid w:val="00EF3905"/>
    <w:rsid w:val="00EF3FD3"/>
    <w:rsid w:val="00EF5591"/>
    <w:rsid w:val="00EF6D1E"/>
    <w:rsid w:val="00EF76D7"/>
    <w:rsid w:val="00EF7B52"/>
    <w:rsid w:val="00F01B92"/>
    <w:rsid w:val="00F04923"/>
    <w:rsid w:val="00F1212A"/>
    <w:rsid w:val="00F150A3"/>
    <w:rsid w:val="00F22291"/>
    <w:rsid w:val="00F307B6"/>
    <w:rsid w:val="00F33519"/>
    <w:rsid w:val="00F3521B"/>
    <w:rsid w:val="00F3599C"/>
    <w:rsid w:val="00F36BA3"/>
    <w:rsid w:val="00F42366"/>
    <w:rsid w:val="00F42650"/>
    <w:rsid w:val="00F47358"/>
    <w:rsid w:val="00F47FFB"/>
    <w:rsid w:val="00F554F2"/>
    <w:rsid w:val="00F622C9"/>
    <w:rsid w:val="00F66F3F"/>
    <w:rsid w:val="00F720F0"/>
    <w:rsid w:val="00F76964"/>
    <w:rsid w:val="00F77F66"/>
    <w:rsid w:val="00F859EC"/>
    <w:rsid w:val="00F90516"/>
    <w:rsid w:val="00F91D44"/>
    <w:rsid w:val="00F9239F"/>
    <w:rsid w:val="00F95603"/>
    <w:rsid w:val="00F975C9"/>
    <w:rsid w:val="00F9787E"/>
    <w:rsid w:val="00FA69C4"/>
    <w:rsid w:val="00FC32D4"/>
    <w:rsid w:val="00FC46A5"/>
    <w:rsid w:val="00FC501E"/>
    <w:rsid w:val="00FD38D7"/>
    <w:rsid w:val="00FE2D32"/>
    <w:rsid w:val="00FE3C00"/>
    <w:rsid w:val="00FE3CC5"/>
    <w:rsid w:val="00FE5044"/>
    <w:rsid w:val="00FF27E9"/>
    <w:rsid w:val="00FF2BCC"/>
    <w:rsid w:val="00FF5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60C50"/>
  <w15:chartTrackingRefBased/>
  <w15:docId w15:val="{56F6CD9E-C798-41D9-B5D8-1F3AC5090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9F9"/>
    <w:pPr>
      <w:spacing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991F89"/>
    <w:pPr>
      <w:keepNext/>
      <w:keepLines/>
      <w:spacing w:after="24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991F89"/>
    <w:pPr>
      <w:keepNext/>
      <w:keepLines/>
      <w:spacing w:after="24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991F89"/>
    <w:pPr>
      <w:keepNext/>
      <w:keepLines/>
      <w:spacing w:after="240"/>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F89"/>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991F89"/>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991F89"/>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A875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576"/>
    <w:rPr>
      <w:rFonts w:ascii="Times New Roman" w:hAnsi="Times New Roman"/>
      <w:sz w:val="24"/>
    </w:rPr>
  </w:style>
  <w:style w:type="paragraph" w:styleId="Footer">
    <w:name w:val="footer"/>
    <w:basedOn w:val="Normal"/>
    <w:link w:val="FooterChar"/>
    <w:uiPriority w:val="99"/>
    <w:unhideWhenUsed/>
    <w:rsid w:val="00A875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576"/>
    <w:rPr>
      <w:rFonts w:ascii="Times New Roman" w:hAnsi="Times New Roman"/>
      <w:sz w:val="24"/>
    </w:rPr>
  </w:style>
  <w:style w:type="paragraph" w:styleId="Caption">
    <w:name w:val="caption"/>
    <w:basedOn w:val="Normal"/>
    <w:next w:val="Normal"/>
    <w:uiPriority w:val="35"/>
    <w:unhideWhenUsed/>
    <w:qFormat/>
    <w:rsid w:val="001A3032"/>
    <w:pPr>
      <w:spacing w:after="200" w:line="240" w:lineRule="auto"/>
    </w:pPr>
    <w:rPr>
      <w:i/>
      <w:iCs/>
      <w:color w:val="44546A" w:themeColor="text2"/>
      <w:sz w:val="18"/>
      <w:szCs w:val="18"/>
    </w:rPr>
  </w:style>
  <w:style w:type="paragraph" w:styleId="ListParagraph">
    <w:name w:val="List Paragraph"/>
    <w:basedOn w:val="Normal"/>
    <w:uiPriority w:val="34"/>
    <w:qFormat/>
    <w:rsid w:val="00FC46A5"/>
    <w:pPr>
      <w:ind w:left="720"/>
      <w:contextualSpacing/>
    </w:pPr>
  </w:style>
  <w:style w:type="character" w:styleId="Hyperlink">
    <w:name w:val="Hyperlink"/>
    <w:basedOn w:val="DefaultParagraphFont"/>
    <w:uiPriority w:val="99"/>
    <w:unhideWhenUsed/>
    <w:rsid w:val="00F307B6"/>
    <w:rPr>
      <w:color w:val="0563C1" w:themeColor="hyperlink"/>
      <w:u w:val="single"/>
    </w:rPr>
  </w:style>
  <w:style w:type="character" w:styleId="UnresolvedMention">
    <w:name w:val="Unresolved Mention"/>
    <w:basedOn w:val="DefaultParagraphFont"/>
    <w:uiPriority w:val="99"/>
    <w:semiHidden/>
    <w:unhideWhenUsed/>
    <w:rsid w:val="00F307B6"/>
    <w:rPr>
      <w:color w:val="605E5C"/>
      <w:shd w:val="clear" w:color="auto" w:fill="E1DFDD"/>
    </w:rPr>
  </w:style>
  <w:style w:type="paragraph" w:styleId="NormalWeb">
    <w:name w:val="Normal (Web)"/>
    <w:basedOn w:val="Normal"/>
    <w:uiPriority w:val="99"/>
    <w:semiHidden/>
    <w:unhideWhenUsed/>
    <w:rsid w:val="00C33318"/>
    <w:pPr>
      <w:spacing w:before="100" w:beforeAutospacing="1" w:after="100" w:afterAutospacing="1" w:line="240" w:lineRule="auto"/>
    </w:pPr>
    <w:rPr>
      <w:rFonts w:eastAsia="Times New Roman" w:cs="Times New Roman"/>
      <w:szCs w:val="24"/>
    </w:rPr>
  </w:style>
  <w:style w:type="paragraph" w:customStyle="1" w:styleId="hhd2">
    <w:name w:val="hhd2"/>
    <w:basedOn w:val="Normal"/>
    <w:rsid w:val="00C33318"/>
    <w:pPr>
      <w:spacing w:before="100" w:beforeAutospacing="1" w:after="100" w:afterAutospacing="1" w:line="240" w:lineRule="auto"/>
    </w:pPr>
    <w:rPr>
      <w:rFonts w:eastAsia="Times New Roman" w:cs="Times New Roman"/>
      <w:szCs w:val="24"/>
    </w:rPr>
  </w:style>
  <w:style w:type="paragraph" w:styleId="TOCHeading">
    <w:name w:val="TOC Heading"/>
    <w:basedOn w:val="Heading1"/>
    <w:next w:val="Normal"/>
    <w:uiPriority w:val="39"/>
    <w:unhideWhenUsed/>
    <w:qFormat/>
    <w:rsid w:val="00792595"/>
    <w:pPr>
      <w:spacing w:before="240" w:after="0" w:line="259" w:lineRule="auto"/>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79259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ongtermplan.nhs.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ov.uk/government/publications/health-disparities-and-health-inequalities-applying-all-our-health/health-disparities-and-health-inequalities-applying-all-our-health"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6" ma:contentTypeDescription="Create a new document." ma:contentTypeScope="" ma:versionID="626f3c233a5e97fc4cabaaab3bbcbb53">
  <xsd:schema xmlns:xsd="http://www.w3.org/2001/XMLSchema" xmlns:xs="http://www.w3.org/2001/XMLSchema" xmlns:p="http://schemas.microsoft.com/office/2006/metadata/properties" xmlns:ns3="ad7316b1-23f1-480c-8fa6-cbf037f4db9c" targetNamespace="http://schemas.microsoft.com/office/2006/metadata/properties" ma:root="true" ma:fieldsID="ea094c565c44bdc453449eb4fb25a659"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478E7E-6A52-4E72-BE50-7517B00CEC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ECE268-ECB1-495A-963F-525C63FB6D2A}">
  <ds:schemaRefs>
    <ds:schemaRef ds:uri="http://schemas.openxmlformats.org/officeDocument/2006/bibliography"/>
  </ds:schemaRefs>
</ds:datastoreItem>
</file>

<file path=customXml/itemProps3.xml><?xml version="1.0" encoding="utf-8"?>
<ds:datastoreItem xmlns:ds="http://schemas.openxmlformats.org/officeDocument/2006/customXml" ds:itemID="{26E1FAF8-FDB6-4F56-9F03-F62004D5F9E7}">
  <ds:schemaRefs>
    <ds:schemaRef ds:uri="http://schemas.microsoft.com/office/2006/metadata/properties"/>
    <ds:schemaRef ds:uri="http://schemas.microsoft.com/office/infopath/2007/PartnerControls"/>
    <ds:schemaRef ds:uri="ad7316b1-23f1-480c-8fa6-cbf037f4db9c"/>
  </ds:schemaRefs>
</ds:datastoreItem>
</file>

<file path=customXml/itemProps4.xml><?xml version="1.0" encoding="utf-8"?>
<ds:datastoreItem xmlns:ds="http://schemas.openxmlformats.org/officeDocument/2006/customXml" ds:itemID="{D7F2FC43-F009-4CC4-812F-CE9682055F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11</Pages>
  <Words>3181</Words>
  <Characters>18132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Samina Kousar (2244901)</cp:lastModifiedBy>
  <cp:revision>6</cp:revision>
  <dcterms:created xsi:type="dcterms:W3CDTF">2025-10-10T08:25:00Z</dcterms:created>
  <dcterms:modified xsi:type="dcterms:W3CDTF">2025-10-14T09:50:00Z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