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9F4B6" w14:textId="77777777" w:rsidR="003B76E8" w:rsidRPr="002572B9" w:rsidRDefault="003B76E8" w:rsidP="003B76E8">
      <w:pPr>
        <w:spacing w:line="480" w:lineRule="auto"/>
        <w:rPr>
          <w:rFonts w:ascii="Arial" w:hAnsi="Arial" w:cs="Arial"/>
          <w:b/>
          <w:bCs/>
          <w:sz w:val="22"/>
          <w:szCs w:val="22"/>
        </w:rPr>
      </w:pPr>
      <w:r w:rsidRPr="002572B9">
        <w:rPr>
          <w:rFonts w:ascii="Arial" w:hAnsi="Arial" w:cs="Arial"/>
          <w:b/>
          <w:bCs/>
          <w:sz w:val="22"/>
          <w:szCs w:val="22"/>
        </w:rPr>
        <w:t>The Implausibility of Motherhood in Utopia</w:t>
      </w:r>
    </w:p>
    <w:p w14:paraId="0A0DA71D" w14:textId="776017FC" w:rsidR="003B76E8" w:rsidRDefault="003B76E8" w:rsidP="003B76E8">
      <w:pPr>
        <w:spacing w:line="480" w:lineRule="auto"/>
        <w:rPr>
          <w:rFonts w:ascii="Arial" w:hAnsi="Arial" w:cs="Arial"/>
          <w:sz w:val="22"/>
          <w:szCs w:val="22"/>
        </w:rPr>
      </w:pPr>
      <w:r>
        <w:rPr>
          <w:rFonts w:ascii="Arial" w:hAnsi="Arial" w:cs="Arial"/>
          <w:sz w:val="22"/>
          <w:szCs w:val="22"/>
        </w:rPr>
        <w:t>There is nothing that connects all of humanity so much as motherhood. The production of life, the nurturing of the subsequent child and the implications of the power structures that surround these acts are at the centre of our very existence. Since the first expression of feminist thought, motherhood has been indefatigably examined in pursuit of women’s emancipation. Questions of what constitutes a mother, what a mother should be and how to remove the barriers that motherhood erects can be explored through imagined places; notably, utopias. Today, feminist dystopian writing is a substantial and popular body of work, having strongly emerged in the latter part of the twentieth century at the height of second wave feminism.</w:t>
      </w:r>
      <w:r>
        <w:rPr>
          <w:rStyle w:val="FootnoteReference"/>
          <w:rFonts w:ascii="Arial" w:hAnsi="Arial" w:cs="Arial"/>
          <w:sz w:val="22"/>
          <w:szCs w:val="22"/>
        </w:rPr>
        <w:footnoteReference w:id="1"/>
      </w:r>
      <w:r>
        <w:rPr>
          <w:rFonts w:ascii="Arial" w:hAnsi="Arial" w:cs="Arial"/>
          <w:sz w:val="22"/>
          <w:szCs w:val="22"/>
        </w:rPr>
        <w:t xml:space="preserve"> Dystopia, the </w:t>
      </w:r>
      <w:r w:rsidR="00BA7E02">
        <w:rPr>
          <w:rFonts w:ascii="Arial" w:hAnsi="Arial" w:cs="Arial"/>
          <w:sz w:val="22"/>
          <w:szCs w:val="22"/>
        </w:rPr>
        <w:t>‘</w:t>
      </w:r>
      <w:r>
        <w:rPr>
          <w:rFonts w:ascii="Arial" w:hAnsi="Arial" w:cs="Arial"/>
          <w:sz w:val="22"/>
          <w:szCs w:val="22"/>
        </w:rPr>
        <w:t>fictive underside of the utopian imagination</w:t>
      </w:r>
      <w:r w:rsidR="00BA7E02">
        <w:rPr>
          <w:rFonts w:ascii="Arial" w:hAnsi="Arial" w:cs="Arial"/>
          <w:sz w:val="22"/>
          <w:szCs w:val="22"/>
        </w:rPr>
        <w:t>’</w:t>
      </w:r>
      <w:r>
        <w:rPr>
          <w:rStyle w:val="FootnoteReference"/>
          <w:rFonts w:ascii="Arial" w:hAnsi="Arial" w:cs="Arial"/>
          <w:sz w:val="22"/>
          <w:szCs w:val="22"/>
        </w:rPr>
        <w:footnoteReference w:id="2"/>
      </w:r>
      <w:r>
        <w:rPr>
          <w:rFonts w:ascii="Arial" w:hAnsi="Arial" w:cs="Arial"/>
          <w:sz w:val="22"/>
          <w:szCs w:val="22"/>
        </w:rPr>
        <w:t xml:space="preserve"> as a concept is impossible to separate from utopia, in that dystopian settings develop from utopian ideals. Indeed, the subjective nature of reality imposes that what is utopia for one would be dystopia for another; this is pertinent when considering gender. Baruch states that </w:t>
      </w:r>
      <w:r w:rsidR="00BA7E02">
        <w:rPr>
          <w:rFonts w:ascii="Arial" w:hAnsi="Arial" w:cs="Arial"/>
          <w:sz w:val="22"/>
          <w:szCs w:val="22"/>
        </w:rPr>
        <w:t>‘</w:t>
      </w:r>
      <w:r>
        <w:rPr>
          <w:rFonts w:ascii="Arial" w:hAnsi="Arial" w:cs="Arial"/>
          <w:sz w:val="22"/>
          <w:szCs w:val="22"/>
        </w:rPr>
        <w:t>utopias for men are often dystopias for women</w:t>
      </w:r>
      <w:r w:rsidR="00BA7E02">
        <w:rPr>
          <w:rFonts w:ascii="Arial" w:hAnsi="Arial" w:cs="Arial"/>
          <w:sz w:val="22"/>
          <w:szCs w:val="22"/>
        </w:rPr>
        <w:t>’</w:t>
      </w:r>
      <w:r>
        <w:rPr>
          <w:rFonts w:ascii="Arial" w:hAnsi="Arial" w:cs="Arial"/>
          <w:sz w:val="22"/>
          <w:szCs w:val="22"/>
        </w:rPr>
        <w:t xml:space="preserve"> and wonders if the converse is true.</w:t>
      </w:r>
      <w:r>
        <w:rPr>
          <w:rStyle w:val="FootnoteReference"/>
          <w:rFonts w:ascii="Arial" w:hAnsi="Arial" w:cs="Arial"/>
          <w:sz w:val="22"/>
          <w:szCs w:val="22"/>
        </w:rPr>
        <w:footnoteReference w:id="3"/>
      </w:r>
      <w:r>
        <w:rPr>
          <w:rFonts w:ascii="Arial" w:hAnsi="Arial" w:cs="Arial"/>
          <w:sz w:val="22"/>
          <w:szCs w:val="22"/>
        </w:rPr>
        <w:t xml:space="preserve"> </w:t>
      </w:r>
      <w:r>
        <w:rPr>
          <w:rFonts w:ascii="Arial" w:hAnsi="Arial" w:cs="Arial"/>
          <w:i/>
          <w:iCs/>
          <w:sz w:val="22"/>
          <w:szCs w:val="22"/>
        </w:rPr>
        <w:t xml:space="preserve">Herland, </w:t>
      </w:r>
      <w:r>
        <w:rPr>
          <w:rStyle w:val="FootnoteReference"/>
          <w:rFonts w:ascii="Arial" w:hAnsi="Arial" w:cs="Arial"/>
          <w:i/>
          <w:iCs/>
          <w:sz w:val="22"/>
          <w:szCs w:val="22"/>
        </w:rPr>
        <w:footnoteReference w:id="4"/>
      </w:r>
      <w:r>
        <w:rPr>
          <w:rFonts w:ascii="Arial" w:hAnsi="Arial" w:cs="Arial"/>
          <w:i/>
          <w:iCs/>
          <w:sz w:val="22"/>
          <w:szCs w:val="22"/>
        </w:rPr>
        <w:t xml:space="preserve"> </w:t>
      </w:r>
      <w:r>
        <w:rPr>
          <w:rFonts w:ascii="Arial" w:hAnsi="Arial" w:cs="Arial"/>
          <w:sz w:val="22"/>
          <w:szCs w:val="22"/>
        </w:rPr>
        <w:t>by Charlotte Perkins</w:t>
      </w:r>
      <w:r w:rsidR="002B7423">
        <w:rPr>
          <w:rFonts w:ascii="Arial" w:hAnsi="Arial" w:cs="Arial"/>
          <w:sz w:val="22"/>
          <w:szCs w:val="22"/>
        </w:rPr>
        <w:t xml:space="preserve"> </w:t>
      </w:r>
      <w:r>
        <w:rPr>
          <w:rFonts w:ascii="Arial" w:hAnsi="Arial" w:cs="Arial"/>
          <w:sz w:val="22"/>
          <w:szCs w:val="22"/>
        </w:rPr>
        <w:t xml:space="preserve">Gilman – offered as a visionary utopia for women – would certainly appear to be a dystopia for men; or certainly only a utopia in the etymological sense of ‘no place’, as there is no place for them in Gilman’s world. This feminist utopia illuminates a world where motherhood is the </w:t>
      </w:r>
      <w:r w:rsidR="00D76592">
        <w:rPr>
          <w:rFonts w:ascii="Arial" w:hAnsi="Arial" w:cs="Arial"/>
          <w:sz w:val="22"/>
          <w:szCs w:val="22"/>
        </w:rPr>
        <w:t>‘</w:t>
      </w:r>
      <w:r>
        <w:rPr>
          <w:rFonts w:ascii="Arial" w:hAnsi="Arial" w:cs="Arial"/>
          <w:sz w:val="22"/>
          <w:szCs w:val="22"/>
        </w:rPr>
        <w:t>crowning office</w:t>
      </w:r>
      <w:r w:rsidR="00D76592">
        <w:rPr>
          <w:rFonts w:ascii="Arial" w:hAnsi="Arial" w:cs="Arial"/>
          <w:sz w:val="22"/>
          <w:szCs w:val="22"/>
        </w:rPr>
        <w:t>’</w:t>
      </w:r>
      <w:r>
        <w:rPr>
          <w:rStyle w:val="FootnoteReference"/>
          <w:rFonts w:ascii="Arial" w:hAnsi="Arial" w:cs="Arial"/>
          <w:sz w:val="22"/>
          <w:szCs w:val="22"/>
        </w:rPr>
        <w:footnoteReference w:id="5"/>
      </w:r>
      <w:r>
        <w:rPr>
          <w:rFonts w:ascii="Arial" w:hAnsi="Arial" w:cs="Arial"/>
          <w:sz w:val="22"/>
          <w:szCs w:val="22"/>
        </w:rPr>
        <w:t xml:space="preserve"> of its inhabitants, yet not motherhood as we know it. Gilman explores how motherhood could look through her </w:t>
      </w:r>
      <w:r w:rsidR="002A73D1">
        <w:rPr>
          <w:rFonts w:ascii="Arial" w:hAnsi="Arial" w:cs="Arial"/>
          <w:sz w:val="22"/>
          <w:szCs w:val="22"/>
        </w:rPr>
        <w:t>concept</w:t>
      </w:r>
      <w:r>
        <w:rPr>
          <w:rFonts w:ascii="Arial" w:hAnsi="Arial" w:cs="Arial"/>
          <w:sz w:val="22"/>
          <w:szCs w:val="22"/>
        </w:rPr>
        <w:t xml:space="preserve"> of the ‘</w:t>
      </w:r>
      <w:r w:rsidR="002B7423">
        <w:rPr>
          <w:rFonts w:ascii="Arial" w:hAnsi="Arial" w:cs="Arial"/>
          <w:sz w:val="22"/>
          <w:szCs w:val="22"/>
        </w:rPr>
        <w:t>W</w:t>
      </w:r>
      <w:r>
        <w:rPr>
          <w:rFonts w:ascii="Arial" w:hAnsi="Arial" w:cs="Arial"/>
          <w:sz w:val="22"/>
          <w:szCs w:val="22"/>
        </w:rPr>
        <w:t xml:space="preserve">orld </w:t>
      </w:r>
      <w:r w:rsidR="002B7423">
        <w:rPr>
          <w:rFonts w:ascii="Arial" w:hAnsi="Arial" w:cs="Arial"/>
          <w:sz w:val="22"/>
          <w:szCs w:val="22"/>
        </w:rPr>
        <w:t>M</w:t>
      </w:r>
      <w:r>
        <w:rPr>
          <w:rFonts w:ascii="Arial" w:hAnsi="Arial" w:cs="Arial"/>
          <w:sz w:val="22"/>
          <w:szCs w:val="22"/>
        </w:rPr>
        <w:t>other’,</w:t>
      </w:r>
      <w:r>
        <w:rPr>
          <w:rStyle w:val="FootnoteReference"/>
          <w:rFonts w:ascii="Arial" w:hAnsi="Arial" w:cs="Arial"/>
          <w:sz w:val="22"/>
          <w:szCs w:val="22"/>
        </w:rPr>
        <w:footnoteReference w:id="6"/>
      </w:r>
      <w:r>
        <w:rPr>
          <w:rFonts w:ascii="Arial" w:hAnsi="Arial" w:cs="Arial"/>
          <w:sz w:val="22"/>
          <w:szCs w:val="22"/>
        </w:rPr>
        <w:t xml:space="preserve"> released from the kitchen and home. It might be considered how a women’s utopia would be possible without the reconfiguration of maternity and the family, as the continual redefinition of familial bonds and roles continue to shape utopian writing. Bartkowski argues that ‘the feminist utopian novel is a place where theories of power can be addressed through the construction of narratives that test and stretch the boundaries of power in its operational </w:t>
      </w:r>
      <w:r>
        <w:rPr>
          <w:rFonts w:ascii="Arial" w:hAnsi="Arial" w:cs="Arial"/>
          <w:sz w:val="22"/>
          <w:szCs w:val="22"/>
        </w:rPr>
        <w:lastRenderedPageBreak/>
        <w:t>details.’</w:t>
      </w:r>
      <w:r>
        <w:rPr>
          <w:rStyle w:val="FootnoteReference"/>
          <w:rFonts w:ascii="Arial" w:hAnsi="Arial" w:cs="Arial"/>
          <w:sz w:val="22"/>
          <w:szCs w:val="22"/>
        </w:rPr>
        <w:footnoteReference w:id="7"/>
      </w:r>
      <w:r>
        <w:rPr>
          <w:rFonts w:ascii="Arial" w:hAnsi="Arial" w:cs="Arial"/>
          <w:sz w:val="22"/>
          <w:szCs w:val="22"/>
        </w:rPr>
        <w:t xml:space="preserve"> Gilman seeks to remove the father entirely to consider how power might be organised in </w:t>
      </w:r>
      <w:proofErr w:type="gramStart"/>
      <w:r>
        <w:rPr>
          <w:rFonts w:ascii="Arial" w:hAnsi="Arial" w:cs="Arial"/>
          <w:sz w:val="22"/>
          <w:szCs w:val="22"/>
        </w:rPr>
        <w:t>a her</w:t>
      </w:r>
      <w:proofErr w:type="gramEnd"/>
      <w:r>
        <w:rPr>
          <w:rFonts w:ascii="Arial" w:hAnsi="Arial" w:cs="Arial"/>
          <w:sz w:val="22"/>
          <w:szCs w:val="22"/>
        </w:rPr>
        <w:t>-</w:t>
      </w:r>
      <w:proofErr w:type="spellStart"/>
      <w:r>
        <w:rPr>
          <w:rFonts w:ascii="Arial" w:hAnsi="Arial" w:cs="Arial"/>
          <w:sz w:val="22"/>
          <w:szCs w:val="22"/>
        </w:rPr>
        <w:t>archy</w:t>
      </w:r>
      <w:proofErr w:type="spellEnd"/>
      <w:r>
        <w:rPr>
          <w:rFonts w:ascii="Arial" w:hAnsi="Arial" w:cs="Arial"/>
          <w:sz w:val="22"/>
          <w:szCs w:val="22"/>
        </w:rPr>
        <w:t xml:space="preserve">. </w:t>
      </w:r>
    </w:p>
    <w:p w14:paraId="48D0B177" w14:textId="0128FC7D" w:rsidR="003B76E8" w:rsidRDefault="003B76E8" w:rsidP="003B76E8">
      <w:pPr>
        <w:spacing w:line="480" w:lineRule="auto"/>
        <w:rPr>
          <w:rFonts w:ascii="Arial" w:hAnsi="Arial" w:cs="Arial"/>
          <w:sz w:val="22"/>
          <w:szCs w:val="22"/>
        </w:rPr>
      </w:pPr>
      <w:r>
        <w:rPr>
          <w:rFonts w:ascii="Arial" w:hAnsi="Arial" w:cs="Arial"/>
          <w:i/>
          <w:iCs/>
          <w:sz w:val="22"/>
          <w:szCs w:val="22"/>
        </w:rPr>
        <w:t xml:space="preserve">Herland </w:t>
      </w:r>
      <w:r>
        <w:rPr>
          <w:rFonts w:ascii="Arial" w:hAnsi="Arial" w:cs="Arial"/>
          <w:sz w:val="22"/>
          <w:szCs w:val="22"/>
        </w:rPr>
        <w:t xml:space="preserve">is not the first text to attempt the removal of an entire sex in the generation of life. Whilst not an obvious utopian text, Mary Shelley’s </w:t>
      </w:r>
      <w:r>
        <w:rPr>
          <w:rFonts w:ascii="Arial" w:hAnsi="Arial" w:cs="Arial"/>
          <w:i/>
          <w:iCs/>
          <w:sz w:val="22"/>
          <w:szCs w:val="22"/>
        </w:rPr>
        <w:t>Frankenstein</w:t>
      </w:r>
      <w:r>
        <w:rPr>
          <w:rStyle w:val="FootnoteReference"/>
          <w:rFonts w:ascii="Arial" w:hAnsi="Arial" w:cs="Arial"/>
          <w:i/>
          <w:iCs/>
          <w:sz w:val="22"/>
          <w:szCs w:val="22"/>
        </w:rPr>
        <w:footnoteReference w:id="8"/>
      </w:r>
      <w:r>
        <w:rPr>
          <w:rFonts w:ascii="Arial" w:hAnsi="Arial" w:cs="Arial"/>
          <w:i/>
          <w:iCs/>
          <w:sz w:val="22"/>
          <w:szCs w:val="22"/>
        </w:rPr>
        <w:t xml:space="preserve"> </w:t>
      </w:r>
      <w:r>
        <w:rPr>
          <w:rFonts w:ascii="Arial" w:hAnsi="Arial" w:cs="Arial"/>
          <w:sz w:val="22"/>
          <w:szCs w:val="22"/>
        </w:rPr>
        <w:t xml:space="preserve">investigates how a motherless world might function, almost a century earlier than Gilman’s text. What seems fundamental across </w:t>
      </w:r>
      <w:r w:rsidR="00AC0A58">
        <w:rPr>
          <w:rFonts w:ascii="Arial" w:hAnsi="Arial" w:cs="Arial"/>
          <w:sz w:val="22"/>
          <w:szCs w:val="22"/>
        </w:rPr>
        <w:t xml:space="preserve">feminist </w:t>
      </w:r>
      <w:r>
        <w:rPr>
          <w:rFonts w:ascii="Arial" w:hAnsi="Arial" w:cs="Arial"/>
          <w:sz w:val="22"/>
          <w:szCs w:val="22"/>
        </w:rPr>
        <w:t xml:space="preserve">utopian texts is that motherhood must be eradicated or radically reconfigured to make a utopia possible. However, where </w:t>
      </w:r>
      <w:r>
        <w:rPr>
          <w:rFonts w:ascii="Arial" w:hAnsi="Arial" w:cs="Arial"/>
          <w:i/>
          <w:iCs/>
          <w:sz w:val="22"/>
          <w:szCs w:val="22"/>
        </w:rPr>
        <w:t xml:space="preserve">Frankenstein </w:t>
      </w:r>
      <w:r>
        <w:rPr>
          <w:rFonts w:ascii="Arial" w:hAnsi="Arial" w:cs="Arial"/>
          <w:sz w:val="22"/>
          <w:szCs w:val="22"/>
        </w:rPr>
        <w:t xml:space="preserve">and </w:t>
      </w:r>
      <w:r>
        <w:rPr>
          <w:rFonts w:ascii="Arial" w:hAnsi="Arial" w:cs="Arial"/>
          <w:i/>
          <w:iCs/>
          <w:sz w:val="22"/>
          <w:szCs w:val="22"/>
        </w:rPr>
        <w:t xml:space="preserve">Herland </w:t>
      </w:r>
      <w:r>
        <w:rPr>
          <w:rFonts w:ascii="Arial" w:hAnsi="Arial" w:cs="Arial"/>
          <w:sz w:val="22"/>
          <w:szCs w:val="22"/>
        </w:rPr>
        <w:t>eradicate a whole sex, sexual intercourse and romantic relationships to do this, a further interpretation could offer the answer to the pitfalls of both. Among the emergence of the dystopian genre in the 1970s there was also a ‘revival of utopian writing’ that imagined ‘hopeful counterworlds</w:t>
      </w:r>
      <w:r w:rsidR="00384390">
        <w:rPr>
          <w:rFonts w:ascii="Arial" w:hAnsi="Arial" w:cs="Arial"/>
          <w:sz w:val="22"/>
          <w:szCs w:val="22"/>
        </w:rPr>
        <w:t>’</w:t>
      </w:r>
      <w:r>
        <w:rPr>
          <w:rFonts w:ascii="Arial" w:hAnsi="Arial" w:cs="Arial"/>
          <w:sz w:val="22"/>
          <w:szCs w:val="22"/>
        </w:rPr>
        <w:t>.</w:t>
      </w:r>
      <w:r>
        <w:rPr>
          <w:rStyle w:val="FootnoteReference"/>
          <w:rFonts w:ascii="Arial" w:hAnsi="Arial" w:cs="Arial"/>
          <w:sz w:val="22"/>
          <w:szCs w:val="22"/>
        </w:rPr>
        <w:footnoteReference w:id="9"/>
      </w:r>
      <w:r>
        <w:rPr>
          <w:rFonts w:ascii="Arial" w:hAnsi="Arial" w:cs="Arial"/>
          <w:sz w:val="22"/>
          <w:szCs w:val="22"/>
        </w:rPr>
        <w:t xml:space="preserve"> Marge Piercy’s </w:t>
      </w:r>
      <w:r>
        <w:rPr>
          <w:rFonts w:ascii="Arial" w:hAnsi="Arial" w:cs="Arial"/>
          <w:i/>
          <w:iCs/>
          <w:sz w:val="22"/>
          <w:szCs w:val="22"/>
        </w:rPr>
        <w:t>Woman on the Edge of Time,</w:t>
      </w:r>
      <w:r>
        <w:rPr>
          <w:rStyle w:val="FootnoteReference"/>
          <w:rFonts w:ascii="Arial" w:hAnsi="Arial" w:cs="Arial"/>
          <w:i/>
          <w:iCs/>
          <w:sz w:val="22"/>
          <w:szCs w:val="22"/>
        </w:rPr>
        <w:footnoteReference w:id="10"/>
      </w:r>
      <w:r>
        <w:rPr>
          <w:rFonts w:ascii="Arial" w:hAnsi="Arial" w:cs="Arial"/>
          <w:sz w:val="22"/>
          <w:szCs w:val="22"/>
        </w:rPr>
        <w:t xml:space="preserve"> (referred to hereafter as </w:t>
      </w:r>
      <w:r>
        <w:rPr>
          <w:rFonts w:ascii="Arial" w:hAnsi="Arial" w:cs="Arial"/>
          <w:i/>
          <w:iCs/>
          <w:sz w:val="22"/>
          <w:szCs w:val="22"/>
        </w:rPr>
        <w:t>Woman</w:t>
      </w:r>
      <w:r>
        <w:rPr>
          <w:rFonts w:ascii="Arial" w:hAnsi="Arial" w:cs="Arial"/>
          <w:sz w:val="22"/>
          <w:szCs w:val="22"/>
        </w:rPr>
        <w:t>) straddles utopian and dystopian worlds, creating what might be referred to as a ‘critical dystopia’.</w:t>
      </w:r>
      <w:r>
        <w:rPr>
          <w:rStyle w:val="FootnoteReference"/>
          <w:rFonts w:ascii="Arial" w:hAnsi="Arial" w:cs="Arial"/>
          <w:sz w:val="22"/>
          <w:szCs w:val="22"/>
        </w:rPr>
        <w:footnoteReference w:id="11"/>
      </w:r>
      <w:r>
        <w:rPr>
          <w:rFonts w:ascii="Arial" w:hAnsi="Arial" w:cs="Arial"/>
          <w:sz w:val="22"/>
          <w:szCs w:val="22"/>
        </w:rPr>
        <w:t xml:space="preserve"> For the purpose of this essay the focus will be on the utopian element of the text, the future setting of Mattapoisett in 2137. </w:t>
      </w:r>
    </w:p>
    <w:p w14:paraId="09350956" w14:textId="41C93AB4" w:rsidR="003B76E8" w:rsidRDefault="003B76E8" w:rsidP="003B76E8">
      <w:pPr>
        <w:spacing w:line="480" w:lineRule="auto"/>
        <w:rPr>
          <w:rFonts w:ascii="Arial" w:hAnsi="Arial" w:cs="Arial"/>
          <w:sz w:val="22"/>
          <w:szCs w:val="22"/>
        </w:rPr>
      </w:pPr>
      <w:r>
        <w:rPr>
          <w:rFonts w:ascii="Arial" w:hAnsi="Arial" w:cs="Arial"/>
          <w:sz w:val="22"/>
          <w:szCs w:val="22"/>
        </w:rPr>
        <w:t xml:space="preserve">Although these women writers and their texts are spread apart in time, all three have </w:t>
      </w:r>
      <w:proofErr w:type="gramStart"/>
      <w:r>
        <w:rPr>
          <w:rFonts w:ascii="Arial" w:hAnsi="Arial" w:cs="Arial"/>
          <w:sz w:val="22"/>
          <w:szCs w:val="22"/>
        </w:rPr>
        <w:t>a number of</w:t>
      </w:r>
      <w:proofErr w:type="gramEnd"/>
      <w:r>
        <w:rPr>
          <w:rFonts w:ascii="Arial" w:hAnsi="Arial" w:cs="Arial"/>
          <w:sz w:val="22"/>
          <w:szCs w:val="22"/>
        </w:rPr>
        <w:t xml:space="preserve"> thematic links that centre around the act of motherhood: they can all be linked through their exploration of eugenics; they all reject the nuclear family, and heterosexual couples as the social norm; they </w:t>
      </w:r>
      <w:r w:rsidR="00026AFE">
        <w:rPr>
          <w:rFonts w:ascii="Arial" w:hAnsi="Arial" w:cs="Arial"/>
          <w:sz w:val="22"/>
          <w:szCs w:val="22"/>
        </w:rPr>
        <w:t>dismantle</w:t>
      </w:r>
      <w:r>
        <w:rPr>
          <w:rFonts w:ascii="Arial" w:hAnsi="Arial" w:cs="Arial"/>
          <w:sz w:val="22"/>
          <w:szCs w:val="22"/>
        </w:rPr>
        <w:t xml:space="preserve"> traditional motherhood and reconfigure what a mother should be; and they all </w:t>
      </w:r>
      <w:r w:rsidR="007C34E5">
        <w:rPr>
          <w:rFonts w:ascii="Arial" w:hAnsi="Arial" w:cs="Arial"/>
          <w:sz w:val="22"/>
          <w:szCs w:val="22"/>
        </w:rPr>
        <w:t>discard</w:t>
      </w:r>
      <w:r>
        <w:rPr>
          <w:rFonts w:ascii="Arial" w:hAnsi="Arial" w:cs="Arial"/>
          <w:sz w:val="22"/>
          <w:szCs w:val="22"/>
        </w:rPr>
        <w:t xml:space="preserve"> standard reproduction. These texts show that in literary search of the perfect place, the same concerns and questions about motherhood span the centuries. This essay will suggest that Piercy offers some answers to the questions a</w:t>
      </w:r>
      <w:r w:rsidR="007C34E5">
        <w:rPr>
          <w:rFonts w:ascii="Arial" w:hAnsi="Arial" w:cs="Arial"/>
          <w:sz w:val="22"/>
          <w:szCs w:val="22"/>
        </w:rPr>
        <w:t>round</w:t>
      </w:r>
      <w:r>
        <w:rPr>
          <w:rFonts w:ascii="Arial" w:hAnsi="Arial" w:cs="Arial"/>
          <w:sz w:val="22"/>
          <w:szCs w:val="22"/>
        </w:rPr>
        <w:t xml:space="preserve"> utopian motherhood that the earlier texts posed.</w:t>
      </w:r>
    </w:p>
    <w:p w14:paraId="76B6354D" w14:textId="77777777" w:rsidR="002B7423" w:rsidRDefault="003B76E8" w:rsidP="003B76E8">
      <w:pPr>
        <w:spacing w:line="480" w:lineRule="auto"/>
        <w:rPr>
          <w:rFonts w:ascii="Arial" w:hAnsi="Arial" w:cs="Arial"/>
          <w:sz w:val="22"/>
          <w:szCs w:val="22"/>
        </w:rPr>
      </w:pPr>
      <w:r>
        <w:rPr>
          <w:rFonts w:ascii="Arial" w:hAnsi="Arial" w:cs="Arial"/>
          <w:sz w:val="22"/>
          <w:szCs w:val="22"/>
        </w:rPr>
        <w:t xml:space="preserve">The three women writers included had vastly differing real-life experiences of motherhood. Mary Shelley’s nineteenth century familial experiences are synonymous with pain. She grew up without a mother – her mother died after complications </w:t>
      </w:r>
      <w:r w:rsidR="003B400B">
        <w:rPr>
          <w:rFonts w:ascii="Arial" w:hAnsi="Arial" w:cs="Arial"/>
          <w:sz w:val="22"/>
          <w:szCs w:val="22"/>
        </w:rPr>
        <w:t>during</w:t>
      </w:r>
      <w:r>
        <w:rPr>
          <w:rFonts w:ascii="Arial" w:hAnsi="Arial" w:cs="Arial"/>
          <w:sz w:val="22"/>
          <w:szCs w:val="22"/>
        </w:rPr>
        <w:t xml:space="preserve"> Mary’s birth – and lost</w:t>
      </w:r>
      <w:r w:rsidR="00551D03">
        <w:rPr>
          <w:rFonts w:ascii="Arial" w:hAnsi="Arial" w:cs="Arial"/>
          <w:sz w:val="22"/>
          <w:szCs w:val="22"/>
        </w:rPr>
        <w:t xml:space="preserve"> </w:t>
      </w:r>
      <w:r w:rsidR="002B7423">
        <w:rPr>
          <w:rFonts w:ascii="Arial" w:hAnsi="Arial" w:cs="Arial"/>
          <w:sz w:val="22"/>
          <w:szCs w:val="22"/>
        </w:rPr>
        <w:t>three</w:t>
      </w:r>
      <w:r>
        <w:rPr>
          <w:rFonts w:ascii="Arial" w:hAnsi="Arial" w:cs="Arial"/>
          <w:sz w:val="22"/>
          <w:szCs w:val="22"/>
        </w:rPr>
        <w:t xml:space="preserve"> children of her own, with only one surviving child.</w:t>
      </w:r>
      <w:r>
        <w:rPr>
          <w:rStyle w:val="FootnoteReference"/>
          <w:rFonts w:ascii="Arial" w:hAnsi="Arial" w:cs="Arial"/>
          <w:sz w:val="22"/>
          <w:szCs w:val="22"/>
        </w:rPr>
        <w:footnoteReference w:id="12"/>
      </w:r>
      <w:r>
        <w:rPr>
          <w:rFonts w:ascii="Arial" w:hAnsi="Arial" w:cs="Arial"/>
          <w:sz w:val="22"/>
          <w:szCs w:val="22"/>
        </w:rPr>
        <w:t xml:space="preserve"> It could be suggested that she wasn’t a hands on mother</w:t>
      </w:r>
      <w:r w:rsidR="002B7423">
        <w:rPr>
          <w:rFonts w:ascii="Arial" w:hAnsi="Arial" w:cs="Arial"/>
          <w:sz w:val="22"/>
          <w:szCs w:val="22"/>
        </w:rPr>
        <w:t>,</w:t>
      </w:r>
      <w:r>
        <w:rPr>
          <w:rFonts w:ascii="Arial" w:hAnsi="Arial" w:cs="Arial"/>
          <w:sz w:val="22"/>
          <w:szCs w:val="22"/>
        </w:rPr>
        <w:t xml:space="preserve"> as </w:t>
      </w:r>
      <w:r w:rsidR="00551D03">
        <w:rPr>
          <w:rFonts w:ascii="Arial" w:hAnsi="Arial" w:cs="Arial"/>
          <w:sz w:val="22"/>
          <w:szCs w:val="22"/>
        </w:rPr>
        <w:t>she travelled</w:t>
      </w:r>
      <w:r w:rsidR="002B7423">
        <w:rPr>
          <w:rFonts w:ascii="Arial" w:hAnsi="Arial" w:cs="Arial"/>
          <w:sz w:val="22"/>
          <w:szCs w:val="22"/>
        </w:rPr>
        <w:t xml:space="preserve"> extensively</w:t>
      </w:r>
      <w:r w:rsidR="00551D03">
        <w:rPr>
          <w:rFonts w:ascii="Arial" w:hAnsi="Arial" w:cs="Arial"/>
          <w:sz w:val="22"/>
          <w:szCs w:val="22"/>
        </w:rPr>
        <w:t xml:space="preserve"> </w:t>
      </w:r>
      <w:r w:rsidR="006F6C42">
        <w:rPr>
          <w:rFonts w:ascii="Arial" w:hAnsi="Arial" w:cs="Arial"/>
          <w:sz w:val="22"/>
          <w:szCs w:val="22"/>
        </w:rPr>
        <w:lastRenderedPageBreak/>
        <w:t xml:space="preserve">whilst writing and attempting to get </w:t>
      </w:r>
      <w:r w:rsidR="006F6C42">
        <w:rPr>
          <w:rFonts w:ascii="Arial" w:hAnsi="Arial" w:cs="Arial"/>
          <w:i/>
          <w:iCs/>
          <w:sz w:val="22"/>
          <w:szCs w:val="22"/>
        </w:rPr>
        <w:t xml:space="preserve">Frankenstein </w:t>
      </w:r>
      <w:r w:rsidR="006F6C42">
        <w:rPr>
          <w:rFonts w:ascii="Arial" w:hAnsi="Arial" w:cs="Arial"/>
          <w:sz w:val="22"/>
          <w:szCs w:val="22"/>
        </w:rPr>
        <w:t>published.</w:t>
      </w:r>
      <w:r>
        <w:rPr>
          <w:rStyle w:val="FootnoteReference"/>
          <w:rFonts w:ascii="Arial" w:hAnsi="Arial" w:cs="Arial"/>
          <w:sz w:val="22"/>
          <w:szCs w:val="22"/>
        </w:rPr>
        <w:footnoteReference w:id="13"/>
      </w:r>
      <w:r>
        <w:rPr>
          <w:rFonts w:ascii="Arial" w:hAnsi="Arial" w:cs="Arial"/>
          <w:sz w:val="22"/>
          <w:szCs w:val="22"/>
        </w:rPr>
        <w:t xml:space="preserve"> In contrast, Marge Piercy had a happy, ‘normal’ upbringing and grew up in a less homosocial world than that of her forbears. Piercy never had children.</w:t>
      </w:r>
      <w:r>
        <w:rPr>
          <w:rStyle w:val="FootnoteReference"/>
          <w:rFonts w:ascii="Arial" w:hAnsi="Arial" w:cs="Arial"/>
          <w:sz w:val="22"/>
          <w:szCs w:val="22"/>
        </w:rPr>
        <w:footnoteReference w:id="14"/>
      </w:r>
      <w:r>
        <w:rPr>
          <w:rFonts w:ascii="Arial" w:hAnsi="Arial" w:cs="Arial"/>
          <w:sz w:val="22"/>
          <w:szCs w:val="22"/>
        </w:rPr>
        <w:t xml:space="preserve"> Perhaps the most controversial of these writers with regards to the term ‘mother’, is</w:t>
      </w:r>
      <w:r w:rsidR="009C5AF3">
        <w:rPr>
          <w:rFonts w:ascii="Arial" w:hAnsi="Arial" w:cs="Arial"/>
          <w:sz w:val="22"/>
          <w:szCs w:val="22"/>
        </w:rPr>
        <w:t xml:space="preserve"> </w:t>
      </w:r>
      <w:r>
        <w:rPr>
          <w:rFonts w:ascii="Arial" w:hAnsi="Arial" w:cs="Arial"/>
          <w:sz w:val="22"/>
          <w:szCs w:val="22"/>
        </w:rPr>
        <w:t>Gilman. Estranged from her father for much of her childhood and judging her mother as a manic example of overwhelming</w:t>
      </w:r>
      <w:r w:rsidR="00886EDC">
        <w:rPr>
          <w:rFonts w:ascii="Arial" w:hAnsi="Arial" w:cs="Arial"/>
          <w:sz w:val="22"/>
          <w:szCs w:val="22"/>
        </w:rPr>
        <w:t>,</w:t>
      </w:r>
      <w:r w:rsidR="00DF36F6">
        <w:rPr>
          <w:rFonts w:ascii="Arial" w:hAnsi="Arial" w:cs="Arial"/>
          <w:sz w:val="22"/>
          <w:szCs w:val="22"/>
        </w:rPr>
        <w:t xml:space="preserve"> manufactured</w:t>
      </w:r>
      <w:r>
        <w:rPr>
          <w:rFonts w:ascii="Arial" w:hAnsi="Arial" w:cs="Arial"/>
          <w:sz w:val="22"/>
          <w:szCs w:val="22"/>
        </w:rPr>
        <w:t xml:space="preserve"> femininity, Gilman never </w:t>
      </w:r>
      <w:r w:rsidR="00725D43">
        <w:rPr>
          <w:rFonts w:ascii="Arial" w:hAnsi="Arial" w:cs="Arial"/>
          <w:sz w:val="22"/>
          <w:szCs w:val="22"/>
        </w:rPr>
        <w:t>wanted</w:t>
      </w:r>
      <w:r>
        <w:rPr>
          <w:rFonts w:ascii="Arial" w:hAnsi="Arial" w:cs="Arial"/>
          <w:sz w:val="22"/>
          <w:szCs w:val="22"/>
        </w:rPr>
        <w:t xml:space="preserve"> to marry or enter the domestic sphere. Despite this, she ended up twice married and with a child of her own.</w:t>
      </w:r>
      <w:r>
        <w:rPr>
          <w:rStyle w:val="FootnoteReference"/>
          <w:rFonts w:ascii="Arial" w:hAnsi="Arial" w:cs="Arial"/>
          <w:sz w:val="22"/>
          <w:szCs w:val="22"/>
        </w:rPr>
        <w:footnoteReference w:id="15"/>
      </w:r>
      <w:r>
        <w:rPr>
          <w:rFonts w:ascii="Arial" w:hAnsi="Arial" w:cs="Arial"/>
          <w:sz w:val="22"/>
          <w:szCs w:val="22"/>
        </w:rPr>
        <w:t xml:space="preserve"> Gilman intended to spend her life working and being of service to the world through her writing and advocation for women’s rights.</w:t>
      </w:r>
      <w:r w:rsidR="007A44BC">
        <w:rPr>
          <w:rFonts w:ascii="Arial" w:hAnsi="Arial" w:cs="Arial"/>
          <w:sz w:val="22"/>
          <w:szCs w:val="22"/>
        </w:rPr>
        <w:t xml:space="preserve"> She</w:t>
      </w:r>
      <w:r>
        <w:rPr>
          <w:rFonts w:ascii="Arial" w:hAnsi="Arial" w:cs="Arial"/>
          <w:sz w:val="22"/>
          <w:szCs w:val="22"/>
        </w:rPr>
        <w:t xml:space="preserve"> gave up custody of her daughter to pursue this, believing it to be a </w:t>
      </w:r>
      <w:r w:rsidR="00384390">
        <w:rPr>
          <w:rFonts w:ascii="Arial" w:hAnsi="Arial" w:cs="Arial"/>
          <w:sz w:val="22"/>
          <w:szCs w:val="22"/>
        </w:rPr>
        <w:t>‘</w:t>
      </w:r>
      <w:r>
        <w:rPr>
          <w:rFonts w:ascii="Arial" w:hAnsi="Arial" w:cs="Arial"/>
          <w:sz w:val="22"/>
          <w:szCs w:val="22"/>
        </w:rPr>
        <w:t>necessary sacrifice</w:t>
      </w:r>
      <w:r w:rsidR="00384390">
        <w:rPr>
          <w:rFonts w:ascii="Arial" w:hAnsi="Arial" w:cs="Arial"/>
          <w:sz w:val="22"/>
          <w:szCs w:val="22"/>
        </w:rPr>
        <w:t>’</w:t>
      </w:r>
      <w:r>
        <w:rPr>
          <w:rFonts w:ascii="Arial" w:hAnsi="Arial" w:cs="Arial"/>
          <w:sz w:val="22"/>
          <w:szCs w:val="22"/>
        </w:rPr>
        <w:t>. Gilman had previously suffered with acute post-natal depression and struggled through a torturous marriage.</w:t>
      </w:r>
      <w:r w:rsidR="007A44BC">
        <w:rPr>
          <w:rStyle w:val="FootnoteReference"/>
          <w:rFonts w:ascii="Arial" w:hAnsi="Arial" w:cs="Arial"/>
          <w:sz w:val="22"/>
          <w:szCs w:val="22"/>
        </w:rPr>
        <w:footnoteReference w:id="16"/>
      </w:r>
      <w:r w:rsidR="007A44BC">
        <w:rPr>
          <w:rFonts w:ascii="Arial" w:hAnsi="Arial" w:cs="Arial"/>
          <w:sz w:val="22"/>
          <w:szCs w:val="22"/>
        </w:rPr>
        <w:t xml:space="preserve"> </w:t>
      </w:r>
      <w:r>
        <w:rPr>
          <w:rFonts w:ascii="Arial" w:hAnsi="Arial" w:cs="Arial"/>
          <w:sz w:val="22"/>
          <w:szCs w:val="22"/>
        </w:rPr>
        <w:t xml:space="preserve"> </w:t>
      </w:r>
    </w:p>
    <w:p w14:paraId="22706A6F" w14:textId="77777777" w:rsidR="002B7423" w:rsidRDefault="003B76E8" w:rsidP="003B76E8">
      <w:pPr>
        <w:spacing w:line="480" w:lineRule="auto"/>
        <w:rPr>
          <w:rFonts w:ascii="Arial" w:hAnsi="Arial" w:cs="Arial"/>
          <w:sz w:val="22"/>
          <w:szCs w:val="22"/>
        </w:rPr>
      </w:pPr>
      <w:r>
        <w:rPr>
          <w:rFonts w:ascii="Arial" w:hAnsi="Arial" w:cs="Arial"/>
          <w:sz w:val="22"/>
          <w:szCs w:val="22"/>
        </w:rPr>
        <w:t>Following the Victorian period, the exacerbation of sexual differentiation pushed sexual equality to become the key theme in utopia.</w:t>
      </w:r>
      <w:r>
        <w:rPr>
          <w:rStyle w:val="FootnoteReference"/>
          <w:rFonts w:ascii="Arial" w:hAnsi="Arial" w:cs="Arial"/>
          <w:sz w:val="22"/>
          <w:szCs w:val="22"/>
        </w:rPr>
        <w:footnoteReference w:id="17"/>
      </w:r>
      <w:r>
        <w:rPr>
          <w:rFonts w:ascii="Arial" w:hAnsi="Arial" w:cs="Arial"/>
          <w:sz w:val="22"/>
          <w:szCs w:val="22"/>
        </w:rPr>
        <w:t xml:space="preserve"> Gilman, a ‘new woman’ (defined as ‘highly educated, economically autonomous, and often supportive of radical economic and social reforms’), had no intention of playing the supporting role to her husband or being bound by ‘the middle-class ideal of domestic femininity’ and private motherhood. Paradoxically, the ideals central to</w:t>
      </w:r>
      <w:r w:rsidR="00992F44">
        <w:rPr>
          <w:rFonts w:ascii="Arial" w:hAnsi="Arial" w:cs="Arial"/>
          <w:sz w:val="22"/>
          <w:szCs w:val="22"/>
        </w:rPr>
        <w:t xml:space="preserve"> </w:t>
      </w:r>
      <w:r>
        <w:rPr>
          <w:rFonts w:ascii="Arial" w:hAnsi="Arial" w:cs="Arial"/>
          <w:sz w:val="22"/>
          <w:szCs w:val="22"/>
        </w:rPr>
        <w:t xml:space="preserve">Gilman’s vision of the gender-equalised future </w:t>
      </w:r>
      <w:r w:rsidR="005269C1">
        <w:rPr>
          <w:rFonts w:ascii="Arial" w:hAnsi="Arial" w:cs="Arial"/>
          <w:sz w:val="22"/>
          <w:szCs w:val="22"/>
        </w:rPr>
        <w:t>originate from</w:t>
      </w:r>
      <w:r>
        <w:rPr>
          <w:rFonts w:ascii="Arial" w:hAnsi="Arial" w:cs="Arial"/>
          <w:sz w:val="22"/>
          <w:szCs w:val="22"/>
        </w:rPr>
        <w:t xml:space="preserve"> what she termed the ‘World Mother’. She suggested that freed from domesticity, women could use their innate feminine qualities to do good in the world. Qualities she claimed were essential to the realisation of utopia.</w:t>
      </w:r>
      <w:r>
        <w:rPr>
          <w:rStyle w:val="FootnoteReference"/>
          <w:rFonts w:ascii="Arial" w:hAnsi="Arial" w:cs="Arial"/>
          <w:sz w:val="22"/>
          <w:szCs w:val="22"/>
        </w:rPr>
        <w:footnoteReference w:id="18"/>
      </w:r>
      <w:r>
        <w:rPr>
          <w:rFonts w:ascii="Arial" w:hAnsi="Arial" w:cs="Arial"/>
          <w:sz w:val="22"/>
          <w:szCs w:val="22"/>
        </w:rPr>
        <w:t xml:space="preserve"> If </w:t>
      </w:r>
      <w:r>
        <w:rPr>
          <w:rFonts w:ascii="Arial" w:hAnsi="Arial" w:cs="Arial"/>
          <w:i/>
          <w:iCs/>
          <w:sz w:val="22"/>
          <w:szCs w:val="22"/>
        </w:rPr>
        <w:t xml:space="preserve">Herland </w:t>
      </w:r>
      <w:r>
        <w:rPr>
          <w:rFonts w:ascii="Arial" w:hAnsi="Arial" w:cs="Arial"/>
          <w:sz w:val="22"/>
          <w:szCs w:val="22"/>
        </w:rPr>
        <w:t xml:space="preserve">is to be considered a polemic on utopia, the centrality of </w:t>
      </w:r>
      <w:r w:rsidR="00BC49A5">
        <w:rPr>
          <w:rFonts w:ascii="Arial" w:hAnsi="Arial" w:cs="Arial"/>
          <w:sz w:val="22"/>
          <w:szCs w:val="22"/>
        </w:rPr>
        <w:t>world</w:t>
      </w:r>
      <w:r w:rsidR="002B7423">
        <w:rPr>
          <w:rFonts w:ascii="Arial" w:hAnsi="Arial" w:cs="Arial"/>
          <w:sz w:val="22"/>
          <w:szCs w:val="22"/>
        </w:rPr>
        <w:t xml:space="preserve"> </w:t>
      </w:r>
      <w:r>
        <w:rPr>
          <w:rFonts w:ascii="Arial" w:hAnsi="Arial" w:cs="Arial"/>
          <w:sz w:val="22"/>
          <w:szCs w:val="22"/>
        </w:rPr>
        <w:t>motherhood defines and reflects these qualities, as does the rejection of private motherhood.</w:t>
      </w:r>
      <w:r w:rsidR="002B7423">
        <w:rPr>
          <w:rFonts w:ascii="Arial" w:hAnsi="Arial" w:cs="Arial"/>
          <w:sz w:val="22"/>
          <w:szCs w:val="22"/>
        </w:rPr>
        <w:t xml:space="preserve"> </w:t>
      </w:r>
    </w:p>
    <w:p w14:paraId="4BBDABD7" w14:textId="3CA9803F" w:rsidR="003B76E8" w:rsidRDefault="003B76E8" w:rsidP="003B76E8">
      <w:pPr>
        <w:spacing w:line="480" w:lineRule="auto"/>
        <w:rPr>
          <w:rFonts w:ascii="Arial" w:hAnsi="Arial" w:cs="Arial"/>
          <w:sz w:val="22"/>
          <w:szCs w:val="22"/>
        </w:rPr>
      </w:pPr>
      <w:r>
        <w:rPr>
          <w:rFonts w:ascii="Arial" w:hAnsi="Arial" w:cs="Arial"/>
          <w:sz w:val="22"/>
          <w:szCs w:val="22"/>
        </w:rPr>
        <w:t xml:space="preserve">In their reimagining of </w:t>
      </w:r>
      <w:r w:rsidR="00BC49A5">
        <w:rPr>
          <w:rFonts w:ascii="Arial" w:hAnsi="Arial" w:cs="Arial"/>
          <w:sz w:val="22"/>
          <w:szCs w:val="22"/>
        </w:rPr>
        <w:t xml:space="preserve">the parent and </w:t>
      </w:r>
      <w:r w:rsidR="00C32675">
        <w:rPr>
          <w:rFonts w:ascii="Arial" w:hAnsi="Arial" w:cs="Arial"/>
          <w:sz w:val="22"/>
          <w:szCs w:val="22"/>
        </w:rPr>
        <w:t>nurturer</w:t>
      </w:r>
      <w:r>
        <w:rPr>
          <w:rFonts w:ascii="Arial" w:hAnsi="Arial" w:cs="Arial"/>
          <w:sz w:val="22"/>
          <w:szCs w:val="22"/>
        </w:rPr>
        <w:t xml:space="preserve">, all three writers resoundingly reject the nuclear family. According to Gilman, women could not bring their motherly qualities to good use in the world until they were freed from </w:t>
      </w:r>
      <w:r w:rsidR="00C32675">
        <w:rPr>
          <w:rFonts w:ascii="Arial" w:hAnsi="Arial" w:cs="Arial"/>
          <w:sz w:val="22"/>
          <w:szCs w:val="22"/>
        </w:rPr>
        <w:t>the drudgery of the home</w:t>
      </w:r>
      <w:r>
        <w:rPr>
          <w:rFonts w:ascii="Arial" w:hAnsi="Arial" w:cs="Arial"/>
          <w:sz w:val="22"/>
          <w:szCs w:val="22"/>
        </w:rPr>
        <w:t>.</w:t>
      </w:r>
      <w:r>
        <w:rPr>
          <w:rStyle w:val="FootnoteReference"/>
          <w:rFonts w:ascii="Arial" w:hAnsi="Arial" w:cs="Arial"/>
          <w:sz w:val="22"/>
          <w:szCs w:val="22"/>
        </w:rPr>
        <w:footnoteReference w:id="19"/>
      </w:r>
      <w:r>
        <w:rPr>
          <w:rFonts w:ascii="Arial" w:hAnsi="Arial" w:cs="Arial"/>
          <w:sz w:val="22"/>
          <w:szCs w:val="22"/>
        </w:rPr>
        <w:t xml:space="preserve"> She was convinced that sexual relationships, marriage, and the domestic sphere kept women in economic slavery. In </w:t>
      </w:r>
      <w:r>
        <w:rPr>
          <w:rFonts w:ascii="Arial" w:hAnsi="Arial" w:cs="Arial"/>
          <w:i/>
          <w:iCs/>
          <w:sz w:val="22"/>
          <w:szCs w:val="22"/>
        </w:rPr>
        <w:t>Women and Economics,</w:t>
      </w:r>
      <w:r>
        <w:rPr>
          <w:rFonts w:ascii="Arial" w:hAnsi="Arial" w:cs="Arial"/>
          <w:sz w:val="22"/>
          <w:szCs w:val="22"/>
        </w:rPr>
        <w:t xml:space="preserve"> she wrote that when </w:t>
      </w:r>
      <w:r>
        <w:rPr>
          <w:rFonts w:ascii="Arial" w:hAnsi="Arial" w:cs="Arial"/>
          <w:sz w:val="22"/>
          <w:szCs w:val="22"/>
        </w:rPr>
        <w:lastRenderedPageBreak/>
        <w:t>constrained by marriage, a woman’s value would only bear relation to her husband,</w:t>
      </w:r>
      <w:r>
        <w:rPr>
          <w:rStyle w:val="FootnoteReference"/>
          <w:rFonts w:ascii="Arial" w:hAnsi="Arial" w:cs="Arial"/>
          <w:sz w:val="22"/>
          <w:szCs w:val="22"/>
        </w:rPr>
        <w:footnoteReference w:id="20"/>
      </w:r>
      <w:r>
        <w:rPr>
          <w:rFonts w:ascii="Arial" w:hAnsi="Arial" w:cs="Arial"/>
          <w:sz w:val="22"/>
          <w:szCs w:val="22"/>
        </w:rPr>
        <w:t xml:space="preserve"> and urged women to develop a ‘new sense, not only of their social responsibility as individuals, but of their measureless racial importance as makers of men.’</w:t>
      </w:r>
      <w:r>
        <w:rPr>
          <w:rStyle w:val="FootnoteReference"/>
          <w:rFonts w:ascii="Arial" w:hAnsi="Arial" w:cs="Arial"/>
          <w:sz w:val="22"/>
          <w:szCs w:val="22"/>
        </w:rPr>
        <w:footnoteReference w:id="21"/>
      </w:r>
      <w:r>
        <w:rPr>
          <w:rFonts w:ascii="Arial" w:hAnsi="Arial" w:cs="Arial"/>
          <w:sz w:val="22"/>
          <w:szCs w:val="22"/>
        </w:rPr>
        <w:t xml:space="preserve"> Through this statement in her non-fiction writing – and some argue through her organisation of characters in </w:t>
      </w:r>
      <w:r>
        <w:rPr>
          <w:rFonts w:ascii="Arial" w:hAnsi="Arial" w:cs="Arial"/>
          <w:i/>
          <w:iCs/>
          <w:sz w:val="22"/>
          <w:szCs w:val="22"/>
        </w:rPr>
        <w:t>Herland,</w:t>
      </w:r>
      <w:r>
        <w:rPr>
          <w:rStyle w:val="FootnoteReference"/>
          <w:rFonts w:ascii="Arial" w:hAnsi="Arial" w:cs="Arial"/>
          <w:i/>
          <w:iCs/>
          <w:sz w:val="22"/>
          <w:szCs w:val="22"/>
        </w:rPr>
        <w:footnoteReference w:id="22"/>
      </w:r>
      <w:r>
        <w:rPr>
          <w:rFonts w:ascii="Arial" w:hAnsi="Arial" w:cs="Arial"/>
          <w:i/>
          <w:iCs/>
          <w:sz w:val="22"/>
          <w:szCs w:val="22"/>
        </w:rPr>
        <w:t xml:space="preserve"> – </w:t>
      </w:r>
      <w:r>
        <w:rPr>
          <w:rFonts w:ascii="Arial" w:hAnsi="Arial" w:cs="Arial"/>
          <w:sz w:val="22"/>
          <w:szCs w:val="22"/>
        </w:rPr>
        <w:t>Gilman appears to perpetuate patriarchal ideals. Here</w:t>
      </w:r>
      <w:r w:rsidR="008C266E">
        <w:rPr>
          <w:rFonts w:ascii="Arial" w:hAnsi="Arial" w:cs="Arial"/>
          <w:sz w:val="22"/>
          <w:szCs w:val="22"/>
        </w:rPr>
        <w:t>,</w:t>
      </w:r>
      <w:r>
        <w:rPr>
          <w:rFonts w:ascii="Arial" w:hAnsi="Arial" w:cs="Arial"/>
          <w:sz w:val="22"/>
          <w:szCs w:val="22"/>
        </w:rPr>
        <w:t xml:space="preserve"> by suggesting women’s importance lies in making men. Perhaps the only way she </w:t>
      </w:r>
      <w:r w:rsidR="00CE1BE7">
        <w:rPr>
          <w:rFonts w:ascii="Arial" w:hAnsi="Arial" w:cs="Arial"/>
          <w:sz w:val="22"/>
          <w:szCs w:val="22"/>
        </w:rPr>
        <w:t>could envisage the possibility of a</w:t>
      </w:r>
      <w:r>
        <w:rPr>
          <w:rFonts w:ascii="Arial" w:hAnsi="Arial" w:cs="Arial"/>
          <w:sz w:val="22"/>
          <w:szCs w:val="22"/>
        </w:rPr>
        <w:t xml:space="preserve"> women’s utopia would be th</w:t>
      </w:r>
      <w:r w:rsidR="00583CBA">
        <w:rPr>
          <w:rFonts w:ascii="Arial" w:hAnsi="Arial" w:cs="Arial"/>
          <w:sz w:val="22"/>
          <w:szCs w:val="22"/>
        </w:rPr>
        <w:t>rough the</w:t>
      </w:r>
      <w:r>
        <w:rPr>
          <w:rFonts w:ascii="Arial" w:hAnsi="Arial" w:cs="Arial"/>
          <w:sz w:val="22"/>
          <w:szCs w:val="22"/>
        </w:rPr>
        <w:t xml:space="preserve"> full eradication of the male. The recognition of the family as the source of women’s oppression is echoed by Chodorow. ‘Women’s mothering is central to the sexual division of labour. Women’s maternal role has profound effects on women’s lives, on ideology about women, on the reproduction of masculinity and sexual inequality, and on the reproduction of particular forms of labour power.’</w:t>
      </w:r>
      <w:r>
        <w:rPr>
          <w:rStyle w:val="FootnoteReference"/>
          <w:rFonts w:ascii="Arial" w:hAnsi="Arial" w:cs="Arial"/>
          <w:sz w:val="22"/>
          <w:szCs w:val="22"/>
        </w:rPr>
        <w:footnoteReference w:id="23"/>
      </w:r>
      <w:r>
        <w:rPr>
          <w:rFonts w:ascii="Arial" w:hAnsi="Arial" w:cs="Arial"/>
          <w:sz w:val="22"/>
          <w:szCs w:val="22"/>
        </w:rPr>
        <w:t xml:space="preserve"> Economic freedom was more important to Gilman than suffrage, and the escape from the private home was the only way to work towards socialism and eventually utopia, which could not be achieved without </w:t>
      </w:r>
      <w:r w:rsidR="00583CBA">
        <w:rPr>
          <w:rFonts w:ascii="Arial" w:hAnsi="Arial" w:cs="Arial"/>
          <w:sz w:val="22"/>
          <w:szCs w:val="22"/>
        </w:rPr>
        <w:t>‘</w:t>
      </w:r>
      <w:r>
        <w:rPr>
          <w:rFonts w:ascii="Arial" w:hAnsi="Arial" w:cs="Arial"/>
          <w:sz w:val="22"/>
          <w:szCs w:val="22"/>
        </w:rPr>
        <w:t>women’s distinctive contributions</w:t>
      </w:r>
      <w:r w:rsidR="00583CBA">
        <w:rPr>
          <w:rFonts w:ascii="Arial" w:hAnsi="Arial" w:cs="Arial"/>
          <w:sz w:val="22"/>
          <w:szCs w:val="22"/>
        </w:rPr>
        <w:t>’</w:t>
      </w:r>
      <w:r>
        <w:rPr>
          <w:rFonts w:ascii="Arial" w:hAnsi="Arial" w:cs="Arial"/>
          <w:sz w:val="22"/>
          <w:szCs w:val="22"/>
        </w:rPr>
        <w:t>.</w:t>
      </w:r>
      <w:r>
        <w:rPr>
          <w:rStyle w:val="FootnoteReference"/>
          <w:rFonts w:ascii="Arial" w:hAnsi="Arial" w:cs="Arial"/>
          <w:sz w:val="22"/>
          <w:szCs w:val="22"/>
        </w:rPr>
        <w:footnoteReference w:id="24"/>
      </w:r>
      <w:r>
        <w:rPr>
          <w:rFonts w:ascii="Arial" w:hAnsi="Arial" w:cs="Arial"/>
          <w:sz w:val="22"/>
          <w:szCs w:val="22"/>
        </w:rPr>
        <w:t xml:space="preserve"> </w:t>
      </w:r>
      <w:r>
        <w:rPr>
          <w:rFonts w:ascii="Arial" w:hAnsi="Arial" w:cs="Arial"/>
          <w:i/>
          <w:iCs/>
          <w:sz w:val="22"/>
          <w:szCs w:val="22"/>
        </w:rPr>
        <w:t xml:space="preserve">Herland </w:t>
      </w:r>
      <w:r>
        <w:rPr>
          <w:rFonts w:ascii="Arial" w:hAnsi="Arial" w:cs="Arial"/>
          <w:sz w:val="22"/>
          <w:szCs w:val="22"/>
        </w:rPr>
        <w:t>gave Gilman the opportunity to explore the potential of women emancipated from motherhood and the economic nature of sexual relationships</w:t>
      </w:r>
      <w:r w:rsidR="002B7423">
        <w:rPr>
          <w:rFonts w:ascii="Arial" w:hAnsi="Arial" w:cs="Arial"/>
          <w:sz w:val="22"/>
          <w:szCs w:val="22"/>
        </w:rPr>
        <w:t>,</w:t>
      </w:r>
      <w:r>
        <w:rPr>
          <w:rFonts w:ascii="Arial" w:hAnsi="Arial" w:cs="Arial"/>
          <w:sz w:val="22"/>
          <w:szCs w:val="22"/>
        </w:rPr>
        <w:t xml:space="preserve"> and challenge the separation of public and private spheres. The women of Herland’s ‘virgin birth capacity renders heterosexuality incidental and allows Gilman the opportunity to re-imagine a new configuration for human relationships.’</w:t>
      </w:r>
      <w:r>
        <w:rPr>
          <w:rStyle w:val="FootnoteReference"/>
          <w:rFonts w:ascii="Arial" w:hAnsi="Arial" w:cs="Arial"/>
          <w:sz w:val="22"/>
          <w:szCs w:val="22"/>
        </w:rPr>
        <w:footnoteReference w:id="25"/>
      </w:r>
      <w:r>
        <w:rPr>
          <w:rFonts w:ascii="Arial" w:hAnsi="Arial" w:cs="Arial"/>
          <w:sz w:val="22"/>
          <w:szCs w:val="22"/>
        </w:rPr>
        <w:t xml:space="preserve"> It appears consequential that the women of </w:t>
      </w:r>
      <w:r w:rsidRPr="0047116B">
        <w:rPr>
          <w:rFonts w:ascii="Arial" w:hAnsi="Arial" w:cs="Arial"/>
          <w:sz w:val="22"/>
          <w:szCs w:val="22"/>
        </w:rPr>
        <w:t xml:space="preserve">Herland </w:t>
      </w:r>
      <w:r>
        <w:rPr>
          <w:rFonts w:ascii="Arial" w:hAnsi="Arial" w:cs="Arial"/>
          <w:sz w:val="22"/>
          <w:szCs w:val="22"/>
        </w:rPr>
        <w:t>do not experience</w:t>
      </w:r>
      <w:r>
        <w:rPr>
          <w:rFonts w:ascii="Arial" w:hAnsi="Arial" w:cs="Arial"/>
          <w:i/>
          <w:iCs/>
          <w:sz w:val="22"/>
          <w:szCs w:val="22"/>
        </w:rPr>
        <w:t xml:space="preserve"> </w:t>
      </w:r>
      <w:r>
        <w:rPr>
          <w:rFonts w:ascii="Arial" w:hAnsi="Arial" w:cs="Arial"/>
          <w:sz w:val="22"/>
          <w:szCs w:val="22"/>
        </w:rPr>
        <w:t>any form of sexual attraction. Bartkowski suggests that ‘Gilman’s late Victorian sexual ethics are apparent in all her writings.’</w:t>
      </w:r>
      <w:r>
        <w:rPr>
          <w:rStyle w:val="FootnoteReference"/>
          <w:rFonts w:ascii="Arial" w:hAnsi="Arial" w:cs="Arial"/>
          <w:sz w:val="22"/>
          <w:szCs w:val="22"/>
        </w:rPr>
        <w:footnoteReference w:id="26"/>
      </w:r>
      <w:r>
        <w:rPr>
          <w:rFonts w:ascii="Arial" w:hAnsi="Arial" w:cs="Arial"/>
          <w:sz w:val="22"/>
          <w:szCs w:val="22"/>
        </w:rPr>
        <w:t xml:space="preserve"> Yet, Gilman was not prejudiced against homosexual relationships and experienced intense</w:t>
      </w:r>
      <w:r w:rsidR="00FA2B45">
        <w:rPr>
          <w:rFonts w:ascii="Arial" w:hAnsi="Arial" w:cs="Arial"/>
          <w:sz w:val="22"/>
          <w:szCs w:val="22"/>
        </w:rPr>
        <w:t xml:space="preserve"> and intimate</w:t>
      </w:r>
      <w:r>
        <w:rPr>
          <w:rFonts w:ascii="Arial" w:hAnsi="Arial" w:cs="Arial"/>
          <w:sz w:val="22"/>
          <w:szCs w:val="22"/>
        </w:rPr>
        <w:t xml:space="preserve"> relationships with female friends.</w:t>
      </w:r>
      <w:r>
        <w:rPr>
          <w:rStyle w:val="FootnoteReference"/>
          <w:rFonts w:ascii="Arial" w:hAnsi="Arial" w:cs="Arial"/>
          <w:sz w:val="22"/>
          <w:szCs w:val="22"/>
        </w:rPr>
        <w:footnoteReference w:id="27"/>
      </w:r>
      <w:r>
        <w:rPr>
          <w:rFonts w:ascii="Arial" w:hAnsi="Arial" w:cs="Arial"/>
          <w:sz w:val="22"/>
          <w:szCs w:val="22"/>
        </w:rPr>
        <w:t xml:space="preserve"> </w:t>
      </w:r>
      <w:r w:rsidR="00FA2B45">
        <w:rPr>
          <w:rFonts w:ascii="Arial" w:hAnsi="Arial" w:cs="Arial"/>
          <w:sz w:val="22"/>
          <w:szCs w:val="22"/>
        </w:rPr>
        <w:t xml:space="preserve">It could be </w:t>
      </w:r>
      <w:r w:rsidR="002B7423">
        <w:rPr>
          <w:rFonts w:ascii="Arial" w:hAnsi="Arial" w:cs="Arial"/>
          <w:sz w:val="22"/>
          <w:szCs w:val="22"/>
        </w:rPr>
        <w:t>implied</w:t>
      </w:r>
      <w:r w:rsidR="00FA2B45">
        <w:rPr>
          <w:rFonts w:ascii="Arial" w:hAnsi="Arial" w:cs="Arial"/>
          <w:sz w:val="22"/>
          <w:szCs w:val="22"/>
        </w:rPr>
        <w:t xml:space="preserve"> that</w:t>
      </w:r>
      <w:r>
        <w:rPr>
          <w:rFonts w:ascii="Arial" w:hAnsi="Arial" w:cs="Arial"/>
          <w:sz w:val="22"/>
          <w:szCs w:val="22"/>
        </w:rPr>
        <w:t xml:space="preserve"> through the lens of all sexual relationships being economic, any sexual relationships in </w:t>
      </w:r>
      <w:r w:rsidRPr="00420634">
        <w:rPr>
          <w:rFonts w:ascii="Arial" w:hAnsi="Arial" w:cs="Arial"/>
          <w:sz w:val="22"/>
          <w:szCs w:val="22"/>
        </w:rPr>
        <w:t xml:space="preserve">Herland </w:t>
      </w:r>
      <w:r>
        <w:rPr>
          <w:rFonts w:ascii="Arial" w:hAnsi="Arial" w:cs="Arial"/>
          <w:sz w:val="22"/>
          <w:szCs w:val="22"/>
        </w:rPr>
        <w:t xml:space="preserve">may have created economic hierarchy. The three male characters are rendered asexual on arrival and have no power over the women. ‘Nuns, </w:t>
      </w:r>
      <w:r>
        <w:rPr>
          <w:rFonts w:ascii="Arial" w:hAnsi="Arial" w:cs="Arial"/>
          <w:sz w:val="22"/>
          <w:szCs w:val="22"/>
        </w:rPr>
        <w:lastRenderedPageBreak/>
        <w:t>indeed! Your peaceful sisterhoods were all celibate, Jeff, and under vows of obedience. These are just women, and mothers, and where there’s motherhood you don’t find sisterhood—not much.’</w:t>
      </w:r>
      <w:r>
        <w:rPr>
          <w:rStyle w:val="FootnoteReference"/>
          <w:rFonts w:ascii="Arial" w:hAnsi="Arial" w:cs="Arial"/>
          <w:sz w:val="22"/>
          <w:szCs w:val="22"/>
        </w:rPr>
        <w:footnoteReference w:id="28"/>
      </w:r>
      <w:r>
        <w:rPr>
          <w:rFonts w:ascii="Arial" w:hAnsi="Arial" w:cs="Arial"/>
          <w:sz w:val="22"/>
          <w:szCs w:val="22"/>
        </w:rPr>
        <w:t xml:space="preserve"> Terry emphasises that </w:t>
      </w:r>
      <w:r w:rsidR="006C211E">
        <w:rPr>
          <w:rFonts w:ascii="Arial" w:hAnsi="Arial" w:cs="Arial"/>
          <w:sz w:val="22"/>
          <w:szCs w:val="22"/>
        </w:rPr>
        <w:t xml:space="preserve">in his land, </w:t>
      </w:r>
      <w:r>
        <w:rPr>
          <w:rFonts w:ascii="Arial" w:hAnsi="Arial" w:cs="Arial"/>
          <w:sz w:val="22"/>
          <w:szCs w:val="22"/>
        </w:rPr>
        <w:t>women who are not interested in sex have no worth. He assumes they must be under vows of obedience, illuminating his own ignorance that any woman may not experience sexual desire. The implication that women can only find sisterhood through their worth in the eyes of men further evokes the inconsequentiality of motherhood. Chang argues that sexual abstinence among women in the late nineteenth century was not about sexual freedom, but morality, health concerns and the rejection of domesticity in a move towards economic independence.</w:t>
      </w:r>
      <w:r>
        <w:rPr>
          <w:rStyle w:val="FootnoteReference"/>
          <w:rFonts w:ascii="Arial" w:hAnsi="Arial" w:cs="Arial"/>
          <w:sz w:val="22"/>
          <w:szCs w:val="22"/>
        </w:rPr>
        <w:footnoteReference w:id="29"/>
      </w:r>
      <w:r>
        <w:rPr>
          <w:rFonts w:ascii="Arial" w:hAnsi="Arial" w:cs="Arial"/>
          <w:sz w:val="22"/>
          <w:szCs w:val="22"/>
        </w:rPr>
        <w:t xml:space="preserve"> The women of </w:t>
      </w:r>
      <w:r w:rsidRPr="00FF1506">
        <w:rPr>
          <w:rFonts w:ascii="Arial" w:hAnsi="Arial" w:cs="Arial"/>
          <w:sz w:val="22"/>
          <w:szCs w:val="22"/>
        </w:rPr>
        <w:t>Herland</w:t>
      </w:r>
      <w:r>
        <w:rPr>
          <w:rFonts w:ascii="Arial" w:hAnsi="Arial" w:cs="Arial"/>
          <w:i/>
          <w:iCs/>
          <w:sz w:val="22"/>
          <w:szCs w:val="22"/>
        </w:rPr>
        <w:t xml:space="preserve"> </w:t>
      </w:r>
      <w:r>
        <w:rPr>
          <w:rFonts w:ascii="Arial" w:hAnsi="Arial" w:cs="Arial"/>
          <w:sz w:val="22"/>
          <w:szCs w:val="22"/>
        </w:rPr>
        <w:t xml:space="preserve">are economically free. However, it is complicated to imagine how the women of </w:t>
      </w:r>
      <w:r w:rsidRPr="00FF1506">
        <w:rPr>
          <w:rFonts w:ascii="Arial" w:hAnsi="Arial" w:cs="Arial"/>
          <w:sz w:val="22"/>
          <w:szCs w:val="22"/>
        </w:rPr>
        <w:t>Herland</w:t>
      </w:r>
      <w:r>
        <w:rPr>
          <w:rFonts w:ascii="Arial" w:hAnsi="Arial" w:cs="Arial"/>
          <w:i/>
          <w:iCs/>
          <w:sz w:val="22"/>
          <w:szCs w:val="22"/>
        </w:rPr>
        <w:t xml:space="preserve"> </w:t>
      </w:r>
      <w:r>
        <w:rPr>
          <w:rFonts w:ascii="Arial" w:hAnsi="Arial" w:cs="Arial"/>
          <w:sz w:val="22"/>
          <w:szCs w:val="22"/>
        </w:rPr>
        <w:t>are freed from sexual desire</w:t>
      </w:r>
      <w:r w:rsidR="002A7D6C">
        <w:rPr>
          <w:rFonts w:ascii="Arial" w:hAnsi="Arial" w:cs="Arial"/>
          <w:sz w:val="22"/>
          <w:szCs w:val="22"/>
        </w:rPr>
        <w:t>,</w:t>
      </w:r>
      <w:r>
        <w:rPr>
          <w:rFonts w:ascii="Arial" w:hAnsi="Arial" w:cs="Arial"/>
          <w:sz w:val="22"/>
          <w:szCs w:val="22"/>
        </w:rPr>
        <w:t xml:space="preserve"> just so that they can devote their entire lives to motherhood. Yet this is not the private domestic </w:t>
      </w:r>
      <w:r w:rsidR="002A7D6C">
        <w:rPr>
          <w:rFonts w:ascii="Arial" w:hAnsi="Arial" w:cs="Arial"/>
          <w:sz w:val="22"/>
          <w:szCs w:val="22"/>
        </w:rPr>
        <w:t>‘torture’</w:t>
      </w:r>
      <w:r w:rsidR="002A7D6C">
        <w:rPr>
          <w:rStyle w:val="FootnoteReference"/>
          <w:rFonts w:ascii="Arial" w:hAnsi="Arial" w:cs="Arial"/>
          <w:sz w:val="22"/>
          <w:szCs w:val="22"/>
        </w:rPr>
        <w:footnoteReference w:id="30"/>
      </w:r>
      <w:r>
        <w:rPr>
          <w:rFonts w:ascii="Arial" w:hAnsi="Arial" w:cs="Arial"/>
          <w:sz w:val="22"/>
          <w:szCs w:val="22"/>
        </w:rPr>
        <w:t xml:space="preserve"> that Gilman left behind, but a communal motherhood</w:t>
      </w:r>
      <w:r w:rsidR="002A7D6C">
        <w:rPr>
          <w:rFonts w:ascii="Arial" w:hAnsi="Arial" w:cs="Arial"/>
          <w:sz w:val="22"/>
          <w:szCs w:val="22"/>
        </w:rPr>
        <w:t>:</w:t>
      </w:r>
      <w:r>
        <w:rPr>
          <w:rFonts w:ascii="Arial" w:hAnsi="Arial" w:cs="Arial"/>
          <w:sz w:val="22"/>
          <w:szCs w:val="22"/>
        </w:rPr>
        <w:t xml:space="preserve"> ‘We are mothers—all of us’,</w:t>
      </w:r>
      <w:r>
        <w:rPr>
          <w:rStyle w:val="FootnoteReference"/>
          <w:rFonts w:ascii="Arial" w:hAnsi="Arial" w:cs="Arial"/>
          <w:sz w:val="22"/>
          <w:szCs w:val="22"/>
        </w:rPr>
        <w:footnoteReference w:id="31"/>
      </w:r>
      <w:r>
        <w:rPr>
          <w:rFonts w:ascii="Arial" w:hAnsi="Arial" w:cs="Arial"/>
          <w:sz w:val="22"/>
          <w:szCs w:val="22"/>
        </w:rPr>
        <w:t xml:space="preserve"> where all women are mothers to all children and private motherhood makes no sense to them. Gilman’s thoughts from her economic writings are </w:t>
      </w:r>
      <w:r w:rsidR="002B7423">
        <w:rPr>
          <w:rFonts w:ascii="Arial" w:hAnsi="Arial" w:cs="Arial"/>
          <w:sz w:val="22"/>
          <w:szCs w:val="22"/>
        </w:rPr>
        <w:t>examined</w:t>
      </w:r>
      <w:r>
        <w:rPr>
          <w:rFonts w:ascii="Arial" w:hAnsi="Arial" w:cs="Arial"/>
          <w:sz w:val="22"/>
          <w:szCs w:val="22"/>
        </w:rPr>
        <w:t xml:space="preserve"> here, as motherhood is reserved as a professional occupation for only the most capable</w:t>
      </w:r>
      <w:r w:rsidR="002F0BDE">
        <w:rPr>
          <w:rFonts w:ascii="Arial" w:hAnsi="Arial" w:cs="Arial"/>
          <w:sz w:val="22"/>
          <w:szCs w:val="22"/>
        </w:rPr>
        <w:t xml:space="preserve">. </w:t>
      </w:r>
      <w:proofErr w:type="spellStart"/>
      <w:r w:rsidR="002F0BDE">
        <w:rPr>
          <w:rFonts w:ascii="Arial" w:hAnsi="Arial" w:cs="Arial"/>
          <w:sz w:val="22"/>
          <w:szCs w:val="22"/>
        </w:rPr>
        <w:t>Somel</w:t>
      </w:r>
      <w:proofErr w:type="spellEnd"/>
      <w:r w:rsidR="00A51450">
        <w:rPr>
          <w:rFonts w:ascii="Arial" w:hAnsi="Arial" w:cs="Arial"/>
          <w:sz w:val="22"/>
          <w:szCs w:val="22"/>
        </w:rPr>
        <w:t xml:space="preserve"> compares motherhood to dentistry</w:t>
      </w:r>
      <w:r w:rsidR="004755F4">
        <w:rPr>
          <w:rFonts w:ascii="Arial" w:hAnsi="Arial" w:cs="Arial"/>
          <w:sz w:val="22"/>
          <w:szCs w:val="22"/>
        </w:rPr>
        <w:t>’s</w:t>
      </w:r>
      <w:r w:rsidR="00A51450">
        <w:rPr>
          <w:rFonts w:ascii="Arial" w:hAnsi="Arial" w:cs="Arial"/>
          <w:sz w:val="22"/>
          <w:szCs w:val="22"/>
        </w:rPr>
        <w:t>, ‘specialised persons’</w:t>
      </w:r>
      <w:r w:rsidR="00682F00">
        <w:rPr>
          <w:rFonts w:ascii="Arial" w:hAnsi="Arial" w:cs="Arial"/>
          <w:sz w:val="22"/>
          <w:szCs w:val="22"/>
        </w:rPr>
        <w:t>,</w:t>
      </w:r>
      <w:r w:rsidR="00682F00">
        <w:rPr>
          <w:rStyle w:val="FootnoteReference"/>
          <w:rFonts w:ascii="Arial" w:hAnsi="Arial" w:cs="Arial"/>
          <w:sz w:val="22"/>
          <w:szCs w:val="22"/>
        </w:rPr>
        <w:footnoteReference w:id="32"/>
      </w:r>
      <w:r w:rsidR="00682F00">
        <w:rPr>
          <w:rFonts w:ascii="Arial" w:hAnsi="Arial" w:cs="Arial"/>
          <w:sz w:val="22"/>
          <w:szCs w:val="22"/>
        </w:rPr>
        <w:t xml:space="preserve"> </w:t>
      </w:r>
      <w:r w:rsidR="00C26CE0">
        <w:rPr>
          <w:rFonts w:ascii="Arial" w:hAnsi="Arial" w:cs="Arial"/>
          <w:sz w:val="22"/>
          <w:szCs w:val="22"/>
        </w:rPr>
        <w:t>asserting that women ha</w:t>
      </w:r>
      <w:r w:rsidR="00140B6A">
        <w:rPr>
          <w:rFonts w:ascii="Arial" w:hAnsi="Arial" w:cs="Arial"/>
          <w:sz w:val="22"/>
          <w:szCs w:val="22"/>
        </w:rPr>
        <w:t>ve</w:t>
      </w:r>
      <w:r w:rsidR="00C26CE0">
        <w:rPr>
          <w:rFonts w:ascii="Arial" w:hAnsi="Arial" w:cs="Arial"/>
          <w:sz w:val="22"/>
          <w:szCs w:val="22"/>
        </w:rPr>
        <w:t xml:space="preserve"> no </w:t>
      </w:r>
      <w:proofErr w:type="gramStart"/>
      <w:r w:rsidR="00C26CE0">
        <w:rPr>
          <w:rFonts w:ascii="Arial" w:hAnsi="Arial" w:cs="Arial"/>
          <w:sz w:val="22"/>
          <w:szCs w:val="22"/>
        </w:rPr>
        <w:t>more right</w:t>
      </w:r>
      <w:proofErr w:type="gramEnd"/>
      <w:r w:rsidR="00C26CE0">
        <w:rPr>
          <w:rFonts w:ascii="Arial" w:hAnsi="Arial" w:cs="Arial"/>
          <w:sz w:val="22"/>
          <w:szCs w:val="22"/>
        </w:rPr>
        <w:t xml:space="preserve"> to care for a child than to fill teeth, or do any other role they are not </w:t>
      </w:r>
      <w:r w:rsidR="002B7423">
        <w:rPr>
          <w:rFonts w:ascii="Arial" w:hAnsi="Arial" w:cs="Arial"/>
          <w:sz w:val="22"/>
          <w:szCs w:val="22"/>
        </w:rPr>
        <w:t>professionally trained for</w:t>
      </w:r>
      <w:r w:rsidR="00C26CE0">
        <w:rPr>
          <w:rFonts w:ascii="Arial" w:hAnsi="Arial" w:cs="Arial"/>
          <w:sz w:val="22"/>
          <w:szCs w:val="22"/>
        </w:rPr>
        <w:t xml:space="preserve">. </w:t>
      </w:r>
      <w:r w:rsidR="00BB2CBC">
        <w:rPr>
          <w:rFonts w:ascii="Arial" w:hAnsi="Arial" w:cs="Arial"/>
          <w:sz w:val="22"/>
          <w:szCs w:val="22"/>
        </w:rPr>
        <w:t xml:space="preserve">The mothers of Herland do not seem to experience </w:t>
      </w:r>
      <w:r w:rsidR="0054223F">
        <w:rPr>
          <w:rFonts w:ascii="Arial" w:hAnsi="Arial" w:cs="Arial"/>
          <w:sz w:val="22"/>
          <w:szCs w:val="22"/>
        </w:rPr>
        <w:t xml:space="preserve">any possessiveness or profound emotional connection to their genetic children. </w:t>
      </w:r>
      <w:r w:rsidR="00A04590">
        <w:rPr>
          <w:rFonts w:ascii="Arial" w:hAnsi="Arial" w:cs="Arial"/>
          <w:sz w:val="22"/>
          <w:szCs w:val="22"/>
        </w:rPr>
        <w:t>This echoes Gilman’s own relationship with her daughter, who she readily gave up to the care of her</w:t>
      </w:r>
      <w:r w:rsidR="00054C99">
        <w:rPr>
          <w:rFonts w:ascii="Arial" w:hAnsi="Arial" w:cs="Arial"/>
          <w:sz w:val="22"/>
          <w:szCs w:val="22"/>
        </w:rPr>
        <w:t xml:space="preserve"> </w:t>
      </w:r>
      <w:proofErr w:type="gramStart"/>
      <w:r w:rsidR="002B7423">
        <w:rPr>
          <w:rFonts w:ascii="Arial" w:hAnsi="Arial" w:cs="Arial"/>
          <w:sz w:val="22"/>
          <w:szCs w:val="22"/>
        </w:rPr>
        <w:t xml:space="preserve">stepmother, </w:t>
      </w:r>
      <w:r w:rsidR="00054C99">
        <w:rPr>
          <w:rFonts w:ascii="Arial" w:hAnsi="Arial" w:cs="Arial"/>
          <w:sz w:val="22"/>
          <w:szCs w:val="22"/>
        </w:rPr>
        <w:t>and</w:t>
      </w:r>
      <w:proofErr w:type="gramEnd"/>
      <w:r w:rsidR="00054C99">
        <w:rPr>
          <w:rFonts w:ascii="Arial" w:hAnsi="Arial" w:cs="Arial"/>
          <w:sz w:val="22"/>
          <w:szCs w:val="22"/>
        </w:rPr>
        <w:t xml:space="preserve"> saw little throughout her later childhood.</w:t>
      </w:r>
      <w:r w:rsidR="00054C99">
        <w:rPr>
          <w:rStyle w:val="FootnoteReference"/>
          <w:rFonts w:ascii="Arial" w:hAnsi="Arial" w:cs="Arial"/>
          <w:sz w:val="22"/>
          <w:szCs w:val="22"/>
        </w:rPr>
        <w:footnoteReference w:id="33"/>
      </w:r>
    </w:p>
    <w:p w14:paraId="4176CC1C" w14:textId="7911F15B" w:rsidR="003B76E8" w:rsidRPr="00CE772A" w:rsidRDefault="003B76E8" w:rsidP="003B76E8">
      <w:pPr>
        <w:spacing w:line="480" w:lineRule="auto"/>
        <w:rPr>
          <w:rFonts w:ascii="Arial" w:hAnsi="Arial" w:cs="Arial"/>
          <w:sz w:val="22"/>
          <w:szCs w:val="22"/>
        </w:rPr>
      </w:pPr>
      <w:r>
        <w:rPr>
          <w:rFonts w:ascii="Arial" w:hAnsi="Arial" w:cs="Arial"/>
          <w:sz w:val="22"/>
          <w:szCs w:val="22"/>
        </w:rPr>
        <w:t xml:space="preserve">Shelley’s protagonist is doubly economically emancipated. He is sexually abstinent but also escapes any kind of domesticity through being male. The concept of Victor as a parent </w:t>
      </w:r>
      <w:r w:rsidR="005D758C">
        <w:rPr>
          <w:rFonts w:ascii="Arial" w:hAnsi="Arial" w:cs="Arial"/>
          <w:sz w:val="22"/>
          <w:szCs w:val="22"/>
        </w:rPr>
        <w:t xml:space="preserve">or mother </w:t>
      </w:r>
      <w:r>
        <w:rPr>
          <w:rFonts w:ascii="Arial" w:hAnsi="Arial" w:cs="Arial"/>
          <w:sz w:val="22"/>
          <w:szCs w:val="22"/>
        </w:rPr>
        <w:t xml:space="preserve">is by virtue of the creation of his creature without sexual intercourse or any </w:t>
      </w:r>
      <w:r w:rsidR="008205B2">
        <w:rPr>
          <w:rFonts w:ascii="Arial" w:hAnsi="Arial" w:cs="Arial"/>
          <w:sz w:val="22"/>
          <w:szCs w:val="22"/>
        </w:rPr>
        <w:t xml:space="preserve">other </w:t>
      </w:r>
      <w:r>
        <w:rPr>
          <w:rFonts w:ascii="Arial" w:hAnsi="Arial" w:cs="Arial"/>
          <w:sz w:val="22"/>
          <w:szCs w:val="22"/>
        </w:rPr>
        <w:t>mother figure. The catastrophic consequences of the creature’s awakening and</w:t>
      </w:r>
      <w:r w:rsidR="008205B2">
        <w:rPr>
          <w:rFonts w:ascii="Arial" w:hAnsi="Arial" w:cs="Arial"/>
          <w:sz w:val="22"/>
          <w:szCs w:val="22"/>
        </w:rPr>
        <w:t xml:space="preserve"> wretched</w:t>
      </w:r>
      <w:r>
        <w:rPr>
          <w:rFonts w:ascii="Arial" w:hAnsi="Arial" w:cs="Arial"/>
          <w:sz w:val="22"/>
          <w:szCs w:val="22"/>
        </w:rPr>
        <w:t xml:space="preserve"> life serve to warn against leaving a child unmothered. Victor’s self-imposed isolation from family and community contrast the contented lifestyle of the </w:t>
      </w:r>
      <w:r w:rsidRPr="00B75C33">
        <w:rPr>
          <w:rFonts w:ascii="Arial" w:hAnsi="Arial" w:cs="Arial"/>
          <w:sz w:val="22"/>
          <w:szCs w:val="22"/>
        </w:rPr>
        <w:t>Herland</w:t>
      </w:r>
      <w:r>
        <w:rPr>
          <w:rFonts w:ascii="Arial" w:hAnsi="Arial" w:cs="Arial"/>
          <w:i/>
          <w:iCs/>
          <w:sz w:val="22"/>
          <w:szCs w:val="22"/>
        </w:rPr>
        <w:t xml:space="preserve"> </w:t>
      </w:r>
      <w:r>
        <w:rPr>
          <w:rFonts w:ascii="Arial" w:hAnsi="Arial" w:cs="Arial"/>
          <w:sz w:val="22"/>
          <w:szCs w:val="22"/>
        </w:rPr>
        <w:t xml:space="preserve">community. In this way we might consider if the absence of a mother figure could be more </w:t>
      </w:r>
      <w:r>
        <w:rPr>
          <w:rFonts w:ascii="Arial" w:hAnsi="Arial" w:cs="Arial"/>
          <w:sz w:val="22"/>
          <w:szCs w:val="22"/>
        </w:rPr>
        <w:lastRenderedPageBreak/>
        <w:t xml:space="preserve">damaging than the absence of a father, though the creature is bereft of both. This would agree with Gilman’s essentialist view that women have specific motherly qualities that men cannot fathom. In Piercy’s </w:t>
      </w:r>
      <w:r>
        <w:rPr>
          <w:rFonts w:ascii="Arial" w:hAnsi="Arial" w:cs="Arial"/>
          <w:i/>
          <w:iCs/>
          <w:sz w:val="22"/>
          <w:szCs w:val="22"/>
        </w:rPr>
        <w:t xml:space="preserve">Woman, </w:t>
      </w:r>
      <w:r>
        <w:rPr>
          <w:rFonts w:ascii="Arial" w:hAnsi="Arial" w:cs="Arial"/>
          <w:sz w:val="22"/>
          <w:szCs w:val="22"/>
        </w:rPr>
        <w:t>an alternative structure of family subverts the nuclear family and suggests a model that does not limit its children by possession or strong emotions. Feminist theory in the 1970s ‘directed considerable attention to dismantling the ideology of motherhood by understanding its patriarchal roots’.</w:t>
      </w:r>
      <w:r>
        <w:rPr>
          <w:rStyle w:val="FootnoteReference"/>
          <w:rFonts w:ascii="Arial" w:hAnsi="Arial" w:cs="Arial"/>
          <w:sz w:val="22"/>
          <w:szCs w:val="22"/>
        </w:rPr>
        <w:footnoteReference w:id="34"/>
      </w:r>
      <w:r>
        <w:rPr>
          <w:rFonts w:ascii="Arial" w:hAnsi="Arial" w:cs="Arial"/>
          <w:sz w:val="22"/>
          <w:szCs w:val="22"/>
        </w:rPr>
        <w:t xml:space="preserve"> Piercy removed patriarchy from her text by removing the notion of the father, and more broadly, masculinity. In contrast to </w:t>
      </w:r>
      <w:r>
        <w:rPr>
          <w:rFonts w:ascii="Arial" w:hAnsi="Arial" w:cs="Arial"/>
          <w:i/>
          <w:iCs/>
          <w:sz w:val="22"/>
          <w:szCs w:val="22"/>
        </w:rPr>
        <w:t>Herland</w:t>
      </w:r>
      <w:r>
        <w:rPr>
          <w:rFonts w:ascii="Arial" w:hAnsi="Arial" w:cs="Arial"/>
          <w:sz w:val="22"/>
          <w:szCs w:val="22"/>
        </w:rPr>
        <w:t xml:space="preserve">, Piercy does not remove sexual relationships from her characters to achieve this. In fact, the characters live in a polygamous society. </w:t>
      </w:r>
      <w:r w:rsidR="004A1C25">
        <w:rPr>
          <w:rFonts w:ascii="Arial" w:hAnsi="Arial" w:cs="Arial"/>
          <w:sz w:val="22"/>
          <w:szCs w:val="22"/>
        </w:rPr>
        <w:t xml:space="preserve">This </w:t>
      </w:r>
      <w:r w:rsidR="008E3026">
        <w:rPr>
          <w:rFonts w:ascii="Arial" w:hAnsi="Arial" w:cs="Arial"/>
          <w:sz w:val="22"/>
          <w:szCs w:val="22"/>
        </w:rPr>
        <w:t>suggests</w:t>
      </w:r>
      <w:r>
        <w:rPr>
          <w:rFonts w:ascii="Arial" w:hAnsi="Arial" w:cs="Arial"/>
          <w:sz w:val="22"/>
          <w:szCs w:val="22"/>
        </w:rPr>
        <w:t xml:space="preserve"> that sexual freedom negates any sort of sexual economy. In future Mattapoisett nobody appears to have economic interests or </w:t>
      </w:r>
      <w:r w:rsidR="007F6542">
        <w:rPr>
          <w:rFonts w:ascii="Arial" w:hAnsi="Arial" w:cs="Arial"/>
          <w:sz w:val="22"/>
          <w:szCs w:val="22"/>
        </w:rPr>
        <w:t xml:space="preserve">an excess of </w:t>
      </w:r>
      <w:r>
        <w:rPr>
          <w:rFonts w:ascii="Arial" w:hAnsi="Arial" w:cs="Arial"/>
          <w:sz w:val="22"/>
          <w:szCs w:val="22"/>
        </w:rPr>
        <w:t xml:space="preserve">power. </w:t>
      </w:r>
      <w:r w:rsidR="007F6542">
        <w:rPr>
          <w:rFonts w:ascii="Arial" w:hAnsi="Arial" w:cs="Arial"/>
          <w:sz w:val="22"/>
          <w:szCs w:val="22"/>
        </w:rPr>
        <w:t>Similarly to</w:t>
      </w:r>
      <w:r>
        <w:rPr>
          <w:rFonts w:ascii="Arial" w:hAnsi="Arial" w:cs="Arial"/>
          <w:sz w:val="22"/>
          <w:szCs w:val="22"/>
        </w:rPr>
        <w:t xml:space="preserve"> </w:t>
      </w:r>
      <w:r>
        <w:rPr>
          <w:rFonts w:ascii="Arial" w:hAnsi="Arial" w:cs="Arial"/>
          <w:i/>
          <w:iCs/>
          <w:sz w:val="22"/>
          <w:szCs w:val="22"/>
        </w:rPr>
        <w:t xml:space="preserve">Herland, </w:t>
      </w:r>
      <w:r>
        <w:rPr>
          <w:rFonts w:ascii="Arial" w:hAnsi="Arial" w:cs="Arial"/>
          <w:sz w:val="22"/>
          <w:szCs w:val="22"/>
        </w:rPr>
        <w:t xml:space="preserve">parenthood is managed communally – though on a smaller scale – </w:t>
      </w:r>
      <w:r w:rsidR="008E3026">
        <w:rPr>
          <w:rFonts w:ascii="Arial" w:hAnsi="Arial" w:cs="Arial"/>
          <w:sz w:val="22"/>
          <w:szCs w:val="22"/>
        </w:rPr>
        <w:t xml:space="preserve">as </w:t>
      </w:r>
      <w:r>
        <w:rPr>
          <w:rFonts w:ascii="Arial" w:hAnsi="Arial" w:cs="Arial"/>
          <w:sz w:val="22"/>
          <w:szCs w:val="22"/>
        </w:rPr>
        <w:t xml:space="preserve">children have three ‘mothers’, whom they bear no genetic connection to. Children have these mothers until the age of twelve, where they are expected to strike out on their own in the world </w:t>
      </w:r>
      <w:r w:rsidR="00387D4C">
        <w:rPr>
          <w:rFonts w:ascii="Arial" w:hAnsi="Arial" w:cs="Arial"/>
          <w:sz w:val="22"/>
          <w:szCs w:val="22"/>
        </w:rPr>
        <w:t>‘</w:t>
      </w:r>
      <w:proofErr w:type="spellStart"/>
      <w:r w:rsidR="00387D4C">
        <w:rPr>
          <w:rFonts w:ascii="Arial" w:hAnsi="Arial" w:cs="Arial"/>
          <w:sz w:val="22"/>
          <w:szCs w:val="22"/>
        </w:rPr>
        <w:t>Innocente</w:t>
      </w:r>
      <w:proofErr w:type="spellEnd"/>
      <w:r w:rsidR="00387D4C">
        <w:rPr>
          <w:rFonts w:ascii="Arial" w:hAnsi="Arial" w:cs="Arial"/>
          <w:sz w:val="22"/>
          <w:szCs w:val="22"/>
        </w:rPr>
        <w:t xml:space="preserve"> will </w:t>
      </w:r>
      <w:r w:rsidR="00265A55">
        <w:rPr>
          <w:rFonts w:ascii="Arial" w:hAnsi="Arial" w:cs="Arial"/>
          <w:sz w:val="22"/>
          <w:szCs w:val="22"/>
        </w:rPr>
        <w:t>be dropped into one of the wilderness areas we use […] this is how we transit from</w:t>
      </w:r>
      <w:r w:rsidR="00B53DAA">
        <w:rPr>
          <w:rFonts w:ascii="Arial" w:hAnsi="Arial" w:cs="Arial"/>
          <w:sz w:val="22"/>
          <w:szCs w:val="22"/>
        </w:rPr>
        <w:t xml:space="preserve"> childhood to full member of our community’</w:t>
      </w:r>
      <w:r w:rsidR="00B53DAA">
        <w:rPr>
          <w:rStyle w:val="FootnoteReference"/>
          <w:rFonts w:ascii="Arial" w:hAnsi="Arial" w:cs="Arial"/>
          <w:sz w:val="22"/>
          <w:szCs w:val="22"/>
        </w:rPr>
        <w:footnoteReference w:id="35"/>
      </w:r>
      <w:r w:rsidR="009B37F2">
        <w:rPr>
          <w:rFonts w:ascii="Arial" w:hAnsi="Arial" w:cs="Arial"/>
          <w:sz w:val="22"/>
          <w:szCs w:val="22"/>
        </w:rPr>
        <w:t xml:space="preserve"> Connie’s horror </w:t>
      </w:r>
      <w:r w:rsidR="00CB7D83">
        <w:rPr>
          <w:rFonts w:ascii="Arial" w:hAnsi="Arial" w:cs="Arial"/>
          <w:sz w:val="22"/>
          <w:szCs w:val="22"/>
        </w:rPr>
        <w:t>at the week-long rite of passage</w:t>
      </w:r>
      <w:r w:rsidR="00334E35">
        <w:rPr>
          <w:rFonts w:ascii="Arial" w:hAnsi="Arial" w:cs="Arial"/>
          <w:sz w:val="22"/>
          <w:szCs w:val="22"/>
        </w:rPr>
        <w:t xml:space="preserve"> is downplayed by the utopians who deem the risks acceptable</w:t>
      </w:r>
      <w:r w:rsidR="00276016">
        <w:rPr>
          <w:rFonts w:ascii="Arial" w:hAnsi="Arial" w:cs="Arial"/>
          <w:sz w:val="22"/>
          <w:szCs w:val="22"/>
        </w:rPr>
        <w:t>, and necessary.</w:t>
      </w:r>
      <w:r w:rsidR="00711E0C">
        <w:rPr>
          <w:rFonts w:ascii="Arial" w:hAnsi="Arial" w:cs="Arial"/>
          <w:sz w:val="22"/>
          <w:szCs w:val="22"/>
        </w:rPr>
        <w:t xml:space="preserve"> The young adolescents of Mattapoisett are presented as safer than </w:t>
      </w:r>
      <w:r w:rsidR="00AB7FA5">
        <w:rPr>
          <w:rFonts w:ascii="Arial" w:hAnsi="Arial" w:cs="Arial"/>
          <w:sz w:val="22"/>
          <w:szCs w:val="22"/>
        </w:rPr>
        <w:t>children in the real world.</w:t>
      </w:r>
      <w:r w:rsidR="00276016">
        <w:rPr>
          <w:rFonts w:ascii="Arial" w:hAnsi="Arial" w:cs="Arial"/>
          <w:sz w:val="22"/>
          <w:szCs w:val="22"/>
        </w:rPr>
        <w:t xml:space="preserve"> </w:t>
      </w:r>
      <w:r>
        <w:rPr>
          <w:rFonts w:ascii="Arial" w:hAnsi="Arial" w:cs="Arial"/>
          <w:sz w:val="22"/>
          <w:szCs w:val="22"/>
        </w:rPr>
        <w:t>In this way</w:t>
      </w:r>
      <w:r w:rsidR="00AB7FA5">
        <w:rPr>
          <w:rFonts w:ascii="Arial" w:hAnsi="Arial" w:cs="Arial"/>
          <w:sz w:val="22"/>
          <w:szCs w:val="22"/>
        </w:rPr>
        <w:t>,</w:t>
      </w:r>
      <w:r>
        <w:rPr>
          <w:rFonts w:ascii="Arial" w:hAnsi="Arial" w:cs="Arial"/>
          <w:sz w:val="22"/>
          <w:szCs w:val="22"/>
        </w:rPr>
        <w:t xml:space="preserve"> Piercy’s world creates young citizens that contribute to society, rather than society solely revolving around the needs of children. Evans</w:t>
      </w:r>
      <w:r w:rsidR="00AB7FA5">
        <w:rPr>
          <w:rFonts w:ascii="Arial" w:hAnsi="Arial" w:cs="Arial"/>
          <w:sz w:val="22"/>
          <w:szCs w:val="22"/>
        </w:rPr>
        <w:t xml:space="preserve"> a</w:t>
      </w:r>
      <w:r>
        <w:rPr>
          <w:rFonts w:ascii="Arial" w:hAnsi="Arial" w:cs="Arial"/>
          <w:sz w:val="22"/>
          <w:szCs w:val="22"/>
        </w:rPr>
        <w:t xml:space="preserve">rgues that Gilman perpetuates patriarchal norms and ideology by the treatment of the child in </w:t>
      </w:r>
      <w:r>
        <w:rPr>
          <w:rFonts w:ascii="Arial" w:hAnsi="Arial" w:cs="Arial"/>
          <w:i/>
          <w:iCs/>
          <w:sz w:val="22"/>
          <w:szCs w:val="22"/>
        </w:rPr>
        <w:t xml:space="preserve">Herland </w:t>
      </w:r>
      <w:r>
        <w:rPr>
          <w:rFonts w:ascii="Arial" w:hAnsi="Arial" w:cs="Arial"/>
          <w:sz w:val="22"/>
          <w:szCs w:val="22"/>
        </w:rPr>
        <w:t>a</w:t>
      </w:r>
      <w:r w:rsidR="00C92FE3">
        <w:rPr>
          <w:rFonts w:ascii="Arial" w:hAnsi="Arial" w:cs="Arial"/>
          <w:sz w:val="22"/>
          <w:szCs w:val="22"/>
        </w:rPr>
        <w:t>s</w:t>
      </w:r>
      <w:r>
        <w:rPr>
          <w:rFonts w:ascii="Arial" w:hAnsi="Arial" w:cs="Arial"/>
          <w:sz w:val="22"/>
          <w:szCs w:val="22"/>
        </w:rPr>
        <w:t xml:space="preserve"> the zenith of society.</w:t>
      </w:r>
      <w:r w:rsidR="00CE772A">
        <w:rPr>
          <w:rStyle w:val="FootnoteReference"/>
          <w:rFonts w:ascii="Arial" w:hAnsi="Arial" w:cs="Arial"/>
          <w:sz w:val="22"/>
          <w:szCs w:val="22"/>
        </w:rPr>
        <w:footnoteReference w:id="36"/>
      </w:r>
    </w:p>
    <w:p w14:paraId="15895DF7" w14:textId="1B7B2D40" w:rsidR="003B76E8" w:rsidRDefault="003B76E8" w:rsidP="003B76E8">
      <w:pPr>
        <w:spacing w:line="480" w:lineRule="auto"/>
        <w:rPr>
          <w:rFonts w:ascii="Arial" w:hAnsi="Arial" w:cs="Arial"/>
          <w:sz w:val="22"/>
          <w:szCs w:val="22"/>
        </w:rPr>
      </w:pPr>
      <w:r>
        <w:rPr>
          <w:rFonts w:ascii="Arial" w:hAnsi="Arial" w:cs="Arial"/>
          <w:sz w:val="22"/>
          <w:szCs w:val="22"/>
        </w:rPr>
        <w:t xml:space="preserve">The three texts share the removal of entire gender roles in their expression of the subverted family. Gilman’s attempt to extract the biology of motherhood from the function of the mother is echoed in both Piercy’s gender-free society and </w:t>
      </w:r>
      <w:r>
        <w:rPr>
          <w:rFonts w:ascii="Arial" w:hAnsi="Arial" w:cs="Arial"/>
          <w:i/>
          <w:iCs/>
          <w:sz w:val="22"/>
          <w:szCs w:val="22"/>
        </w:rPr>
        <w:t>Frankenstein</w:t>
      </w:r>
      <w:r>
        <w:rPr>
          <w:rFonts w:ascii="Arial" w:hAnsi="Arial" w:cs="Arial"/>
          <w:sz w:val="22"/>
          <w:szCs w:val="22"/>
        </w:rPr>
        <w:t>, though Victor Frankenstein does not accept the role of either parent. The unnaturalness of Shelley’s ‘hideous progeny’</w:t>
      </w:r>
      <w:r>
        <w:rPr>
          <w:rStyle w:val="FootnoteReference"/>
          <w:rFonts w:ascii="Arial" w:hAnsi="Arial" w:cs="Arial"/>
          <w:sz w:val="22"/>
          <w:szCs w:val="22"/>
        </w:rPr>
        <w:footnoteReference w:id="37"/>
      </w:r>
      <w:r>
        <w:rPr>
          <w:rFonts w:ascii="Arial" w:hAnsi="Arial" w:cs="Arial"/>
          <w:sz w:val="22"/>
          <w:szCs w:val="22"/>
        </w:rPr>
        <w:t xml:space="preserve"> provides a stark contrast to the mothers connected with nature and the environment in the other texts.</w:t>
      </w:r>
      <w:r w:rsidR="008E3026">
        <w:rPr>
          <w:rFonts w:ascii="Arial" w:hAnsi="Arial" w:cs="Arial"/>
          <w:sz w:val="22"/>
          <w:szCs w:val="22"/>
        </w:rPr>
        <w:t xml:space="preserve"> </w:t>
      </w:r>
      <w:r>
        <w:rPr>
          <w:rFonts w:ascii="Arial" w:hAnsi="Arial" w:cs="Arial"/>
          <w:sz w:val="22"/>
          <w:szCs w:val="22"/>
        </w:rPr>
        <w:t xml:space="preserve">According to Baruch: ‘the universal division of human labour into male and female roles would seem to suggest that among humans, biology has ever </w:t>
      </w:r>
      <w:r>
        <w:rPr>
          <w:rFonts w:ascii="Arial" w:hAnsi="Arial" w:cs="Arial"/>
          <w:sz w:val="22"/>
          <w:szCs w:val="22"/>
        </w:rPr>
        <w:lastRenderedPageBreak/>
        <w:t>determined destiny.’</w:t>
      </w:r>
      <w:r>
        <w:rPr>
          <w:rStyle w:val="FootnoteReference"/>
          <w:rFonts w:ascii="Arial" w:hAnsi="Arial" w:cs="Arial"/>
          <w:sz w:val="22"/>
          <w:szCs w:val="22"/>
        </w:rPr>
        <w:footnoteReference w:id="38"/>
      </w:r>
      <w:r>
        <w:rPr>
          <w:rFonts w:ascii="Arial" w:hAnsi="Arial" w:cs="Arial"/>
          <w:sz w:val="22"/>
          <w:szCs w:val="22"/>
        </w:rPr>
        <w:t xml:space="preserve"> Gilman’s essentialist view of women possessing innate motherly traits is supported by French second wave feminists Cixous and Irigaray. Cixous argued that the locus of woman’s power was in the womb and feminist revolution would rise from the ‘eternal mother’.</w:t>
      </w:r>
      <w:r>
        <w:rPr>
          <w:rStyle w:val="FootnoteReference"/>
          <w:rFonts w:ascii="Arial" w:hAnsi="Arial" w:cs="Arial"/>
          <w:sz w:val="22"/>
          <w:szCs w:val="22"/>
        </w:rPr>
        <w:footnoteReference w:id="39"/>
      </w:r>
      <w:r>
        <w:rPr>
          <w:rFonts w:ascii="Arial" w:hAnsi="Arial" w:cs="Arial"/>
          <w:sz w:val="22"/>
          <w:szCs w:val="22"/>
        </w:rPr>
        <w:t xml:space="preserve"> Irigaray’s theories emphasise that the notion of the mother is </w:t>
      </w:r>
      <w:r w:rsidR="009F2CD7">
        <w:rPr>
          <w:rFonts w:ascii="Arial" w:hAnsi="Arial" w:cs="Arial"/>
          <w:sz w:val="22"/>
          <w:szCs w:val="22"/>
        </w:rPr>
        <w:t>inextricably</w:t>
      </w:r>
      <w:r>
        <w:rPr>
          <w:rFonts w:ascii="Arial" w:hAnsi="Arial" w:cs="Arial"/>
          <w:sz w:val="22"/>
          <w:szCs w:val="22"/>
        </w:rPr>
        <w:t xml:space="preserve"> linked with nature.</w:t>
      </w:r>
      <w:r>
        <w:rPr>
          <w:rStyle w:val="FootnoteReference"/>
          <w:rFonts w:ascii="Arial" w:hAnsi="Arial" w:cs="Arial"/>
          <w:sz w:val="22"/>
          <w:szCs w:val="22"/>
        </w:rPr>
        <w:footnoteReference w:id="40"/>
      </w:r>
      <w:r>
        <w:rPr>
          <w:rFonts w:ascii="Arial" w:hAnsi="Arial" w:cs="Arial"/>
          <w:sz w:val="22"/>
          <w:szCs w:val="22"/>
        </w:rPr>
        <w:t xml:space="preserve"> Privett suggests that ‘essentialism, when in the hands of the oppressed, could be revolutionary’.</w:t>
      </w:r>
      <w:r>
        <w:rPr>
          <w:rStyle w:val="FootnoteReference"/>
          <w:rFonts w:ascii="Arial" w:hAnsi="Arial" w:cs="Arial"/>
          <w:sz w:val="22"/>
          <w:szCs w:val="22"/>
        </w:rPr>
        <w:footnoteReference w:id="41"/>
      </w:r>
      <w:r>
        <w:rPr>
          <w:rFonts w:ascii="Arial" w:hAnsi="Arial" w:cs="Arial"/>
          <w:sz w:val="22"/>
          <w:szCs w:val="22"/>
        </w:rPr>
        <w:t xml:space="preserve"> The occupants of </w:t>
      </w:r>
      <w:r>
        <w:rPr>
          <w:rFonts w:ascii="Arial" w:hAnsi="Arial" w:cs="Arial"/>
          <w:i/>
          <w:iCs/>
          <w:sz w:val="22"/>
          <w:szCs w:val="22"/>
        </w:rPr>
        <w:t xml:space="preserve">Herland </w:t>
      </w:r>
      <w:r>
        <w:rPr>
          <w:rFonts w:ascii="Arial" w:hAnsi="Arial" w:cs="Arial"/>
          <w:sz w:val="22"/>
          <w:szCs w:val="22"/>
        </w:rPr>
        <w:t xml:space="preserve">allow us to explore women’s essential maternal qualities when released from the cultural and societal norms perpetuated by a patriarchal and capitalist world. They have no need for </w:t>
      </w:r>
      <w:r w:rsidR="009F2CD7">
        <w:rPr>
          <w:rFonts w:ascii="Arial" w:hAnsi="Arial" w:cs="Arial"/>
          <w:sz w:val="22"/>
          <w:szCs w:val="22"/>
        </w:rPr>
        <w:t>economy</w:t>
      </w:r>
      <w:r>
        <w:rPr>
          <w:rFonts w:ascii="Arial" w:hAnsi="Arial" w:cs="Arial"/>
          <w:sz w:val="22"/>
          <w:szCs w:val="22"/>
        </w:rPr>
        <w:t xml:space="preserve"> or competition as everyone has plenty and no drive for individual possession. ‘A motherly state evidently assures every citizen’s basic needs.’</w:t>
      </w:r>
      <w:r>
        <w:rPr>
          <w:rStyle w:val="FootnoteReference"/>
          <w:rFonts w:ascii="Arial" w:hAnsi="Arial" w:cs="Arial"/>
          <w:sz w:val="22"/>
          <w:szCs w:val="22"/>
        </w:rPr>
        <w:footnoteReference w:id="42"/>
      </w:r>
      <w:r>
        <w:rPr>
          <w:rFonts w:ascii="Arial" w:hAnsi="Arial" w:cs="Arial"/>
          <w:sz w:val="22"/>
          <w:szCs w:val="22"/>
        </w:rPr>
        <w:t xml:space="preserve"> In this representation of motherhood the women are presented as profoundly connected to</w:t>
      </w:r>
      <w:r w:rsidR="008E3026">
        <w:rPr>
          <w:rFonts w:ascii="Arial" w:hAnsi="Arial" w:cs="Arial"/>
          <w:sz w:val="22"/>
          <w:szCs w:val="22"/>
        </w:rPr>
        <w:t xml:space="preserve"> – a</w:t>
      </w:r>
      <w:r>
        <w:rPr>
          <w:rFonts w:ascii="Arial" w:hAnsi="Arial" w:cs="Arial"/>
          <w:sz w:val="22"/>
          <w:szCs w:val="22"/>
        </w:rPr>
        <w:t>nd masters of</w:t>
      </w:r>
      <w:r w:rsidR="008E3026">
        <w:rPr>
          <w:rFonts w:ascii="Arial" w:hAnsi="Arial" w:cs="Arial"/>
          <w:sz w:val="22"/>
          <w:szCs w:val="22"/>
        </w:rPr>
        <w:t xml:space="preserve"> – </w:t>
      </w:r>
      <w:r>
        <w:rPr>
          <w:rFonts w:ascii="Arial" w:hAnsi="Arial" w:cs="Arial"/>
          <w:sz w:val="22"/>
          <w:szCs w:val="22"/>
        </w:rPr>
        <w:t>nature. From the moment we first meet the ‘evidently arboreal’</w:t>
      </w:r>
      <w:r>
        <w:rPr>
          <w:rStyle w:val="FootnoteReference"/>
          <w:rFonts w:ascii="Arial" w:hAnsi="Arial" w:cs="Arial"/>
          <w:sz w:val="22"/>
          <w:szCs w:val="22"/>
        </w:rPr>
        <w:footnoteReference w:id="43"/>
      </w:r>
      <w:r>
        <w:rPr>
          <w:rFonts w:ascii="Arial" w:hAnsi="Arial" w:cs="Arial"/>
          <w:sz w:val="22"/>
          <w:szCs w:val="22"/>
        </w:rPr>
        <w:t xml:space="preserve"> inhabitants they are positioned above the men literally and figuratively. Their carefully cultivated environment alludes to the Garden of Eden, where ‘all that they ate was the fruit of motherhood’</w:t>
      </w:r>
      <w:r w:rsidR="001D6DAE">
        <w:rPr>
          <w:rFonts w:ascii="Arial" w:hAnsi="Arial" w:cs="Arial"/>
          <w:sz w:val="22"/>
          <w:szCs w:val="22"/>
        </w:rPr>
        <w:t>;</w:t>
      </w:r>
      <w:r>
        <w:rPr>
          <w:rStyle w:val="FootnoteReference"/>
          <w:rFonts w:ascii="Arial" w:hAnsi="Arial" w:cs="Arial"/>
          <w:sz w:val="22"/>
          <w:szCs w:val="22"/>
        </w:rPr>
        <w:footnoteReference w:id="44"/>
      </w:r>
      <w:r>
        <w:rPr>
          <w:rFonts w:ascii="Arial" w:hAnsi="Arial" w:cs="Arial"/>
          <w:sz w:val="22"/>
          <w:szCs w:val="22"/>
        </w:rPr>
        <w:t xml:space="preserve"> religious imagery extending throughout the concept of the virgin birth that sustains their untainted race. They both eat the fruit and are the fruit of motherhood, as the father is rendered impotent and obsolete. These women – unbridled by the patriarchy – signify the ‘right motherhood’ that Gilman advocated for in </w:t>
      </w:r>
      <w:r>
        <w:rPr>
          <w:rFonts w:ascii="Arial" w:hAnsi="Arial" w:cs="Arial"/>
          <w:i/>
          <w:iCs/>
          <w:sz w:val="22"/>
          <w:szCs w:val="22"/>
        </w:rPr>
        <w:t>Women and Economics.</w:t>
      </w:r>
      <w:r>
        <w:rPr>
          <w:rStyle w:val="FootnoteReference"/>
          <w:rFonts w:ascii="Arial" w:hAnsi="Arial" w:cs="Arial"/>
          <w:i/>
          <w:iCs/>
          <w:sz w:val="22"/>
          <w:szCs w:val="22"/>
        </w:rPr>
        <w:footnoteReference w:id="45"/>
      </w:r>
      <w:r>
        <w:rPr>
          <w:rFonts w:ascii="Arial" w:hAnsi="Arial" w:cs="Arial"/>
          <w:sz w:val="22"/>
          <w:szCs w:val="22"/>
        </w:rPr>
        <w:t xml:space="preserve"> Free to organise their own politics, education, language and religion, the women can align with nature and animals and </w:t>
      </w:r>
      <w:r w:rsidR="00DA511E">
        <w:rPr>
          <w:rFonts w:ascii="Arial" w:hAnsi="Arial" w:cs="Arial"/>
          <w:sz w:val="22"/>
          <w:szCs w:val="22"/>
        </w:rPr>
        <w:t>render impossible</w:t>
      </w:r>
      <w:r>
        <w:rPr>
          <w:rFonts w:ascii="Arial" w:hAnsi="Arial" w:cs="Arial"/>
          <w:sz w:val="22"/>
          <w:szCs w:val="22"/>
        </w:rPr>
        <w:t xml:space="preserve"> the oppression of all three</w:t>
      </w:r>
      <w:r w:rsidR="00DA511E">
        <w:rPr>
          <w:rFonts w:ascii="Arial" w:hAnsi="Arial" w:cs="Arial"/>
          <w:sz w:val="22"/>
          <w:szCs w:val="22"/>
        </w:rPr>
        <w:t xml:space="preserve">, </w:t>
      </w:r>
      <w:r>
        <w:rPr>
          <w:rFonts w:ascii="Arial" w:hAnsi="Arial" w:cs="Arial"/>
          <w:sz w:val="22"/>
          <w:szCs w:val="22"/>
        </w:rPr>
        <w:t>which ‘can be traced back to the construction of a dominant human male as a self’.</w:t>
      </w:r>
      <w:r>
        <w:rPr>
          <w:rStyle w:val="FootnoteReference"/>
          <w:rFonts w:ascii="Arial" w:hAnsi="Arial" w:cs="Arial"/>
          <w:sz w:val="22"/>
          <w:szCs w:val="22"/>
        </w:rPr>
        <w:footnoteReference w:id="46"/>
      </w:r>
      <w:r>
        <w:rPr>
          <w:rFonts w:ascii="Arial" w:hAnsi="Arial" w:cs="Arial"/>
          <w:sz w:val="22"/>
          <w:szCs w:val="22"/>
        </w:rPr>
        <w:t xml:space="preserve"> </w:t>
      </w:r>
      <w:r w:rsidR="00B54A0C">
        <w:rPr>
          <w:rFonts w:ascii="Arial" w:hAnsi="Arial" w:cs="Arial"/>
          <w:sz w:val="22"/>
          <w:szCs w:val="22"/>
        </w:rPr>
        <w:t>They are able to create ‘a</w:t>
      </w:r>
      <w:r>
        <w:rPr>
          <w:rFonts w:ascii="Arial" w:hAnsi="Arial" w:cs="Arial"/>
          <w:sz w:val="22"/>
          <w:szCs w:val="22"/>
        </w:rPr>
        <w:t xml:space="preserve"> motherliness which dominated society, which influenced every art and industry, which absolutely protected all childhood, and gave to it the most perfect care and training,’ as narrated by Van.</w:t>
      </w:r>
      <w:r>
        <w:rPr>
          <w:rStyle w:val="FootnoteReference"/>
          <w:rFonts w:ascii="Arial" w:hAnsi="Arial" w:cs="Arial"/>
          <w:sz w:val="22"/>
          <w:szCs w:val="22"/>
        </w:rPr>
        <w:footnoteReference w:id="47"/>
      </w:r>
      <w:r>
        <w:rPr>
          <w:rFonts w:ascii="Arial" w:hAnsi="Arial" w:cs="Arial"/>
          <w:sz w:val="22"/>
          <w:szCs w:val="22"/>
        </w:rPr>
        <w:t xml:space="preserve"> World Mothers naturally embrace service and love and prize education above all, but not </w:t>
      </w:r>
      <w:r>
        <w:rPr>
          <w:rFonts w:ascii="Arial" w:hAnsi="Arial" w:cs="Arial"/>
          <w:sz w:val="22"/>
          <w:szCs w:val="22"/>
        </w:rPr>
        <w:lastRenderedPageBreak/>
        <w:t>in the possessiveness or limitations of the private domestic home.</w:t>
      </w:r>
      <w:r>
        <w:rPr>
          <w:rStyle w:val="FootnoteReference"/>
          <w:rFonts w:ascii="Arial" w:hAnsi="Arial" w:cs="Arial"/>
          <w:sz w:val="22"/>
          <w:szCs w:val="22"/>
        </w:rPr>
        <w:footnoteReference w:id="48"/>
      </w:r>
      <w:r>
        <w:rPr>
          <w:rFonts w:ascii="Arial" w:hAnsi="Arial" w:cs="Arial"/>
          <w:sz w:val="22"/>
          <w:szCs w:val="22"/>
        </w:rPr>
        <w:t xml:space="preserve"> In </w:t>
      </w:r>
      <w:r>
        <w:rPr>
          <w:rFonts w:ascii="Arial" w:hAnsi="Arial" w:cs="Arial"/>
          <w:i/>
          <w:iCs/>
          <w:sz w:val="22"/>
          <w:szCs w:val="22"/>
        </w:rPr>
        <w:t xml:space="preserve">Woman, </w:t>
      </w:r>
      <w:r>
        <w:rPr>
          <w:rFonts w:ascii="Arial" w:hAnsi="Arial" w:cs="Arial"/>
          <w:sz w:val="22"/>
          <w:szCs w:val="22"/>
        </w:rPr>
        <w:t>Piercy’s utopians are also intimately connected with nature, and do not seem to live in a futuristic world at all, having regressed to rural life; as evidenced by Connie’s dis</w:t>
      </w:r>
      <w:r w:rsidR="00223AEF">
        <w:rPr>
          <w:rFonts w:ascii="Arial" w:hAnsi="Arial" w:cs="Arial"/>
          <w:sz w:val="22"/>
          <w:szCs w:val="22"/>
        </w:rPr>
        <w:t>dain</w:t>
      </w:r>
      <w:r>
        <w:rPr>
          <w:rFonts w:ascii="Arial" w:hAnsi="Arial" w:cs="Arial"/>
          <w:sz w:val="22"/>
          <w:szCs w:val="22"/>
        </w:rPr>
        <w:t xml:space="preserve"> on her first visit</w:t>
      </w:r>
      <w:r w:rsidR="00223AEF">
        <w:rPr>
          <w:rFonts w:ascii="Arial" w:hAnsi="Arial" w:cs="Arial"/>
          <w:sz w:val="22"/>
          <w:szCs w:val="22"/>
        </w:rPr>
        <w:t>:</w:t>
      </w:r>
      <w:r>
        <w:rPr>
          <w:rFonts w:ascii="Arial" w:hAnsi="Arial" w:cs="Arial"/>
          <w:sz w:val="22"/>
          <w:szCs w:val="22"/>
        </w:rPr>
        <w:t xml:space="preserve"> </w:t>
      </w:r>
      <w:r w:rsidR="001A7830" w:rsidRPr="001A7830">
        <w:rPr>
          <w:rFonts w:ascii="Arial" w:hAnsi="Arial" w:cs="Arial"/>
          <w:sz w:val="22"/>
          <w:szCs w:val="22"/>
        </w:rPr>
        <w:t xml:space="preserve"> </w:t>
      </w:r>
      <w:r w:rsidR="00223AEF">
        <w:rPr>
          <w:rFonts w:ascii="Arial" w:hAnsi="Arial" w:cs="Arial"/>
          <w:sz w:val="22"/>
          <w:szCs w:val="22"/>
        </w:rPr>
        <w:t>‘</w:t>
      </w:r>
      <w:r w:rsidR="001A7830" w:rsidRPr="001A7830">
        <w:rPr>
          <w:rFonts w:ascii="Arial" w:hAnsi="Arial" w:cs="Arial"/>
          <w:sz w:val="22"/>
          <w:szCs w:val="22"/>
        </w:rPr>
        <w:t xml:space="preserve">all that striving and struggling to end up in the same old bind. Stuck back home on the farm. Peons again! Back on the same old </w:t>
      </w:r>
      <w:proofErr w:type="spellStart"/>
      <w:r w:rsidR="001A7830" w:rsidRPr="001A7830">
        <w:rPr>
          <w:rFonts w:ascii="Arial" w:hAnsi="Arial" w:cs="Arial"/>
          <w:sz w:val="22"/>
          <w:szCs w:val="22"/>
        </w:rPr>
        <w:t>dungheap</w:t>
      </w:r>
      <w:proofErr w:type="spellEnd"/>
      <w:r w:rsidR="001A7830" w:rsidRPr="001A7830">
        <w:rPr>
          <w:rFonts w:ascii="Arial" w:hAnsi="Arial" w:cs="Arial"/>
          <w:sz w:val="22"/>
          <w:szCs w:val="22"/>
        </w:rPr>
        <w:t xml:space="preserve"> with ten chickens and a goat.</w:t>
      </w:r>
      <w:r w:rsidR="00223AEF">
        <w:rPr>
          <w:rFonts w:ascii="Arial" w:hAnsi="Arial" w:cs="Arial"/>
          <w:sz w:val="22"/>
          <w:szCs w:val="22"/>
        </w:rPr>
        <w:t>’</w:t>
      </w:r>
      <w:r w:rsidR="008603DF">
        <w:rPr>
          <w:rStyle w:val="FootnoteReference"/>
          <w:rFonts w:ascii="Arial" w:hAnsi="Arial" w:cs="Arial"/>
          <w:sz w:val="22"/>
          <w:szCs w:val="22"/>
        </w:rPr>
        <w:footnoteReference w:id="49"/>
      </w:r>
      <w:r w:rsidR="00C16248">
        <w:rPr>
          <w:rFonts w:ascii="Arial" w:hAnsi="Arial" w:cs="Arial"/>
          <w:sz w:val="22"/>
          <w:szCs w:val="22"/>
        </w:rPr>
        <w:t xml:space="preserve"> Connie sees the rural life of the future where </w:t>
      </w:r>
      <w:r w:rsidR="00730070">
        <w:rPr>
          <w:rFonts w:ascii="Arial" w:hAnsi="Arial" w:cs="Arial"/>
          <w:sz w:val="22"/>
          <w:szCs w:val="22"/>
        </w:rPr>
        <w:t xml:space="preserve">big cities </w:t>
      </w:r>
      <w:r w:rsidR="008835A5">
        <w:rPr>
          <w:rFonts w:ascii="Arial" w:hAnsi="Arial" w:cs="Arial"/>
          <w:sz w:val="22"/>
          <w:szCs w:val="22"/>
        </w:rPr>
        <w:t>‘</w:t>
      </w:r>
      <w:r w:rsidR="00730070">
        <w:rPr>
          <w:rFonts w:ascii="Arial" w:hAnsi="Arial" w:cs="Arial"/>
          <w:sz w:val="22"/>
          <w:szCs w:val="22"/>
        </w:rPr>
        <w:t>didn’t work</w:t>
      </w:r>
      <w:r w:rsidR="008835A5">
        <w:rPr>
          <w:rFonts w:ascii="Arial" w:hAnsi="Arial" w:cs="Arial"/>
          <w:sz w:val="22"/>
          <w:szCs w:val="22"/>
        </w:rPr>
        <w:t>’</w:t>
      </w:r>
      <w:r w:rsidR="006E6344">
        <w:rPr>
          <w:rStyle w:val="FootnoteReference"/>
          <w:rFonts w:ascii="Arial" w:hAnsi="Arial" w:cs="Arial"/>
          <w:sz w:val="22"/>
          <w:szCs w:val="22"/>
        </w:rPr>
        <w:footnoteReference w:id="50"/>
      </w:r>
      <w:r w:rsidR="00730070">
        <w:rPr>
          <w:rFonts w:ascii="Arial" w:hAnsi="Arial" w:cs="Arial"/>
          <w:sz w:val="22"/>
          <w:szCs w:val="22"/>
        </w:rPr>
        <w:t xml:space="preserve"> as a regression</w:t>
      </w:r>
      <w:r w:rsidR="00A67DBB">
        <w:rPr>
          <w:rFonts w:ascii="Arial" w:hAnsi="Arial" w:cs="Arial"/>
          <w:sz w:val="22"/>
          <w:szCs w:val="22"/>
        </w:rPr>
        <w:t>,</w:t>
      </w:r>
      <w:r w:rsidR="00521AC2">
        <w:rPr>
          <w:rFonts w:ascii="Arial" w:hAnsi="Arial" w:cs="Arial"/>
          <w:sz w:val="22"/>
          <w:szCs w:val="22"/>
        </w:rPr>
        <w:t xml:space="preserve"> however the progressiveness of Mattapoisett lies in its social structure and inhabitants</w:t>
      </w:r>
      <w:r w:rsidR="00A67DBB">
        <w:rPr>
          <w:rFonts w:ascii="Arial" w:hAnsi="Arial" w:cs="Arial"/>
          <w:sz w:val="22"/>
          <w:szCs w:val="22"/>
        </w:rPr>
        <w:t>’</w:t>
      </w:r>
      <w:r w:rsidR="00521AC2">
        <w:rPr>
          <w:rFonts w:ascii="Arial" w:hAnsi="Arial" w:cs="Arial"/>
          <w:sz w:val="22"/>
          <w:szCs w:val="22"/>
        </w:rPr>
        <w:t xml:space="preserve"> relationships</w:t>
      </w:r>
      <w:r w:rsidR="00A67DBB">
        <w:rPr>
          <w:rFonts w:ascii="Arial" w:hAnsi="Arial" w:cs="Arial"/>
          <w:sz w:val="22"/>
          <w:szCs w:val="22"/>
        </w:rPr>
        <w:t>.</w:t>
      </w:r>
      <w:r w:rsidR="00C25E59">
        <w:rPr>
          <w:rFonts w:ascii="Arial" w:hAnsi="Arial" w:cs="Arial"/>
          <w:sz w:val="22"/>
          <w:szCs w:val="22"/>
        </w:rPr>
        <w:t xml:space="preserve"> There </w:t>
      </w:r>
      <w:r w:rsidR="008E3026">
        <w:rPr>
          <w:rFonts w:ascii="Arial" w:hAnsi="Arial" w:cs="Arial"/>
          <w:sz w:val="22"/>
          <w:szCs w:val="22"/>
        </w:rPr>
        <w:t xml:space="preserve">is </w:t>
      </w:r>
      <w:r w:rsidR="00C25E59">
        <w:rPr>
          <w:rFonts w:ascii="Arial" w:hAnsi="Arial" w:cs="Arial"/>
          <w:sz w:val="22"/>
          <w:szCs w:val="22"/>
        </w:rPr>
        <w:t xml:space="preserve">no consumer culture </w:t>
      </w:r>
      <w:r w:rsidR="008E3026">
        <w:rPr>
          <w:rFonts w:ascii="Arial" w:hAnsi="Arial" w:cs="Arial"/>
          <w:sz w:val="22"/>
          <w:szCs w:val="22"/>
        </w:rPr>
        <w:t>to fund</w:t>
      </w:r>
      <w:r w:rsidR="00A67DBB">
        <w:rPr>
          <w:rFonts w:ascii="Arial" w:hAnsi="Arial" w:cs="Arial"/>
          <w:sz w:val="22"/>
          <w:szCs w:val="22"/>
        </w:rPr>
        <w:t xml:space="preserve"> </w:t>
      </w:r>
      <w:r w:rsidR="00C25E59">
        <w:rPr>
          <w:rFonts w:ascii="Arial" w:hAnsi="Arial" w:cs="Arial"/>
          <w:sz w:val="22"/>
          <w:szCs w:val="22"/>
        </w:rPr>
        <w:t>futuristic buildings.</w:t>
      </w:r>
      <w:r w:rsidR="00132277">
        <w:rPr>
          <w:rFonts w:ascii="Arial" w:hAnsi="Arial" w:cs="Arial"/>
          <w:sz w:val="22"/>
          <w:szCs w:val="22"/>
        </w:rPr>
        <w:t xml:space="preserve"> Connie perceives her ancestors’ struggle </w:t>
      </w:r>
      <w:r w:rsidR="00AE661F">
        <w:rPr>
          <w:rFonts w:ascii="Arial" w:hAnsi="Arial" w:cs="Arial"/>
          <w:sz w:val="22"/>
          <w:szCs w:val="22"/>
        </w:rPr>
        <w:t>as wasted</w:t>
      </w:r>
      <w:r w:rsidR="0078221B">
        <w:rPr>
          <w:rFonts w:ascii="Arial" w:hAnsi="Arial" w:cs="Arial"/>
          <w:sz w:val="22"/>
          <w:szCs w:val="22"/>
        </w:rPr>
        <w:t xml:space="preserve"> for this future</w:t>
      </w:r>
      <w:r w:rsidR="00AE661F">
        <w:rPr>
          <w:rFonts w:ascii="Arial" w:hAnsi="Arial" w:cs="Arial"/>
          <w:sz w:val="22"/>
          <w:szCs w:val="22"/>
        </w:rPr>
        <w:t>, yet her own life is unsuccessful</w:t>
      </w:r>
      <w:r w:rsidR="00656C5F">
        <w:rPr>
          <w:rFonts w:ascii="Arial" w:hAnsi="Arial" w:cs="Arial"/>
          <w:sz w:val="22"/>
          <w:szCs w:val="22"/>
        </w:rPr>
        <w:t xml:space="preserve"> due to the intersectionality of her existence</w:t>
      </w:r>
      <w:r w:rsidR="0078221B">
        <w:rPr>
          <w:rFonts w:ascii="Arial" w:hAnsi="Arial" w:cs="Arial"/>
          <w:sz w:val="22"/>
          <w:szCs w:val="22"/>
        </w:rPr>
        <w:t>. She has not realised that there are no racial tensions in Mattapoisett</w:t>
      </w:r>
      <w:r w:rsidR="00656C5F">
        <w:rPr>
          <w:rFonts w:ascii="Arial" w:hAnsi="Arial" w:cs="Arial"/>
          <w:sz w:val="22"/>
          <w:szCs w:val="22"/>
        </w:rPr>
        <w:t>.</w:t>
      </w:r>
      <w:r>
        <w:rPr>
          <w:rFonts w:ascii="Arial" w:hAnsi="Arial" w:cs="Arial"/>
          <w:sz w:val="22"/>
          <w:szCs w:val="22"/>
        </w:rPr>
        <w:t xml:space="preserve"> </w:t>
      </w:r>
      <w:r w:rsidR="008E3026">
        <w:rPr>
          <w:rFonts w:ascii="Arial" w:hAnsi="Arial" w:cs="Arial"/>
          <w:sz w:val="22"/>
          <w:szCs w:val="22"/>
        </w:rPr>
        <w:t>The</w:t>
      </w:r>
      <w:r>
        <w:rPr>
          <w:rFonts w:ascii="Arial" w:hAnsi="Arial" w:cs="Arial"/>
          <w:sz w:val="22"/>
          <w:szCs w:val="22"/>
        </w:rPr>
        <w:t xml:space="preserve"> future population of Mattapoisett seem to revere and be connected to nature in every way other than childbirth. Piercy’s </w:t>
      </w:r>
      <w:r w:rsidR="008E3026">
        <w:rPr>
          <w:rFonts w:ascii="Arial" w:hAnsi="Arial" w:cs="Arial"/>
          <w:sz w:val="22"/>
          <w:szCs w:val="22"/>
        </w:rPr>
        <w:t xml:space="preserve">utopian </w:t>
      </w:r>
      <w:r>
        <w:rPr>
          <w:rFonts w:ascii="Arial" w:hAnsi="Arial" w:cs="Arial"/>
          <w:sz w:val="22"/>
          <w:szCs w:val="22"/>
        </w:rPr>
        <w:t>characters align more with today’s ecofeminism, where ‘core principles of relationality, situatedness and care for the other rest upon ontologies of interconnections and co-becoming</w:t>
      </w:r>
      <w:r w:rsidR="00C3794C">
        <w:rPr>
          <w:rFonts w:ascii="Arial" w:hAnsi="Arial" w:cs="Arial"/>
          <w:sz w:val="22"/>
          <w:szCs w:val="22"/>
        </w:rPr>
        <w:t>’</w:t>
      </w:r>
      <w:r>
        <w:rPr>
          <w:rFonts w:ascii="Arial" w:hAnsi="Arial" w:cs="Arial"/>
          <w:sz w:val="22"/>
          <w:szCs w:val="22"/>
        </w:rPr>
        <w:t>.</w:t>
      </w:r>
      <w:r>
        <w:rPr>
          <w:rStyle w:val="FootnoteReference"/>
          <w:rFonts w:ascii="Arial" w:hAnsi="Arial" w:cs="Arial"/>
          <w:sz w:val="22"/>
          <w:szCs w:val="22"/>
        </w:rPr>
        <w:footnoteReference w:id="51"/>
      </w:r>
      <w:r>
        <w:rPr>
          <w:rFonts w:ascii="Arial" w:hAnsi="Arial" w:cs="Arial"/>
          <w:sz w:val="22"/>
          <w:szCs w:val="22"/>
        </w:rPr>
        <w:t xml:space="preserve"> </w:t>
      </w:r>
    </w:p>
    <w:p w14:paraId="51E6799D" w14:textId="5885F3B2" w:rsidR="003B76E8" w:rsidRDefault="00B51F51" w:rsidP="003B76E8">
      <w:pPr>
        <w:spacing w:line="480" w:lineRule="auto"/>
        <w:rPr>
          <w:rFonts w:ascii="Arial" w:hAnsi="Arial" w:cs="Arial"/>
          <w:sz w:val="22"/>
          <w:szCs w:val="22"/>
        </w:rPr>
      </w:pPr>
      <w:r>
        <w:rPr>
          <w:rFonts w:ascii="Arial" w:hAnsi="Arial" w:cs="Arial"/>
          <w:sz w:val="22"/>
          <w:szCs w:val="22"/>
        </w:rPr>
        <w:t>To achieve Piercy’s utopia</w:t>
      </w:r>
      <w:r w:rsidR="003B76E8">
        <w:rPr>
          <w:rFonts w:ascii="Arial" w:hAnsi="Arial" w:cs="Arial"/>
          <w:sz w:val="22"/>
          <w:szCs w:val="22"/>
        </w:rPr>
        <w:t xml:space="preserve"> any notion of female essentialism must be discarded. Privett writes that ‘the late twentieth century, marked by decades of the women’s movement, several waves of feminism and a new economics that demanded women’s work, became the killing field for the essentialised maternal body in American literature’.</w:t>
      </w:r>
      <w:r w:rsidR="003B76E8">
        <w:rPr>
          <w:rStyle w:val="FootnoteReference"/>
          <w:rFonts w:ascii="Arial" w:hAnsi="Arial" w:cs="Arial"/>
          <w:sz w:val="22"/>
          <w:szCs w:val="22"/>
        </w:rPr>
        <w:footnoteReference w:id="52"/>
      </w:r>
      <w:r w:rsidR="003B76E8">
        <w:rPr>
          <w:rFonts w:ascii="Arial" w:hAnsi="Arial" w:cs="Arial"/>
          <w:sz w:val="22"/>
          <w:szCs w:val="22"/>
        </w:rPr>
        <w:t xml:space="preserve"> Piercy’s characters were an early expression of this. Piercy’s mothers may be genetically female or male, but commonly appear androgynous. Connie spends her first interactions with </w:t>
      </w:r>
      <w:proofErr w:type="spellStart"/>
      <w:r w:rsidR="003B76E8">
        <w:rPr>
          <w:rFonts w:ascii="Arial" w:hAnsi="Arial" w:cs="Arial"/>
          <w:sz w:val="22"/>
          <w:szCs w:val="22"/>
        </w:rPr>
        <w:t>Luciente</w:t>
      </w:r>
      <w:proofErr w:type="spellEnd"/>
      <w:r w:rsidR="003B76E8">
        <w:rPr>
          <w:rFonts w:ascii="Arial" w:hAnsi="Arial" w:cs="Arial"/>
          <w:sz w:val="22"/>
          <w:szCs w:val="22"/>
        </w:rPr>
        <w:t xml:space="preserve"> assuming she is an effeminate mal</w:t>
      </w:r>
      <w:r w:rsidR="00DD13AA">
        <w:rPr>
          <w:rFonts w:ascii="Arial" w:hAnsi="Arial" w:cs="Arial"/>
          <w:sz w:val="22"/>
          <w:szCs w:val="22"/>
        </w:rPr>
        <w:t>e:</w:t>
      </w:r>
      <w:r w:rsidR="003B76E8">
        <w:rPr>
          <w:rFonts w:ascii="Arial" w:hAnsi="Arial" w:cs="Arial"/>
          <w:sz w:val="22"/>
          <w:szCs w:val="22"/>
        </w:rPr>
        <w:t xml:space="preserve"> </w:t>
      </w:r>
      <w:r w:rsidR="00493813">
        <w:rPr>
          <w:rFonts w:ascii="Arial" w:hAnsi="Arial" w:cs="Arial"/>
          <w:sz w:val="22"/>
          <w:szCs w:val="22"/>
        </w:rPr>
        <w:t>‘she had taken to dreaming about young boys</w:t>
      </w:r>
      <w:r w:rsidR="00DD13AA">
        <w:rPr>
          <w:rFonts w:ascii="Arial" w:hAnsi="Arial" w:cs="Arial"/>
          <w:sz w:val="22"/>
          <w:szCs w:val="22"/>
        </w:rPr>
        <w:t>’</w:t>
      </w:r>
      <w:r w:rsidR="007410D5">
        <w:rPr>
          <w:rFonts w:ascii="Arial" w:hAnsi="Arial" w:cs="Arial"/>
          <w:sz w:val="22"/>
          <w:szCs w:val="22"/>
        </w:rPr>
        <w:t>.</w:t>
      </w:r>
      <w:r w:rsidR="00DD13AA">
        <w:rPr>
          <w:rStyle w:val="FootnoteReference"/>
          <w:rFonts w:ascii="Arial" w:hAnsi="Arial" w:cs="Arial"/>
          <w:sz w:val="22"/>
          <w:szCs w:val="22"/>
        </w:rPr>
        <w:footnoteReference w:id="53"/>
      </w:r>
      <w:r w:rsidR="003B76E8">
        <w:rPr>
          <w:rFonts w:ascii="Arial" w:hAnsi="Arial" w:cs="Arial"/>
          <w:sz w:val="22"/>
          <w:szCs w:val="22"/>
        </w:rPr>
        <w:t xml:space="preserve"> Connie’s confusion and outrage around future gender is compounded when she realises that mothers in this world are not biological relatives, each child has three and men are also able to enjoy </w:t>
      </w:r>
      <w:r w:rsidR="008E3026">
        <w:rPr>
          <w:rFonts w:ascii="Arial" w:hAnsi="Arial" w:cs="Arial"/>
          <w:sz w:val="22"/>
          <w:szCs w:val="22"/>
        </w:rPr>
        <w:t xml:space="preserve">motherhood and even </w:t>
      </w:r>
      <w:r w:rsidR="003B76E8">
        <w:rPr>
          <w:rFonts w:ascii="Arial" w:hAnsi="Arial" w:cs="Arial"/>
          <w:sz w:val="22"/>
          <w:szCs w:val="22"/>
        </w:rPr>
        <w:t>breastfeeding</w:t>
      </w:r>
      <w:r w:rsidR="00DA7BCE">
        <w:rPr>
          <w:rFonts w:ascii="Arial" w:hAnsi="Arial" w:cs="Arial"/>
          <w:sz w:val="22"/>
          <w:szCs w:val="22"/>
        </w:rPr>
        <w:t>:</w:t>
      </w:r>
      <w:r w:rsidR="00CC4013" w:rsidRPr="00CC4013">
        <w:rPr>
          <w:rFonts w:ascii="Arial" w:hAnsi="Arial" w:cs="Arial"/>
          <w:sz w:val="22"/>
          <w:szCs w:val="22"/>
        </w:rPr>
        <w:t xml:space="preserve"> </w:t>
      </w:r>
      <w:r w:rsidR="00DA7BCE">
        <w:rPr>
          <w:rFonts w:ascii="Arial" w:hAnsi="Arial" w:cs="Arial"/>
          <w:sz w:val="22"/>
          <w:szCs w:val="22"/>
        </w:rPr>
        <w:t>‘</w:t>
      </w:r>
      <w:r w:rsidR="00CC4013" w:rsidRPr="00CC4013">
        <w:rPr>
          <w:rFonts w:ascii="Arial" w:hAnsi="Arial" w:cs="Arial"/>
          <w:sz w:val="22"/>
          <w:szCs w:val="22"/>
        </w:rPr>
        <w:t xml:space="preserve">Then with his red beard, his face of a sunburnt forty-five-year-old man, </w:t>
      </w:r>
      <w:proofErr w:type="spellStart"/>
      <w:r w:rsidR="00CC4013" w:rsidRPr="00CC4013">
        <w:rPr>
          <w:rFonts w:ascii="Arial" w:hAnsi="Arial" w:cs="Arial"/>
          <w:sz w:val="22"/>
          <w:szCs w:val="22"/>
        </w:rPr>
        <w:t>sternvisaged</w:t>
      </w:r>
      <w:proofErr w:type="spellEnd"/>
      <w:r w:rsidR="00CC4013" w:rsidRPr="00CC4013">
        <w:rPr>
          <w:rFonts w:ascii="Arial" w:hAnsi="Arial" w:cs="Arial"/>
          <w:sz w:val="22"/>
          <w:szCs w:val="22"/>
        </w:rPr>
        <w:t>, long-nosed, thin-lipped, he began to nurs</w:t>
      </w:r>
      <w:r w:rsidR="0089377E">
        <w:rPr>
          <w:rFonts w:ascii="Arial" w:hAnsi="Arial" w:cs="Arial"/>
          <w:sz w:val="22"/>
          <w:szCs w:val="22"/>
        </w:rPr>
        <w:t>e.’</w:t>
      </w:r>
      <w:r w:rsidR="0089377E">
        <w:rPr>
          <w:rStyle w:val="FootnoteReference"/>
          <w:rFonts w:ascii="Arial" w:hAnsi="Arial" w:cs="Arial"/>
          <w:sz w:val="22"/>
          <w:szCs w:val="22"/>
        </w:rPr>
        <w:footnoteReference w:id="54"/>
      </w:r>
      <w:r w:rsidR="0089377E">
        <w:rPr>
          <w:rFonts w:ascii="Arial" w:hAnsi="Arial" w:cs="Arial"/>
          <w:sz w:val="22"/>
          <w:szCs w:val="22"/>
        </w:rPr>
        <w:t xml:space="preserve"> </w:t>
      </w:r>
      <w:r w:rsidR="00DA7BCE">
        <w:rPr>
          <w:rFonts w:ascii="Arial" w:hAnsi="Arial" w:cs="Arial"/>
          <w:sz w:val="22"/>
          <w:szCs w:val="22"/>
        </w:rPr>
        <w:t xml:space="preserve">Piercy’s description of the male mother here </w:t>
      </w:r>
      <w:r w:rsidR="00813A05">
        <w:rPr>
          <w:rFonts w:ascii="Arial" w:hAnsi="Arial" w:cs="Arial"/>
          <w:sz w:val="22"/>
          <w:szCs w:val="22"/>
        </w:rPr>
        <w:t>contrasts sharply to the imagined ideal mother, with his stern face and thin lips</w:t>
      </w:r>
      <w:r w:rsidR="00225AC3">
        <w:rPr>
          <w:rFonts w:ascii="Arial" w:hAnsi="Arial" w:cs="Arial"/>
          <w:sz w:val="22"/>
          <w:szCs w:val="22"/>
        </w:rPr>
        <w:t xml:space="preserve"> signifying a hard and cold character. </w:t>
      </w:r>
      <w:r w:rsidR="007F6A13">
        <w:rPr>
          <w:rFonts w:ascii="Arial" w:hAnsi="Arial" w:cs="Arial"/>
          <w:sz w:val="22"/>
          <w:szCs w:val="22"/>
        </w:rPr>
        <w:t>However,</w:t>
      </w:r>
      <w:r w:rsidR="003D0F96">
        <w:rPr>
          <w:rFonts w:ascii="Arial" w:hAnsi="Arial" w:cs="Arial"/>
          <w:sz w:val="22"/>
          <w:szCs w:val="22"/>
        </w:rPr>
        <w:t xml:space="preserve"> </w:t>
      </w:r>
      <w:r w:rsidR="003D0F96">
        <w:rPr>
          <w:rFonts w:ascii="Arial" w:hAnsi="Arial" w:cs="Arial"/>
          <w:sz w:val="22"/>
          <w:szCs w:val="22"/>
        </w:rPr>
        <w:lastRenderedPageBreak/>
        <w:t xml:space="preserve">when beginning to feed the child he is visibly engulfed in serenity and </w:t>
      </w:r>
      <w:r w:rsidR="001F3117">
        <w:rPr>
          <w:rFonts w:ascii="Arial" w:hAnsi="Arial" w:cs="Arial"/>
          <w:sz w:val="22"/>
          <w:szCs w:val="22"/>
        </w:rPr>
        <w:t>‘floated’.</w:t>
      </w:r>
      <w:r w:rsidR="001F3117">
        <w:rPr>
          <w:rStyle w:val="FootnoteReference"/>
          <w:rFonts w:ascii="Arial" w:hAnsi="Arial" w:cs="Arial"/>
          <w:sz w:val="22"/>
          <w:szCs w:val="22"/>
        </w:rPr>
        <w:footnoteReference w:id="55"/>
      </w:r>
      <w:r w:rsidR="001F3117">
        <w:rPr>
          <w:rFonts w:ascii="Arial" w:hAnsi="Arial" w:cs="Arial"/>
          <w:sz w:val="22"/>
          <w:szCs w:val="22"/>
        </w:rPr>
        <w:t xml:space="preserve"> </w:t>
      </w:r>
      <w:r w:rsidR="00AE4DA5">
        <w:rPr>
          <w:rFonts w:ascii="Arial" w:hAnsi="Arial" w:cs="Arial"/>
          <w:sz w:val="22"/>
          <w:szCs w:val="22"/>
        </w:rPr>
        <w:t xml:space="preserve">The hormonal connection between a nursing mother and </w:t>
      </w:r>
      <w:r w:rsidR="008E3026">
        <w:rPr>
          <w:rFonts w:ascii="Arial" w:hAnsi="Arial" w:cs="Arial"/>
          <w:sz w:val="22"/>
          <w:szCs w:val="22"/>
        </w:rPr>
        <w:t xml:space="preserve">their </w:t>
      </w:r>
      <w:r w:rsidR="00AE4DA5">
        <w:rPr>
          <w:rFonts w:ascii="Arial" w:hAnsi="Arial" w:cs="Arial"/>
          <w:sz w:val="22"/>
          <w:szCs w:val="22"/>
        </w:rPr>
        <w:t xml:space="preserve">baby is </w:t>
      </w:r>
      <w:r w:rsidR="00C137D0">
        <w:rPr>
          <w:rFonts w:ascii="Arial" w:hAnsi="Arial" w:cs="Arial"/>
          <w:sz w:val="22"/>
          <w:szCs w:val="22"/>
        </w:rPr>
        <w:t xml:space="preserve">emphasised as a transcendental experience. </w:t>
      </w:r>
      <w:r w:rsidR="00120092">
        <w:rPr>
          <w:rFonts w:ascii="Arial" w:hAnsi="Arial" w:cs="Arial"/>
          <w:sz w:val="22"/>
          <w:szCs w:val="22"/>
        </w:rPr>
        <w:t xml:space="preserve">It might be </w:t>
      </w:r>
      <w:r w:rsidR="008E3026">
        <w:rPr>
          <w:rFonts w:ascii="Arial" w:hAnsi="Arial" w:cs="Arial"/>
          <w:sz w:val="22"/>
          <w:szCs w:val="22"/>
        </w:rPr>
        <w:t>indicated</w:t>
      </w:r>
      <w:r w:rsidR="00120092">
        <w:rPr>
          <w:rFonts w:ascii="Arial" w:hAnsi="Arial" w:cs="Arial"/>
          <w:sz w:val="22"/>
          <w:szCs w:val="22"/>
        </w:rPr>
        <w:t xml:space="preserve"> that </w:t>
      </w:r>
      <w:r w:rsidR="00344153">
        <w:rPr>
          <w:rFonts w:ascii="Arial" w:hAnsi="Arial" w:cs="Arial"/>
          <w:sz w:val="22"/>
          <w:szCs w:val="22"/>
        </w:rPr>
        <w:t xml:space="preserve">gender </w:t>
      </w:r>
      <w:r w:rsidR="00671A08">
        <w:rPr>
          <w:rFonts w:ascii="Arial" w:hAnsi="Arial" w:cs="Arial"/>
          <w:sz w:val="22"/>
          <w:szCs w:val="22"/>
        </w:rPr>
        <w:t xml:space="preserve">equality could be achieved </w:t>
      </w:r>
      <w:r w:rsidR="004D0A70">
        <w:rPr>
          <w:rFonts w:ascii="Arial" w:hAnsi="Arial" w:cs="Arial"/>
          <w:sz w:val="22"/>
          <w:szCs w:val="22"/>
        </w:rPr>
        <w:t xml:space="preserve">if </w:t>
      </w:r>
      <w:r w:rsidR="00120092">
        <w:rPr>
          <w:rFonts w:ascii="Arial" w:hAnsi="Arial" w:cs="Arial"/>
          <w:sz w:val="22"/>
          <w:szCs w:val="22"/>
        </w:rPr>
        <w:t xml:space="preserve">men </w:t>
      </w:r>
      <w:r w:rsidR="00B17E47">
        <w:rPr>
          <w:rFonts w:ascii="Arial" w:hAnsi="Arial" w:cs="Arial"/>
          <w:sz w:val="22"/>
          <w:szCs w:val="22"/>
        </w:rPr>
        <w:t xml:space="preserve">could </w:t>
      </w:r>
      <w:r w:rsidR="00120092">
        <w:rPr>
          <w:rFonts w:ascii="Arial" w:hAnsi="Arial" w:cs="Arial"/>
          <w:sz w:val="22"/>
          <w:szCs w:val="22"/>
        </w:rPr>
        <w:t xml:space="preserve">be </w:t>
      </w:r>
      <w:r w:rsidR="00B17E47">
        <w:rPr>
          <w:rFonts w:ascii="Arial" w:hAnsi="Arial" w:cs="Arial"/>
          <w:sz w:val="22"/>
          <w:szCs w:val="22"/>
        </w:rPr>
        <w:t>offered</w:t>
      </w:r>
      <w:r w:rsidR="00120092">
        <w:rPr>
          <w:rFonts w:ascii="Arial" w:hAnsi="Arial" w:cs="Arial"/>
          <w:sz w:val="22"/>
          <w:szCs w:val="22"/>
        </w:rPr>
        <w:t xml:space="preserve"> the opportunity to experience </w:t>
      </w:r>
      <w:r w:rsidR="00FB0ACF">
        <w:rPr>
          <w:rFonts w:ascii="Arial" w:hAnsi="Arial" w:cs="Arial"/>
          <w:sz w:val="22"/>
          <w:szCs w:val="22"/>
        </w:rPr>
        <w:t>the physical</w:t>
      </w:r>
      <w:r w:rsidR="004D0A70">
        <w:rPr>
          <w:rFonts w:ascii="Arial" w:hAnsi="Arial" w:cs="Arial"/>
          <w:sz w:val="22"/>
          <w:szCs w:val="22"/>
        </w:rPr>
        <w:t>ity</w:t>
      </w:r>
      <w:r w:rsidR="00FB0ACF">
        <w:rPr>
          <w:rFonts w:ascii="Arial" w:hAnsi="Arial" w:cs="Arial"/>
          <w:sz w:val="22"/>
          <w:szCs w:val="22"/>
        </w:rPr>
        <w:t xml:space="preserve"> of nurturing. </w:t>
      </w:r>
      <w:r w:rsidR="003B76E8">
        <w:rPr>
          <w:rFonts w:ascii="Arial" w:hAnsi="Arial" w:cs="Arial"/>
          <w:sz w:val="22"/>
          <w:szCs w:val="22"/>
        </w:rPr>
        <w:t xml:space="preserve">Through the defeminisation of breastfeeding, Piercy deconstructs the last tenets of gender </w:t>
      </w:r>
      <w:r w:rsidR="000A03E0">
        <w:rPr>
          <w:rFonts w:ascii="Arial" w:hAnsi="Arial" w:cs="Arial"/>
          <w:sz w:val="22"/>
          <w:szCs w:val="22"/>
        </w:rPr>
        <w:t>difference</w:t>
      </w:r>
      <w:r w:rsidR="003B76E8">
        <w:rPr>
          <w:rFonts w:ascii="Arial" w:hAnsi="Arial" w:cs="Arial"/>
          <w:sz w:val="22"/>
          <w:szCs w:val="22"/>
        </w:rPr>
        <w:t xml:space="preserve">. The inhabitants of </w:t>
      </w:r>
      <w:r w:rsidR="003B76E8">
        <w:rPr>
          <w:rFonts w:ascii="Arial" w:hAnsi="Arial" w:cs="Arial"/>
          <w:i/>
          <w:iCs/>
          <w:sz w:val="22"/>
          <w:szCs w:val="22"/>
        </w:rPr>
        <w:t xml:space="preserve">Herland </w:t>
      </w:r>
      <w:r w:rsidR="003B76E8">
        <w:rPr>
          <w:rFonts w:ascii="Arial" w:hAnsi="Arial" w:cs="Arial"/>
          <w:sz w:val="22"/>
          <w:szCs w:val="22"/>
        </w:rPr>
        <w:t>also appear androgynous through their haircuts and clothing. They are strong and physically capable</w:t>
      </w:r>
      <w:r w:rsidR="003E459D">
        <w:rPr>
          <w:rFonts w:ascii="Arial" w:hAnsi="Arial" w:cs="Arial"/>
          <w:sz w:val="22"/>
          <w:szCs w:val="22"/>
        </w:rPr>
        <w:t xml:space="preserve">, which Gilman believed women had to be </w:t>
      </w:r>
      <w:proofErr w:type="gramStart"/>
      <w:r w:rsidR="00E17DCE">
        <w:rPr>
          <w:rFonts w:ascii="Arial" w:hAnsi="Arial" w:cs="Arial"/>
          <w:sz w:val="22"/>
          <w:szCs w:val="22"/>
        </w:rPr>
        <w:t>in order to</w:t>
      </w:r>
      <w:proofErr w:type="gramEnd"/>
      <w:r w:rsidR="00E17DCE">
        <w:rPr>
          <w:rFonts w:ascii="Arial" w:hAnsi="Arial" w:cs="Arial"/>
          <w:sz w:val="22"/>
          <w:szCs w:val="22"/>
        </w:rPr>
        <w:t xml:space="preserve"> gain equality</w:t>
      </w:r>
      <w:r w:rsidR="003B76E8">
        <w:rPr>
          <w:rFonts w:ascii="Arial" w:hAnsi="Arial" w:cs="Arial"/>
          <w:sz w:val="22"/>
          <w:szCs w:val="22"/>
        </w:rPr>
        <w:t>.</w:t>
      </w:r>
      <w:r w:rsidR="00E17DCE">
        <w:rPr>
          <w:rStyle w:val="FootnoteReference"/>
          <w:rFonts w:ascii="Arial" w:hAnsi="Arial" w:cs="Arial"/>
          <w:sz w:val="22"/>
          <w:szCs w:val="22"/>
        </w:rPr>
        <w:footnoteReference w:id="56"/>
      </w:r>
      <w:r w:rsidR="003B76E8">
        <w:rPr>
          <w:rFonts w:ascii="Arial" w:hAnsi="Arial" w:cs="Arial"/>
          <w:sz w:val="22"/>
          <w:szCs w:val="22"/>
        </w:rPr>
        <w:t xml:space="preserve"> That Gilman and Piercy appear to successfully remove the need for a father throws into sharper relief Shelley’s presentation of a person’s creation without a mother. Although the creature could be seen as a Lockean experiment, the creature’s development implies personhood fits the essentialist view. The creature becomes capable of </w:t>
      </w:r>
      <w:proofErr w:type="gramStart"/>
      <w:r w:rsidR="003B76E8">
        <w:rPr>
          <w:rFonts w:ascii="Arial" w:hAnsi="Arial" w:cs="Arial"/>
          <w:sz w:val="22"/>
          <w:szCs w:val="22"/>
        </w:rPr>
        <w:t>reason, and</w:t>
      </w:r>
      <w:proofErr w:type="gramEnd"/>
      <w:r w:rsidR="003B76E8">
        <w:rPr>
          <w:rFonts w:ascii="Arial" w:hAnsi="Arial" w:cs="Arial"/>
          <w:sz w:val="22"/>
          <w:szCs w:val="22"/>
        </w:rPr>
        <w:t xml:space="preserve"> appears to have an enlightened mind.</w:t>
      </w:r>
      <w:r w:rsidR="009278C3">
        <w:rPr>
          <w:rStyle w:val="FootnoteReference"/>
          <w:rFonts w:ascii="Arial" w:hAnsi="Arial" w:cs="Arial"/>
          <w:sz w:val="22"/>
          <w:szCs w:val="22"/>
        </w:rPr>
        <w:footnoteReference w:id="57"/>
      </w:r>
      <w:r w:rsidR="003B76E8">
        <w:rPr>
          <w:rFonts w:ascii="Arial" w:hAnsi="Arial" w:cs="Arial"/>
          <w:sz w:val="22"/>
          <w:szCs w:val="22"/>
        </w:rPr>
        <w:t xml:space="preserve"> However, this all becomes futile as he is</w:t>
      </w:r>
      <w:r w:rsidR="009278C3">
        <w:rPr>
          <w:rFonts w:ascii="Arial" w:hAnsi="Arial" w:cs="Arial"/>
          <w:sz w:val="22"/>
          <w:szCs w:val="22"/>
        </w:rPr>
        <w:t xml:space="preserve"> </w:t>
      </w:r>
      <w:r w:rsidR="003B76E8">
        <w:rPr>
          <w:rFonts w:ascii="Arial" w:hAnsi="Arial" w:cs="Arial"/>
          <w:sz w:val="22"/>
          <w:szCs w:val="22"/>
        </w:rPr>
        <w:t>torn apart by isolation and lack of nurture in any form. He is alienated from a ‘society that holds no place for such a radically new human’.</w:t>
      </w:r>
      <w:r w:rsidR="003B76E8">
        <w:rPr>
          <w:rStyle w:val="FootnoteReference"/>
          <w:rFonts w:ascii="Arial" w:hAnsi="Arial" w:cs="Arial"/>
          <w:sz w:val="22"/>
          <w:szCs w:val="22"/>
        </w:rPr>
        <w:footnoteReference w:id="58"/>
      </w:r>
      <w:r w:rsidR="003B76E8">
        <w:rPr>
          <w:rFonts w:ascii="Arial" w:hAnsi="Arial" w:cs="Arial"/>
          <w:sz w:val="22"/>
          <w:szCs w:val="22"/>
        </w:rPr>
        <w:t xml:space="preserve"> </w:t>
      </w:r>
      <w:r w:rsidR="008E3026">
        <w:rPr>
          <w:rFonts w:ascii="Arial" w:hAnsi="Arial" w:cs="Arial"/>
          <w:sz w:val="22"/>
          <w:szCs w:val="22"/>
        </w:rPr>
        <w:t>Motherly qualities</w:t>
      </w:r>
      <w:r w:rsidR="003B76E8">
        <w:rPr>
          <w:rFonts w:ascii="Arial" w:hAnsi="Arial" w:cs="Arial"/>
          <w:sz w:val="22"/>
          <w:szCs w:val="22"/>
        </w:rPr>
        <w:t xml:space="preserve"> are necessary to </w:t>
      </w:r>
      <w:r w:rsidR="008E3026">
        <w:rPr>
          <w:rFonts w:ascii="Arial" w:hAnsi="Arial" w:cs="Arial"/>
          <w:sz w:val="22"/>
          <w:szCs w:val="22"/>
        </w:rPr>
        <w:t>the development of the child</w:t>
      </w:r>
      <w:r w:rsidR="003B76E8">
        <w:rPr>
          <w:rFonts w:ascii="Arial" w:hAnsi="Arial" w:cs="Arial"/>
          <w:sz w:val="22"/>
          <w:szCs w:val="22"/>
        </w:rPr>
        <w:t>.</w:t>
      </w:r>
    </w:p>
    <w:p w14:paraId="11D44E4F" w14:textId="65FA0B2F" w:rsidR="003B76E8" w:rsidRDefault="003B76E8" w:rsidP="003B76E8">
      <w:pPr>
        <w:spacing w:line="480" w:lineRule="auto"/>
        <w:rPr>
          <w:rFonts w:ascii="Arial" w:hAnsi="Arial" w:cs="Arial"/>
          <w:sz w:val="22"/>
          <w:szCs w:val="22"/>
        </w:rPr>
      </w:pPr>
      <w:r>
        <w:rPr>
          <w:rFonts w:ascii="Arial" w:hAnsi="Arial" w:cs="Arial"/>
          <w:sz w:val="22"/>
          <w:szCs w:val="22"/>
        </w:rPr>
        <w:t>It could be questioned how</w:t>
      </w:r>
      <w:r w:rsidR="000A03E0">
        <w:rPr>
          <w:rFonts w:ascii="Arial" w:hAnsi="Arial" w:cs="Arial"/>
          <w:sz w:val="22"/>
          <w:szCs w:val="22"/>
        </w:rPr>
        <w:t>,</w:t>
      </w:r>
      <w:r>
        <w:rPr>
          <w:rFonts w:ascii="Arial" w:hAnsi="Arial" w:cs="Arial"/>
          <w:sz w:val="22"/>
          <w:szCs w:val="22"/>
        </w:rPr>
        <w:t xml:space="preserve"> if all </w:t>
      </w:r>
      <w:proofErr w:type="spellStart"/>
      <w:r>
        <w:rPr>
          <w:rFonts w:ascii="Arial" w:hAnsi="Arial" w:cs="Arial"/>
          <w:sz w:val="22"/>
          <w:szCs w:val="22"/>
        </w:rPr>
        <w:t>Herlanders</w:t>
      </w:r>
      <w:proofErr w:type="spellEnd"/>
      <w:r>
        <w:rPr>
          <w:rFonts w:ascii="Arial" w:hAnsi="Arial" w:cs="Arial"/>
          <w:sz w:val="22"/>
          <w:szCs w:val="22"/>
        </w:rPr>
        <w:t xml:space="preserve"> are connected and defined by motherhood</w:t>
      </w:r>
      <w:r w:rsidR="000A03E0">
        <w:rPr>
          <w:rFonts w:ascii="Arial" w:hAnsi="Arial" w:cs="Arial"/>
          <w:sz w:val="22"/>
          <w:szCs w:val="22"/>
        </w:rPr>
        <w:t xml:space="preserve">, </w:t>
      </w:r>
      <w:r>
        <w:rPr>
          <w:rFonts w:ascii="Arial" w:hAnsi="Arial" w:cs="Arial"/>
          <w:sz w:val="22"/>
          <w:szCs w:val="22"/>
        </w:rPr>
        <w:t>they might have any individuality. Th</w:t>
      </w:r>
      <w:r w:rsidR="00D923E8">
        <w:rPr>
          <w:rFonts w:ascii="Arial" w:hAnsi="Arial" w:cs="Arial"/>
          <w:sz w:val="22"/>
          <w:szCs w:val="22"/>
        </w:rPr>
        <w:t xml:space="preserve">eir </w:t>
      </w:r>
      <w:r w:rsidR="006B7F19">
        <w:rPr>
          <w:rFonts w:ascii="Arial" w:hAnsi="Arial" w:cs="Arial"/>
          <w:sz w:val="22"/>
          <w:szCs w:val="22"/>
        </w:rPr>
        <w:t>universality</w:t>
      </w:r>
      <w:r>
        <w:rPr>
          <w:rFonts w:ascii="Arial" w:hAnsi="Arial" w:cs="Arial"/>
          <w:sz w:val="22"/>
          <w:szCs w:val="22"/>
        </w:rPr>
        <w:t xml:space="preserve"> seems to go against Gilman’s advocation of a woman’s right to </w:t>
      </w:r>
      <w:r w:rsidR="003C2DBC">
        <w:rPr>
          <w:rFonts w:ascii="Arial" w:hAnsi="Arial" w:cs="Arial"/>
          <w:sz w:val="22"/>
          <w:szCs w:val="22"/>
        </w:rPr>
        <w:t>individuality</w:t>
      </w:r>
      <w:r>
        <w:rPr>
          <w:rFonts w:ascii="Arial" w:hAnsi="Arial" w:cs="Arial"/>
          <w:sz w:val="22"/>
          <w:szCs w:val="22"/>
        </w:rPr>
        <w:t xml:space="preserve">. But community spirit is at the heart of Gilman’s theories. She argues </w:t>
      </w:r>
      <w:r w:rsidR="002C13FE">
        <w:rPr>
          <w:rFonts w:ascii="Arial" w:hAnsi="Arial" w:cs="Arial"/>
          <w:sz w:val="22"/>
          <w:szCs w:val="22"/>
        </w:rPr>
        <w:t xml:space="preserve">that </w:t>
      </w:r>
      <w:r>
        <w:rPr>
          <w:rFonts w:ascii="Arial" w:hAnsi="Arial" w:cs="Arial"/>
          <w:sz w:val="22"/>
          <w:szCs w:val="22"/>
        </w:rPr>
        <w:t>women must ‘work co-operatively, overcoming the destructive action of male energy in its blind competition’.</w:t>
      </w:r>
      <w:r w:rsidR="00FD1C15">
        <w:rPr>
          <w:rStyle w:val="FootnoteReference"/>
          <w:rFonts w:ascii="Arial" w:hAnsi="Arial" w:cs="Arial"/>
          <w:sz w:val="22"/>
          <w:szCs w:val="22"/>
        </w:rPr>
        <w:footnoteReference w:id="59"/>
      </w:r>
      <w:r>
        <w:rPr>
          <w:rFonts w:ascii="Arial" w:hAnsi="Arial" w:cs="Arial"/>
          <w:sz w:val="22"/>
          <w:szCs w:val="22"/>
        </w:rPr>
        <w:t xml:space="preserve"> Women must work at the jobs they feel necessary to themselves. This is grounded on an assumption that a proportion of women would see their life’s work as raising children to a professional standard and enjoy this. But then th</w:t>
      </w:r>
      <w:r w:rsidR="00E77F72">
        <w:rPr>
          <w:rFonts w:ascii="Arial" w:hAnsi="Arial" w:cs="Arial"/>
          <w:sz w:val="22"/>
          <w:szCs w:val="22"/>
        </w:rPr>
        <w:t>e</w:t>
      </w:r>
      <w:r>
        <w:rPr>
          <w:rFonts w:ascii="Arial" w:hAnsi="Arial" w:cs="Arial"/>
          <w:sz w:val="22"/>
          <w:szCs w:val="22"/>
        </w:rPr>
        <w:t xml:space="preserve">se women would be paid for this work as communal child-carers. ‘Collectivised and professionalised childcare was as central to Perkin’s-Gilman’s utopian vision as the </w:t>
      </w:r>
      <w:proofErr w:type="spellStart"/>
      <w:r>
        <w:rPr>
          <w:rFonts w:ascii="Arial" w:hAnsi="Arial" w:cs="Arial"/>
          <w:sz w:val="22"/>
          <w:szCs w:val="22"/>
        </w:rPr>
        <w:t>kitchenless</w:t>
      </w:r>
      <w:proofErr w:type="spellEnd"/>
      <w:r>
        <w:rPr>
          <w:rFonts w:ascii="Arial" w:hAnsi="Arial" w:cs="Arial"/>
          <w:sz w:val="22"/>
          <w:szCs w:val="22"/>
        </w:rPr>
        <w:t xml:space="preserve"> home.’</w:t>
      </w:r>
      <w:r>
        <w:rPr>
          <w:rStyle w:val="FootnoteReference"/>
          <w:rFonts w:ascii="Arial" w:hAnsi="Arial" w:cs="Arial"/>
          <w:sz w:val="22"/>
          <w:szCs w:val="22"/>
        </w:rPr>
        <w:footnoteReference w:id="60"/>
      </w:r>
      <w:r>
        <w:rPr>
          <w:rFonts w:ascii="Arial" w:hAnsi="Arial" w:cs="Arial"/>
          <w:sz w:val="22"/>
          <w:szCs w:val="22"/>
        </w:rPr>
        <w:t xml:space="preserve"> Children of Herland are the children of all: ‘We each have a million children to love and serve’,</w:t>
      </w:r>
      <w:r>
        <w:rPr>
          <w:rStyle w:val="FootnoteReference"/>
          <w:rFonts w:ascii="Arial" w:hAnsi="Arial" w:cs="Arial"/>
          <w:sz w:val="22"/>
          <w:szCs w:val="22"/>
        </w:rPr>
        <w:footnoteReference w:id="61"/>
      </w:r>
      <w:r>
        <w:rPr>
          <w:rFonts w:ascii="Arial" w:hAnsi="Arial" w:cs="Arial"/>
          <w:sz w:val="22"/>
          <w:szCs w:val="22"/>
        </w:rPr>
        <w:t xml:space="preserve"> but</w:t>
      </w:r>
      <w:r w:rsidR="009B4AE4">
        <w:rPr>
          <w:rFonts w:ascii="Arial" w:hAnsi="Arial" w:cs="Arial"/>
          <w:sz w:val="22"/>
          <w:szCs w:val="22"/>
        </w:rPr>
        <w:t xml:space="preserve"> are</w:t>
      </w:r>
      <w:r>
        <w:rPr>
          <w:rFonts w:ascii="Arial" w:hAnsi="Arial" w:cs="Arial"/>
          <w:sz w:val="22"/>
          <w:szCs w:val="22"/>
        </w:rPr>
        <w:t xml:space="preserve"> only cared for after their first birthday by professionals, the women seen as ‘most fit’.</w:t>
      </w:r>
      <w:r>
        <w:rPr>
          <w:rStyle w:val="FootnoteReference"/>
          <w:rFonts w:ascii="Arial" w:hAnsi="Arial" w:cs="Arial"/>
          <w:sz w:val="22"/>
          <w:szCs w:val="22"/>
        </w:rPr>
        <w:footnoteReference w:id="62"/>
      </w:r>
      <w:r>
        <w:rPr>
          <w:rFonts w:ascii="Arial" w:hAnsi="Arial" w:cs="Arial"/>
          <w:sz w:val="22"/>
          <w:szCs w:val="22"/>
        </w:rPr>
        <w:t xml:space="preserve"> Jeff compares the women to those of a beehive or ant colony, all working for the common good.</w:t>
      </w:r>
      <w:r>
        <w:rPr>
          <w:rStyle w:val="FootnoteReference"/>
          <w:rFonts w:ascii="Arial" w:hAnsi="Arial" w:cs="Arial"/>
          <w:sz w:val="22"/>
          <w:szCs w:val="22"/>
        </w:rPr>
        <w:footnoteReference w:id="63"/>
      </w:r>
      <w:r>
        <w:rPr>
          <w:rFonts w:ascii="Arial" w:hAnsi="Arial" w:cs="Arial"/>
          <w:sz w:val="22"/>
          <w:szCs w:val="22"/>
        </w:rPr>
        <w:t xml:space="preserve"> Children being the property of the community </w:t>
      </w:r>
      <w:r>
        <w:rPr>
          <w:rFonts w:ascii="Arial" w:hAnsi="Arial" w:cs="Arial"/>
          <w:sz w:val="22"/>
          <w:szCs w:val="22"/>
        </w:rPr>
        <w:lastRenderedPageBreak/>
        <w:t xml:space="preserve">and the central focus </w:t>
      </w:r>
      <w:r w:rsidR="00027461">
        <w:rPr>
          <w:rFonts w:ascii="Arial" w:hAnsi="Arial" w:cs="Arial"/>
          <w:sz w:val="22"/>
          <w:szCs w:val="22"/>
        </w:rPr>
        <w:t xml:space="preserve">of life </w:t>
      </w:r>
      <w:r>
        <w:rPr>
          <w:rFonts w:ascii="Arial" w:hAnsi="Arial" w:cs="Arial"/>
          <w:sz w:val="22"/>
          <w:szCs w:val="22"/>
        </w:rPr>
        <w:t>seems to be a step backward for women, in that they appear to be defined as being mothers and</w:t>
      </w:r>
      <w:r w:rsidR="001343B6">
        <w:rPr>
          <w:rFonts w:ascii="Arial" w:hAnsi="Arial" w:cs="Arial"/>
          <w:sz w:val="22"/>
          <w:szCs w:val="22"/>
        </w:rPr>
        <w:t xml:space="preserve"> have no concern other than</w:t>
      </w:r>
      <w:r>
        <w:rPr>
          <w:rFonts w:ascii="Arial" w:hAnsi="Arial" w:cs="Arial"/>
          <w:sz w:val="22"/>
          <w:szCs w:val="22"/>
        </w:rPr>
        <w:t xml:space="preserve"> the improvement of children. They don’t appear to have strong emotions or personalities, differing opinions or intense bonds. Gilman intended to free women from domestic life</w:t>
      </w:r>
      <w:r w:rsidR="00954240">
        <w:rPr>
          <w:rFonts w:ascii="Arial" w:hAnsi="Arial" w:cs="Arial"/>
          <w:sz w:val="22"/>
          <w:szCs w:val="22"/>
        </w:rPr>
        <w:t>, however</w:t>
      </w:r>
      <w:r>
        <w:rPr>
          <w:rFonts w:ascii="Arial" w:hAnsi="Arial" w:cs="Arial"/>
          <w:sz w:val="22"/>
          <w:szCs w:val="22"/>
        </w:rPr>
        <w:t xml:space="preserve"> </w:t>
      </w:r>
      <w:r w:rsidR="00954240">
        <w:rPr>
          <w:rFonts w:ascii="Arial" w:hAnsi="Arial" w:cs="Arial"/>
          <w:sz w:val="22"/>
          <w:szCs w:val="22"/>
        </w:rPr>
        <w:t>i</w:t>
      </w:r>
      <w:r>
        <w:rPr>
          <w:rFonts w:ascii="Arial" w:hAnsi="Arial" w:cs="Arial"/>
          <w:sz w:val="22"/>
          <w:szCs w:val="22"/>
        </w:rPr>
        <w:t xml:space="preserve">n </w:t>
      </w:r>
      <w:r w:rsidR="00954240">
        <w:rPr>
          <w:rFonts w:ascii="Arial" w:hAnsi="Arial" w:cs="Arial"/>
          <w:sz w:val="22"/>
          <w:szCs w:val="22"/>
        </w:rPr>
        <w:t>th</w:t>
      </w:r>
      <w:r w:rsidR="0091622B">
        <w:rPr>
          <w:rFonts w:ascii="Arial" w:hAnsi="Arial" w:cs="Arial"/>
          <w:sz w:val="22"/>
          <w:szCs w:val="22"/>
        </w:rPr>
        <w:t>is</w:t>
      </w:r>
      <w:r w:rsidR="00954240">
        <w:rPr>
          <w:rFonts w:ascii="Arial" w:hAnsi="Arial" w:cs="Arial"/>
          <w:sz w:val="22"/>
          <w:szCs w:val="22"/>
        </w:rPr>
        <w:t xml:space="preserve"> fictional representa</w:t>
      </w:r>
      <w:r w:rsidR="00D068F2">
        <w:rPr>
          <w:rFonts w:ascii="Arial" w:hAnsi="Arial" w:cs="Arial"/>
          <w:sz w:val="22"/>
          <w:szCs w:val="22"/>
        </w:rPr>
        <w:t xml:space="preserve">tion </w:t>
      </w:r>
      <w:r>
        <w:rPr>
          <w:rFonts w:ascii="Arial" w:hAnsi="Arial" w:cs="Arial"/>
          <w:sz w:val="22"/>
          <w:szCs w:val="22"/>
        </w:rPr>
        <w:t xml:space="preserve">the women seem to lead </w:t>
      </w:r>
      <w:proofErr w:type="gramStart"/>
      <w:r>
        <w:rPr>
          <w:rFonts w:ascii="Arial" w:hAnsi="Arial" w:cs="Arial"/>
          <w:sz w:val="22"/>
          <w:szCs w:val="22"/>
        </w:rPr>
        <w:t>less</w:t>
      </w:r>
      <w:proofErr w:type="gramEnd"/>
      <w:r>
        <w:rPr>
          <w:rFonts w:ascii="Arial" w:hAnsi="Arial" w:cs="Arial"/>
          <w:sz w:val="22"/>
          <w:szCs w:val="22"/>
        </w:rPr>
        <w:t xml:space="preserve"> rich lives than Gilman may have intended. Whilst </w:t>
      </w:r>
      <w:r w:rsidR="0080638A">
        <w:rPr>
          <w:rFonts w:ascii="Arial" w:hAnsi="Arial" w:cs="Arial"/>
          <w:sz w:val="22"/>
          <w:szCs w:val="22"/>
        </w:rPr>
        <w:t>the organisation of their lives</w:t>
      </w:r>
      <w:r>
        <w:rPr>
          <w:rFonts w:ascii="Arial" w:hAnsi="Arial" w:cs="Arial"/>
          <w:sz w:val="22"/>
          <w:szCs w:val="22"/>
        </w:rPr>
        <w:t xml:space="preserve"> is incredibly efficient, it could be argued that it lacks… life. This observation has little to do with the absence of men and more to do with the absence of emotion. Individual interests seem to be consumed by the needs of the collective. No intense connections are created, either through family bonds or sexual relationships. If no strong negative emotions are felt perhaps there are no opportunities for strong emotion. One might wonder if this really is a utopia. Would the inhabitants of Herland want more if it was available to them? There seems to be little of the individuality and personal identity so fiercely advocated for, and no relationship other than sisterhood with all. There is no subjectivity beyond maternity. Parthenogenesis frees women to be independent, but they cannot experience independence as they are only able to </w:t>
      </w:r>
      <w:r w:rsidR="00B03CB2">
        <w:rPr>
          <w:rFonts w:ascii="Arial" w:hAnsi="Arial" w:cs="Arial"/>
          <w:sz w:val="22"/>
          <w:szCs w:val="22"/>
        </w:rPr>
        <w:t>live</w:t>
      </w:r>
      <w:r>
        <w:rPr>
          <w:rFonts w:ascii="Arial" w:hAnsi="Arial" w:cs="Arial"/>
          <w:sz w:val="22"/>
          <w:szCs w:val="22"/>
        </w:rPr>
        <w:t xml:space="preserve"> as part of a community that is merely functional and exists to serve the child, no other path is available. Critics have argued that by making the child the centre of everything in H</w:t>
      </w:r>
      <w:r w:rsidR="00FB17A8">
        <w:rPr>
          <w:rFonts w:ascii="Arial" w:hAnsi="Arial" w:cs="Arial"/>
          <w:sz w:val="22"/>
          <w:szCs w:val="22"/>
        </w:rPr>
        <w:t>e</w:t>
      </w:r>
      <w:r>
        <w:rPr>
          <w:rFonts w:ascii="Arial" w:hAnsi="Arial" w:cs="Arial"/>
          <w:sz w:val="22"/>
          <w:szCs w:val="22"/>
        </w:rPr>
        <w:t>rland</w:t>
      </w:r>
      <w:r w:rsidR="00FB17A8">
        <w:rPr>
          <w:rFonts w:ascii="Arial" w:hAnsi="Arial" w:cs="Arial"/>
          <w:sz w:val="22"/>
          <w:szCs w:val="22"/>
        </w:rPr>
        <w:t xml:space="preserve"> – ma</w:t>
      </w:r>
      <w:r>
        <w:rPr>
          <w:rFonts w:ascii="Arial" w:hAnsi="Arial" w:cs="Arial"/>
          <w:sz w:val="22"/>
          <w:szCs w:val="22"/>
        </w:rPr>
        <w:t>king the child a deity –</w:t>
      </w:r>
      <w:r w:rsidR="0026668F">
        <w:rPr>
          <w:rFonts w:ascii="Arial" w:hAnsi="Arial" w:cs="Arial"/>
          <w:sz w:val="22"/>
          <w:szCs w:val="22"/>
        </w:rPr>
        <w:t xml:space="preserve"> </w:t>
      </w:r>
      <w:r>
        <w:rPr>
          <w:rFonts w:ascii="Arial" w:hAnsi="Arial" w:cs="Arial"/>
          <w:sz w:val="22"/>
          <w:szCs w:val="22"/>
        </w:rPr>
        <w:t>‘the one centre and focus of all our thoughts’</w:t>
      </w:r>
      <w:r w:rsidR="00FB17A8">
        <w:rPr>
          <w:rFonts w:ascii="Arial" w:hAnsi="Arial" w:cs="Arial"/>
          <w:sz w:val="22"/>
          <w:szCs w:val="22"/>
        </w:rPr>
        <w:t>,</w:t>
      </w:r>
      <w:r>
        <w:rPr>
          <w:rStyle w:val="FootnoteReference"/>
          <w:rFonts w:ascii="Arial" w:hAnsi="Arial" w:cs="Arial"/>
          <w:sz w:val="22"/>
          <w:szCs w:val="22"/>
        </w:rPr>
        <w:footnoteReference w:id="64"/>
      </w:r>
      <w:r>
        <w:rPr>
          <w:rFonts w:ascii="Arial" w:hAnsi="Arial" w:cs="Arial"/>
          <w:sz w:val="22"/>
          <w:szCs w:val="22"/>
        </w:rPr>
        <w:t xml:space="preserve"> and </w:t>
      </w:r>
      <w:r w:rsidR="00EB66CF">
        <w:rPr>
          <w:rFonts w:ascii="Arial" w:hAnsi="Arial" w:cs="Arial"/>
          <w:sz w:val="22"/>
          <w:szCs w:val="22"/>
        </w:rPr>
        <w:t xml:space="preserve">making </w:t>
      </w:r>
      <w:r>
        <w:rPr>
          <w:rFonts w:ascii="Arial" w:hAnsi="Arial" w:cs="Arial"/>
          <w:sz w:val="22"/>
          <w:szCs w:val="22"/>
        </w:rPr>
        <w:t>motherhood a religion, Gilman has perpetuated a</w:t>
      </w:r>
      <w:r w:rsidR="009E0DB1">
        <w:rPr>
          <w:rFonts w:ascii="Arial" w:hAnsi="Arial" w:cs="Arial"/>
          <w:sz w:val="22"/>
          <w:szCs w:val="22"/>
        </w:rPr>
        <w:t xml:space="preserve"> </w:t>
      </w:r>
      <w:r>
        <w:rPr>
          <w:rFonts w:ascii="Arial" w:hAnsi="Arial" w:cs="Arial"/>
          <w:sz w:val="22"/>
          <w:szCs w:val="22"/>
        </w:rPr>
        <w:t>heteronormative, patriarchal society.</w:t>
      </w:r>
      <w:r>
        <w:rPr>
          <w:rStyle w:val="FootnoteReference"/>
          <w:rFonts w:ascii="Arial" w:hAnsi="Arial" w:cs="Arial"/>
          <w:sz w:val="22"/>
          <w:szCs w:val="22"/>
        </w:rPr>
        <w:footnoteReference w:id="65"/>
      </w:r>
    </w:p>
    <w:p w14:paraId="18CCF11D" w14:textId="26E66853" w:rsidR="003B76E8" w:rsidRDefault="003B76E8" w:rsidP="003B76E8">
      <w:pPr>
        <w:spacing w:line="480" w:lineRule="auto"/>
        <w:rPr>
          <w:rFonts w:ascii="Arial" w:hAnsi="Arial" w:cs="Arial"/>
          <w:sz w:val="22"/>
          <w:szCs w:val="22"/>
        </w:rPr>
      </w:pPr>
      <w:r>
        <w:rPr>
          <w:rFonts w:ascii="Arial" w:hAnsi="Arial" w:cs="Arial"/>
          <w:sz w:val="22"/>
          <w:szCs w:val="22"/>
        </w:rPr>
        <w:t>Piercy’s characters have more individual lives, with individual space and private possessions. However communal living is still a central tenet. They eat together, and children are raised communally. Adams argues that the ‘artificial’ mothers exceed the ‘natural’ as they are better able to provide for the children emotionally, intellectually and physically.</w:t>
      </w:r>
      <w:r>
        <w:rPr>
          <w:rStyle w:val="FootnoteReference"/>
          <w:rFonts w:ascii="Arial" w:hAnsi="Arial" w:cs="Arial"/>
          <w:sz w:val="22"/>
          <w:szCs w:val="22"/>
        </w:rPr>
        <w:footnoteReference w:id="66"/>
      </w:r>
      <w:r>
        <w:rPr>
          <w:rFonts w:ascii="Arial" w:hAnsi="Arial" w:cs="Arial"/>
          <w:sz w:val="22"/>
          <w:szCs w:val="22"/>
        </w:rPr>
        <w:t xml:space="preserve"> This echoes the provision for Connie’s own biological daughter who has been adopted. Piercy avoids family entanglements by ensuring that those who choose to be part of a child’s triad of co-mothers aren’t also ‘sweet-friends’.</w:t>
      </w:r>
      <w:r>
        <w:rPr>
          <w:rStyle w:val="FootnoteReference"/>
          <w:rFonts w:ascii="Arial" w:hAnsi="Arial" w:cs="Arial"/>
          <w:sz w:val="22"/>
          <w:szCs w:val="22"/>
        </w:rPr>
        <w:footnoteReference w:id="67"/>
      </w:r>
      <w:r>
        <w:rPr>
          <w:rFonts w:ascii="Arial" w:hAnsi="Arial" w:cs="Arial"/>
          <w:sz w:val="22"/>
          <w:szCs w:val="22"/>
        </w:rPr>
        <w:t xml:space="preserve"> In this way the characters are able to experience strong bonds and relationships without becoming emotionally entangled enough to limit the child’s development as an individual</w:t>
      </w:r>
      <w:r w:rsidR="00684892">
        <w:rPr>
          <w:rFonts w:ascii="Arial" w:hAnsi="Arial" w:cs="Arial"/>
          <w:sz w:val="22"/>
          <w:szCs w:val="22"/>
        </w:rPr>
        <w:t>, ‘we set our children free’</w:t>
      </w:r>
      <w:r>
        <w:rPr>
          <w:rFonts w:ascii="Arial" w:hAnsi="Arial" w:cs="Arial"/>
          <w:sz w:val="22"/>
          <w:szCs w:val="22"/>
        </w:rPr>
        <w:t>.</w:t>
      </w:r>
      <w:r>
        <w:rPr>
          <w:rStyle w:val="FootnoteReference"/>
          <w:rFonts w:ascii="Arial" w:hAnsi="Arial" w:cs="Arial"/>
          <w:sz w:val="22"/>
          <w:szCs w:val="22"/>
        </w:rPr>
        <w:footnoteReference w:id="68"/>
      </w:r>
      <w:r>
        <w:rPr>
          <w:rFonts w:ascii="Arial" w:hAnsi="Arial" w:cs="Arial"/>
          <w:sz w:val="22"/>
          <w:szCs w:val="22"/>
        </w:rPr>
        <w:t xml:space="preserve"> Mattapoisett allows individuality, joy and </w:t>
      </w:r>
      <w:r>
        <w:rPr>
          <w:rFonts w:ascii="Arial" w:hAnsi="Arial" w:cs="Arial"/>
          <w:sz w:val="22"/>
          <w:szCs w:val="22"/>
        </w:rPr>
        <w:lastRenderedPageBreak/>
        <w:t>pain in completely equal terms to all genders through the removal of private motherhood, but the reforming of relationships, finding a middle ground between the nuclear family and the extreme communal theocracy of H</w:t>
      </w:r>
      <w:r w:rsidR="00AD79B9">
        <w:rPr>
          <w:rFonts w:ascii="Arial" w:hAnsi="Arial" w:cs="Arial"/>
          <w:sz w:val="22"/>
          <w:szCs w:val="22"/>
        </w:rPr>
        <w:t>e</w:t>
      </w:r>
      <w:r>
        <w:rPr>
          <w:rFonts w:ascii="Arial" w:hAnsi="Arial" w:cs="Arial"/>
          <w:sz w:val="22"/>
          <w:szCs w:val="22"/>
        </w:rPr>
        <w:t xml:space="preserve">rland. </w:t>
      </w:r>
    </w:p>
    <w:p w14:paraId="094A92CC" w14:textId="71636F0E" w:rsidR="003B76E8" w:rsidRDefault="003B76E8" w:rsidP="003B76E8">
      <w:pPr>
        <w:spacing w:line="480" w:lineRule="auto"/>
        <w:rPr>
          <w:rFonts w:ascii="Arial" w:hAnsi="Arial" w:cs="Arial"/>
          <w:sz w:val="22"/>
          <w:szCs w:val="22"/>
        </w:rPr>
      </w:pPr>
      <w:r>
        <w:rPr>
          <w:rFonts w:ascii="Arial" w:hAnsi="Arial" w:cs="Arial"/>
          <w:sz w:val="22"/>
          <w:szCs w:val="22"/>
        </w:rPr>
        <w:t>Across the texts mentioned, the concept of motherhood is unashamedly controlled by eugenic means. Victor Frankenstein selects the parts of his creature for their aesthetic value</w:t>
      </w:r>
      <w:r w:rsidR="00076FAF">
        <w:rPr>
          <w:rFonts w:ascii="Arial" w:hAnsi="Arial" w:cs="Arial"/>
          <w:sz w:val="22"/>
          <w:szCs w:val="22"/>
        </w:rPr>
        <w:t>, ‘I had selected his features as beautiful’,</w:t>
      </w:r>
      <w:r w:rsidR="00076FAF">
        <w:rPr>
          <w:rStyle w:val="FootnoteReference"/>
          <w:rFonts w:ascii="Arial" w:hAnsi="Arial" w:cs="Arial"/>
          <w:sz w:val="22"/>
          <w:szCs w:val="22"/>
        </w:rPr>
        <w:footnoteReference w:id="69"/>
      </w:r>
      <w:r>
        <w:rPr>
          <w:rFonts w:ascii="Arial" w:hAnsi="Arial" w:cs="Arial"/>
          <w:sz w:val="22"/>
          <w:szCs w:val="22"/>
        </w:rPr>
        <w:t xml:space="preserve"> and Piercy uses the technology of science fiction to grow Mattapoisett’s children. In Herland, Gilman’s women limit the population and minimise unsavoury personality traits by means of social control and the power of the mind. Th</w:t>
      </w:r>
      <w:r w:rsidR="00B03CB2">
        <w:rPr>
          <w:rFonts w:ascii="Arial" w:hAnsi="Arial" w:cs="Arial"/>
          <w:sz w:val="22"/>
          <w:szCs w:val="22"/>
        </w:rPr>
        <w:t xml:space="preserve">e concept of population control </w:t>
      </w:r>
      <w:proofErr w:type="gramStart"/>
      <w:r w:rsidR="00B03CB2">
        <w:rPr>
          <w:rFonts w:ascii="Arial" w:hAnsi="Arial" w:cs="Arial"/>
          <w:sz w:val="22"/>
          <w:szCs w:val="22"/>
        </w:rPr>
        <w:t>as a means to</w:t>
      </w:r>
      <w:proofErr w:type="gramEnd"/>
      <w:r w:rsidR="00B03CB2">
        <w:rPr>
          <w:rFonts w:ascii="Arial" w:hAnsi="Arial" w:cs="Arial"/>
          <w:sz w:val="22"/>
          <w:szCs w:val="22"/>
        </w:rPr>
        <w:t xml:space="preserve"> preserve the environment</w:t>
      </w:r>
      <w:r>
        <w:rPr>
          <w:rFonts w:ascii="Arial" w:hAnsi="Arial" w:cs="Arial"/>
          <w:sz w:val="22"/>
          <w:szCs w:val="22"/>
        </w:rPr>
        <w:t xml:space="preserve"> places Gilman as a proto ecofeminist and conveys the link between women and nature, emphasising their ecological interest and intention to protect the environment. A 2017 study agreed that the largest impact could be made on greenhouse gases if indivi</w:t>
      </w:r>
      <w:r w:rsidR="009E2964">
        <w:rPr>
          <w:rFonts w:ascii="Arial" w:hAnsi="Arial" w:cs="Arial"/>
          <w:sz w:val="22"/>
          <w:szCs w:val="22"/>
        </w:rPr>
        <w:t>d</w:t>
      </w:r>
      <w:r>
        <w:rPr>
          <w:rFonts w:ascii="Arial" w:hAnsi="Arial" w:cs="Arial"/>
          <w:sz w:val="22"/>
          <w:szCs w:val="22"/>
        </w:rPr>
        <w:t>uals had one fewer</w:t>
      </w:r>
      <w:r w:rsidR="009E2964">
        <w:rPr>
          <w:rFonts w:ascii="Arial" w:hAnsi="Arial" w:cs="Arial"/>
          <w:sz w:val="22"/>
          <w:szCs w:val="22"/>
        </w:rPr>
        <w:t xml:space="preserve"> child</w:t>
      </w:r>
      <w:r>
        <w:rPr>
          <w:rFonts w:ascii="Arial" w:hAnsi="Arial" w:cs="Arial"/>
          <w:sz w:val="22"/>
          <w:szCs w:val="22"/>
        </w:rPr>
        <w:t>. The relinquishing of a car saves 2.4 tonnes of CO2 annually, whilst the omission of a child saves 58.6 tonnes.</w:t>
      </w:r>
      <w:r>
        <w:rPr>
          <w:rStyle w:val="FootnoteReference"/>
          <w:rFonts w:ascii="Arial" w:hAnsi="Arial" w:cs="Arial"/>
          <w:sz w:val="22"/>
          <w:szCs w:val="22"/>
        </w:rPr>
        <w:footnoteReference w:id="70"/>
      </w:r>
      <w:r>
        <w:rPr>
          <w:rFonts w:ascii="Arial" w:hAnsi="Arial" w:cs="Arial"/>
          <w:sz w:val="22"/>
          <w:szCs w:val="22"/>
        </w:rPr>
        <w:t xml:space="preserve"> However Herland’s population control </w:t>
      </w:r>
      <w:r w:rsidR="009E2964">
        <w:rPr>
          <w:rFonts w:ascii="Arial" w:hAnsi="Arial" w:cs="Arial"/>
          <w:sz w:val="22"/>
          <w:szCs w:val="22"/>
        </w:rPr>
        <w:t>is</w:t>
      </w:r>
      <w:r>
        <w:rPr>
          <w:rFonts w:ascii="Arial" w:hAnsi="Arial" w:cs="Arial"/>
          <w:sz w:val="22"/>
          <w:szCs w:val="22"/>
        </w:rPr>
        <w:t xml:space="preserve"> not simply </w:t>
      </w:r>
      <w:r w:rsidR="00804403">
        <w:rPr>
          <w:rFonts w:ascii="Arial" w:hAnsi="Arial" w:cs="Arial"/>
          <w:sz w:val="22"/>
          <w:szCs w:val="22"/>
        </w:rPr>
        <w:t xml:space="preserve">to preserve </w:t>
      </w:r>
      <w:r>
        <w:rPr>
          <w:rFonts w:ascii="Arial" w:hAnsi="Arial" w:cs="Arial"/>
          <w:sz w:val="22"/>
          <w:szCs w:val="22"/>
        </w:rPr>
        <w:t>resources. Gilman was known to be a proponent of eugenics and wrote that white Americans had a duty to protect their stock.</w:t>
      </w:r>
      <w:r>
        <w:rPr>
          <w:rStyle w:val="FootnoteReference"/>
          <w:rFonts w:ascii="Arial" w:hAnsi="Arial" w:cs="Arial"/>
          <w:sz w:val="22"/>
          <w:szCs w:val="22"/>
        </w:rPr>
        <w:footnoteReference w:id="71"/>
      </w:r>
      <w:r>
        <w:rPr>
          <w:rFonts w:ascii="Arial" w:hAnsi="Arial" w:cs="Arial"/>
          <w:sz w:val="22"/>
          <w:szCs w:val="22"/>
        </w:rPr>
        <w:t xml:space="preserve"> ‘Gilman’s maternal utopianism was founded on a racially homogenous conception of the national family.’</w:t>
      </w:r>
      <w:r>
        <w:rPr>
          <w:rStyle w:val="FootnoteReference"/>
          <w:rFonts w:ascii="Arial" w:hAnsi="Arial" w:cs="Arial"/>
          <w:sz w:val="22"/>
          <w:szCs w:val="22"/>
        </w:rPr>
        <w:footnoteReference w:id="72"/>
      </w:r>
      <w:r>
        <w:rPr>
          <w:rFonts w:ascii="Arial" w:hAnsi="Arial" w:cs="Arial"/>
          <w:sz w:val="22"/>
          <w:szCs w:val="22"/>
        </w:rPr>
        <w:t xml:space="preserve"> The importance to Gilman of a white utopia is noticeable when on the first sighting of the girls the reader is informed that they are clearly ‘of Aryan stock’.</w:t>
      </w:r>
      <w:r>
        <w:rPr>
          <w:rStyle w:val="FootnoteReference"/>
          <w:rFonts w:ascii="Arial" w:hAnsi="Arial" w:cs="Arial"/>
          <w:sz w:val="22"/>
          <w:szCs w:val="22"/>
        </w:rPr>
        <w:footnoteReference w:id="73"/>
      </w:r>
      <w:r>
        <w:rPr>
          <w:rFonts w:ascii="Arial" w:hAnsi="Arial" w:cs="Arial"/>
          <w:sz w:val="22"/>
          <w:szCs w:val="22"/>
        </w:rPr>
        <w:t xml:space="preserve"> </w:t>
      </w:r>
      <w:proofErr w:type="spellStart"/>
      <w:r>
        <w:rPr>
          <w:rFonts w:ascii="Arial" w:hAnsi="Arial" w:cs="Arial"/>
          <w:sz w:val="22"/>
          <w:szCs w:val="22"/>
        </w:rPr>
        <w:t>Somel</w:t>
      </w:r>
      <w:proofErr w:type="spellEnd"/>
      <w:r>
        <w:rPr>
          <w:rFonts w:ascii="Arial" w:hAnsi="Arial" w:cs="Arial"/>
          <w:sz w:val="22"/>
          <w:szCs w:val="22"/>
        </w:rPr>
        <w:t xml:space="preserve"> later </w:t>
      </w:r>
      <w:r w:rsidR="00A05AB3">
        <w:rPr>
          <w:rFonts w:ascii="Arial" w:hAnsi="Arial" w:cs="Arial"/>
          <w:sz w:val="22"/>
          <w:szCs w:val="22"/>
        </w:rPr>
        <w:t>relays</w:t>
      </w:r>
      <w:r>
        <w:rPr>
          <w:rFonts w:ascii="Arial" w:hAnsi="Arial" w:cs="Arial"/>
          <w:sz w:val="22"/>
          <w:szCs w:val="22"/>
        </w:rPr>
        <w:t xml:space="preserve"> to the men ‘we have, of course, made it our first business to train out, to breed out, when possible, the lowest types’.</w:t>
      </w:r>
      <w:r>
        <w:rPr>
          <w:rStyle w:val="FootnoteReference"/>
          <w:rFonts w:ascii="Arial" w:hAnsi="Arial" w:cs="Arial"/>
          <w:sz w:val="22"/>
          <w:szCs w:val="22"/>
        </w:rPr>
        <w:footnoteReference w:id="74"/>
      </w:r>
      <w:r>
        <w:rPr>
          <w:rFonts w:ascii="Arial" w:hAnsi="Arial" w:cs="Arial"/>
          <w:sz w:val="22"/>
          <w:szCs w:val="22"/>
        </w:rPr>
        <w:t xml:space="preserve"> The </w:t>
      </w:r>
      <w:r w:rsidR="005D6B7C">
        <w:rPr>
          <w:rFonts w:ascii="Arial" w:hAnsi="Arial" w:cs="Arial"/>
          <w:sz w:val="22"/>
          <w:szCs w:val="22"/>
        </w:rPr>
        <w:t xml:space="preserve">semantic field </w:t>
      </w:r>
      <w:r w:rsidR="001C27B4">
        <w:rPr>
          <w:rFonts w:ascii="Arial" w:hAnsi="Arial" w:cs="Arial"/>
          <w:sz w:val="22"/>
          <w:szCs w:val="22"/>
        </w:rPr>
        <w:t>allusive</w:t>
      </w:r>
      <w:r w:rsidR="00E50826">
        <w:rPr>
          <w:rFonts w:ascii="Arial" w:hAnsi="Arial" w:cs="Arial"/>
          <w:sz w:val="22"/>
          <w:szCs w:val="22"/>
        </w:rPr>
        <w:t xml:space="preserve"> of </w:t>
      </w:r>
      <w:r w:rsidR="00943D7D">
        <w:rPr>
          <w:rFonts w:ascii="Arial" w:hAnsi="Arial" w:cs="Arial"/>
          <w:sz w:val="22"/>
          <w:szCs w:val="22"/>
        </w:rPr>
        <w:t>pastoral</w:t>
      </w:r>
      <w:r w:rsidR="001C27B4">
        <w:rPr>
          <w:rFonts w:ascii="Arial" w:hAnsi="Arial" w:cs="Arial"/>
          <w:sz w:val="22"/>
          <w:szCs w:val="22"/>
        </w:rPr>
        <w:t xml:space="preserve"> </w:t>
      </w:r>
      <w:r w:rsidR="003671CE">
        <w:rPr>
          <w:rFonts w:ascii="Arial" w:hAnsi="Arial" w:cs="Arial"/>
          <w:sz w:val="22"/>
          <w:szCs w:val="22"/>
        </w:rPr>
        <w:t>farming</w:t>
      </w:r>
      <w:r w:rsidR="001C27B4">
        <w:rPr>
          <w:rFonts w:ascii="Arial" w:hAnsi="Arial" w:cs="Arial"/>
          <w:sz w:val="22"/>
          <w:szCs w:val="22"/>
        </w:rPr>
        <w:t xml:space="preserve"> and </w:t>
      </w:r>
      <w:r>
        <w:rPr>
          <w:rFonts w:ascii="Arial" w:hAnsi="Arial" w:cs="Arial"/>
          <w:sz w:val="22"/>
          <w:szCs w:val="22"/>
        </w:rPr>
        <w:t xml:space="preserve">flippant </w:t>
      </w:r>
      <w:r w:rsidR="005D6B7C">
        <w:rPr>
          <w:rFonts w:ascii="Arial" w:hAnsi="Arial" w:cs="Arial"/>
          <w:sz w:val="22"/>
          <w:szCs w:val="22"/>
        </w:rPr>
        <w:t>language</w:t>
      </w:r>
      <w:r>
        <w:rPr>
          <w:rFonts w:ascii="Arial" w:hAnsi="Arial" w:cs="Arial"/>
          <w:sz w:val="22"/>
          <w:szCs w:val="22"/>
        </w:rPr>
        <w:t xml:space="preserve"> around r</w:t>
      </w:r>
      <w:r w:rsidR="003671CE">
        <w:rPr>
          <w:rFonts w:ascii="Arial" w:hAnsi="Arial" w:cs="Arial"/>
          <w:sz w:val="22"/>
          <w:szCs w:val="22"/>
        </w:rPr>
        <w:t>eproduction of human beings</w:t>
      </w:r>
      <w:r>
        <w:rPr>
          <w:rFonts w:ascii="Arial" w:hAnsi="Arial" w:cs="Arial"/>
          <w:sz w:val="22"/>
          <w:szCs w:val="22"/>
        </w:rPr>
        <w:t xml:space="preserve"> reflects Gilman’s interest in Social Darwinism. Herland produces a racist hegemony, inherently subjugating other cultural models.</w:t>
      </w:r>
      <w:r>
        <w:rPr>
          <w:rStyle w:val="FootnoteReference"/>
          <w:rFonts w:ascii="Arial" w:hAnsi="Arial" w:cs="Arial"/>
          <w:sz w:val="22"/>
          <w:szCs w:val="22"/>
        </w:rPr>
        <w:footnoteReference w:id="75"/>
      </w:r>
      <w:r>
        <w:rPr>
          <w:rFonts w:ascii="Arial" w:hAnsi="Arial" w:cs="Arial"/>
          <w:sz w:val="22"/>
          <w:szCs w:val="22"/>
        </w:rPr>
        <w:t xml:space="preserve"> This is extended through the treatment of the men as another race. The only way the men are acceptable in Herland is via their becoming boys. There is no room for an adult who is not a mother, so the men immediately become infantilised. </w:t>
      </w:r>
      <w:r w:rsidR="00D76592">
        <w:rPr>
          <w:rFonts w:ascii="Arial" w:hAnsi="Arial" w:cs="Arial"/>
          <w:sz w:val="22"/>
          <w:szCs w:val="22"/>
        </w:rPr>
        <w:t>‘</w:t>
      </w:r>
      <w:r>
        <w:rPr>
          <w:rFonts w:ascii="Arial" w:hAnsi="Arial" w:cs="Arial"/>
          <w:sz w:val="22"/>
          <w:szCs w:val="22"/>
        </w:rPr>
        <w:t>If we are good boys and learn our lessons well,</w:t>
      </w:r>
      <w:r w:rsidR="00D76592">
        <w:rPr>
          <w:rFonts w:ascii="Arial" w:hAnsi="Arial" w:cs="Arial"/>
          <w:sz w:val="22"/>
          <w:szCs w:val="22"/>
        </w:rPr>
        <w:t>’</w:t>
      </w:r>
      <w:r>
        <w:rPr>
          <w:rStyle w:val="FootnoteReference"/>
          <w:rFonts w:ascii="Arial" w:hAnsi="Arial" w:cs="Arial"/>
          <w:sz w:val="22"/>
          <w:szCs w:val="22"/>
        </w:rPr>
        <w:footnoteReference w:id="76"/>
      </w:r>
      <w:r>
        <w:rPr>
          <w:rFonts w:ascii="Arial" w:hAnsi="Arial" w:cs="Arial"/>
          <w:sz w:val="22"/>
          <w:szCs w:val="22"/>
        </w:rPr>
        <w:t xml:space="preserve"> Their continued reference to each other as </w:t>
      </w:r>
      <w:r>
        <w:rPr>
          <w:rFonts w:ascii="Arial" w:hAnsi="Arial" w:cs="Arial"/>
          <w:sz w:val="22"/>
          <w:szCs w:val="22"/>
        </w:rPr>
        <w:lastRenderedPageBreak/>
        <w:t>boy</w:t>
      </w:r>
      <w:r w:rsidR="00F33CF9">
        <w:rPr>
          <w:rFonts w:ascii="Arial" w:hAnsi="Arial" w:cs="Arial"/>
          <w:sz w:val="22"/>
          <w:szCs w:val="22"/>
        </w:rPr>
        <w:t xml:space="preserve">s shows their acceptance that they have no agency in this society.  </w:t>
      </w:r>
      <w:r>
        <w:rPr>
          <w:rFonts w:ascii="Arial" w:hAnsi="Arial" w:cs="Arial"/>
          <w:sz w:val="22"/>
          <w:szCs w:val="22"/>
        </w:rPr>
        <w:t>Later</w:t>
      </w:r>
      <w:r w:rsidR="00A54D48">
        <w:rPr>
          <w:rFonts w:ascii="Arial" w:hAnsi="Arial" w:cs="Arial"/>
          <w:sz w:val="22"/>
          <w:szCs w:val="22"/>
        </w:rPr>
        <w:t xml:space="preserve"> – ev</w:t>
      </w:r>
      <w:r>
        <w:rPr>
          <w:rFonts w:ascii="Arial" w:hAnsi="Arial" w:cs="Arial"/>
          <w:sz w:val="22"/>
          <w:szCs w:val="22"/>
        </w:rPr>
        <w:t>en when they are married</w:t>
      </w:r>
      <w:r w:rsidR="00A54D48">
        <w:rPr>
          <w:rFonts w:ascii="Arial" w:hAnsi="Arial" w:cs="Arial"/>
          <w:sz w:val="22"/>
          <w:szCs w:val="22"/>
        </w:rPr>
        <w:t xml:space="preserve"> – Van’s</w:t>
      </w:r>
      <w:r>
        <w:rPr>
          <w:rFonts w:ascii="Arial" w:hAnsi="Arial" w:cs="Arial"/>
          <w:sz w:val="22"/>
          <w:szCs w:val="22"/>
        </w:rPr>
        <w:t xml:space="preserve"> bizarre sexless </w:t>
      </w:r>
      <w:r w:rsidR="00A54D48">
        <w:rPr>
          <w:rFonts w:ascii="Arial" w:hAnsi="Arial" w:cs="Arial"/>
          <w:sz w:val="22"/>
          <w:szCs w:val="22"/>
        </w:rPr>
        <w:t>relationship</w:t>
      </w:r>
      <w:r>
        <w:rPr>
          <w:rFonts w:ascii="Arial" w:hAnsi="Arial" w:cs="Arial"/>
          <w:sz w:val="22"/>
          <w:szCs w:val="22"/>
        </w:rPr>
        <w:t xml:space="preserve"> is understood by him through terms of a parent and child relationship. </w:t>
      </w:r>
      <w:r w:rsidR="00D76592">
        <w:rPr>
          <w:rFonts w:ascii="Arial" w:hAnsi="Arial" w:cs="Arial"/>
          <w:sz w:val="22"/>
          <w:szCs w:val="22"/>
        </w:rPr>
        <w:t>‘</w:t>
      </w:r>
      <w:r>
        <w:rPr>
          <w:rFonts w:ascii="Arial" w:hAnsi="Arial" w:cs="Arial"/>
          <w:sz w:val="22"/>
          <w:szCs w:val="22"/>
        </w:rPr>
        <w:t>It was like—coming home to Mother.</w:t>
      </w:r>
      <w:r w:rsidR="00D76592">
        <w:rPr>
          <w:rFonts w:ascii="Arial" w:hAnsi="Arial" w:cs="Arial"/>
          <w:sz w:val="22"/>
          <w:szCs w:val="22"/>
        </w:rPr>
        <w:t>’</w:t>
      </w:r>
      <w:r>
        <w:rPr>
          <w:rStyle w:val="FootnoteReference"/>
          <w:rFonts w:ascii="Arial" w:hAnsi="Arial" w:cs="Arial"/>
          <w:sz w:val="22"/>
          <w:szCs w:val="22"/>
        </w:rPr>
        <w:footnoteReference w:id="77"/>
      </w:r>
    </w:p>
    <w:p w14:paraId="0CEE4480" w14:textId="4F21FBDE" w:rsidR="003B76E8" w:rsidRDefault="003B76E8" w:rsidP="003B76E8">
      <w:pPr>
        <w:spacing w:line="480" w:lineRule="auto"/>
        <w:rPr>
          <w:rFonts w:ascii="Arial" w:hAnsi="Arial" w:cs="Arial"/>
          <w:sz w:val="22"/>
          <w:szCs w:val="22"/>
        </w:rPr>
      </w:pPr>
      <w:r>
        <w:rPr>
          <w:rFonts w:ascii="Arial" w:hAnsi="Arial" w:cs="Arial"/>
          <w:i/>
          <w:iCs/>
          <w:sz w:val="22"/>
          <w:szCs w:val="22"/>
        </w:rPr>
        <w:t xml:space="preserve">Woman </w:t>
      </w:r>
      <w:r>
        <w:rPr>
          <w:rFonts w:ascii="Arial" w:hAnsi="Arial" w:cs="Arial"/>
          <w:sz w:val="22"/>
          <w:szCs w:val="22"/>
        </w:rPr>
        <w:t xml:space="preserve">was published amongst what Bartkowski calls ‘the technological debates and </w:t>
      </w:r>
      <w:r w:rsidR="00907517">
        <w:rPr>
          <w:rFonts w:ascii="Arial" w:hAnsi="Arial" w:cs="Arial"/>
          <w:sz w:val="22"/>
          <w:szCs w:val="22"/>
        </w:rPr>
        <w:t>fantasies</w:t>
      </w:r>
      <w:r>
        <w:rPr>
          <w:rFonts w:ascii="Arial" w:hAnsi="Arial" w:cs="Arial"/>
          <w:sz w:val="22"/>
          <w:szCs w:val="22"/>
        </w:rPr>
        <w:t xml:space="preserve"> of the 1970s’.</w:t>
      </w:r>
      <w:r>
        <w:rPr>
          <w:rStyle w:val="FootnoteReference"/>
          <w:rFonts w:ascii="Arial" w:hAnsi="Arial" w:cs="Arial"/>
          <w:sz w:val="22"/>
          <w:szCs w:val="22"/>
        </w:rPr>
        <w:footnoteReference w:id="78"/>
      </w:r>
      <w:r>
        <w:rPr>
          <w:rFonts w:ascii="Arial" w:hAnsi="Arial" w:cs="Arial"/>
          <w:sz w:val="22"/>
          <w:szCs w:val="22"/>
        </w:rPr>
        <w:t xml:space="preserve"> ‘“Mother the machine” thinks Connie in disgust.’</w:t>
      </w:r>
      <w:r>
        <w:rPr>
          <w:rStyle w:val="FootnoteReference"/>
          <w:rFonts w:ascii="Arial" w:hAnsi="Arial" w:cs="Arial"/>
          <w:sz w:val="22"/>
          <w:szCs w:val="22"/>
        </w:rPr>
        <w:footnoteReference w:id="79"/>
      </w:r>
      <w:r>
        <w:rPr>
          <w:rFonts w:ascii="Arial" w:hAnsi="Arial" w:cs="Arial"/>
          <w:sz w:val="22"/>
          <w:szCs w:val="22"/>
        </w:rPr>
        <w:t xml:space="preserve"> Connie is repulsed by the ‘Brooder’, where embryos develop in a large tank, a sanitised and defeminised womb. The Brooder signifies that in Mattapoisett the only connection Connie has to her own child – that of biological pregnancy and childbirth – is rendered obsolete. </w:t>
      </w:r>
      <w:proofErr w:type="spellStart"/>
      <w:r>
        <w:rPr>
          <w:rFonts w:ascii="Arial" w:hAnsi="Arial" w:cs="Arial"/>
          <w:sz w:val="22"/>
          <w:szCs w:val="22"/>
        </w:rPr>
        <w:t>Luciente</w:t>
      </w:r>
      <w:proofErr w:type="spellEnd"/>
      <w:r>
        <w:rPr>
          <w:rFonts w:ascii="Arial" w:hAnsi="Arial" w:cs="Arial"/>
          <w:sz w:val="22"/>
          <w:szCs w:val="22"/>
        </w:rPr>
        <w:t xml:space="preserve"> explains that</w:t>
      </w:r>
      <w:r w:rsidR="00907517">
        <w:rPr>
          <w:rFonts w:ascii="Arial" w:hAnsi="Arial" w:cs="Arial"/>
          <w:sz w:val="22"/>
          <w:szCs w:val="22"/>
        </w:rPr>
        <w:t>:</w:t>
      </w:r>
    </w:p>
    <w:p w14:paraId="2BC6924E" w14:textId="60312A8F" w:rsidR="003B76E8" w:rsidRDefault="00D76592" w:rsidP="003B76E8">
      <w:pPr>
        <w:spacing w:line="480" w:lineRule="auto"/>
        <w:ind w:left="720"/>
        <w:rPr>
          <w:rFonts w:ascii="Arial" w:hAnsi="Arial" w:cs="Arial"/>
          <w:sz w:val="22"/>
          <w:szCs w:val="22"/>
        </w:rPr>
      </w:pPr>
      <w:r>
        <w:rPr>
          <w:rFonts w:ascii="Arial" w:hAnsi="Arial" w:cs="Arial"/>
          <w:sz w:val="22"/>
          <w:szCs w:val="22"/>
        </w:rPr>
        <w:t>‘</w:t>
      </w:r>
      <w:r w:rsidR="003B76E8">
        <w:rPr>
          <w:rFonts w:ascii="Arial" w:hAnsi="Arial" w:cs="Arial"/>
          <w:sz w:val="22"/>
          <w:szCs w:val="22"/>
        </w:rPr>
        <w:t xml:space="preserve">It was part of women’s long revolution. When we were breaking all the old hierarchies. Finally, there was that one thing we had to give up too, the only power we ever had, in return for no more power for anyone. The original production: the power to give birth. Cause </w:t>
      </w:r>
      <w:proofErr w:type="gramStart"/>
      <w:r w:rsidR="003B76E8">
        <w:rPr>
          <w:rFonts w:ascii="Arial" w:hAnsi="Arial" w:cs="Arial"/>
          <w:sz w:val="22"/>
          <w:szCs w:val="22"/>
        </w:rPr>
        <w:t>as long as</w:t>
      </w:r>
      <w:proofErr w:type="gramEnd"/>
      <w:r w:rsidR="003B76E8">
        <w:rPr>
          <w:rFonts w:ascii="Arial" w:hAnsi="Arial" w:cs="Arial"/>
          <w:sz w:val="22"/>
          <w:szCs w:val="22"/>
        </w:rPr>
        <w:t xml:space="preserve"> we were biologically enchained, we’d never be equal</w:t>
      </w:r>
      <w:r>
        <w:rPr>
          <w:rFonts w:ascii="Arial" w:hAnsi="Arial" w:cs="Arial"/>
          <w:sz w:val="22"/>
          <w:szCs w:val="22"/>
        </w:rPr>
        <w:t>’</w:t>
      </w:r>
      <w:r w:rsidR="003B76E8">
        <w:rPr>
          <w:rStyle w:val="FootnoteReference"/>
          <w:rFonts w:ascii="Arial" w:hAnsi="Arial" w:cs="Arial"/>
          <w:sz w:val="22"/>
          <w:szCs w:val="22"/>
        </w:rPr>
        <w:footnoteReference w:id="80"/>
      </w:r>
    </w:p>
    <w:p w14:paraId="7BE78FD3" w14:textId="428FBEBE" w:rsidR="003B76E8" w:rsidRDefault="003612C6" w:rsidP="003B76E8">
      <w:pPr>
        <w:spacing w:line="480" w:lineRule="auto"/>
        <w:rPr>
          <w:rFonts w:ascii="Arial" w:hAnsi="Arial" w:cs="Arial"/>
          <w:sz w:val="22"/>
          <w:szCs w:val="22"/>
        </w:rPr>
      </w:pPr>
      <w:r>
        <w:rPr>
          <w:rFonts w:ascii="Arial" w:hAnsi="Arial" w:cs="Arial"/>
          <w:sz w:val="22"/>
          <w:szCs w:val="22"/>
        </w:rPr>
        <w:t xml:space="preserve">Piercy illuminates that there can be no utopia </w:t>
      </w:r>
      <w:r w:rsidR="00477303">
        <w:rPr>
          <w:rFonts w:ascii="Arial" w:hAnsi="Arial" w:cs="Arial"/>
          <w:sz w:val="22"/>
          <w:szCs w:val="22"/>
        </w:rPr>
        <w:t>that works for all where there are still some roles that cannot be equally shared</w:t>
      </w:r>
      <w:r w:rsidR="003B76E8">
        <w:rPr>
          <w:rFonts w:ascii="Arial" w:hAnsi="Arial" w:cs="Arial"/>
          <w:sz w:val="22"/>
          <w:szCs w:val="22"/>
        </w:rPr>
        <w:t>.</w:t>
      </w:r>
      <w:r w:rsidR="00C27FC4">
        <w:rPr>
          <w:rFonts w:ascii="Arial" w:hAnsi="Arial" w:cs="Arial"/>
          <w:sz w:val="22"/>
          <w:szCs w:val="22"/>
        </w:rPr>
        <w:t xml:space="preserve"> The old hierarchy of motherhood cannot be dismantled whilst retaining motherhood as only available to women.</w:t>
      </w:r>
      <w:r w:rsidR="003B76E8">
        <w:rPr>
          <w:rFonts w:ascii="Arial" w:hAnsi="Arial" w:cs="Arial"/>
          <w:sz w:val="22"/>
          <w:szCs w:val="22"/>
        </w:rPr>
        <w:t xml:space="preserve"> </w:t>
      </w:r>
      <w:r w:rsidR="00423908">
        <w:rPr>
          <w:rFonts w:ascii="Arial" w:hAnsi="Arial" w:cs="Arial"/>
          <w:sz w:val="22"/>
          <w:szCs w:val="22"/>
        </w:rPr>
        <w:t xml:space="preserve">Ironically, this is one of the few ways that futuristic technology appears to be </w:t>
      </w:r>
      <w:r w:rsidR="00D02642">
        <w:rPr>
          <w:rFonts w:ascii="Arial" w:hAnsi="Arial" w:cs="Arial"/>
          <w:sz w:val="22"/>
          <w:szCs w:val="22"/>
        </w:rPr>
        <w:t xml:space="preserve">used. </w:t>
      </w:r>
      <w:r w:rsidR="00B03CB2">
        <w:rPr>
          <w:rFonts w:ascii="Arial" w:hAnsi="Arial" w:cs="Arial"/>
          <w:sz w:val="22"/>
          <w:szCs w:val="22"/>
        </w:rPr>
        <w:t>‘</w:t>
      </w:r>
      <w:r w:rsidR="00D02642">
        <w:rPr>
          <w:rFonts w:ascii="Arial" w:hAnsi="Arial" w:cs="Arial"/>
          <w:sz w:val="22"/>
          <w:szCs w:val="22"/>
        </w:rPr>
        <w:t>The original production</w:t>
      </w:r>
      <w:r w:rsidR="00B03CB2">
        <w:rPr>
          <w:rFonts w:ascii="Arial" w:hAnsi="Arial" w:cs="Arial"/>
          <w:sz w:val="22"/>
          <w:szCs w:val="22"/>
        </w:rPr>
        <w:t>’</w:t>
      </w:r>
      <w:r w:rsidR="00D02642">
        <w:rPr>
          <w:rFonts w:ascii="Arial" w:hAnsi="Arial" w:cs="Arial"/>
          <w:sz w:val="22"/>
          <w:szCs w:val="22"/>
        </w:rPr>
        <w:t>.</w:t>
      </w:r>
      <w:r w:rsidR="003B76E8">
        <w:rPr>
          <w:rFonts w:ascii="Arial" w:hAnsi="Arial" w:cs="Arial"/>
          <w:sz w:val="22"/>
          <w:szCs w:val="22"/>
        </w:rPr>
        <w:t xml:space="preserve"> The beginning</w:t>
      </w:r>
      <w:r w:rsidR="00B03CB2">
        <w:rPr>
          <w:rFonts w:ascii="Arial" w:hAnsi="Arial" w:cs="Arial"/>
          <w:sz w:val="22"/>
          <w:szCs w:val="22"/>
        </w:rPr>
        <w:t xml:space="preserve"> of everything</w:t>
      </w:r>
      <w:r w:rsidR="003B76E8">
        <w:rPr>
          <w:rFonts w:ascii="Arial" w:hAnsi="Arial" w:cs="Arial"/>
          <w:sz w:val="22"/>
          <w:szCs w:val="22"/>
        </w:rPr>
        <w:t>. The ultimate power of life. However, in Connie’s world women do not control the means of reproduction, they are just enslaved and dominated by the results of it. Piercy’s eugenics d</w:t>
      </w:r>
      <w:r w:rsidR="00320C1D">
        <w:rPr>
          <w:rFonts w:ascii="Arial" w:hAnsi="Arial" w:cs="Arial"/>
          <w:sz w:val="22"/>
          <w:szCs w:val="22"/>
        </w:rPr>
        <w:t>iscriminate racially in a positive way,</w:t>
      </w:r>
      <w:r w:rsidR="003B76E8">
        <w:rPr>
          <w:rFonts w:ascii="Arial" w:hAnsi="Arial" w:cs="Arial"/>
          <w:sz w:val="22"/>
          <w:szCs w:val="22"/>
        </w:rPr>
        <w:t xml:space="preserve"> </w:t>
      </w:r>
      <w:r w:rsidR="00471235">
        <w:rPr>
          <w:rFonts w:ascii="Arial" w:hAnsi="Arial" w:cs="Arial"/>
          <w:sz w:val="22"/>
          <w:szCs w:val="22"/>
        </w:rPr>
        <w:t>‘</w:t>
      </w:r>
      <w:r w:rsidR="00471235" w:rsidRPr="00471235">
        <w:rPr>
          <w:rFonts w:ascii="Arial" w:hAnsi="Arial" w:cs="Arial"/>
          <w:sz w:val="22"/>
          <w:szCs w:val="22"/>
        </w:rPr>
        <w:t>decisions were made forty years back to breed a high proportion of darker-skinned people and to mix the genes well through the population</w:t>
      </w:r>
      <w:r w:rsidR="00471235">
        <w:rPr>
          <w:rFonts w:ascii="Arial" w:hAnsi="Arial" w:cs="Arial"/>
          <w:sz w:val="22"/>
          <w:szCs w:val="22"/>
        </w:rPr>
        <w:t>’</w:t>
      </w:r>
      <w:r w:rsidR="00C05D2D">
        <w:rPr>
          <w:rFonts w:ascii="Arial" w:hAnsi="Arial" w:cs="Arial"/>
          <w:sz w:val="22"/>
          <w:szCs w:val="22"/>
        </w:rPr>
        <w:t>.</w:t>
      </w:r>
      <w:r w:rsidR="00C05D2D">
        <w:rPr>
          <w:rStyle w:val="FootnoteReference"/>
          <w:rFonts w:ascii="Arial" w:hAnsi="Arial" w:cs="Arial"/>
          <w:sz w:val="22"/>
          <w:szCs w:val="22"/>
        </w:rPr>
        <w:footnoteReference w:id="81"/>
      </w:r>
      <w:r w:rsidR="00471235">
        <w:rPr>
          <w:rFonts w:ascii="Arial" w:hAnsi="Arial" w:cs="Arial"/>
          <w:sz w:val="22"/>
          <w:szCs w:val="22"/>
        </w:rPr>
        <w:t xml:space="preserve"> </w:t>
      </w:r>
      <w:r w:rsidR="003B76E8">
        <w:rPr>
          <w:rFonts w:ascii="Arial" w:hAnsi="Arial" w:cs="Arial"/>
          <w:sz w:val="22"/>
          <w:szCs w:val="22"/>
        </w:rPr>
        <w:t>H</w:t>
      </w:r>
      <w:r w:rsidR="00621442">
        <w:rPr>
          <w:rFonts w:ascii="Arial" w:hAnsi="Arial" w:cs="Arial"/>
          <w:sz w:val="22"/>
          <w:szCs w:val="22"/>
        </w:rPr>
        <w:t>e</w:t>
      </w:r>
      <w:r w:rsidR="003B76E8">
        <w:rPr>
          <w:rFonts w:ascii="Arial" w:hAnsi="Arial" w:cs="Arial"/>
          <w:sz w:val="22"/>
          <w:szCs w:val="22"/>
        </w:rPr>
        <w:t>r genetic engineering of future citizens is careful to retain racial differences</w:t>
      </w:r>
      <w:r w:rsidR="00621442">
        <w:rPr>
          <w:rFonts w:ascii="Arial" w:hAnsi="Arial" w:cs="Arial"/>
          <w:sz w:val="22"/>
          <w:szCs w:val="22"/>
        </w:rPr>
        <w:t>,</w:t>
      </w:r>
      <w:r w:rsidR="00912194">
        <w:rPr>
          <w:rFonts w:ascii="Arial" w:hAnsi="Arial" w:cs="Arial"/>
          <w:sz w:val="22"/>
          <w:szCs w:val="22"/>
        </w:rPr>
        <w:t xml:space="preserve"> but separate this from culture,</w:t>
      </w:r>
      <w:r w:rsidR="00621442">
        <w:rPr>
          <w:rFonts w:ascii="Arial" w:hAnsi="Arial" w:cs="Arial"/>
          <w:sz w:val="22"/>
          <w:szCs w:val="22"/>
        </w:rPr>
        <w:t xml:space="preserve"> </w:t>
      </w:r>
      <w:r w:rsidR="00912194">
        <w:rPr>
          <w:rFonts w:ascii="Arial" w:hAnsi="Arial" w:cs="Arial"/>
          <w:sz w:val="22"/>
          <w:szCs w:val="22"/>
        </w:rPr>
        <w:t>and</w:t>
      </w:r>
      <w:r w:rsidR="003B76E8">
        <w:rPr>
          <w:rFonts w:ascii="Arial" w:hAnsi="Arial" w:cs="Arial"/>
          <w:sz w:val="22"/>
          <w:szCs w:val="22"/>
        </w:rPr>
        <w:t xml:space="preserve"> children do not share heritage with co-mothers. Differences are preserved but intersectionality is removed. The dissociation of women’s bodies from gestation and reproduction deconstructs class, racial and gender prejudice. </w:t>
      </w:r>
    </w:p>
    <w:p w14:paraId="7D859B84" w14:textId="50FD99CD" w:rsidR="003B76E8" w:rsidRDefault="003B76E8" w:rsidP="003B76E8">
      <w:pPr>
        <w:spacing w:line="480" w:lineRule="auto"/>
        <w:rPr>
          <w:rFonts w:ascii="Arial" w:hAnsi="Arial" w:cs="Arial"/>
          <w:sz w:val="22"/>
          <w:szCs w:val="22"/>
        </w:rPr>
      </w:pPr>
      <w:r>
        <w:rPr>
          <w:rFonts w:ascii="Arial" w:hAnsi="Arial" w:cs="Arial"/>
          <w:sz w:val="22"/>
          <w:szCs w:val="22"/>
        </w:rPr>
        <w:lastRenderedPageBreak/>
        <w:t>From the creation of a child as an experiment, to the ascendance of the child as a deity and finally the premature propulsion of the child to an independent individual, these three texts explore subversive iterations of motherhood. Baruch commented that ‘women are no better of</w:t>
      </w:r>
      <w:r w:rsidR="00892F3E">
        <w:rPr>
          <w:rFonts w:ascii="Arial" w:hAnsi="Arial" w:cs="Arial"/>
          <w:sz w:val="22"/>
          <w:szCs w:val="22"/>
        </w:rPr>
        <w:t>f</w:t>
      </w:r>
      <w:r>
        <w:rPr>
          <w:rFonts w:ascii="Arial" w:hAnsi="Arial" w:cs="Arial"/>
          <w:sz w:val="22"/>
          <w:szCs w:val="22"/>
        </w:rPr>
        <w:t xml:space="preserve"> in utopia than any place else’</w:t>
      </w:r>
      <w:r>
        <w:rPr>
          <w:rStyle w:val="FootnoteReference"/>
          <w:rFonts w:ascii="Arial" w:hAnsi="Arial" w:cs="Arial"/>
          <w:sz w:val="22"/>
          <w:szCs w:val="22"/>
        </w:rPr>
        <w:footnoteReference w:id="82"/>
      </w:r>
      <w:r>
        <w:rPr>
          <w:rFonts w:ascii="Arial" w:hAnsi="Arial" w:cs="Arial"/>
          <w:sz w:val="22"/>
          <w:szCs w:val="22"/>
        </w:rPr>
        <w:t xml:space="preserve"> however it could be argued that utopias need the balance of gender to be successful. Shelley’s entire removal of the woman from the birth and parent process </w:t>
      </w:r>
      <w:r w:rsidR="00B03CB2">
        <w:rPr>
          <w:rFonts w:ascii="Arial" w:hAnsi="Arial" w:cs="Arial"/>
          <w:sz w:val="22"/>
          <w:szCs w:val="22"/>
        </w:rPr>
        <w:t>is</w:t>
      </w:r>
      <w:r>
        <w:rPr>
          <w:rFonts w:ascii="Arial" w:hAnsi="Arial" w:cs="Arial"/>
          <w:sz w:val="22"/>
          <w:szCs w:val="22"/>
        </w:rPr>
        <w:t xml:space="preserve"> further compounded by Frankenstein’s destruction of the female creature. The creature’s subsequent murder of Elizabeth plunges them both into a world of masculinity and ice, signifying that there is no warmth to be found in a world with no mother. Gilman’s obsession with striking out in the world and redefining motherhood – much like Victor Frankenstein – has </w:t>
      </w:r>
      <w:proofErr w:type="gramStart"/>
      <w:r>
        <w:rPr>
          <w:rFonts w:ascii="Arial" w:hAnsi="Arial" w:cs="Arial"/>
          <w:sz w:val="22"/>
          <w:szCs w:val="22"/>
        </w:rPr>
        <w:t>lead</w:t>
      </w:r>
      <w:proofErr w:type="gramEnd"/>
      <w:r>
        <w:rPr>
          <w:rFonts w:ascii="Arial" w:hAnsi="Arial" w:cs="Arial"/>
          <w:sz w:val="22"/>
          <w:szCs w:val="22"/>
        </w:rPr>
        <w:t xml:space="preserve"> her life to be referred to as ‘an extended </w:t>
      </w:r>
      <w:r w:rsidR="00892F3E">
        <w:rPr>
          <w:rFonts w:ascii="Arial" w:hAnsi="Arial" w:cs="Arial"/>
          <w:sz w:val="22"/>
          <w:szCs w:val="22"/>
        </w:rPr>
        <w:t>utopian</w:t>
      </w:r>
      <w:r>
        <w:rPr>
          <w:rFonts w:ascii="Arial" w:hAnsi="Arial" w:cs="Arial"/>
          <w:sz w:val="22"/>
          <w:szCs w:val="22"/>
        </w:rPr>
        <w:t xml:space="preserve"> experiment.</w:t>
      </w:r>
      <w:r>
        <w:rPr>
          <w:rStyle w:val="FootnoteReference"/>
          <w:rFonts w:ascii="Arial" w:hAnsi="Arial" w:cs="Arial"/>
          <w:sz w:val="22"/>
          <w:szCs w:val="22"/>
        </w:rPr>
        <w:footnoteReference w:id="83"/>
      </w:r>
      <w:r>
        <w:rPr>
          <w:rFonts w:ascii="Arial" w:hAnsi="Arial" w:cs="Arial"/>
          <w:sz w:val="22"/>
          <w:szCs w:val="22"/>
        </w:rPr>
        <w:t xml:space="preserve">  Her fictional</w:t>
      </w:r>
      <w:r w:rsidR="00B03CB2">
        <w:rPr>
          <w:rFonts w:ascii="Arial" w:hAnsi="Arial" w:cs="Arial"/>
          <w:sz w:val="22"/>
          <w:szCs w:val="22"/>
        </w:rPr>
        <w:t xml:space="preserve"> </w:t>
      </w:r>
      <w:r>
        <w:rPr>
          <w:rFonts w:ascii="Arial" w:hAnsi="Arial" w:cs="Arial"/>
          <w:sz w:val="22"/>
          <w:szCs w:val="22"/>
        </w:rPr>
        <w:t xml:space="preserve">converse to Shelley’s text creates a world of mothers, yet the masculine hierarchies and heteronormative values that remain invite us to imagine a one-dimensional world, predicated on prejudice, where no passion appears to exist. A maternal utopia seems to be impossible. Though all three redefine the idea of family, it might be suggested that Piercy’s acknowledgement </w:t>
      </w:r>
      <w:r w:rsidR="001110F3">
        <w:rPr>
          <w:rFonts w:ascii="Arial" w:hAnsi="Arial" w:cs="Arial"/>
          <w:sz w:val="22"/>
          <w:szCs w:val="22"/>
        </w:rPr>
        <w:t>(</w:t>
      </w:r>
      <w:r>
        <w:rPr>
          <w:rFonts w:ascii="Arial" w:hAnsi="Arial" w:cs="Arial"/>
          <w:sz w:val="22"/>
          <w:szCs w:val="22"/>
        </w:rPr>
        <w:t>and simultaneous transcendence of</w:t>
      </w:r>
      <w:r w:rsidR="001110F3">
        <w:rPr>
          <w:rFonts w:ascii="Arial" w:hAnsi="Arial" w:cs="Arial"/>
          <w:sz w:val="22"/>
          <w:szCs w:val="22"/>
        </w:rPr>
        <w:t xml:space="preserve">) </w:t>
      </w:r>
      <w:r>
        <w:rPr>
          <w:rFonts w:ascii="Arial" w:hAnsi="Arial" w:cs="Arial"/>
          <w:sz w:val="22"/>
          <w:szCs w:val="22"/>
        </w:rPr>
        <w:t>gender offers the utopian realisation of maternity. To do this</w:t>
      </w:r>
      <w:r w:rsidR="006A41BB">
        <w:rPr>
          <w:rFonts w:ascii="Arial" w:hAnsi="Arial" w:cs="Arial"/>
          <w:sz w:val="22"/>
          <w:szCs w:val="22"/>
        </w:rPr>
        <w:t>,</w:t>
      </w:r>
      <w:r>
        <w:rPr>
          <w:rFonts w:ascii="Arial" w:hAnsi="Arial" w:cs="Arial"/>
          <w:sz w:val="22"/>
          <w:szCs w:val="22"/>
        </w:rPr>
        <w:t xml:space="preserve"> the essentialist view of the world mother must be withdrawn. The dismantling of motherhood as female, without the loss of the necessary qualities of motherhood, give an impression of how equality might be imagined. However, Piercy’s structure predicates that Connie’s access to Mattapoisett can only be achieved through loss of consciousness. This maternal utopia can only be accessed in a dream-state, reinforcing that in these literary works a women’s utopia really is no-place.</w:t>
      </w:r>
    </w:p>
    <w:p w14:paraId="77403672" w14:textId="77777777" w:rsidR="00AA05F8" w:rsidRDefault="00AA05F8"/>
    <w:sectPr w:rsidR="00AA05F8" w:rsidSect="002572B9">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80964" w14:textId="77777777" w:rsidR="00E63898" w:rsidRDefault="00E63898" w:rsidP="003B76E8">
      <w:pPr>
        <w:spacing w:after="0" w:line="240" w:lineRule="auto"/>
      </w:pPr>
      <w:r>
        <w:separator/>
      </w:r>
    </w:p>
  </w:endnote>
  <w:endnote w:type="continuationSeparator" w:id="0">
    <w:p w14:paraId="0EAB4F57" w14:textId="77777777" w:rsidR="00E63898" w:rsidRDefault="00E63898" w:rsidP="003B7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26AD8" w14:textId="5A89F0FA" w:rsidR="003B76E8" w:rsidRDefault="003B76E8">
    <w:pPr>
      <w:pStyle w:val="Footer"/>
    </w:pPr>
    <w:r>
      <w:rPr>
        <w:noProof/>
      </w:rPr>
      <mc:AlternateContent>
        <mc:Choice Requires="wps">
          <w:drawing>
            <wp:anchor distT="0" distB="0" distL="0" distR="0" simplePos="0" relativeHeight="251662336" behindDoc="0" locked="0" layoutInCell="1" allowOverlap="1" wp14:anchorId="78EE890C" wp14:editId="47940A94">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0D9D6D" w14:textId="555D44A6"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8EE890C" id="_x0000_t202" coordsize="21600,21600" o:spt="202" path="m,l,21600r21600,l21600,xe">
              <v:stroke joinstyle="miter"/>
              <v:path gradientshapeok="t" o:connecttype="rect"/>
            </v:shapetype>
            <v:shape id="Text Box 5" o:spid="_x0000_s1027"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700D9D6D" w14:textId="555D44A6"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6F819" w14:textId="1E4BF392" w:rsidR="003B76E8" w:rsidRDefault="003B76E8">
    <w:pPr>
      <w:pStyle w:val="Footer"/>
    </w:pPr>
    <w:r>
      <w:rPr>
        <w:noProof/>
      </w:rPr>
      <mc:AlternateContent>
        <mc:Choice Requires="wps">
          <w:drawing>
            <wp:anchor distT="0" distB="0" distL="0" distR="0" simplePos="0" relativeHeight="251663360" behindDoc="0" locked="0" layoutInCell="1" allowOverlap="1" wp14:anchorId="62CBE0C2" wp14:editId="443276B7">
              <wp:simplePos x="914400" y="1005840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519360" w14:textId="57BFAB3D" w:rsidR="003B76E8" w:rsidRDefault="003B76E8" w:rsidP="003B76E8">
                          <w:pPr>
                            <w:spacing w:after="0"/>
                            <w:rPr>
                              <w:rFonts w:ascii="Calibri" w:eastAsia="Calibri" w:hAnsi="Calibri" w:cs="Calibri"/>
                              <w:noProof/>
                              <w:color w:val="000000"/>
                              <w:sz w:val="20"/>
                              <w:szCs w:val="20"/>
                            </w:rPr>
                          </w:pPr>
                        </w:p>
                        <w:p w14:paraId="347CB803" w14:textId="77777777" w:rsidR="00CC179E" w:rsidRPr="003B76E8" w:rsidRDefault="00CC179E" w:rsidP="003B76E8">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CBE0C2" id="_x0000_t202" coordsize="21600,21600" o:spt="202" path="m,l,21600r21600,l21600,xe">
              <v:stroke joinstyle="miter"/>
              <v:path gradientshapeok="t" o:connecttype="rect"/>
            </v:shapetype>
            <v:shape id="Text Box 6" o:spid="_x0000_s1028"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C519360" w14:textId="57BFAB3D" w:rsidR="003B76E8" w:rsidRDefault="003B76E8" w:rsidP="003B76E8">
                    <w:pPr>
                      <w:spacing w:after="0"/>
                      <w:rPr>
                        <w:rFonts w:ascii="Calibri" w:eastAsia="Calibri" w:hAnsi="Calibri" w:cs="Calibri"/>
                        <w:noProof/>
                        <w:color w:val="000000"/>
                        <w:sz w:val="20"/>
                        <w:szCs w:val="20"/>
                      </w:rPr>
                    </w:pPr>
                  </w:p>
                  <w:p w14:paraId="347CB803" w14:textId="77777777" w:rsidR="00CC179E" w:rsidRPr="003B76E8" w:rsidRDefault="00CC179E" w:rsidP="003B76E8">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2A034" w14:textId="50179D07" w:rsidR="003B76E8" w:rsidRDefault="003B76E8">
    <w:pPr>
      <w:pStyle w:val="Footer"/>
    </w:pPr>
    <w:r>
      <w:rPr>
        <w:noProof/>
      </w:rPr>
      <mc:AlternateContent>
        <mc:Choice Requires="wps">
          <w:drawing>
            <wp:anchor distT="0" distB="0" distL="0" distR="0" simplePos="0" relativeHeight="251661312" behindDoc="0" locked="0" layoutInCell="1" allowOverlap="1" wp14:anchorId="34EFE2CC" wp14:editId="031A2DD1">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92D687" w14:textId="553CB596"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EFE2CC" id="_x0000_t202" coordsize="21600,21600" o:spt="202" path="m,l,21600r21600,l21600,xe">
              <v:stroke joinstyle="miter"/>
              <v:path gradientshapeok="t" o:connecttype="rect"/>
            </v:shapetype>
            <v:shape id="Text Box 4" o:spid="_x0000_s1030"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textbox style="mso-fit-shape-to-text:t" inset="20pt,0,0,15pt">
                <w:txbxContent>
                  <w:p w14:paraId="0D92D687" w14:textId="553CB596"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89DF35" w14:textId="77777777" w:rsidR="00E63898" w:rsidRDefault="00E63898" w:rsidP="003B76E8">
      <w:pPr>
        <w:spacing w:after="0" w:line="240" w:lineRule="auto"/>
      </w:pPr>
      <w:r>
        <w:separator/>
      </w:r>
    </w:p>
  </w:footnote>
  <w:footnote w:type="continuationSeparator" w:id="0">
    <w:p w14:paraId="23EDD185" w14:textId="77777777" w:rsidR="00E63898" w:rsidRDefault="00E63898" w:rsidP="003B76E8">
      <w:pPr>
        <w:spacing w:after="0" w:line="240" w:lineRule="auto"/>
      </w:pPr>
      <w:r>
        <w:continuationSeparator/>
      </w:r>
    </w:p>
  </w:footnote>
  <w:footnote w:id="1">
    <w:p w14:paraId="09AC1F8D" w14:textId="7EFA5D2E" w:rsidR="003B76E8" w:rsidRPr="00243E2B" w:rsidRDefault="003B76E8" w:rsidP="003B76E8">
      <w:pPr>
        <w:pStyle w:val="FootnoteText"/>
      </w:pPr>
      <w:r>
        <w:rPr>
          <w:rStyle w:val="FootnoteReference"/>
        </w:rPr>
        <w:footnoteRef/>
      </w:r>
      <w:r>
        <w:t xml:space="preserve"> </w:t>
      </w:r>
      <w:r w:rsidR="0050529F">
        <w:t>Dillon</w:t>
      </w:r>
      <w:r w:rsidR="00F959BA">
        <w:t>,</w:t>
      </w:r>
      <w:r w:rsidR="00466503">
        <w:t xml:space="preserve"> Sarah,</w:t>
      </w:r>
      <w:r w:rsidR="00F959BA">
        <w:t xml:space="preserve"> ‘Who Rules the World? Reimagining the Contemporary Feminist Dystopia</w:t>
      </w:r>
      <w:r w:rsidR="00243E2B">
        <w:t xml:space="preserve">’, in </w:t>
      </w:r>
      <w:r w:rsidR="00243E2B">
        <w:rPr>
          <w:i/>
          <w:iCs/>
        </w:rPr>
        <w:t xml:space="preserve">The New Feminist Literary Studies, </w:t>
      </w:r>
      <w:r w:rsidR="00243E2B">
        <w:t>ed. By Jennifer Cooke</w:t>
      </w:r>
      <w:r w:rsidR="005D06CB">
        <w:t xml:space="preserve"> (Cambridge: Cambridge University Press, 2020), pp.169-81.</w:t>
      </w:r>
    </w:p>
  </w:footnote>
  <w:footnote w:id="2">
    <w:p w14:paraId="2B431CCC" w14:textId="47620ED3" w:rsidR="003B76E8" w:rsidRPr="001F04E0" w:rsidRDefault="003B76E8" w:rsidP="001F04E0">
      <w:pPr>
        <w:spacing w:after="0" w:line="240" w:lineRule="auto"/>
        <w:rPr>
          <w:rFonts w:ascii="Arial" w:eastAsia="Times New Roman" w:hAnsi="Arial" w:cs="Arial"/>
          <w:kern w:val="0"/>
          <w:sz w:val="18"/>
          <w:szCs w:val="18"/>
          <w:lang w:eastAsia="en-GB"/>
          <w14:ligatures w14:val="none"/>
        </w:rPr>
      </w:pPr>
      <w:r w:rsidRPr="001F04E0">
        <w:rPr>
          <w:rStyle w:val="FootnoteReference"/>
          <w:sz w:val="22"/>
          <w:szCs w:val="22"/>
        </w:rPr>
        <w:footnoteRef/>
      </w:r>
      <w:r w:rsidRPr="001F04E0">
        <w:rPr>
          <w:sz w:val="22"/>
          <w:szCs w:val="22"/>
        </w:rPr>
        <w:t xml:space="preserve"> </w:t>
      </w:r>
      <w:bookmarkStart w:id="0" w:name="_Hlk165731811"/>
      <w:r w:rsidR="004B3309">
        <w:rPr>
          <w:rFonts w:eastAsia="Times New Roman" w:cstheme="minorHAnsi"/>
          <w:kern w:val="0"/>
          <w:sz w:val="20"/>
          <w:szCs w:val="20"/>
          <w:lang w:eastAsia="en-GB"/>
          <w14:ligatures w14:val="none"/>
        </w:rPr>
        <w:t>Moylan</w:t>
      </w:r>
      <w:r w:rsidR="001543B3" w:rsidRPr="00F30E5D">
        <w:rPr>
          <w:rFonts w:eastAsia="Times New Roman" w:cstheme="minorHAnsi"/>
          <w:kern w:val="0"/>
          <w:sz w:val="20"/>
          <w:szCs w:val="20"/>
          <w:lang w:eastAsia="en-GB"/>
          <w14:ligatures w14:val="none"/>
        </w:rPr>
        <w:t>,</w:t>
      </w:r>
      <w:r w:rsidR="00466503">
        <w:rPr>
          <w:rFonts w:eastAsia="Times New Roman" w:cstheme="minorHAnsi"/>
          <w:kern w:val="0"/>
          <w:sz w:val="20"/>
          <w:szCs w:val="20"/>
          <w:lang w:eastAsia="en-GB"/>
          <w14:ligatures w14:val="none"/>
        </w:rPr>
        <w:t xml:space="preserve"> Tom,</w:t>
      </w:r>
      <w:r w:rsidR="001543B3" w:rsidRPr="00F30E5D">
        <w:rPr>
          <w:rFonts w:eastAsia="Times New Roman" w:cstheme="minorHAnsi"/>
          <w:kern w:val="0"/>
          <w:sz w:val="20"/>
          <w:szCs w:val="20"/>
          <w:lang w:eastAsia="en-GB"/>
          <w14:ligatures w14:val="none"/>
        </w:rPr>
        <w:t xml:space="preserve"> </w:t>
      </w:r>
      <w:r w:rsidR="001543B3" w:rsidRPr="00F30E5D">
        <w:rPr>
          <w:rFonts w:eastAsia="Times New Roman" w:cstheme="minorHAnsi"/>
          <w:i/>
          <w:iCs/>
          <w:kern w:val="0"/>
          <w:sz w:val="20"/>
          <w:szCs w:val="20"/>
          <w:lang w:eastAsia="en-GB"/>
          <w14:ligatures w14:val="none"/>
        </w:rPr>
        <w:t>Scraps of the Untainted Sky: Science Fiction, Utopia, Dystopia</w:t>
      </w:r>
      <w:r w:rsidR="001543B3" w:rsidRPr="00F30E5D">
        <w:rPr>
          <w:rFonts w:eastAsia="Times New Roman" w:cstheme="minorHAnsi"/>
          <w:kern w:val="0"/>
          <w:sz w:val="20"/>
          <w:szCs w:val="20"/>
          <w:lang w:eastAsia="en-GB"/>
          <w14:ligatures w14:val="none"/>
        </w:rPr>
        <w:t xml:space="preserve">, 1st </w:t>
      </w:r>
      <w:proofErr w:type="spellStart"/>
      <w:r w:rsidR="001543B3" w:rsidRPr="00F30E5D">
        <w:rPr>
          <w:rFonts w:eastAsia="Times New Roman" w:cstheme="minorHAnsi"/>
          <w:kern w:val="0"/>
          <w:sz w:val="20"/>
          <w:szCs w:val="20"/>
          <w:lang w:eastAsia="en-GB"/>
          <w14:ligatures w14:val="none"/>
        </w:rPr>
        <w:t>edn</w:t>
      </w:r>
      <w:proofErr w:type="spellEnd"/>
      <w:r w:rsidR="001543B3" w:rsidRPr="00F30E5D">
        <w:rPr>
          <w:rFonts w:eastAsia="Times New Roman" w:cstheme="minorHAnsi"/>
          <w:kern w:val="0"/>
          <w:sz w:val="20"/>
          <w:szCs w:val="20"/>
          <w:lang w:eastAsia="en-GB"/>
          <w14:ligatures w14:val="none"/>
        </w:rPr>
        <w:t xml:space="preserve"> (Routledge, 2000) &lt;https://doi.org/10.4324/9780429497407&gt;</w:t>
      </w:r>
      <w:r w:rsidR="001F04E0">
        <w:rPr>
          <w:rFonts w:eastAsia="Times New Roman" w:cstheme="minorHAnsi"/>
          <w:kern w:val="0"/>
          <w:sz w:val="20"/>
          <w:szCs w:val="20"/>
          <w:lang w:eastAsia="en-GB"/>
          <w14:ligatures w14:val="none"/>
        </w:rPr>
        <w:t xml:space="preserve"> p. xi</w:t>
      </w:r>
      <w:bookmarkEnd w:id="0"/>
      <w:r w:rsidR="001F04E0">
        <w:rPr>
          <w:rFonts w:eastAsia="Times New Roman" w:cstheme="minorHAnsi"/>
          <w:kern w:val="0"/>
          <w:sz w:val="20"/>
          <w:szCs w:val="20"/>
          <w:lang w:eastAsia="en-GB"/>
          <w14:ligatures w14:val="none"/>
        </w:rPr>
        <w:t>.</w:t>
      </w:r>
    </w:p>
  </w:footnote>
  <w:footnote w:id="3">
    <w:p w14:paraId="48B476E8" w14:textId="3344C7CB" w:rsidR="003B76E8" w:rsidRPr="00BD045E" w:rsidRDefault="003B76E8" w:rsidP="00BD045E">
      <w:pPr>
        <w:spacing w:after="0" w:line="240" w:lineRule="auto"/>
        <w:rPr>
          <w:rFonts w:ascii="Helvetica" w:hAnsi="Helvetica" w:cs="Helvetica"/>
          <w:color w:val="595959"/>
          <w:sz w:val="20"/>
          <w:szCs w:val="20"/>
          <w:shd w:val="clear" w:color="auto" w:fill="F5F5F5"/>
        </w:rPr>
      </w:pPr>
      <w:r w:rsidRPr="003446A0">
        <w:rPr>
          <w:rStyle w:val="FootnoteReference"/>
          <w:sz w:val="22"/>
          <w:szCs w:val="22"/>
        </w:rPr>
        <w:footnoteRef/>
      </w:r>
      <w:r>
        <w:t xml:space="preserve"> </w:t>
      </w:r>
      <w:r w:rsidR="00BD045E" w:rsidRPr="00B32B4F">
        <w:rPr>
          <w:rFonts w:cstheme="minorHAnsi"/>
          <w:sz w:val="20"/>
          <w:szCs w:val="20"/>
          <w:shd w:val="clear" w:color="auto" w:fill="F5F5F5"/>
        </w:rPr>
        <w:t>Baruch</w:t>
      </w:r>
      <w:r w:rsidR="00466503">
        <w:rPr>
          <w:rFonts w:cstheme="minorHAnsi"/>
          <w:sz w:val="20"/>
          <w:szCs w:val="20"/>
          <w:shd w:val="clear" w:color="auto" w:fill="F5F5F5"/>
        </w:rPr>
        <w:t>, Elaine,</w:t>
      </w:r>
      <w:r w:rsidR="00BD045E" w:rsidRPr="00B32B4F">
        <w:rPr>
          <w:rFonts w:cstheme="minorHAnsi"/>
          <w:sz w:val="20"/>
          <w:szCs w:val="20"/>
          <w:shd w:val="clear" w:color="auto" w:fill="F5F5F5"/>
        </w:rPr>
        <w:t> </w:t>
      </w:r>
      <w:r w:rsidR="00BD045E" w:rsidRPr="00B32B4F">
        <w:rPr>
          <w:rFonts w:cstheme="minorHAnsi"/>
          <w:i/>
          <w:iCs/>
          <w:sz w:val="20"/>
          <w:szCs w:val="20"/>
          <w:bdr w:val="none" w:sz="0" w:space="0" w:color="auto" w:frame="1"/>
          <w:shd w:val="clear" w:color="auto" w:fill="F5F5F5"/>
        </w:rPr>
        <w:t xml:space="preserve">Women, Love, and </w:t>
      </w:r>
      <w:proofErr w:type="gramStart"/>
      <w:r w:rsidR="00BD045E" w:rsidRPr="00B32B4F">
        <w:rPr>
          <w:rFonts w:cstheme="minorHAnsi"/>
          <w:i/>
          <w:iCs/>
          <w:sz w:val="20"/>
          <w:szCs w:val="20"/>
          <w:bdr w:val="none" w:sz="0" w:space="0" w:color="auto" w:frame="1"/>
          <w:shd w:val="clear" w:color="auto" w:fill="F5F5F5"/>
        </w:rPr>
        <w:t>Power :</w:t>
      </w:r>
      <w:proofErr w:type="gramEnd"/>
      <w:r w:rsidR="00BD045E" w:rsidRPr="00B32B4F">
        <w:rPr>
          <w:rFonts w:cstheme="minorHAnsi"/>
          <w:i/>
          <w:iCs/>
          <w:sz w:val="20"/>
          <w:szCs w:val="20"/>
          <w:bdr w:val="none" w:sz="0" w:space="0" w:color="auto" w:frame="1"/>
          <w:shd w:val="clear" w:color="auto" w:fill="F5F5F5"/>
        </w:rPr>
        <w:t xml:space="preserve"> Literary and Psychoanalytic Perspectives</w:t>
      </w:r>
      <w:r w:rsidR="00BD045E" w:rsidRPr="00B32B4F">
        <w:rPr>
          <w:rFonts w:cstheme="minorHAnsi"/>
          <w:sz w:val="20"/>
          <w:szCs w:val="20"/>
          <w:shd w:val="clear" w:color="auto" w:fill="F5F5F5"/>
        </w:rPr>
        <w:t>. NYU Press, 1991. </w:t>
      </w:r>
      <w:r w:rsidR="00BD045E" w:rsidRPr="00B32B4F">
        <w:rPr>
          <w:rFonts w:cstheme="minorHAnsi"/>
          <w:i/>
          <w:iCs/>
          <w:sz w:val="20"/>
          <w:szCs w:val="20"/>
          <w:bdr w:val="none" w:sz="0" w:space="0" w:color="auto" w:frame="1"/>
          <w:shd w:val="clear" w:color="auto" w:fill="F5F5F5"/>
        </w:rPr>
        <w:t>EBSCOhost</w:t>
      </w:r>
      <w:r w:rsidR="00BD045E" w:rsidRPr="00B32B4F">
        <w:rPr>
          <w:rFonts w:cstheme="minorHAnsi"/>
          <w:sz w:val="20"/>
          <w:szCs w:val="20"/>
          <w:shd w:val="clear" w:color="auto" w:fill="F5F5F5"/>
        </w:rPr>
        <w:t xml:space="preserve">, </w:t>
      </w:r>
      <w:r w:rsidR="003446A0" w:rsidRPr="00B32B4F">
        <w:rPr>
          <w:rFonts w:cstheme="minorHAnsi"/>
          <w:sz w:val="20"/>
          <w:szCs w:val="20"/>
          <w:shd w:val="clear" w:color="auto" w:fill="F5F5F5"/>
        </w:rPr>
        <w:t>&lt;</w:t>
      </w:r>
      <w:r w:rsidR="00BD045E" w:rsidRPr="00B32B4F">
        <w:rPr>
          <w:rFonts w:cstheme="minorHAnsi"/>
          <w:sz w:val="20"/>
          <w:szCs w:val="20"/>
          <w:shd w:val="clear" w:color="auto" w:fill="F5F5F5"/>
        </w:rPr>
        <w:t>search.ebscohost.com/login.aspx?direct=true&amp;db=e000xww&amp;AN=1021152&amp;site=eds-live&amp;scope=site</w:t>
      </w:r>
      <w:r w:rsidR="003446A0" w:rsidRPr="00B32B4F">
        <w:rPr>
          <w:rFonts w:cstheme="minorHAnsi"/>
          <w:sz w:val="20"/>
          <w:szCs w:val="20"/>
          <w:shd w:val="clear" w:color="auto" w:fill="F5F5F5"/>
        </w:rPr>
        <w:t>&gt; p. 193.</w:t>
      </w:r>
      <w:r w:rsidR="003446A0">
        <w:rPr>
          <w:rFonts w:cstheme="minorHAnsi"/>
          <w:sz w:val="20"/>
          <w:szCs w:val="20"/>
          <w:shd w:val="clear" w:color="auto" w:fill="F5F5F5"/>
        </w:rPr>
        <w:t xml:space="preserve"> </w:t>
      </w:r>
    </w:p>
  </w:footnote>
  <w:footnote w:id="4">
    <w:p w14:paraId="4E426FFB" w14:textId="33FAC573" w:rsidR="003B76E8" w:rsidRPr="002F04B8" w:rsidRDefault="003B76E8" w:rsidP="003B76E8">
      <w:pPr>
        <w:pStyle w:val="FootnoteText"/>
      </w:pPr>
      <w:r>
        <w:rPr>
          <w:rStyle w:val="FootnoteReference"/>
        </w:rPr>
        <w:footnoteRef/>
      </w:r>
      <w:r>
        <w:t xml:space="preserve"> </w:t>
      </w:r>
      <w:r w:rsidR="006D284F">
        <w:t>Perkins</w:t>
      </w:r>
      <w:r w:rsidR="002F04B8">
        <w:t xml:space="preserve"> Gilman,</w:t>
      </w:r>
      <w:r w:rsidR="00466503">
        <w:t xml:space="preserve"> Charlotte,</w:t>
      </w:r>
      <w:r w:rsidR="002F04B8">
        <w:t xml:space="preserve"> </w:t>
      </w:r>
      <w:r w:rsidR="002F04B8">
        <w:rPr>
          <w:i/>
          <w:iCs/>
        </w:rPr>
        <w:t xml:space="preserve">Herland, </w:t>
      </w:r>
      <w:r w:rsidR="002F04B8">
        <w:t>(</w:t>
      </w:r>
      <w:r w:rsidR="00F02232">
        <w:t xml:space="preserve">[N.P.], [N. Pub.], </w:t>
      </w:r>
      <w:r w:rsidR="005F3A5D">
        <w:t>1915)</w:t>
      </w:r>
      <w:r w:rsidR="00AA2375">
        <w:t>.</w:t>
      </w:r>
    </w:p>
  </w:footnote>
  <w:footnote w:id="5">
    <w:p w14:paraId="65CED7E2" w14:textId="50DB2569" w:rsidR="003B76E8" w:rsidRPr="00AA2375" w:rsidRDefault="003B76E8" w:rsidP="003B76E8">
      <w:pPr>
        <w:pStyle w:val="FootnoteText"/>
      </w:pPr>
      <w:r>
        <w:rPr>
          <w:rStyle w:val="FootnoteReference"/>
        </w:rPr>
        <w:footnoteRef/>
      </w:r>
      <w:r>
        <w:t xml:space="preserve"> </w:t>
      </w:r>
      <w:r w:rsidR="00AA2375">
        <w:t xml:space="preserve">Gilman, </w:t>
      </w:r>
      <w:r w:rsidR="00AA2375">
        <w:rPr>
          <w:i/>
          <w:iCs/>
        </w:rPr>
        <w:t xml:space="preserve">Herland, </w:t>
      </w:r>
      <w:r w:rsidR="00AA2375">
        <w:t>Ch.</w:t>
      </w:r>
      <w:r w:rsidR="005E2E09">
        <w:t xml:space="preserve"> </w:t>
      </w:r>
      <w:r w:rsidR="00AA2375">
        <w:t>5.</w:t>
      </w:r>
    </w:p>
  </w:footnote>
  <w:footnote w:id="6">
    <w:p w14:paraId="2240211F" w14:textId="693F6321" w:rsidR="00254D36" w:rsidRPr="00A55E3F" w:rsidRDefault="003B76E8" w:rsidP="00254D36">
      <w:pPr>
        <w:autoSpaceDE w:val="0"/>
        <w:autoSpaceDN w:val="0"/>
        <w:adjustRightInd w:val="0"/>
        <w:spacing w:after="200"/>
        <w:rPr>
          <w:rFonts w:ascii="Calibri" w:hAnsi="Calibri" w:cs="Calibri"/>
          <w:kern w:val="0"/>
          <w:sz w:val="20"/>
          <w:szCs w:val="20"/>
          <w:lang w:val="en"/>
        </w:rPr>
      </w:pPr>
      <w:r w:rsidRPr="00254D36">
        <w:rPr>
          <w:rStyle w:val="FootnoteReference"/>
          <w:sz w:val="20"/>
          <w:szCs w:val="20"/>
        </w:rPr>
        <w:footnoteRef/>
      </w:r>
      <w:r w:rsidRPr="00254D36">
        <w:rPr>
          <w:sz w:val="20"/>
          <w:szCs w:val="20"/>
        </w:rPr>
        <w:t xml:space="preserve"> </w:t>
      </w:r>
      <w:r w:rsidR="004B3309">
        <w:rPr>
          <w:rFonts w:ascii="Calibri" w:hAnsi="Calibri" w:cs="Calibri"/>
          <w:kern w:val="0"/>
          <w:sz w:val="20"/>
          <w:szCs w:val="20"/>
          <w:lang w:val="en"/>
        </w:rPr>
        <w:t>Robertson,</w:t>
      </w:r>
      <w:r w:rsidR="00254D36" w:rsidRPr="00A55E3F">
        <w:rPr>
          <w:rFonts w:ascii="Calibri" w:hAnsi="Calibri" w:cs="Calibri"/>
          <w:kern w:val="0"/>
          <w:sz w:val="20"/>
          <w:szCs w:val="20"/>
          <w:lang w:val="en"/>
        </w:rPr>
        <w:t xml:space="preserve"> </w:t>
      </w:r>
      <w:r w:rsidR="00466503">
        <w:rPr>
          <w:rFonts w:ascii="Calibri" w:hAnsi="Calibri" w:cs="Calibri"/>
          <w:kern w:val="0"/>
          <w:sz w:val="20"/>
          <w:szCs w:val="20"/>
          <w:lang w:val="en"/>
        </w:rPr>
        <w:t xml:space="preserve">Michael, </w:t>
      </w:r>
      <w:r w:rsidR="00254D36" w:rsidRPr="00A55E3F">
        <w:rPr>
          <w:rFonts w:ascii="Calibri" w:hAnsi="Calibri" w:cs="Calibri"/>
          <w:kern w:val="0"/>
          <w:sz w:val="20"/>
          <w:szCs w:val="20"/>
          <w:lang w:val="en"/>
        </w:rPr>
        <w:t xml:space="preserve">“Charlotte Perkins Gilman’s Motherly Utopia.” The Last Utopians: Four Late Nineteenth-Century Visionaries and Their Legacy, Princeton University Press, 2018, pp. 172–222. JSTOR, </w:t>
      </w:r>
      <w:r w:rsidR="00A55E3F">
        <w:rPr>
          <w:rFonts w:ascii="Calibri" w:hAnsi="Calibri" w:cs="Calibri"/>
          <w:kern w:val="0"/>
          <w:sz w:val="20"/>
          <w:szCs w:val="20"/>
          <w:lang w:val="en"/>
        </w:rPr>
        <w:t>&lt;</w:t>
      </w:r>
      <w:r w:rsidR="00A55E3F" w:rsidRPr="00A55E3F">
        <w:rPr>
          <w:rFonts w:ascii="Calibri" w:hAnsi="Calibri" w:cs="Calibri"/>
          <w:kern w:val="0"/>
          <w:sz w:val="20"/>
          <w:szCs w:val="20"/>
          <w:lang w:val="en"/>
        </w:rPr>
        <w:t>https://doi.org/10.2307/j.ctt1x3s3gr.9</w:t>
      </w:r>
      <w:r w:rsidR="00254D36" w:rsidRPr="00A55E3F">
        <w:rPr>
          <w:rFonts w:ascii="Calibri" w:hAnsi="Calibri" w:cs="Calibri"/>
          <w:kern w:val="0"/>
          <w:sz w:val="20"/>
          <w:szCs w:val="20"/>
          <w:lang w:val="en"/>
        </w:rPr>
        <w:t>.</w:t>
      </w:r>
      <w:r w:rsidR="00A55E3F">
        <w:rPr>
          <w:rFonts w:ascii="Calibri" w:hAnsi="Calibri" w:cs="Calibri"/>
          <w:kern w:val="0"/>
          <w:sz w:val="20"/>
          <w:szCs w:val="20"/>
          <w:lang w:val="en"/>
        </w:rPr>
        <w:t xml:space="preserve">&gt; </w:t>
      </w:r>
    </w:p>
    <w:p w14:paraId="4B3CE1ED" w14:textId="114361BB" w:rsidR="003B76E8" w:rsidRDefault="003B76E8" w:rsidP="003B76E8">
      <w:pPr>
        <w:pStyle w:val="FootnoteText"/>
      </w:pPr>
    </w:p>
  </w:footnote>
  <w:footnote w:id="7">
    <w:p w14:paraId="79B41F5B" w14:textId="3848F70E" w:rsidR="003B76E8" w:rsidRDefault="003B76E8" w:rsidP="003B76E8">
      <w:pPr>
        <w:pStyle w:val="FootnoteText"/>
      </w:pPr>
      <w:r>
        <w:rPr>
          <w:rStyle w:val="FootnoteReference"/>
        </w:rPr>
        <w:footnoteRef/>
      </w:r>
      <w:r>
        <w:t xml:space="preserve"> Bartkowski</w:t>
      </w:r>
      <w:r w:rsidR="0085643C">
        <w:t>,</w:t>
      </w:r>
      <w:r w:rsidR="00466503">
        <w:t xml:space="preserve"> Frances,</w:t>
      </w:r>
      <w:r w:rsidR="0085643C">
        <w:t xml:space="preserve"> </w:t>
      </w:r>
      <w:r w:rsidR="00AD75B3">
        <w:rPr>
          <w:i/>
          <w:iCs/>
        </w:rPr>
        <w:t xml:space="preserve">Feminist Utopias, </w:t>
      </w:r>
      <w:r w:rsidR="00BA0F8D">
        <w:t>(Nebraska, University of Nebraska Press, 1989),</w:t>
      </w:r>
      <w:r>
        <w:t xml:space="preserve"> p</w:t>
      </w:r>
      <w:r w:rsidR="00BA0F8D">
        <w:t xml:space="preserve">. </w:t>
      </w:r>
      <w:r>
        <w:t>5</w:t>
      </w:r>
      <w:r w:rsidR="00BA0F8D">
        <w:t>.</w:t>
      </w:r>
    </w:p>
  </w:footnote>
  <w:footnote w:id="8">
    <w:p w14:paraId="0E23D33C" w14:textId="450F8B65" w:rsidR="003B76E8" w:rsidRPr="001E147B" w:rsidRDefault="003B76E8" w:rsidP="003B76E8">
      <w:pPr>
        <w:pStyle w:val="FootnoteText"/>
      </w:pPr>
      <w:r>
        <w:rPr>
          <w:rStyle w:val="FootnoteReference"/>
        </w:rPr>
        <w:footnoteRef/>
      </w:r>
      <w:r>
        <w:t xml:space="preserve"> </w:t>
      </w:r>
      <w:r w:rsidR="00466503">
        <w:t>S</w:t>
      </w:r>
      <w:r w:rsidR="00262526">
        <w:t>helley,</w:t>
      </w:r>
      <w:r w:rsidR="00466503">
        <w:t xml:space="preserve"> Mary,</w:t>
      </w:r>
      <w:r w:rsidR="00262526">
        <w:t xml:space="preserve"> </w:t>
      </w:r>
      <w:r w:rsidR="00262526">
        <w:rPr>
          <w:i/>
          <w:iCs/>
        </w:rPr>
        <w:t xml:space="preserve">Frankenstein, </w:t>
      </w:r>
      <w:r w:rsidR="001E147B">
        <w:t>(</w:t>
      </w:r>
      <w:r w:rsidR="00F00A4D">
        <w:t>Croydon, CPI Group, 2013)</w:t>
      </w:r>
      <w:r w:rsidR="005E58CD">
        <w:t>.</w:t>
      </w:r>
    </w:p>
  </w:footnote>
  <w:footnote w:id="9">
    <w:p w14:paraId="0F6B4AF0" w14:textId="6F0EC47D" w:rsidR="003B76E8" w:rsidRDefault="003B76E8" w:rsidP="003B76E8">
      <w:pPr>
        <w:pStyle w:val="FootnoteText"/>
      </w:pPr>
      <w:r>
        <w:rPr>
          <w:rStyle w:val="FootnoteReference"/>
        </w:rPr>
        <w:footnoteRef/>
      </w:r>
      <w:r>
        <w:t xml:space="preserve"> Moylan</w:t>
      </w:r>
      <w:r w:rsidR="005E58CD">
        <w:t>,</w:t>
      </w:r>
      <w:r>
        <w:t xml:space="preserve"> p</w:t>
      </w:r>
      <w:r w:rsidR="005E58CD">
        <w:t>.</w:t>
      </w:r>
      <w:r>
        <w:t xml:space="preserve"> xiv</w:t>
      </w:r>
      <w:r w:rsidR="005E58CD">
        <w:t>.</w:t>
      </w:r>
    </w:p>
  </w:footnote>
  <w:footnote w:id="10">
    <w:p w14:paraId="22269E20" w14:textId="6148F356" w:rsidR="003B76E8" w:rsidRPr="00A46401" w:rsidRDefault="003B76E8" w:rsidP="003B76E8">
      <w:pPr>
        <w:pStyle w:val="FootnoteText"/>
      </w:pPr>
      <w:r>
        <w:rPr>
          <w:rStyle w:val="FootnoteReference"/>
        </w:rPr>
        <w:footnoteRef/>
      </w:r>
      <w:r>
        <w:t xml:space="preserve"> </w:t>
      </w:r>
      <w:r w:rsidR="0081511B">
        <w:t>Piercy</w:t>
      </w:r>
      <w:r w:rsidR="00A46401">
        <w:t>,</w:t>
      </w:r>
      <w:r w:rsidR="00466503">
        <w:t xml:space="preserve"> Marge,</w:t>
      </w:r>
      <w:r w:rsidR="00A46401">
        <w:t xml:space="preserve"> </w:t>
      </w:r>
      <w:r w:rsidR="00A46401">
        <w:rPr>
          <w:i/>
          <w:iCs/>
        </w:rPr>
        <w:t xml:space="preserve">Woman on the Edge of Time, </w:t>
      </w:r>
      <w:r w:rsidR="00A46401">
        <w:t>(London, Del Rey, 2019)</w:t>
      </w:r>
      <w:r w:rsidR="00247ABC">
        <w:t xml:space="preserve">, </w:t>
      </w:r>
      <w:proofErr w:type="spellStart"/>
      <w:r w:rsidR="00247ABC">
        <w:t>Ebook</w:t>
      </w:r>
      <w:proofErr w:type="spellEnd"/>
      <w:r w:rsidR="00247ABC">
        <w:t>.</w:t>
      </w:r>
    </w:p>
  </w:footnote>
  <w:footnote w:id="11">
    <w:p w14:paraId="3E8CE94C" w14:textId="36E2B151" w:rsidR="003B76E8" w:rsidRDefault="003B76E8" w:rsidP="003B76E8">
      <w:pPr>
        <w:pStyle w:val="FootnoteText"/>
      </w:pPr>
      <w:r>
        <w:rPr>
          <w:rStyle w:val="FootnoteReference"/>
        </w:rPr>
        <w:footnoteRef/>
      </w:r>
      <w:r>
        <w:t xml:space="preserve"> Dillon</w:t>
      </w:r>
      <w:r w:rsidR="00247ABC">
        <w:t>,</w:t>
      </w:r>
      <w:r>
        <w:t xml:space="preserve"> p</w:t>
      </w:r>
      <w:r w:rsidR="00247ABC">
        <w:t xml:space="preserve">. </w:t>
      </w:r>
      <w:r>
        <w:t>171</w:t>
      </w:r>
      <w:r w:rsidR="00247ABC">
        <w:t>.</w:t>
      </w:r>
    </w:p>
  </w:footnote>
  <w:footnote w:id="12">
    <w:p w14:paraId="3EDEE0E0" w14:textId="6788C43F" w:rsidR="003B76E8" w:rsidRPr="00EA7D7E" w:rsidRDefault="003B76E8" w:rsidP="003B76E8">
      <w:pPr>
        <w:pStyle w:val="FootnoteText"/>
      </w:pPr>
      <w:r>
        <w:rPr>
          <w:rStyle w:val="FootnoteReference"/>
        </w:rPr>
        <w:footnoteRef/>
      </w:r>
      <w:r>
        <w:t xml:space="preserve"> </w:t>
      </w:r>
      <w:r w:rsidR="00EA7D7E" w:rsidRPr="00EA7D7E">
        <w:rPr>
          <w:rFonts w:ascii="Calibri" w:hAnsi="Calibri" w:cs="Calibri"/>
          <w:shd w:val="clear" w:color="auto" w:fill="FFFFFF"/>
        </w:rPr>
        <w:t>Wollstonecraft Shelley,</w:t>
      </w:r>
      <w:r w:rsidR="00466503">
        <w:rPr>
          <w:rFonts w:ascii="Calibri" w:hAnsi="Calibri" w:cs="Calibri"/>
          <w:shd w:val="clear" w:color="auto" w:fill="FFFFFF"/>
        </w:rPr>
        <w:t xml:space="preserve"> Mary,</w:t>
      </w:r>
      <w:r w:rsidR="00EA7D7E" w:rsidRPr="00EA7D7E">
        <w:rPr>
          <w:rFonts w:ascii="Calibri" w:hAnsi="Calibri" w:cs="Calibri"/>
          <w:shd w:val="clear" w:color="auto" w:fill="FFFFFF"/>
        </w:rPr>
        <w:t> </w:t>
      </w:r>
      <w:r w:rsidR="00EA7D7E" w:rsidRPr="00EA7D7E">
        <w:rPr>
          <w:rFonts w:ascii="Calibri" w:hAnsi="Calibri" w:cs="Calibri"/>
          <w:i/>
          <w:iCs/>
          <w:shd w:val="clear" w:color="auto" w:fill="FFFFFF"/>
        </w:rPr>
        <w:t>Frankenstein: Complete Authoritative Text with Biographical, Historical and Cultural Contexts, Critical History and Essays from Contemporary Critical Perspectives</w:t>
      </w:r>
      <w:r w:rsidR="00EA7D7E" w:rsidRPr="00EA7D7E">
        <w:rPr>
          <w:rFonts w:ascii="Calibri" w:hAnsi="Calibri" w:cs="Calibri"/>
          <w:shd w:val="clear" w:color="auto" w:fill="FFFFFF"/>
        </w:rPr>
        <w:t>, ed. by Johanna Smith, (New York: St Martin’s Press, 1992)</w:t>
      </w:r>
    </w:p>
  </w:footnote>
  <w:footnote w:id="13">
    <w:p w14:paraId="0765CA2B" w14:textId="5D3BBB73" w:rsidR="003B76E8" w:rsidRDefault="003B76E8" w:rsidP="003B76E8">
      <w:pPr>
        <w:pStyle w:val="FootnoteText"/>
      </w:pPr>
      <w:r>
        <w:rPr>
          <w:rStyle w:val="FootnoteReference"/>
        </w:rPr>
        <w:footnoteRef/>
      </w:r>
      <w:r>
        <w:t xml:space="preserve"> </w:t>
      </w:r>
      <w:r w:rsidR="006F6C42">
        <w:t>Ibid.</w:t>
      </w:r>
    </w:p>
  </w:footnote>
  <w:footnote w:id="14">
    <w:p w14:paraId="67099076" w14:textId="1A2DE782" w:rsidR="003B76E8" w:rsidRPr="00D44783" w:rsidRDefault="003B76E8" w:rsidP="003B76E8">
      <w:pPr>
        <w:pStyle w:val="FootnoteText"/>
      </w:pPr>
      <w:r>
        <w:rPr>
          <w:rStyle w:val="FootnoteReference"/>
        </w:rPr>
        <w:footnoteRef/>
      </w:r>
      <w:r>
        <w:t xml:space="preserve"> </w:t>
      </w:r>
      <w:r w:rsidR="00D44783">
        <w:t>Piercy,</w:t>
      </w:r>
      <w:r w:rsidR="00466503">
        <w:t xml:space="preserve"> Marge,</w:t>
      </w:r>
      <w:r w:rsidR="00D44783">
        <w:t xml:space="preserve"> ‘Bio’, </w:t>
      </w:r>
      <w:r w:rsidR="00E0115F">
        <w:t xml:space="preserve">2021 </w:t>
      </w:r>
      <w:r w:rsidR="00460D43">
        <w:t>&lt;</w:t>
      </w:r>
      <w:r w:rsidR="00460D43" w:rsidRPr="00460D43">
        <w:t>https://margepiercy.com/bio</w:t>
      </w:r>
      <w:r w:rsidR="00460D43">
        <w:t xml:space="preserve">&gt; </w:t>
      </w:r>
      <w:r w:rsidR="00E0115F">
        <w:t>[</w:t>
      </w:r>
      <w:r w:rsidR="00293EEC">
        <w:t>Accessed 13.05.2024]</w:t>
      </w:r>
    </w:p>
  </w:footnote>
  <w:footnote w:id="15">
    <w:p w14:paraId="74F7EB96" w14:textId="72BB5D4C" w:rsidR="003B76E8" w:rsidRDefault="003B76E8" w:rsidP="003B76E8">
      <w:pPr>
        <w:pStyle w:val="FootnoteText"/>
      </w:pPr>
      <w:r>
        <w:rPr>
          <w:rStyle w:val="FootnoteReference"/>
        </w:rPr>
        <w:footnoteRef/>
      </w:r>
      <w:r>
        <w:t xml:space="preserve"> </w:t>
      </w:r>
      <w:r w:rsidR="00A9221E">
        <w:t>Robertson</w:t>
      </w:r>
      <w:r w:rsidR="00E04BC1">
        <w:t>.</w:t>
      </w:r>
    </w:p>
  </w:footnote>
  <w:footnote w:id="16">
    <w:p w14:paraId="1DF63B65" w14:textId="530D1820" w:rsidR="007A44BC" w:rsidRDefault="007A44BC" w:rsidP="007A44BC">
      <w:pPr>
        <w:pStyle w:val="FootnoteText"/>
      </w:pPr>
      <w:r>
        <w:rPr>
          <w:rStyle w:val="FootnoteReference"/>
        </w:rPr>
        <w:footnoteRef/>
      </w:r>
      <w:r>
        <w:t xml:space="preserve"> Ibid</w:t>
      </w:r>
      <w:r w:rsidR="00CF745A">
        <w:t>.</w:t>
      </w:r>
    </w:p>
  </w:footnote>
  <w:footnote w:id="17">
    <w:p w14:paraId="6CC69095" w14:textId="47674B06" w:rsidR="003B76E8" w:rsidRDefault="003B76E8" w:rsidP="003B76E8">
      <w:pPr>
        <w:pStyle w:val="FootnoteText"/>
      </w:pPr>
      <w:r>
        <w:rPr>
          <w:rStyle w:val="FootnoteReference"/>
        </w:rPr>
        <w:footnoteRef/>
      </w:r>
      <w:r>
        <w:t xml:space="preserve"> Baruch</w:t>
      </w:r>
      <w:r w:rsidR="009A1797">
        <w:t xml:space="preserve">, </w:t>
      </w:r>
      <w:r w:rsidR="00E04BC1">
        <w:t>p. 61.</w:t>
      </w:r>
    </w:p>
  </w:footnote>
  <w:footnote w:id="18">
    <w:p w14:paraId="18A591FA" w14:textId="355AAD69" w:rsidR="003B76E8" w:rsidRDefault="003B76E8" w:rsidP="003B76E8">
      <w:pPr>
        <w:pStyle w:val="FootnoteText"/>
      </w:pPr>
      <w:r>
        <w:rPr>
          <w:rStyle w:val="FootnoteReference"/>
        </w:rPr>
        <w:footnoteRef/>
      </w:r>
      <w:r>
        <w:t xml:space="preserve"> Robertson</w:t>
      </w:r>
      <w:r w:rsidR="00E04BC1">
        <w:t>.</w:t>
      </w:r>
    </w:p>
  </w:footnote>
  <w:footnote w:id="19">
    <w:p w14:paraId="22DDE263" w14:textId="6D501C4D" w:rsidR="003B76E8" w:rsidRDefault="003B76E8" w:rsidP="003B76E8">
      <w:pPr>
        <w:pStyle w:val="FootnoteText"/>
      </w:pPr>
      <w:r>
        <w:rPr>
          <w:rStyle w:val="FootnoteReference"/>
        </w:rPr>
        <w:footnoteRef/>
      </w:r>
      <w:r>
        <w:t xml:space="preserve"> </w:t>
      </w:r>
      <w:r w:rsidR="00E04BC1">
        <w:t>Ibid.</w:t>
      </w:r>
    </w:p>
  </w:footnote>
  <w:footnote w:id="20">
    <w:p w14:paraId="3542BD24" w14:textId="0600D207" w:rsidR="003B76E8" w:rsidRPr="001A114B" w:rsidRDefault="003B76E8" w:rsidP="00384A77">
      <w:pPr>
        <w:spacing w:after="0" w:line="240" w:lineRule="auto"/>
        <w:rPr>
          <w:rFonts w:ascii="Calibri" w:hAnsi="Calibri" w:cs="Calibri"/>
          <w:sz w:val="20"/>
          <w:szCs w:val="20"/>
        </w:rPr>
      </w:pPr>
      <w:r w:rsidRPr="004001F0">
        <w:rPr>
          <w:rStyle w:val="FootnoteReference"/>
          <w:sz w:val="22"/>
          <w:szCs w:val="22"/>
        </w:rPr>
        <w:footnoteRef/>
      </w:r>
      <w:r w:rsidRPr="004001F0">
        <w:rPr>
          <w:sz w:val="22"/>
          <w:szCs w:val="22"/>
        </w:rPr>
        <w:t xml:space="preserve"> </w:t>
      </w:r>
      <w:bookmarkStart w:id="1" w:name="_Hlk165798049"/>
      <w:r w:rsidR="009B0D1C" w:rsidRPr="001A114B">
        <w:rPr>
          <w:rFonts w:ascii="Calibri" w:eastAsia="Times New Roman" w:hAnsi="Calibri" w:cs="Calibri"/>
          <w:kern w:val="0"/>
          <w:sz w:val="20"/>
          <w:szCs w:val="20"/>
          <w:lang w:eastAsia="en-GB"/>
          <w14:ligatures w14:val="none"/>
        </w:rPr>
        <w:t>Perkins Gilman</w:t>
      </w:r>
      <w:r w:rsidR="00384A77" w:rsidRPr="001A114B">
        <w:rPr>
          <w:rFonts w:ascii="Calibri" w:eastAsia="Times New Roman" w:hAnsi="Calibri" w:cs="Calibri"/>
          <w:kern w:val="0"/>
          <w:sz w:val="20"/>
          <w:szCs w:val="20"/>
          <w:lang w:eastAsia="en-GB"/>
          <w14:ligatures w14:val="none"/>
        </w:rPr>
        <w:t>,</w:t>
      </w:r>
      <w:r w:rsidR="00466503">
        <w:rPr>
          <w:rFonts w:ascii="Calibri" w:eastAsia="Times New Roman" w:hAnsi="Calibri" w:cs="Calibri"/>
          <w:kern w:val="0"/>
          <w:sz w:val="20"/>
          <w:szCs w:val="20"/>
          <w:lang w:eastAsia="en-GB"/>
          <w14:ligatures w14:val="none"/>
        </w:rPr>
        <w:t xml:space="preserve"> Charlotte,</w:t>
      </w:r>
      <w:r w:rsidR="00384A77" w:rsidRPr="001A114B">
        <w:rPr>
          <w:rFonts w:ascii="Calibri" w:eastAsia="Times New Roman" w:hAnsi="Calibri" w:cs="Calibri"/>
          <w:kern w:val="0"/>
          <w:sz w:val="20"/>
          <w:szCs w:val="20"/>
          <w:lang w:eastAsia="en-GB"/>
          <w14:ligatures w14:val="none"/>
        </w:rPr>
        <w:t xml:space="preserve"> </w:t>
      </w:r>
      <w:r w:rsidR="00722C09">
        <w:rPr>
          <w:rFonts w:ascii="Calibri" w:eastAsia="Times New Roman" w:hAnsi="Calibri" w:cs="Calibri"/>
          <w:kern w:val="0"/>
          <w:sz w:val="20"/>
          <w:szCs w:val="20"/>
          <w:lang w:eastAsia="en-GB"/>
          <w14:ligatures w14:val="none"/>
        </w:rPr>
        <w:t xml:space="preserve">Amy </w:t>
      </w:r>
      <w:r w:rsidR="00384A77" w:rsidRPr="001A114B">
        <w:rPr>
          <w:rFonts w:ascii="Calibri" w:eastAsia="Times New Roman" w:hAnsi="Calibri" w:cs="Calibri"/>
          <w:kern w:val="0"/>
          <w:sz w:val="20"/>
          <w:szCs w:val="20"/>
          <w:lang w:eastAsia="en-GB"/>
          <w14:ligatures w14:val="none"/>
        </w:rPr>
        <w:t xml:space="preserve">Aronson and others, </w:t>
      </w:r>
      <w:r w:rsidR="00384A77" w:rsidRPr="001A114B">
        <w:rPr>
          <w:rFonts w:ascii="Calibri" w:eastAsia="Times New Roman" w:hAnsi="Calibri" w:cs="Calibri"/>
          <w:i/>
          <w:iCs/>
          <w:kern w:val="0"/>
          <w:sz w:val="20"/>
          <w:szCs w:val="20"/>
          <w:lang w:eastAsia="en-GB"/>
          <w14:ligatures w14:val="none"/>
        </w:rPr>
        <w:t xml:space="preserve">Women and </w:t>
      </w:r>
      <w:proofErr w:type="gramStart"/>
      <w:r w:rsidR="00384A77" w:rsidRPr="001A114B">
        <w:rPr>
          <w:rFonts w:ascii="Calibri" w:eastAsia="Times New Roman" w:hAnsi="Calibri" w:cs="Calibri"/>
          <w:i/>
          <w:iCs/>
          <w:kern w:val="0"/>
          <w:sz w:val="20"/>
          <w:szCs w:val="20"/>
          <w:lang w:eastAsia="en-GB"/>
          <w14:ligatures w14:val="none"/>
        </w:rPr>
        <w:t>Economics :</w:t>
      </w:r>
      <w:proofErr w:type="gramEnd"/>
      <w:r w:rsidR="00384A77" w:rsidRPr="001A114B">
        <w:rPr>
          <w:rFonts w:ascii="Calibri" w:eastAsia="Times New Roman" w:hAnsi="Calibri" w:cs="Calibri"/>
          <w:i/>
          <w:iCs/>
          <w:kern w:val="0"/>
          <w:sz w:val="20"/>
          <w:szCs w:val="20"/>
          <w:lang w:eastAsia="en-GB"/>
          <w14:ligatures w14:val="none"/>
        </w:rPr>
        <w:t xml:space="preserve"> A Study of the Economic Relation between Men and Women as a Factor in Social Evolution</w:t>
      </w:r>
      <w:r w:rsidR="00384A77" w:rsidRPr="001A114B">
        <w:rPr>
          <w:rFonts w:ascii="Calibri" w:eastAsia="Times New Roman" w:hAnsi="Calibri" w:cs="Calibri"/>
          <w:kern w:val="0"/>
          <w:sz w:val="20"/>
          <w:szCs w:val="20"/>
          <w:lang w:eastAsia="en-GB"/>
          <w14:ligatures w14:val="none"/>
        </w:rPr>
        <w:t>, Reprint 2020 (Berkeley, CA: University of California Press, 2020) &lt;https://doi.org/10.1525/9780520310162&gt;</w:t>
      </w:r>
      <w:bookmarkEnd w:id="1"/>
      <w:r w:rsidR="00384A77" w:rsidRPr="001A114B">
        <w:rPr>
          <w:rFonts w:ascii="Calibri" w:eastAsia="Times New Roman" w:hAnsi="Calibri" w:cs="Calibri"/>
          <w:kern w:val="0"/>
          <w:sz w:val="20"/>
          <w:szCs w:val="20"/>
          <w:lang w:eastAsia="en-GB"/>
          <w14:ligatures w14:val="none"/>
        </w:rPr>
        <w:t xml:space="preserve"> </w:t>
      </w:r>
      <w:r w:rsidRPr="001A114B">
        <w:rPr>
          <w:sz w:val="20"/>
          <w:szCs w:val="20"/>
        </w:rPr>
        <w:t>p</w:t>
      </w:r>
      <w:r w:rsidR="00384A77" w:rsidRPr="001A114B">
        <w:rPr>
          <w:sz w:val="20"/>
          <w:szCs w:val="20"/>
        </w:rPr>
        <w:t xml:space="preserve">. </w:t>
      </w:r>
      <w:r w:rsidRPr="001A114B">
        <w:rPr>
          <w:sz w:val="20"/>
          <w:szCs w:val="20"/>
        </w:rPr>
        <w:t>21</w:t>
      </w:r>
      <w:r w:rsidR="00384A77" w:rsidRPr="001A114B">
        <w:rPr>
          <w:sz w:val="20"/>
          <w:szCs w:val="20"/>
        </w:rPr>
        <w:t>.</w:t>
      </w:r>
    </w:p>
  </w:footnote>
  <w:footnote w:id="21">
    <w:p w14:paraId="5C5EEB5D" w14:textId="4D4D834C" w:rsidR="003B76E8" w:rsidRPr="001A114B" w:rsidRDefault="003B76E8" w:rsidP="003B76E8">
      <w:pPr>
        <w:pStyle w:val="FootnoteText"/>
      </w:pPr>
      <w:r w:rsidRPr="001A114B">
        <w:rPr>
          <w:rStyle w:val="FootnoteReference"/>
        </w:rPr>
        <w:footnoteRef/>
      </w:r>
      <w:r w:rsidRPr="001A114B">
        <w:t xml:space="preserve"> </w:t>
      </w:r>
      <w:r w:rsidR="009B0D1C" w:rsidRPr="001A114B">
        <w:t xml:space="preserve">Gilman, </w:t>
      </w:r>
      <w:r w:rsidR="009B0D1C" w:rsidRPr="001A114B">
        <w:rPr>
          <w:i/>
          <w:iCs/>
        </w:rPr>
        <w:t>Women</w:t>
      </w:r>
      <w:r w:rsidR="00C6332C" w:rsidRPr="001A114B">
        <w:rPr>
          <w:i/>
          <w:iCs/>
        </w:rPr>
        <w:t xml:space="preserve"> and</w:t>
      </w:r>
      <w:r w:rsidR="009B0D1C" w:rsidRPr="001A114B">
        <w:rPr>
          <w:i/>
          <w:iCs/>
        </w:rPr>
        <w:t xml:space="preserve"> Economics</w:t>
      </w:r>
      <w:r w:rsidR="00C6332C" w:rsidRPr="001A114B">
        <w:t>,</w:t>
      </w:r>
      <w:r w:rsidRPr="001A114B">
        <w:t xml:space="preserve"> </w:t>
      </w:r>
      <w:r w:rsidR="00C6332C" w:rsidRPr="001A114B">
        <w:t xml:space="preserve">p. </w:t>
      </w:r>
      <w:r w:rsidRPr="001A114B">
        <w:t>lxxv</w:t>
      </w:r>
      <w:r w:rsidR="00C6332C" w:rsidRPr="001A114B">
        <w:t>.</w:t>
      </w:r>
    </w:p>
  </w:footnote>
  <w:footnote w:id="22">
    <w:p w14:paraId="40782E18" w14:textId="79AC0876" w:rsidR="003B76E8" w:rsidRPr="001A114B" w:rsidRDefault="003B76E8" w:rsidP="00220704">
      <w:pPr>
        <w:spacing w:after="0" w:line="240" w:lineRule="auto"/>
        <w:rPr>
          <w:rFonts w:ascii="Calibri" w:eastAsia="Times New Roman" w:hAnsi="Calibri" w:cs="Calibri"/>
          <w:kern w:val="0"/>
          <w:sz w:val="20"/>
          <w:szCs w:val="20"/>
          <w:lang w:eastAsia="en-GB"/>
          <w14:ligatures w14:val="none"/>
        </w:rPr>
      </w:pPr>
      <w:r w:rsidRPr="001A114B">
        <w:rPr>
          <w:rStyle w:val="FootnoteReference"/>
          <w:sz w:val="20"/>
          <w:szCs w:val="20"/>
        </w:rPr>
        <w:footnoteRef/>
      </w:r>
      <w:r w:rsidRPr="001A114B">
        <w:rPr>
          <w:sz w:val="20"/>
          <w:szCs w:val="20"/>
        </w:rPr>
        <w:t xml:space="preserve"> </w:t>
      </w:r>
      <w:r w:rsidR="00FF167F">
        <w:rPr>
          <w:rFonts w:ascii="Calibri" w:eastAsia="Times New Roman" w:hAnsi="Calibri" w:cs="Calibri"/>
          <w:kern w:val="0"/>
          <w:sz w:val="20"/>
          <w:szCs w:val="20"/>
          <w:lang w:eastAsia="en-GB"/>
          <w14:ligatures w14:val="none"/>
        </w:rPr>
        <w:t>Evans</w:t>
      </w:r>
      <w:r w:rsidR="00220704" w:rsidRPr="001A114B">
        <w:rPr>
          <w:rFonts w:ascii="Calibri" w:eastAsia="Times New Roman" w:hAnsi="Calibri" w:cs="Calibri"/>
          <w:kern w:val="0"/>
          <w:sz w:val="20"/>
          <w:szCs w:val="20"/>
          <w:lang w:eastAsia="en-GB"/>
          <w14:ligatures w14:val="none"/>
        </w:rPr>
        <w:t>,</w:t>
      </w:r>
      <w:r w:rsidR="00466503">
        <w:rPr>
          <w:rFonts w:ascii="Calibri" w:eastAsia="Times New Roman" w:hAnsi="Calibri" w:cs="Calibri"/>
          <w:kern w:val="0"/>
          <w:sz w:val="20"/>
          <w:szCs w:val="20"/>
          <w:lang w:eastAsia="en-GB"/>
          <w14:ligatures w14:val="none"/>
        </w:rPr>
        <w:t xml:space="preserve"> Lynne,</w:t>
      </w:r>
      <w:r w:rsidR="00220704" w:rsidRPr="001A114B">
        <w:rPr>
          <w:rFonts w:ascii="Calibri" w:eastAsia="Times New Roman" w:hAnsi="Calibri" w:cs="Calibri"/>
          <w:kern w:val="0"/>
          <w:sz w:val="20"/>
          <w:szCs w:val="20"/>
          <w:lang w:eastAsia="en-GB"/>
          <w14:ligatures w14:val="none"/>
        </w:rPr>
        <w:t xml:space="preserve"> “‘You See, Children Were the—the Raison D’être’: The Reproductive Futurism of Charlotte Perkins Gilman’s Herland,” </w:t>
      </w:r>
      <w:r w:rsidR="00220704" w:rsidRPr="001A114B">
        <w:rPr>
          <w:rFonts w:ascii="Calibri" w:eastAsia="Times New Roman" w:hAnsi="Calibri" w:cs="Calibri"/>
          <w:i/>
          <w:iCs/>
          <w:kern w:val="0"/>
          <w:sz w:val="20"/>
          <w:szCs w:val="20"/>
          <w:lang w:eastAsia="en-GB"/>
          <w14:ligatures w14:val="none"/>
        </w:rPr>
        <w:t>Canadian Review of American Studies</w:t>
      </w:r>
      <w:r w:rsidR="00220704" w:rsidRPr="001A114B">
        <w:rPr>
          <w:rFonts w:ascii="Calibri" w:eastAsia="Times New Roman" w:hAnsi="Calibri" w:cs="Calibri"/>
          <w:kern w:val="0"/>
          <w:sz w:val="20"/>
          <w:szCs w:val="20"/>
          <w:lang w:eastAsia="en-GB"/>
          <w14:ligatures w14:val="none"/>
        </w:rPr>
        <w:t>, 44.2 (2014), 302–19 &lt;https://doi.org/10.3138/cras.2014.S10&gt;</w:t>
      </w:r>
    </w:p>
  </w:footnote>
  <w:footnote w:id="23">
    <w:p w14:paraId="5D8D2A5B" w14:textId="012E8E1E" w:rsidR="003B76E8" w:rsidRPr="001A114B" w:rsidRDefault="003B76E8" w:rsidP="001A114B">
      <w:pPr>
        <w:spacing w:after="0" w:line="240" w:lineRule="auto"/>
        <w:rPr>
          <w:rFonts w:ascii="Calibri" w:eastAsia="Times New Roman" w:hAnsi="Calibri" w:cs="Calibri"/>
          <w:kern w:val="0"/>
          <w:sz w:val="20"/>
          <w:szCs w:val="20"/>
          <w:lang w:eastAsia="en-GB"/>
          <w14:ligatures w14:val="none"/>
        </w:rPr>
      </w:pPr>
      <w:r w:rsidRPr="001A114B">
        <w:rPr>
          <w:rStyle w:val="FootnoteReference"/>
          <w:sz w:val="20"/>
          <w:szCs w:val="20"/>
        </w:rPr>
        <w:footnoteRef/>
      </w:r>
      <w:r w:rsidR="001A114B" w:rsidRPr="001A114B">
        <w:rPr>
          <w:rFonts w:ascii="Calibri" w:eastAsia="Times New Roman" w:hAnsi="Calibri" w:cs="Calibri"/>
          <w:kern w:val="0"/>
          <w:sz w:val="20"/>
          <w:szCs w:val="20"/>
          <w:lang w:eastAsia="en-GB"/>
          <w14:ligatures w14:val="none"/>
        </w:rPr>
        <w:t xml:space="preserve"> </w:t>
      </w:r>
      <w:r w:rsidR="00FF167F">
        <w:rPr>
          <w:rFonts w:ascii="Calibri" w:eastAsia="Times New Roman" w:hAnsi="Calibri" w:cs="Calibri"/>
          <w:kern w:val="0"/>
          <w:sz w:val="20"/>
          <w:szCs w:val="20"/>
          <w:lang w:eastAsia="en-GB"/>
          <w14:ligatures w14:val="none"/>
        </w:rPr>
        <w:t>Chodorow</w:t>
      </w:r>
      <w:r w:rsidR="000D2805" w:rsidRPr="001A114B">
        <w:rPr>
          <w:rFonts w:ascii="Calibri" w:eastAsia="Times New Roman" w:hAnsi="Calibri" w:cs="Calibri"/>
          <w:kern w:val="0"/>
          <w:sz w:val="20"/>
          <w:szCs w:val="20"/>
          <w:lang w:eastAsia="en-GB"/>
          <w14:ligatures w14:val="none"/>
        </w:rPr>
        <w:t>,</w:t>
      </w:r>
      <w:r w:rsidR="00466503">
        <w:rPr>
          <w:rFonts w:ascii="Calibri" w:eastAsia="Times New Roman" w:hAnsi="Calibri" w:cs="Calibri"/>
          <w:kern w:val="0"/>
          <w:sz w:val="20"/>
          <w:szCs w:val="20"/>
          <w:lang w:eastAsia="en-GB"/>
          <w14:ligatures w14:val="none"/>
        </w:rPr>
        <w:t xml:space="preserve"> Nancy J.,</w:t>
      </w:r>
      <w:r w:rsidR="000D2805" w:rsidRPr="001A114B">
        <w:rPr>
          <w:rFonts w:ascii="Calibri" w:eastAsia="Times New Roman" w:hAnsi="Calibri" w:cs="Calibri"/>
          <w:kern w:val="0"/>
          <w:sz w:val="20"/>
          <w:szCs w:val="20"/>
          <w:lang w:eastAsia="en-GB"/>
          <w14:ligatures w14:val="none"/>
        </w:rPr>
        <w:t xml:space="preserve"> </w:t>
      </w:r>
      <w:r w:rsidR="000D2805" w:rsidRPr="001A114B">
        <w:rPr>
          <w:rFonts w:ascii="Calibri" w:eastAsia="Times New Roman" w:hAnsi="Calibri" w:cs="Calibri"/>
          <w:i/>
          <w:iCs/>
          <w:kern w:val="0"/>
          <w:sz w:val="20"/>
          <w:szCs w:val="20"/>
          <w:lang w:eastAsia="en-GB"/>
          <w14:ligatures w14:val="none"/>
        </w:rPr>
        <w:t>The Reproduction of Mothering: Psychoanalysis and the Sociology of Gender</w:t>
      </w:r>
      <w:r w:rsidR="000D2805" w:rsidRPr="001A114B">
        <w:rPr>
          <w:rFonts w:ascii="Calibri" w:eastAsia="Times New Roman" w:hAnsi="Calibri" w:cs="Calibri"/>
          <w:kern w:val="0"/>
          <w:sz w:val="20"/>
          <w:szCs w:val="20"/>
          <w:lang w:eastAsia="en-GB"/>
          <w14:ligatures w14:val="none"/>
        </w:rPr>
        <w:t>, [New ed.]. (University of California Press, 1999)</w:t>
      </w:r>
      <w:r w:rsidR="001A114B" w:rsidRPr="001A114B">
        <w:rPr>
          <w:rFonts w:ascii="Calibri" w:eastAsia="Times New Roman" w:hAnsi="Calibri" w:cs="Calibri"/>
          <w:kern w:val="0"/>
          <w:sz w:val="20"/>
          <w:szCs w:val="20"/>
          <w:lang w:eastAsia="en-GB"/>
          <w14:ligatures w14:val="none"/>
        </w:rPr>
        <w:t>. P. 11.</w:t>
      </w:r>
    </w:p>
  </w:footnote>
  <w:footnote w:id="24">
    <w:p w14:paraId="0B9EC485" w14:textId="60094D65" w:rsidR="003B76E8" w:rsidRPr="001A114B" w:rsidRDefault="003B76E8" w:rsidP="003B76E8">
      <w:pPr>
        <w:pStyle w:val="FootnoteText"/>
      </w:pPr>
      <w:r w:rsidRPr="001A114B">
        <w:rPr>
          <w:rStyle w:val="FootnoteReference"/>
        </w:rPr>
        <w:footnoteRef/>
      </w:r>
      <w:r w:rsidRPr="001A114B">
        <w:t xml:space="preserve"> Robertson</w:t>
      </w:r>
      <w:r w:rsidR="00D11EE7">
        <w:t>.</w:t>
      </w:r>
    </w:p>
  </w:footnote>
  <w:footnote w:id="25">
    <w:p w14:paraId="64E5E586" w14:textId="5D3E8B31" w:rsidR="003B76E8" w:rsidRPr="001A114B" w:rsidRDefault="003B76E8" w:rsidP="003B76E8">
      <w:pPr>
        <w:pStyle w:val="FootnoteText"/>
      </w:pPr>
      <w:r w:rsidRPr="001A114B">
        <w:rPr>
          <w:rStyle w:val="FootnoteReference"/>
        </w:rPr>
        <w:footnoteRef/>
      </w:r>
      <w:r w:rsidRPr="001A114B">
        <w:t xml:space="preserve"> </w:t>
      </w:r>
      <w:r w:rsidR="00FF167F">
        <w:rPr>
          <w:rFonts w:ascii="Calibri" w:hAnsi="Calibri" w:cs="Calibri"/>
          <w:kern w:val="0"/>
          <w:lang w:val="en"/>
        </w:rPr>
        <w:t>Lathrop</w:t>
      </w:r>
      <w:r w:rsidR="00D11EE7" w:rsidRPr="00B04B76">
        <w:rPr>
          <w:rFonts w:ascii="Calibri" w:hAnsi="Calibri" w:cs="Calibri"/>
          <w:kern w:val="0"/>
          <w:lang w:val="en"/>
        </w:rPr>
        <w:t>,</w:t>
      </w:r>
      <w:r w:rsidR="00466503">
        <w:rPr>
          <w:rFonts w:ascii="Calibri" w:hAnsi="Calibri" w:cs="Calibri"/>
          <w:kern w:val="0"/>
          <w:lang w:val="en"/>
        </w:rPr>
        <w:t xml:space="preserve"> Anna,</w:t>
      </w:r>
      <w:r w:rsidR="00D11EE7" w:rsidRPr="00B04B76">
        <w:rPr>
          <w:rFonts w:ascii="Calibri" w:hAnsi="Calibri" w:cs="Calibri"/>
          <w:kern w:val="0"/>
          <w:lang w:val="en"/>
        </w:rPr>
        <w:t xml:space="preserve"> “Herland Revisited: Narratives of Motherhood, Domesticity, and Physical Emancipation in Charlotte Perkins Gilman’s Feminist Utopia,” Vitae </w:t>
      </w:r>
      <w:proofErr w:type="spellStart"/>
      <w:r w:rsidR="00D11EE7" w:rsidRPr="00B04B76">
        <w:rPr>
          <w:rFonts w:ascii="Calibri" w:hAnsi="Calibri" w:cs="Calibri"/>
          <w:kern w:val="0"/>
          <w:lang w:val="en"/>
        </w:rPr>
        <w:t>Scholasticae</w:t>
      </w:r>
      <w:proofErr w:type="spellEnd"/>
      <w:r w:rsidR="00D11EE7" w:rsidRPr="00B04B76">
        <w:rPr>
          <w:rFonts w:ascii="Calibri" w:hAnsi="Calibri" w:cs="Calibri"/>
          <w:kern w:val="0"/>
          <w:lang w:val="en"/>
        </w:rPr>
        <w:t>, 23 (2006), 47-</w:t>
      </w:r>
      <w:r w:rsidR="00D11EE7">
        <w:rPr>
          <w:rFonts w:ascii="Calibri" w:hAnsi="Calibri" w:cs="Calibri"/>
          <w:kern w:val="0"/>
          <w:lang w:val="en"/>
        </w:rPr>
        <w:t>.</w:t>
      </w:r>
    </w:p>
  </w:footnote>
  <w:footnote w:id="26">
    <w:p w14:paraId="62A34342" w14:textId="732C0CF5" w:rsidR="003B76E8" w:rsidRPr="001A114B" w:rsidRDefault="003B76E8" w:rsidP="003B76E8">
      <w:pPr>
        <w:pStyle w:val="FootnoteText"/>
      </w:pPr>
      <w:r w:rsidRPr="001A114B">
        <w:rPr>
          <w:rStyle w:val="FootnoteReference"/>
        </w:rPr>
        <w:footnoteRef/>
      </w:r>
      <w:r w:rsidRPr="001A114B">
        <w:t xml:space="preserve"> Bartkowski</w:t>
      </w:r>
      <w:r w:rsidR="00D11EE7">
        <w:t>,</w:t>
      </w:r>
      <w:r w:rsidRPr="001A114B">
        <w:t xml:space="preserve"> </w:t>
      </w:r>
      <w:r w:rsidR="00D11EE7">
        <w:t xml:space="preserve">p. </w:t>
      </w:r>
      <w:r w:rsidRPr="001A114B">
        <w:t>31</w:t>
      </w:r>
      <w:r w:rsidR="00D11EE7">
        <w:t>.</w:t>
      </w:r>
    </w:p>
  </w:footnote>
  <w:footnote w:id="27">
    <w:p w14:paraId="2C58254D" w14:textId="43BFAA00" w:rsidR="003B76E8" w:rsidRDefault="003B76E8" w:rsidP="003B76E8">
      <w:pPr>
        <w:pStyle w:val="FootnoteText"/>
      </w:pPr>
      <w:r w:rsidRPr="001A114B">
        <w:rPr>
          <w:rStyle w:val="FootnoteReference"/>
        </w:rPr>
        <w:footnoteRef/>
      </w:r>
      <w:r w:rsidRPr="001A114B">
        <w:t xml:space="preserve"> Robertson</w:t>
      </w:r>
      <w:r w:rsidR="00D11EE7">
        <w:t>.</w:t>
      </w:r>
    </w:p>
  </w:footnote>
  <w:footnote w:id="28">
    <w:p w14:paraId="4C9BCB25" w14:textId="74545A26" w:rsidR="003B76E8" w:rsidRDefault="003B76E8" w:rsidP="003B76E8">
      <w:pPr>
        <w:pStyle w:val="FootnoteText"/>
      </w:pPr>
      <w:r>
        <w:rPr>
          <w:rStyle w:val="FootnoteReference"/>
        </w:rPr>
        <w:footnoteRef/>
      </w:r>
      <w:r>
        <w:t xml:space="preserve"> </w:t>
      </w:r>
      <w:r w:rsidR="00D11EE7">
        <w:t xml:space="preserve">Gilman, </w:t>
      </w:r>
      <w:r w:rsidR="00D11EE7">
        <w:rPr>
          <w:i/>
          <w:iCs/>
        </w:rPr>
        <w:t>Herland,</w:t>
      </w:r>
      <w:r>
        <w:t xml:space="preserve"> </w:t>
      </w:r>
      <w:r w:rsidR="00075BDE">
        <w:t>C</w:t>
      </w:r>
      <w:r>
        <w:t>h</w:t>
      </w:r>
      <w:r w:rsidR="00075BDE">
        <w:t>.</w:t>
      </w:r>
      <w:r>
        <w:t xml:space="preserve"> 1</w:t>
      </w:r>
      <w:r w:rsidR="00075BDE">
        <w:t>.</w:t>
      </w:r>
    </w:p>
  </w:footnote>
  <w:footnote w:id="29">
    <w:p w14:paraId="01D5A074" w14:textId="216FDF29" w:rsidR="001C42E5" w:rsidRPr="001C42E5" w:rsidRDefault="003B76E8" w:rsidP="001C42E5">
      <w:pPr>
        <w:autoSpaceDE w:val="0"/>
        <w:autoSpaceDN w:val="0"/>
        <w:adjustRightInd w:val="0"/>
        <w:spacing w:after="0"/>
        <w:rPr>
          <w:rFonts w:ascii="Calibri" w:hAnsi="Calibri" w:cs="Calibri"/>
          <w:kern w:val="0"/>
          <w:sz w:val="20"/>
          <w:szCs w:val="20"/>
          <w:lang w:val="en"/>
        </w:rPr>
      </w:pPr>
      <w:r w:rsidRPr="001C42E5">
        <w:rPr>
          <w:rStyle w:val="FootnoteReference"/>
          <w:sz w:val="22"/>
          <w:szCs w:val="22"/>
        </w:rPr>
        <w:footnoteRef/>
      </w:r>
      <w:r w:rsidRPr="001C42E5">
        <w:rPr>
          <w:sz w:val="22"/>
          <w:szCs w:val="22"/>
        </w:rPr>
        <w:t xml:space="preserve"> </w:t>
      </w:r>
      <w:r w:rsidR="00FF167F">
        <w:rPr>
          <w:rFonts w:ascii="Calibri" w:hAnsi="Calibri" w:cs="Calibri"/>
          <w:kern w:val="0"/>
          <w:sz w:val="20"/>
          <w:szCs w:val="20"/>
          <w:lang w:val="en"/>
        </w:rPr>
        <w:t>Chang,</w:t>
      </w:r>
      <w:r w:rsidR="00466503">
        <w:rPr>
          <w:rFonts w:ascii="Calibri" w:hAnsi="Calibri" w:cs="Calibri"/>
          <w:kern w:val="0"/>
          <w:sz w:val="20"/>
          <w:szCs w:val="20"/>
          <w:lang w:val="en"/>
        </w:rPr>
        <w:t xml:space="preserve"> L.W.,</w:t>
      </w:r>
      <w:r w:rsidR="001C42E5" w:rsidRPr="00B04B76">
        <w:rPr>
          <w:rFonts w:ascii="Calibri" w:hAnsi="Calibri" w:cs="Calibri"/>
          <w:kern w:val="0"/>
          <w:sz w:val="20"/>
          <w:szCs w:val="20"/>
          <w:lang w:val="en"/>
        </w:rPr>
        <w:t xml:space="preserve"> </w:t>
      </w:r>
      <w:r w:rsidR="0061403B">
        <w:rPr>
          <w:rFonts w:ascii="Calibri" w:hAnsi="Calibri" w:cs="Calibri"/>
          <w:kern w:val="0"/>
          <w:sz w:val="20"/>
          <w:szCs w:val="20"/>
          <w:lang w:val="en"/>
        </w:rPr>
        <w:t>‘</w:t>
      </w:r>
      <w:r w:rsidR="001C42E5" w:rsidRPr="00B04B76">
        <w:rPr>
          <w:rFonts w:ascii="Calibri" w:hAnsi="Calibri" w:cs="Calibri"/>
          <w:kern w:val="0"/>
          <w:sz w:val="20"/>
          <w:szCs w:val="20"/>
          <w:lang w:val="en"/>
        </w:rPr>
        <w:t>Economics, Evolution, and Feminism in Charlotte Perkins Gilman’s Utopian Fiction</w:t>
      </w:r>
      <w:r w:rsidR="0061403B">
        <w:rPr>
          <w:rFonts w:ascii="Calibri" w:hAnsi="Calibri" w:cs="Calibri"/>
          <w:kern w:val="0"/>
          <w:sz w:val="20"/>
          <w:szCs w:val="20"/>
          <w:lang w:val="en"/>
        </w:rPr>
        <w:t>’</w:t>
      </w:r>
      <w:r w:rsidR="001C42E5" w:rsidRPr="00B04B76">
        <w:rPr>
          <w:rFonts w:ascii="Calibri" w:hAnsi="Calibri" w:cs="Calibri"/>
          <w:kern w:val="0"/>
          <w:sz w:val="20"/>
          <w:szCs w:val="20"/>
          <w:lang w:val="en"/>
        </w:rPr>
        <w:t xml:space="preserve"> </w:t>
      </w:r>
      <w:r w:rsidR="001C42E5" w:rsidRPr="0061403B">
        <w:rPr>
          <w:rFonts w:ascii="Calibri" w:hAnsi="Calibri" w:cs="Calibri"/>
          <w:i/>
          <w:iCs/>
          <w:kern w:val="0"/>
          <w:sz w:val="20"/>
          <w:szCs w:val="20"/>
          <w:lang w:val="en"/>
        </w:rPr>
        <w:t>Women’s Studies</w:t>
      </w:r>
      <w:r w:rsidR="001C42E5" w:rsidRPr="00B04B76">
        <w:rPr>
          <w:rFonts w:ascii="Calibri" w:hAnsi="Calibri" w:cs="Calibri"/>
          <w:kern w:val="0"/>
          <w:sz w:val="20"/>
          <w:szCs w:val="20"/>
          <w:lang w:val="en"/>
        </w:rPr>
        <w:t xml:space="preserve">, 39(4), 319–348. </w:t>
      </w:r>
      <w:r w:rsidR="0061403B">
        <w:rPr>
          <w:rFonts w:ascii="Calibri" w:hAnsi="Calibri" w:cs="Calibri"/>
          <w:kern w:val="0"/>
          <w:sz w:val="20"/>
          <w:szCs w:val="20"/>
          <w:lang w:val="en"/>
        </w:rPr>
        <w:t xml:space="preserve">(2010) </w:t>
      </w:r>
      <w:r w:rsidR="001C42E5">
        <w:rPr>
          <w:rFonts w:ascii="Calibri" w:hAnsi="Calibri" w:cs="Calibri"/>
          <w:kern w:val="0"/>
          <w:sz w:val="20"/>
          <w:szCs w:val="20"/>
          <w:lang w:val="en"/>
        </w:rPr>
        <w:t>&lt;</w:t>
      </w:r>
      <w:r w:rsidR="001C42E5" w:rsidRPr="001C42E5">
        <w:rPr>
          <w:rFonts w:ascii="Calibri" w:hAnsi="Calibri" w:cs="Calibri"/>
          <w:kern w:val="0"/>
          <w:sz w:val="20"/>
          <w:szCs w:val="20"/>
          <w:lang w:val="en"/>
        </w:rPr>
        <w:t>https://doi.org/10.1080/00497871003661711</w:t>
      </w:r>
      <w:r w:rsidR="001C42E5">
        <w:rPr>
          <w:rFonts w:ascii="Calibri" w:hAnsi="Calibri" w:cs="Calibri"/>
          <w:kern w:val="0"/>
          <w:sz w:val="20"/>
          <w:szCs w:val="20"/>
          <w:lang w:val="en"/>
        </w:rPr>
        <w:t>&gt;</w:t>
      </w:r>
    </w:p>
  </w:footnote>
  <w:footnote w:id="30">
    <w:p w14:paraId="635FC96E" w14:textId="3A34E367" w:rsidR="002A7D6C" w:rsidRDefault="002A7D6C">
      <w:pPr>
        <w:pStyle w:val="FootnoteText"/>
      </w:pPr>
      <w:r>
        <w:rPr>
          <w:rStyle w:val="FootnoteReference"/>
        </w:rPr>
        <w:footnoteRef/>
      </w:r>
      <w:r>
        <w:t xml:space="preserve"> Robertson.</w:t>
      </w:r>
    </w:p>
  </w:footnote>
  <w:footnote w:id="31">
    <w:p w14:paraId="4E00D84A" w14:textId="55F89B61" w:rsidR="003B76E8" w:rsidRDefault="003B76E8" w:rsidP="003B76E8">
      <w:pPr>
        <w:pStyle w:val="FootnoteText"/>
      </w:pPr>
      <w:r>
        <w:rPr>
          <w:rStyle w:val="FootnoteReference"/>
        </w:rPr>
        <w:footnoteRef/>
      </w:r>
      <w:r>
        <w:t xml:space="preserve"> </w:t>
      </w:r>
      <w:r w:rsidR="001C42E5">
        <w:t xml:space="preserve">Gilman, </w:t>
      </w:r>
      <w:r w:rsidR="001C42E5">
        <w:rPr>
          <w:i/>
          <w:iCs/>
        </w:rPr>
        <w:t>Herland,</w:t>
      </w:r>
      <w:r w:rsidR="001C42E5">
        <w:t xml:space="preserve"> Ch. 4.</w:t>
      </w:r>
    </w:p>
  </w:footnote>
  <w:footnote w:id="32">
    <w:p w14:paraId="25618F40" w14:textId="6A8EF477" w:rsidR="00682F00" w:rsidRPr="00682F00" w:rsidRDefault="00682F00">
      <w:pPr>
        <w:pStyle w:val="FootnoteText"/>
      </w:pPr>
      <w:r>
        <w:rPr>
          <w:rStyle w:val="FootnoteReference"/>
        </w:rPr>
        <w:footnoteRef/>
      </w:r>
      <w:r>
        <w:t xml:space="preserve"> Gilman, </w:t>
      </w:r>
      <w:r>
        <w:rPr>
          <w:i/>
          <w:iCs/>
        </w:rPr>
        <w:t xml:space="preserve">Herland, </w:t>
      </w:r>
      <w:r>
        <w:t>Ch. 7.</w:t>
      </w:r>
    </w:p>
  </w:footnote>
  <w:footnote w:id="33">
    <w:p w14:paraId="240ADD0B" w14:textId="3EEB9727" w:rsidR="00054C99" w:rsidRDefault="00054C99">
      <w:pPr>
        <w:pStyle w:val="FootnoteText"/>
      </w:pPr>
      <w:r>
        <w:rPr>
          <w:rStyle w:val="FootnoteReference"/>
        </w:rPr>
        <w:footnoteRef/>
      </w:r>
      <w:r>
        <w:t xml:space="preserve"> Robertson.</w:t>
      </w:r>
    </w:p>
  </w:footnote>
  <w:footnote w:id="34">
    <w:p w14:paraId="11767982" w14:textId="1194539D" w:rsidR="003B76E8" w:rsidRPr="00C40135" w:rsidRDefault="003B76E8" w:rsidP="00C40135">
      <w:pPr>
        <w:spacing w:after="0" w:line="240" w:lineRule="auto"/>
        <w:rPr>
          <w:rFonts w:ascii="Calibri" w:eastAsia="Times New Roman" w:hAnsi="Calibri" w:cs="Calibri"/>
          <w:kern w:val="0"/>
          <w:sz w:val="20"/>
          <w:szCs w:val="20"/>
          <w:lang w:eastAsia="en-GB"/>
          <w14:ligatures w14:val="none"/>
        </w:rPr>
      </w:pPr>
      <w:r w:rsidRPr="00C40135">
        <w:rPr>
          <w:rStyle w:val="FootnoteReference"/>
          <w:sz w:val="22"/>
          <w:szCs w:val="22"/>
        </w:rPr>
        <w:footnoteRef/>
      </w:r>
      <w:r>
        <w:t xml:space="preserve"> </w:t>
      </w:r>
      <w:bookmarkStart w:id="2" w:name="_Hlk165116035"/>
      <w:r w:rsidR="00466503" w:rsidRPr="00466503">
        <w:rPr>
          <w:sz w:val="20"/>
          <w:szCs w:val="20"/>
        </w:rPr>
        <w:t xml:space="preserve">Privett, </w:t>
      </w:r>
      <w:r w:rsidR="00C40135" w:rsidRPr="00B04B76">
        <w:rPr>
          <w:rFonts w:ascii="Calibri" w:eastAsia="Times New Roman" w:hAnsi="Calibri" w:cs="Calibri"/>
          <w:kern w:val="0"/>
          <w:sz w:val="20"/>
          <w:szCs w:val="20"/>
          <w:lang w:eastAsia="en-GB"/>
          <w14:ligatures w14:val="none"/>
        </w:rPr>
        <w:t xml:space="preserve">Katharyn, “Dystopic Bodies and Enslaved Motherhood,” </w:t>
      </w:r>
      <w:r w:rsidR="00C40135" w:rsidRPr="00B04B76">
        <w:rPr>
          <w:rFonts w:ascii="Calibri" w:eastAsia="Times New Roman" w:hAnsi="Calibri" w:cs="Calibri"/>
          <w:i/>
          <w:iCs/>
          <w:kern w:val="0"/>
          <w:sz w:val="20"/>
          <w:szCs w:val="20"/>
          <w:lang w:eastAsia="en-GB"/>
          <w14:ligatures w14:val="none"/>
        </w:rPr>
        <w:t>Women (Oxford, England)</w:t>
      </w:r>
      <w:r w:rsidR="00C40135" w:rsidRPr="00B04B76">
        <w:rPr>
          <w:rFonts w:ascii="Calibri" w:eastAsia="Times New Roman" w:hAnsi="Calibri" w:cs="Calibri"/>
          <w:kern w:val="0"/>
          <w:sz w:val="20"/>
          <w:szCs w:val="20"/>
          <w:lang w:eastAsia="en-GB"/>
          <w14:ligatures w14:val="none"/>
        </w:rPr>
        <w:t>, 18.3 (2007), 257–81</w:t>
      </w:r>
      <w:r w:rsidR="00CE2FBE">
        <w:rPr>
          <w:rFonts w:ascii="Calibri" w:eastAsia="Times New Roman" w:hAnsi="Calibri" w:cs="Calibri"/>
          <w:kern w:val="0"/>
          <w:sz w:val="20"/>
          <w:szCs w:val="20"/>
          <w:lang w:eastAsia="en-GB"/>
          <w14:ligatures w14:val="none"/>
        </w:rPr>
        <w:t>,</w:t>
      </w:r>
      <w:r w:rsidR="00C40135" w:rsidRPr="00B04B76">
        <w:rPr>
          <w:rFonts w:ascii="Calibri" w:eastAsia="Times New Roman" w:hAnsi="Calibri" w:cs="Calibri"/>
          <w:kern w:val="0"/>
          <w:sz w:val="20"/>
          <w:szCs w:val="20"/>
          <w:lang w:eastAsia="en-GB"/>
          <w14:ligatures w14:val="none"/>
        </w:rPr>
        <w:t xml:space="preserve"> &lt;</w:t>
      </w:r>
      <w:r w:rsidR="00C40135">
        <w:rPr>
          <w:rFonts w:ascii="Calibri" w:eastAsia="Times New Roman" w:hAnsi="Calibri" w:cs="Calibri"/>
          <w:kern w:val="0"/>
          <w:sz w:val="20"/>
          <w:szCs w:val="20"/>
          <w:lang w:eastAsia="en-GB"/>
          <w14:ligatures w14:val="none"/>
        </w:rPr>
        <w:t>h</w:t>
      </w:r>
      <w:r w:rsidR="00C40135" w:rsidRPr="00B04B76">
        <w:rPr>
          <w:rFonts w:ascii="Calibri" w:eastAsia="Times New Roman" w:hAnsi="Calibri" w:cs="Calibri"/>
          <w:kern w:val="0"/>
          <w:sz w:val="20"/>
          <w:szCs w:val="20"/>
          <w:lang w:eastAsia="en-GB"/>
          <w14:ligatures w14:val="none"/>
        </w:rPr>
        <w:t>ttps://doi.org/10.1080/09574040701612403&gt;</w:t>
      </w:r>
      <w:bookmarkEnd w:id="2"/>
    </w:p>
  </w:footnote>
  <w:footnote w:id="35">
    <w:p w14:paraId="0089473B" w14:textId="276E1433" w:rsidR="00B53DAA" w:rsidRDefault="00B53DAA">
      <w:pPr>
        <w:pStyle w:val="FootnoteText"/>
      </w:pPr>
      <w:r>
        <w:rPr>
          <w:rStyle w:val="FootnoteReference"/>
        </w:rPr>
        <w:footnoteRef/>
      </w:r>
      <w:r>
        <w:t xml:space="preserve"> </w:t>
      </w:r>
      <w:r w:rsidR="002F5CBC">
        <w:t>Piercy</w:t>
      </w:r>
      <w:r w:rsidR="00D11BE3">
        <w:t xml:space="preserve">, </w:t>
      </w:r>
      <w:r w:rsidR="00D11BE3">
        <w:rPr>
          <w:i/>
          <w:iCs/>
        </w:rPr>
        <w:t>Woman on the Edge of Time,</w:t>
      </w:r>
      <w:r w:rsidR="002F5CBC">
        <w:t xml:space="preserve"> p.114</w:t>
      </w:r>
      <w:r w:rsidR="00D11BE3">
        <w:t>.</w:t>
      </w:r>
    </w:p>
  </w:footnote>
  <w:footnote w:id="36">
    <w:p w14:paraId="633A39B8" w14:textId="02586124" w:rsidR="00CE772A" w:rsidRDefault="00CE772A">
      <w:pPr>
        <w:pStyle w:val="FootnoteText"/>
      </w:pPr>
      <w:r>
        <w:rPr>
          <w:rStyle w:val="FootnoteReference"/>
        </w:rPr>
        <w:footnoteRef/>
      </w:r>
      <w:r>
        <w:t xml:space="preserve"> Evans</w:t>
      </w:r>
      <w:r w:rsidR="00466503">
        <w:t>.</w:t>
      </w:r>
    </w:p>
  </w:footnote>
  <w:footnote w:id="37">
    <w:p w14:paraId="092035EA" w14:textId="74E32CE3" w:rsidR="003B76E8" w:rsidRDefault="003B76E8" w:rsidP="003B76E8">
      <w:pPr>
        <w:pStyle w:val="FootnoteText"/>
      </w:pPr>
      <w:r>
        <w:rPr>
          <w:rStyle w:val="FootnoteReference"/>
        </w:rPr>
        <w:footnoteRef/>
      </w:r>
      <w:r>
        <w:t xml:space="preserve"> </w:t>
      </w:r>
      <w:r w:rsidR="00CE2FBE">
        <w:rPr>
          <w:shd w:val="clear" w:color="auto" w:fill="FFFFFF"/>
        </w:rPr>
        <w:t>Rourke</w:t>
      </w:r>
      <w:r w:rsidR="008B7590" w:rsidRPr="008B7590">
        <w:rPr>
          <w:shd w:val="clear" w:color="auto" w:fill="FFFFFF"/>
        </w:rPr>
        <w:t>,</w:t>
      </w:r>
      <w:r w:rsidR="00466503">
        <w:rPr>
          <w:shd w:val="clear" w:color="auto" w:fill="FFFFFF"/>
        </w:rPr>
        <w:t xml:space="preserve"> James O’,</w:t>
      </w:r>
      <w:r w:rsidR="008B7590" w:rsidRPr="008B7590">
        <w:rPr>
          <w:shd w:val="clear" w:color="auto" w:fill="FFFFFF"/>
        </w:rPr>
        <w:t xml:space="preserve"> ‘The 1831 Introduction and Revisions to “Frankenstein”: Mary Shelley Dictates Her Legacy’, </w:t>
      </w:r>
      <w:r w:rsidR="008B7590" w:rsidRPr="008B7590">
        <w:rPr>
          <w:i/>
          <w:iCs/>
          <w:shd w:val="clear" w:color="auto" w:fill="FFFFFF"/>
        </w:rPr>
        <w:t>Studies in Romanticism</w:t>
      </w:r>
      <w:r w:rsidR="008B7590" w:rsidRPr="008B7590">
        <w:rPr>
          <w:shd w:val="clear" w:color="auto" w:fill="FFFFFF"/>
        </w:rPr>
        <w:t>, 38.3 (1999), 365–85</w:t>
      </w:r>
      <w:r w:rsidR="00AD14B4">
        <w:rPr>
          <w:shd w:val="clear" w:color="auto" w:fill="FFFFFF"/>
        </w:rPr>
        <w:t>.</w:t>
      </w:r>
    </w:p>
  </w:footnote>
  <w:footnote w:id="38">
    <w:p w14:paraId="33C102A3" w14:textId="17709B59" w:rsidR="003B76E8" w:rsidRDefault="003B76E8" w:rsidP="003B76E8">
      <w:pPr>
        <w:pStyle w:val="FootnoteText"/>
      </w:pPr>
      <w:r>
        <w:rPr>
          <w:rStyle w:val="FootnoteReference"/>
        </w:rPr>
        <w:footnoteRef/>
      </w:r>
      <w:r>
        <w:t xml:space="preserve"> Baruch</w:t>
      </w:r>
      <w:r w:rsidR="005E5650">
        <w:t>, p. 1</w:t>
      </w:r>
      <w:r w:rsidR="00740677">
        <w:t>83.</w:t>
      </w:r>
    </w:p>
  </w:footnote>
  <w:footnote w:id="39">
    <w:p w14:paraId="0E8EFCA3" w14:textId="1D2C8093" w:rsidR="003B76E8" w:rsidRPr="009628C7" w:rsidRDefault="003B76E8" w:rsidP="009628C7">
      <w:pPr>
        <w:spacing w:after="0" w:line="240" w:lineRule="auto"/>
        <w:rPr>
          <w:rFonts w:ascii="Calibri" w:eastAsia="Times New Roman" w:hAnsi="Calibri" w:cs="Calibri"/>
          <w:kern w:val="0"/>
          <w:sz w:val="20"/>
          <w:szCs w:val="20"/>
          <w:lang w:eastAsia="en-GB"/>
          <w14:ligatures w14:val="none"/>
        </w:rPr>
      </w:pPr>
      <w:r w:rsidRPr="009628C7">
        <w:rPr>
          <w:rStyle w:val="FootnoteReference"/>
          <w:rFonts w:ascii="Calibri" w:hAnsi="Calibri" w:cs="Calibri"/>
          <w:sz w:val="20"/>
          <w:szCs w:val="20"/>
        </w:rPr>
        <w:footnoteRef/>
      </w:r>
      <w:r w:rsidRPr="009628C7">
        <w:rPr>
          <w:rFonts w:ascii="Calibri" w:hAnsi="Calibri" w:cs="Calibri"/>
          <w:sz w:val="20"/>
          <w:szCs w:val="20"/>
        </w:rPr>
        <w:t xml:space="preserve"> </w:t>
      </w:r>
      <w:r w:rsidR="009628C7" w:rsidRPr="009628C7">
        <w:rPr>
          <w:rFonts w:ascii="Calibri" w:eastAsia="Times New Roman" w:hAnsi="Calibri" w:cs="Calibri"/>
          <w:kern w:val="0"/>
          <w:sz w:val="20"/>
          <w:szCs w:val="20"/>
          <w:lang w:eastAsia="en-GB"/>
          <w14:ligatures w14:val="none"/>
        </w:rPr>
        <w:t xml:space="preserve">Cixous, Hélène, Keith Cohen, and Paula Cohen, ‘The Laugh of the Medusa’, </w:t>
      </w:r>
      <w:r w:rsidR="009628C7" w:rsidRPr="009628C7">
        <w:rPr>
          <w:rFonts w:ascii="Calibri" w:eastAsia="Times New Roman" w:hAnsi="Calibri" w:cs="Calibri"/>
          <w:i/>
          <w:iCs/>
          <w:kern w:val="0"/>
          <w:sz w:val="20"/>
          <w:szCs w:val="20"/>
          <w:lang w:eastAsia="en-GB"/>
          <w14:ligatures w14:val="none"/>
        </w:rPr>
        <w:t>Signs: Journal of Women in Culture and Society</w:t>
      </w:r>
      <w:r w:rsidR="009628C7" w:rsidRPr="009628C7">
        <w:rPr>
          <w:rFonts w:ascii="Calibri" w:eastAsia="Times New Roman" w:hAnsi="Calibri" w:cs="Calibri"/>
          <w:kern w:val="0"/>
          <w:sz w:val="20"/>
          <w:szCs w:val="20"/>
          <w:lang w:eastAsia="en-GB"/>
          <w14:ligatures w14:val="none"/>
        </w:rPr>
        <w:t>, 1.4 (1976), 875–93 &lt;https://doi.org/10.1086/493306&gt;</w:t>
      </w:r>
    </w:p>
  </w:footnote>
  <w:footnote w:id="40">
    <w:p w14:paraId="1E7EAF64" w14:textId="531DC70C" w:rsidR="003B76E8" w:rsidRPr="00C77A9A" w:rsidRDefault="003B76E8" w:rsidP="00C77A9A">
      <w:pPr>
        <w:spacing w:after="0" w:line="240" w:lineRule="auto"/>
        <w:rPr>
          <w:rFonts w:ascii="Times New Roman" w:eastAsia="Times New Roman" w:hAnsi="Times New Roman" w:cs="Times New Roman"/>
          <w:kern w:val="0"/>
          <w:lang w:eastAsia="en-GB"/>
          <w14:ligatures w14:val="none"/>
        </w:rPr>
      </w:pPr>
      <w:r w:rsidRPr="00C77A9A">
        <w:rPr>
          <w:rStyle w:val="FootnoteReference"/>
          <w:rFonts w:ascii="Calibri" w:hAnsi="Calibri" w:cs="Calibri"/>
          <w:sz w:val="20"/>
          <w:szCs w:val="20"/>
        </w:rPr>
        <w:footnoteRef/>
      </w:r>
      <w:r w:rsidRPr="00C77A9A">
        <w:rPr>
          <w:rFonts w:ascii="Calibri" w:hAnsi="Calibri" w:cs="Calibri"/>
          <w:sz w:val="20"/>
          <w:szCs w:val="20"/>
        </w:rPr>
        <w:t xml:space="preserve"> </w:t>
      </w:r>
      <w:r w:rsidR="00C77A9A" w:rsidRPr="00C77A9A">
        <w:rPr>
          <w:rFonts w:ascii="Calibri" w:eastAsia="Times New Roman" w:hAnsi="Calibri" w:cs="Calibri"/>
          <w:kern w:val="0"/>
          <w:sz w:val="20"/>
          <w:szCs w:val="20"/>
          <w:lang w:eastAsia="en-GB"/>
          <w14:ligatures w14:val="none"/>
        </w:rPr>
        <w:t xml:space="preserve">Canters, Hanneke, and Grace Jantzen, ‘Forever </w:t>
      </w:r>
      <w:proofErr w:type="gramStart"/>
      <w:r w:rsidR="00C77A9A" w:rsidRPr="00C77A9A">
        <w:rPr>
          <w:rFonts w:ascii="Calibri" w:eastAsia="Times New Roman" w:hAnsi="Calibri" w:cs="Calibri"/>
          <w:kern w:val="0"/>
          <w:sz w:val="20"/>
          <w:szCs w:val="20"/>
          <w:lang w:eastAsia="en-GB"/>
          <w14:ligatures w14:val="none"/>
        </w:rPr>
        <w:t>Fluid :</w:t>
      </w:r>
      <w:proofErr w:type="gramEnd"/>
      <w:r w:rsidR="00C77A9A" w:rsidRPr="00C77A9A">
        <w:rPr>
          <w:rFonts w:ascii="Calibri" w:eastAsia="Times New Roman" w:hAnsi="Calibri" w:cs="Calibri"/>
          <w:kern w:val="0"/>
          <w:sz w:val="20"/>
          <w:szCs w:val="20"/>
          <w:lang w:eastAsia="en-GB"/>
          <w14:ligatures w14:val="none"/>
        </w:rPr>
        <w:t xml:space="preserve"> A Reading of Luce Irigaray’s Elemental Passions’, in </w:t>
      </w:r>
      <w:r w:rsidR="00C77A9A" w:rsidRPr="00C77A9A">
        <w:rPr>
          <w:rFonts w:ascii="Calibri" w:eastAsia="Times New Roman" w:hAnsi="Calibri" w:cs="Calibri"/>
          <w:i/>
          <w:iCs/>
          <w:kern w:val="0"/>
          <w:sz w:val="20"/>
          <w:szCs w:val="20"/>
          <w:lang w:eastAsia="en-GB"/>
          <w14:ligatures w14:val="none"/>
        </w:rPr>
        <w:t>Forever Fluid : A Reading of Luce Irigaray’s Elemental Passions</w:t>
      </w:r>
      <w:r w:rsidR="00C77A9A" w:rsidRPr="00C77A9A">
        <w:rPr>
          <w:rFonts w:ascii="Calibri" w:eastAsia="Times New Roman" w:hAnsi="Calibri" w:cs="Calibri"/>
          <w:kern w:val="0"/>
          <w:sz w:val="20"/>
          <w:szCs w:val="20"/>
          <w:lang w:eastAsia="en-GB"/>
          <w14:ligatures w14:val="none"/>
        </w:rPr>
        <w:t xml:space="preserve"> (Manchester, UK: Manchester University</w:t>
      </w:r>
      <w:r w:rsidR="00C77A9A" w:rsidRPr="00C77A9A">
        <w:rPr>
          <w:rFonts w:ascii="Times New Roman" w:eastAsia="Times New Roman" w:hAnsi="Times New Roman" w:cs="Times New Roman"/>
          <w:kern w:val="0"/>
          <w:sz w:val="20"/>
          <w:szCs w:val="20"/>
          <w:lang w:eastAsia="en-GB"/>
          <w14:ligatures w14:val="none"/>
        </w:rPr>
        <w:t xml:space="preserve"> </w:t>
      </w:r>
      <w:r w:rsidR="00C77A9A" w:rsidRPr="00C77A9A">
        <w:rPr>
          <w:rFonts w:eastAsia="Times New Roman" w:cstheme="minorHAnsi"/>
          <w:kern w:val="0"/>
          <w:sz w:val="20"/>
          <w:szCs w:val="20"/>
          <w:lang w:eastAsia="en-GB"/>
          <w14:ligatures w14:val="none"/>
        </w:rPr>
        <w:t>Press, 2018) &lt;https://doi.org/10.7765/9781526129734&gt;</w:t>
      </w:r>
    </w:p>
  </w:footnote>
  <w:footnote w:id="41">
    <w:p w14:paraId="7D1B4F50" w14:textId="386A0162" w:rsidR="003B76E8" w:rsidRDefault="003B76E8" w:rsidP="003B76E8">
      <w:pPr>
        <w:pStyle w:val="FootnoteText"/>
      </w:pPr>
      <w:r>
        <w:rPr>
          <w:rStyle w:val="FootnoteReference"/>
        </w:rPr>
        <w:footnoteRef/>
      </w:r>
      <w:r>
        <w:t xml:space="preserve"> Privett</w:t>
      </w:r>
      <w:r w:rsidR="00C77A9A">
        <w:t>.</w:t>
      </w:r>
    </w:p>
  </w:footnote>
  <w:footnote w:id="42">
    <w:p w14:paraId="1BBEB4EA" w14:textId="55C3E744" w:rsidR="003B76E8" w:rsidRDefault="003B76E8" w:rsidP="003B76E8">
      <w:pPr>
        <w:pStyle w:val="FootnoteText"/>
      </w:pPr>
      <w:r>
        <w:rPr>
          <w:rStyle w:val="FootnoteReference"/>
        </w:rPr>
        <w:footnoteRef/>
      </w:r>
      <w:r>
        <w:t xml:space="preserve"> Lathrop</w:t>
      </w:r>
      <w:r w:rsidR="00C77A9A">
        <w:t>.</w:t>
      </w:r>
    </w:p>
  </w:footnote>
  <w:footnote w:id="43">
    <w:p w14:paraId="7E2F2A6E" w14:textId="4C7433A4" w:rsidR="003B76E8" w:rsidRPr="003C3431" w:rsidRDefault="003B76E8" w:rsidP="003B76E8">
      <w:pPr>
        <w:pStyle w:val="FootnoteText"/>
      </w:pPr>
      <w:r>
        <w:rPr>
          <w:rStyle w:val="FootnoteReference"/>
        </w:rPr>
        <w:footnoteRef/>
      </w:r>
      <w:r>
        <w:t xml:space="preserve"> </w:t>
      </w:r>
      <w:r w:rsidR="003C3431">
        <w:t xml:space="preserve">Gilman, </w:t>
      </w:r>
      <w:r w:rsidR="003C3431">
        <w:rPr>
          <w:i/>
          <w:iCs/>
        </w:rPr>
        <w:t xml:space="preserve">Herland, </w:t>
      </w:r>
      <w:r w:rsidR="003C3431">
        <w:t xml:space="preserve">Ch. </w:t>
      </w:r>
      <w:r w:rsidR="00B85D51">
        <w:t>2</w:t>
      </w:r>
      <w:r w:rsidR="003C3431">
        <w:t>.</w:t>
      </w:r>
    </w:p>
  </w:footnote>
  <w:footnote w:id="44">
    <w:p w14:paraId="727BAB5A" w14:textId="62E73A56" w:rsidR="003B76E8" w:rsidRPr="000748ED" w:rsidRDefault="003B76E8" w:rsidP="003B76E8">
      <w:pPr>
        <w:pStyle w:val="FootnoteText"/>
      </w:pPr>
      <w:r>
        <w:rPr>
          <w:rStyle w:val="FootnoteReference"/>
        </w:rPr>
        <w:footnoteRef/>
      </w:r>
      <w:r>
        <w:t xml:space="preserve"> </w:t>
      </w:r>
      <w:r w:rsidR="000748ED">
        <w:t xml:space="preserve">Gilman, </w:t>
      </w:r>
      <w:r w:rsidR="000748ED">
        <w:rPr>
          <w:i/>
          <w:iCs/>
        </w:rPr>
        <w:t xml:space="preserve">Herland, </w:t>
      </w:r>
      <w:r w:rsidR="000748ED">
        <w:t>Ch. 6.</w:t>
      </w:r>
    </w:p>
  </w:footnote>
  <w:footnote w:id="45">
    <w:p w14:paraId="0D69A365" w14:textId="0760CC91" w:rsidR="003B76E8" w:rsidRPr="0036187B" w:rsidRDefault="003B76E8" w:rsidP="003B76E8">
      <w:pPr>
        <w:pStyle w:val="FootnoteText"/>
        <w:rPr>
          <w:i/>
          <w:iCs/>
        </w:rPr>
      </w:pPr>
      <w:r>
        <w:rPr>
          <w:rStyle w:val="FootnoteReference"/>
        </w:rPr>
        <w:footnoteRef/>
      </w:r>
      <w:r>
        <w:t xml:space="preserve"> </w:t>
      </w:r>
      <w:r w:rsidR="0036187B">
        <w:t xml:space="preserve">Gilman, </w:t>
      </w:r>
      <w:r w:rsidR="0036187B">
        <w:rPr>
          <w:i/>
          <w:iCs/>
        </w:rPr>
        <w:t>Women and Economics.</w:t>
      </w:r>
    </w:p>
  </w:footnote>
  <w:footnote w:id="46">
    <w:p w14:paraId="3AACB680" w14:textId="67C26F7D" w:rsidR="00F22A98" w:rsidRPr="00F22A98" w:rsidRDefault="003B76E8" w:rsidP="00F22A98">
      <w:pPr>
        <w:spacing w:after="0" w:line="240" w:lineRule="auto"/>
        <w:rPr>
          <w:rFonts w:ascii="Calibri" w:eastAsia="Times New Roman" w:hAnsi="Calibri" w:cs="Calibri"/>
          <w:kern w:val="0"/>
          <w:sz w:val="20"/>
          <w:szCs w:val="20"/>
          <w:lang w:eastAsia="en-GB"/>
          <w14:ligatures w14:val="none"/>
        </w:rPr>
      </w:pPr>
      <w:r w:rsidRPr="00F22A98">
        <w:rPr>
          <w:rStyle w:val="FootnoteReference"/>
          <w:rFonts w:ascii="Calibri" w:hAnsi="Calibri" w:cs="Calibri"/>
          <w:sz w:val="20"/>
          <w:szCs w:val="20"/>
        </w:rPr>
        <w:footnoteRef/>
      </w:r>
      <w:r w:rsidRPr="00F22A98">
        <w:rPr>
          <w:rFonts w:ascii="Calibri" w:hAnsi="Calibri" w:cs="Calibri"/>
          <w:sz w:val="20"/>
          <w:szCs w:val="20"/>
        </w:rPr>
        <w:t xml:space="preserve"> </w:t>
      </w:r>
      <w:r w:rsidR="00466503">
        <w:rPr>
          <w:rFonts w:ascii="Calibri" w:hAnsi="Calibri" w:cs="Calibri"/>
          <w:sz w:val="20"/>
          <w:szCs w:val="20"/>
        </w:rPr>
        <w:t xml:space="preserve">Abbasi, </w:t>
      </w:r>
      <w:proofErr w:type="spellStart"/>
      <w:r w:rsidR="00F22A98">
        <w:rPr>
          <w:rFonts w:ascii="Calibri" w:hAnsi="Calibri" w:cs="Calibri"/>
          <w:sz w:val="20"/>
          <w:szCs w:val="20"/>
        </w:rPr>
        <w:t>Pyeaam</w:t>
      </w:r>
      <w:proofErr w:type="spellEnd"/>
      <w:r w:rsidR="00466503">
        <w:rPr>
          <w:rFonts w:ascii="Calibri" w:hAnsi="Calibri" w:cs="Calibri"/>
          <w:sz w:val="20"/>
          <w:szCs w:val="20"/>
        </w:rPr>
        <w:t xml:space="preserve"> </w:t>
      </w:r>
      <w:r w:rsidR="00F22A98" w:rsidRPr="00F22A98">
        <w:rPr>
          <w:rFonts w:ascii="Calibri" w:eastAsia="Times New Roman" w:hAnsi="Calibri" w:cs="Calibri"/>
          <w:kern w:val="0"/>
          <w:sz w:val="20"/>
          <w:szCs w:val="20"/>
          <w:lang w:eastAsia="en-GB"/>
          <w14:ligatures w14:val="none"/>
        </w:rPr>
        <w:t xml:space="preserve">and Mahboubeh Moslehi, ‘Ecofeminism and Gilman’s Herland: A </w:t>
      </w:r>
      <w:proofErr w:type="spellStart"/>
      <w:r w:rsidR="00F22A98" w:rsidRPr="00F22A98">
        <w:rPr>
          <w:rFonts w:ascii="Calibri" w:eastAsia="Times New Roman" w:hAnsi="Calibri" w:cs="Calibri"/>
          <w:kern w:val="0"/>
          <w:sz w:val="20"/>
          <w:szCs w:val="20"/>
          <w:lang w:eastAsia="en-GB"/>
          <w14:ligatures w14:val="none"/>
        </w:rPr>
        <w:t>Gaardian</w:t>
      </w:r>
      <w:proofErr w:type="spellEnd"/>
      <w:r w:rsidR="00F22A98" w:rsidRPr="00F22A98">
        <w:rPr>
          <w:rFonts w:ascii="Calibri" w:eastAsia="Times New Roman" w:hAnsi="Calibri" w:cs="Calibri"/>
          <w:kern w:val="0"/>
          <w:sz w:val="20"/>
          <w:szCs w:val="20"/>
          <w:lang w:eastAsia="en-GB"/>
          <w14:ligatures w14:val="none"/>
        </w:rPr>
        <w:t xml:space="preserve"> Approach’, </w:t>
      </w:r>
      <w:r w:rsidR="00F22A98" w:rsidRPr="00F22A98">
        <w:rPr>
          <w:rFonts w:ascii="Calibri" w:eastAsia="Times New Roman" w:hAnsi="Calibri" w:cs="Calibri"/>
          <w:i/>
          <w:iCs/>
          <w:kern w:val="0"/>
          <w:sz w:val="20"/>
          <w:szCs w:val="20"/>
          <w:lang w:eastAsia="en-GB"/>
          <w14:ligatures w14:val="none"/>
        </w:rPr>
        <w:t>Journal of Language Teaching, Linguistics, and Literature</w:t>
      </w:r>
      <w:r w:rsidR="00F22A98" w:rsidRPr="00F22A98">
        <w:rPr>
          <w:rFonts w:ascii="Calibri" w:eastAsia="Times New Roman" w:hAnsi="Calibri" w:cs="Calibri"/>
          <w:kern w:val="0"/>
          <w:sz w:val="20"/>
          <w:szCs w:val="20"/>
          <w:lang w:eastAsia="en-GB"/>
          <w14:ligatures w14:val="none"/>
        </w:rPr>
        <w:t>, 22.2 (2016), 17–29 &lt;https://doi.org/10.17576/3L-2016-2202-02&gt;</w:t>
      </w:r>
    </w:p>
    <w:p w14:paraId="28AE0B5F" w14:textId="0EE21B54" w:rsidR="003B76E8" w:rsidRDefault="003B76E8" w:rsidP="003B76E8">
      <w:pPr>
        <w:pStyle w:val="FootnoteText"/>
      </w:pPr>
    </w:p>
  </w:footnote>
  <w:footnote w:id="47">
    <w:p w14:paraId="37F6FF66" w14:textId="59AC7283" w:rsidR="003B76E8" w:rsidRDefault="003B76E8" w:rsidP="003B76E8">
      <w:pPr>
        <w:pStyle w:val="FootnoteText"/>
      </w:pPr>
      <w:r>
        <w:rPr>
          <w:rStyle w:val="FootnoteReference"/>
        </w:rPr>
        <w:footnoteRef/>
      </w:r>
      <w:r>
        <w:t xml:space="preserve">  </w:t>
      </w:r>
      <w:r w:rsidR="00991B58">
        <w:t xml:space="preserve">Gilman, </w:t>
      </w:r>
      <w:r w:rsidR="00991B58">
        <w:rPr>
          <w:i/>
          <w:iCs/>
        </w:rPr>
        <w:t>Herland,</w:t>
      </w:r>
      <w:r>
        <w:t xml:space="preserve"> </w:t>
      </w:r>
      <w:r w:rsidR="00991B58">
        <w:t>C</w:t>
      </w:r>
      <w:r>
        <w:t>h</w:t>
      </w:r>
      <w:r w:rsidR="00991B58">
        <w:t>.</w:t>
      </w:r>
      <w:r>
        <w:t xml:space="preserve"> 7</w:t>
      </w:r>
      <w:r w:rsidR="00991B58">
        <w:t>.</w:t>
      </w:r>
    </w:p>
  </w:footnote>
  <w:footnote w:id="48">
    <w:p w14:paraId="19B0B543" w14:textId="1F74A916" w:rsidR="003B76E8" w:rsidRDefault="003B76E8" w:rsidP="003B76E8">
      <w:pPr>
        <w:pStyle w:val="FootnoteText"/>
      </w:pPr>
      <w:r>
        <w:rPr>
          <w:rStyle w:val="FootnoteReference"/>
        </w:rPr>
        <w:footnoteRef/>
      </w:r>
      <w:r>
        <w:t xml:space="preserve"> Robertson</w:t>
      </w:r>
      <w:r w:rsidR="007F6A13">
        <w:t>.</w:t>
      </w:r>
    </w:p>
  </w:footnote>
  <w:footnote w:id="49">
    <w:p w14:paraId="4DE82BBB" w14:textId="08C3BB01" w:rsidR="008603DF" w:rsidRPr="008603DF" w:rsidRDefault="008603DF">
      <w:pPr>
        <w:pStyle w:val="FootnoteText"/>
      </w:pPr>
      <w:r>
        <w:rPr>
          <w:rStyle w:val="FootnoteReference"/>
        </w:rPr>
        <w:footnoteRef/>
      </w:r>
      <w:r>
        <w:t xml:space="preserve"> Piercy, </w:t>
      </w:r>
      <w:r>
        <w:rPr>
          <w:i/>
          <w:iCs/>
        </w:rPr>
        <w:t xml:space="preserve">Woman on the Edge of Time, </w:t>
      </w:r>
      <w:r>
        <w:t>p. 71.</w:t>
      </w:r>
    </w:p>
  </w:footnote>
  <w:footnote w:id="50">
    <w:p w14:paraId="3DDB30A8" w14:textId="78CE258D" w:rsidR="006E6344" w:rsidRDefault="006E6344">
      <w:pPr>
        <w:pStyle w:val="FootnoteText"/>
      </w:pPr>
      <w:r>
        <w:rPr>
          <w:rStyle w:val="FootnoteReference"/>
        </w:rPr>
        <w:footnoteRef/>
      </w:r>
      <w:r>
        <w:t xml:space="preserve"> Piercy, </w:t>
      </w:r>
      <w:r>
        <w:rPr>
          <w:i/>
          <w:iCs/>
        </w:rPr>
        <w:t xml:space="preserve">Woman on the Edge of Time, </w:t>
      </w:r>
      <w:r>
        <w:t>p. 69.</w:t>
      </w:r>
    </w:p>
  </w:footnote>
  <w:footnote w:id="51">
    <w:p w14:paraId="2B269093" w14:textId="1A03CCA3" w:rsidR="003B76E8" w:rsidRDefault="003B76E8" w:rsidP="003B76E8">
      <w:pPr>
        <w:pStyle w:val="FootnoteText"/>
      </w:pPr>
      <w:r>
        <w:rPr>
          <w:rStyle w:val="FootnoteReference"/>
        </w:rPr>
        <w:footnoteRef/>
      </w:r>
      <w:r>
        <w:t xml:space="preserve"> </w:t>
      </w:r>
      <w:r w:rsidR="006B1B90">
        <w:t>Walton, Samantha</w:t>
      </w:r>
      <w:r w:rsidR="004001F0">
        <w:t xml:space="preserve">, ‘Feminism’s Critique of the Anthropocene’, in </w:t>
      </w:r>
      <w:r w:rsidR="004001F0">
        <w:rPr>
          <w:i/>
          <w:iCs/>
        </w:rPr>
        <w:t xml:space="preserve">The New Feminist Literary Studies, </w:t>
      </w:r>
      <w:r w:rsidR="004001F0">
        <w:t>ed. By Jennifer Cooke (Cambridge: Cambridge University Press, 2020), pp.1</w:t>
      </w:r>
      <w:r w:rsidR="005D6698">
        <w:t>13-28</w:t>
      </w:r>
      <w:r w:rsidR="004001F0">
        <w:t>.</w:t>
      </w:r>
    </w:p>
  </w:footnote>
  <w:footnote w:id="52">
    <w:p w14:paraId="01852AF4" w14:textId="1ECE4C0E" w:rsidR="003B76E8" w:rsidRDefault="003B76E8" w:rsidP="003B76E8">
      <w:pPr>
        <w:pStyle w:val="FootnoteText"/>
      </w:pPr>
      <w:r>
        <w:rPr>
          <w:rStyle w:val="FootnoteReference"/>
        </w:rPr>
        <w:footnoteRef/>
      </w:r>
      <w:r>
        <w:t xml:space="preserve"> Privett</w:t>
      </w:r>
      <w:r w:rsidR="005D6698">
        <w:t>.</w:t>
      </w:r>
    </w:p>
  </w:footnote>
  <w:footnote w:id="53">
    <w:p w14:paraId="311D772D" w14:textId="43B4B1D3" w:rsidR="00DD13AA" w:rsidRDefault="00DD13AA">
      <w:pPr>
        <w:pStyle w:val="FootnoteText"/>
      </w:pPr>
      <w:r>
        <w:rPr>
          <w:rStyle w:val="FootnoteReference"/>
        </w:rPr>
        <w:footnoteRef/>
      </w:r>
      <w:r>
        <w:t xml:space="preserve"> Piercy, </w:t>
      </w:r>
      <w:r>
        <w:rPr>
          <w:i/>
          <w:iCs/>
        </w:rPr>
        <w:t xml:space="preserve">Woman on the Edge of Time, </w:t>
      </w:r>
      <w:r>
        <w:t xml:space="preserve">p. </w:t>
      </w:r>
      <w:r w:rsidR="007410D5">
        <w:t>3</w:t>
      </w:r>
      <w:r>
        <w:t>9.</w:t>
      </w:r>
    </w:p>
  </w:footnote>
  <w:footnote w:id="54">
    <w:p w14:paraId="2B239569" w14:textId="711F4E3D" w:rsidR="0089377E" w:rsidRDefault="0089377E">
      <w:pPr>
        <w:pStyle w:val="FootnoteText"/>
      </w:pPr>
      <w:r>
        <w:rPr>
          <w:rStyle w:val="FootnoteReference"/>
        </w:rPr>
        <w:footnoteRef/>
      </w:r>
      <w:r>
        <w:t xml:space="preserve"> Piercy, </w:t>
      </w:r>
      <w:r>
        <w:rPr>
          <w:i/>
          <w:iCs/>
        </w:rPr>
        <w:t xml:space="preserve">Woman on the Edge of Time, </w:t>
      </w:r>
      <w:r>
        <w:t>p. 132.</w:t>
      </w:r>
    </w:p>
  </w:footnote>
  <w:footnote w:id="55">
    <w:p w14:paraId="69B83450" w14:textId="2ED4F5CD" w:rsidR="001F3117" w:rsidRDefault="001F3117">
      <w:pPr>
        <w:pStyle w:val="FootnoteText"/>
      </w:pPr>
      <w:r>
        <w:rPr>
          <w:rStyle w:val="FootnoteReference"/>
        </w:rPr>
        <w:footnoteRef/>
      </w:r>
      <w:r>
        <w:t xml:space="preserve"> Ibid.</w:t>
      </w:r>
    </w:p>
  </w:footnote>
  <w:footnote w:id="56">
    <w:p w14:paraId="105A4E05" w14:textId="6B486975" w:rsidR="00E17DCE" w:rsidRDefault="00E17DCE">
      <w:pPr>
        <w:pStyle w:val="FootnoteText"/>
      </w:pPr>
      <w:r>
        <w:rPr>
          <w:rStyle w:val="FootnoteReference"/>
        </w:rPr>
        <w:footnoteRef/>
      </w:r>
      <w:r>
        <w:t xml:space="preserve"> Robertson</w:t>
      </w:r>
      <w:r w:rsidR="005D6698">
        <w:t>.</w:t>
      </w:r>
    </w:p>
  </w:footnote>
  <w:footnote w:id="57">
    <w:p w14:paraId="427E43B8" w14:textId="7A674E57" w:rsidR="009278C3" w:rsidRDefault="009278C3">
      <w:pPr>
        <w:pStyle w:val="FootnoteText"/>
      </w:pPr>
      <w:r>
        <w:rPr>
          <w:rStyle w:val="FootnoteReference"/>
        </w:rPr>
        <w:footnoteRef/>
      </w:r>
      <w:r>
        <w:t xml:space="preserve"> Shelley,</w:t>
      </w:r>
      <w:r w:rsidR="005D6698">
        <w:t xml:space="preserve"> </w:t>
      </w:r>
      <w:r w:rsidR="005D6698">
        <w:rPr>
          <w:i/>
          <w:iCs/>
        </w:rPr>
        <w:t>Frankenstein,</w:t>
      </w:r>
      <w:r>
        <w:t xml:space="preserve"> p. 156.</w:t>
      </w:r>
    </w:p>
  </w:footnote>
  <w:footnote w:id="58">
    <w:p w14:paraId="6CCD740E" w14:textId="7EC592E4" w:rsidR="003B76E8" w:rsidRDefault="003B76E8" w:rsidP="003B76E8">
      <w:pPr>
        <w:pStyle w:val="FootnoteText"/>
      </w:pPr>
      <w:r>
        <w:rPr>
          <w:rStyle w:val="FootnoteReference"/>
        </w:rPr>
        <w:footnoteRef/>
      </w:r>
      <w:r>
        <w:t xml:space="preserve"> Moylan</w:t>
      </w:r>
      <w:r w:rsidR="00013926">
        <w:t>,</w:t>
      </w:r>
      <w:r>
        <w:t xml:space="preserve"> p</w:t>
      </w:r>
      <w:r w:rsidR="00013926">
        <w:t xml:space="preserve">. </w:t>
      </w:r>
      <w:r>
        <w:t>3</w:t>
      </w:r>
      <w:r w:rsidR="00013926">
        <w:t>.</w:t>
      </w:r>
    </w:p>
  </w:footnote>
  <w:footnote w:id="59">
    <w:p w14:paraId="52C4B5FC" w14:textId="28D74252" w:rsidR="00FD1C15" w:rsidRPr="00FD1C15" w:rsidRDefault="00FD1C15">
      <w:pPr>
        <w:pStyle w:val="FootnoteText"/>
      </w:pPr>
      <w:r>
        <w:rPr>
          <w:rStyle w:val="FootnoteReference"/>
        </w:rPr>
        <w:footnoteRef/>
      </w:r>
      <w:r>
        <w:t xml:space="preserve"> Gilman, </w:t>
      </w:r>
      <w:r>
        <w:rPr>
          <w:i/>
          <w:iCs/>
        </w:rPr>
        <w:t>Women and Economics</w:t>
      </w:r>
      <w:r>
        <w:t>.</w:t>
      </w:r>
    </w:p>
  </w:footnote>
  <w:footnote w:id="60">
    <w:p w14:paraId="20EA3DBE" w14:textId="4E45D39F" w:rsidR="003B76E8" w:rsidRDefault="003B76E8" w:rsidP="003B76E8">
      <w:pPr>
        <w:pStyle w:val="FootnoteText"/>
      </w:pPr>
      <w:r>
        <w:rPr>
          <w:rStyle w:val="FootnoteReference"/>
        </w:rPr>
        <w:footnoteRef/>
      </w:r>
      <w:r w:rsidR="00013926">
        <w:t xml:space="preserve"> </w:t>
      </w:r>
      <w:r>
        <w:t>Lathrop</w:t>
      </w:r>
      <w:r w:rsidR="00013926">
        <w:t>.</w:t>
      </w:r>
    </w:p>
  </w:footnote>
  <w:footnote w:id="61">
    <w:p w14:paraId="554F5C64" w14:textId="301E9BC3" w:rsidR="003B76E8" w:rsidRPr="001A5071" w:rsidRDefault="003B76E8" w:rsidP="003B76E8">
      <w:pPr>
        <w:pStyle w:val="FootnoteText"/>
      </w:pPr>
      <w:r w:rsidRPr="001A5071">
        <w:rPr>
          <w:rStyle w:val="FootnoteReference"/>
        </w:rPr>
        <w:footnoteRef/>
      </w:r>
      <w:r w:rsidRPr="001A5071">
        <w:t xml:space="preserve"> </w:t>
      </w:r>
      <w:r w:rsidR="00013926" w:rsidRPr="001A5071">
        <w:t xml:space="preserve">Gilman, </w:t>
      </w:r>
      <w:r w:rsidR="00013926" w:rsidRPr="001A5071">
        <w:rPr>
          <w:i/>
          <w:iCs/>
        </w:rPr>
        <w:t xml:space="preserve">Herland, </w:t>
      </w:r>
      <w:r w:rsidR="00013926" w:rsidRPr="001A5071">
        <w:t>Ch. 6.</w:t>
      </w:r>
    </w:p>
  </w:footnote>
  <w:footnote w:id="62">
    <w:p w14:paraId="60985546" w14:textId="609012D8" w:rsidR="003B76E8" w:rsidRPr="001A5071" w:rsidRDefault="003B76E8" w:rsidP="003B76E8">
      <w:pPr>
        <w:pStyle w:val="FootnoteText"/>
      </w:pPr>
      <w:r w:rsidRPr="001A5071">
        <w:rPr>
          <w:rStyle w:val="FootnoteReference"/>
        </w:rPr>
        <w:footnoteRef/>
      </w:r>
      <w:r w:rsidRPr="001A5071">
        <w:t xml:space="preserve"> </w:t>
      </w:r>
      <w:r w:rsidR="007C0BD9" w:rsidRPr="001A5071">
        <w:t xml:space="preserve">Gilman, </w:t>
      </w:r>
      <w:r w:rsidR="007C0BD9" w:rsidRPr="001A5071">
        <w:rPr>
          <w:i/>
          <w:iCs/>
        </w:rPr>
        <w:t xml:space="preserve">Herland, </w:t>
      </w:r>
      <w:r w:rsidR="007C0BD9" w:rsidRPr="001A5071">
        <w:t>Ch. 7.</w:t>
      </w:r>
    </w:p>
  </w:footnote>
  <w:footnote w:id="63">
    <w:p w14:paraId="4F0C3C50" w14:textId="1C46FCD0" w:rsidR="003B76E8" w:rsidRPr="001A5071" w:rsidRDefault="003B76E8" w:rsidP="003B76E8">
      <w:pPr>
        <w:pStyle w:val="FootnoteText"/>
      </w:pPr>
      <w:r w:rsidRPr="001A5071">
        <w:rPr>
          <w:rStyle w:val="FootnoteReference"/>
        </w:rPr>
        <w:footnoteRef/>
      </w:r>
      <w:r w:rsidRPr="001A5071">
        <w:t xml:space="preserve"> </w:t>
      </w:r>
      <w:r w:rsidR="007C0BD9" w:rsidRPr="001A5071">
        <w:t>Ibid</w:t>
      </w:r>
      <w:r w:rsidRPr="001A5071">
        <w:t>.</w:t>
      </w:r>
    </w:p>
  </w:footnote>
  <w:footnote w:id="64">
    <w:p w14:paraId="2372B9C2" w14:textId="5447A6D5" w:rsidR="003B76E8" w:rsidRPr="001A5071" w:rsidRDefault="003B76E8" w:rsidP="003B76E8">
      <w:pPr>
        <w:pStyle w:val="FootnoteText"/>
      </w:pPr>
      <w:r w:rsidRPr="001A5071">
        <w:rPr>
          <w:rStyle w:val="FootnoteReference"/>
        </w:rPr>
        <w:footnoteRef/>
      </w:r>
      <w:r w:rsidRPr="001A5071">
        <w:t xml:space="preserve"> </w:t>
      </w:r>
      <w:r w:rsidR="007C0BD9" w:rsidRPr="001A5071">
        <w:t xml:space="preserve">Gilman, </w:t>
      </w:r>
      <w:r w:rsidR="007C0BD9" w:rsidRPr="001A5071">
        <w:rPr>
          <w:i/>
          <w:iCs/>
        </w:rPr>
        <w:t xml:space="preserve">Herland, </w:t>
      </w:r>
      <w:r w:rsidR="007C0BD9" w:rsidRPr="001A5071">
        <w:t>Ch. 6.</w:t>
      </w:r>
    </w:p>
  </w:footnote>
  <w:footnote w:id="65">
    <w:p w14:paraId="034D0226" w14:textId="77777777" w:rsidR="003B76E8" w:rsidRPr="001A5071" w:rsidRDefault="003B76E8" w:rsidP="003B76E8">
      <w:pPr>
        <w:pStyle w:val="FootnoteText"/>
      </w:pPr>
      <w:r w:rsidRPr="001A5071">
        <w:rPr>
          <w:rStyle w:val="FootnoteReference"/>
        </w:rPr>
        <w:footnoteRef/>
      </w:r>
      <w:r w:rsidRPr="001A5071">
        <w:t xml:space="preserve"> Evans</w:t>
      </w:r>
    </w:p>
  </w:footnote>
  <w:footnote w:id="66">
    <w:p w14:paraId="3C5827E6" w14:textId="5FF3875B" w:rsidR="003B76E8" w:rsidRPr="001A5071" w:rsidRDefault="003B76E8" w:rsidP="001A5071">
      <w:pPr>
        <w:spacing w:after="0" w:line="240" w:lineRule="auto"/>
        <w:rPr>
          <w:rFonts w:ascii="Calibri" w:eastAsia="Times New Roman" w:hAnsi="Calibri" w:cs="Calibri"/>
          <w:kern w:val="0"/>
          <w:sz w:val="20"/>
          <w:szCs w:val="20"/>
          <w:lang w:eastAsia="en-GB"/>
          <w14:ligatures w14:val="none"/>
        </w:rPr>
      </w:pPr>
      <w:r w:rsidRPr="001A5071">
        <w:rPr>
          <w:rStyle w:val="FootnoteReference"/>
          <w:sz w:val="20"/>
          <w:szCs w:val="20"/>
        </w:rPr>
        <w:footnoteRef/>
      </w:r>
      <w:r w:rsidRPr="001A5071">
        <w:rPr>
          <w:sz w:val="20"/>
          <w:szCs w:val="20"/>
        </w:rPr>
        <w:t xml:space="preserve"> </w:t>
      </w:r>
      <w:r w:rsidR="001A5071" w:rsidRPr="001A5071">
        <w:rPr>
          <w:rFonts w:ascii="Calibri" w:eastAsia="Times New Roman" w:hAnsi="Calibri" w:cs="Calibri"/>
          <w:kern w:val="0"/>
          <w:sz w:val="20"/>
          <w:szCs w:val="20"/>
          <w:lang w:eastAsia="en-GB"/>
          <w14:ligatures w14:val="none"/>
        </w:rPr>
        <w:t xml:space="preserve">Adams, Alice, ‘Out of the Womb: The Future of the Uterine Metaphor’, </w:t>
      </w:r>
      <w:r w:rsidR="001A5071" w:rsidRPr="001A5071">
        <w:rPr>
          <w:rFonts w:ascii="Calibri" w:eastAsia="Times New Roman" w:hAnsi="Calibri" w:cs="Calibri"/>
          <w:i/>
          <w:iCs/>
          <w:kern w:val="0"/>
          <w:sz w:val="20"/>
          <w:szCs w:val="20"/>
          <w:lang w:eastAsia="en-GB"/>
          <w14:ligatures w14:val="none"/>
        </w:rPr>
        <w:t>Feminist Studies</w:t>
      </w:r>
      <w:r w:rsidR="001A5071" w:rsidRPr="001A5071">
        <w:rPr>
          <w:rFonts w:ascii="Calibri" w:eastAsia="Times New Roman" w:hAnsi="Calibri" w:cs="Calibri"/>
          <w:kern w:val="0"/>
          <w:sz w:val="20"/>
          <w:szCs w:val="20"/>
          <w:lang w:eastAsia="en-GB"/>
          <w14:ligatures w14:val="none"/>
        </w:rPr>
        <w:t>, 19.2 (1993), 269–89 &lt;https://doi.org/10.2307/3178366&gt;</w:t>
      </w:r>
    </w:p>
  </w:footnote>
  <w:footnote w:id="67">
    <w:p w14:paraId="1CFF6FF6" w14:textId="5AE56A46" w:rsidR="003B76E8" w:rsidRDefault="003B76E8" w:rsidP="003B76E8">
      <w:pPr>
        <w:pStyle w:val="FootnoteText"/>
      </w:pPr>
      <w:r>
        <w:rPr>
          <w:rStyle w:val="FootnoteReference"/>
        </w:rPr>
        <w:footnoteRef/>
      </w:r>
      <w:r>
        <w:t xml:space="preserve"> B</w:t>
      </w:r>
      <w:r w:rsidR="001A5071">
        <w:t>a</w:t>
      </w:r>
      <w:r>
        <w:t>rtkowski</w:t>
      </w:r>
      <w:r w:rsidR="001A5071">
        <w:t>, p.</w:t>
      </w:r>
      <w:r>
        <w:t xml:space="preserve"> 58</w:t>
      </w:r>
      <w:r w:rsidR="001A5071">
        <w:t>.</w:t>
      </w:r>
    </w:p>
  </w:footnote>
  <w:footnote w:id="68">
    <w:p w14:paraId="0E76ECD6" w14:textId="7BFACE88" w:rsidR="003B76E8" w:rsidRDefault="003B76E8" w:rsidP="003B76E8">
      <w:pPr>
        <w:pStyle w:val="FootnoteText"/>
      </w:pPr>
      <w:r>
        <w:rPr>
          <w:rStyle w:val="FootnoteReference"/>
        </w:rPr>
        <w:footnoteRef/>
      </w:r>
      <w:r>
        <w:t xml:space="preserve"> </w:t>
      </w:r>
      <w:r w:rsidR="005774E1">
        <w:t xml:space="preserve">Piercy, </w:t>
      </w:r>
      <w:r w:rsidR="005774E1">
        <w:rPr>
          <w:i/>
          <w:iCs/>
        </w:rPr>
        <w:t xml:space="preserve">Woman on the Edge of Time, </w:t>
      </w:r>
      <w:r w:rsidR="005774E1">
        <w:t>p. 116.</w:t>
      </w:r>
    </w:p>
  </w:footnote>
  <w:footnote w:id="69">
    <w:p w14:paraId="28297471" w14:textId="203F49C2" w:rsidR="00076FAF" w:rsidRDefault="00076FAF">
      <w:pPr>
        <w:pStyle w:val="FootnoteText"/>
      </w:pPr>
      <w:r>
        <w:rPr>
          <w:rStyle w:val="FootnoteReference"/>
        </w:rPr>
        <w:footnoteRef/>
      </w:r>
      <w:r>
        <w:t xml:space="preserve"> </w:t>
      </w:r>
      <w:r w:rsidR="000F1B27">
        <w:t>Shelley,</w:t>
      </w:r>
      <w:r w:rsidR="001A5071">
        <w:t xml:space="preserve"> </w:t>
      </w:r>
      <w:r w:rsidR="001A5071">
        <w:rPr>
          <w:i/>
          <w:iCs/>
        </w:rPr>
        <w:t>Frankenstein,</w:t>
      </w:r>
      <w:r w:rsidR="000F1B27">
        <w:t xml:space="preserve"> p. 52.</w:t>
      </w:r>
    </w:p>
  </w:footnote>
  <w:footnote w:id="70">
    <w:p w14:paraId="036897A0" w14:textId="68721697" w:rsidR="003B76E8" w:rsidRDefault="003B76E8" w:rsidP="003B76E8">
      <w:pPr>
        <w:pStyle w:val="FootnoteText"/>
      </w:pPr>
      <w:r>
        <w:rPr>
          <w:rStyle w:val="FootnoteReference"/>
        </w:rPr>
        <w:footnoteRef/>
      </w:r>
      <w:r>
        <w:t xml:space="preserve"> </w:t>
      </w:r>
      <w:r w:rsidR="0034396D">
        <w:t>Walton.</w:t>
      </w:r>
    </w:p>
  </w:footnote>
  <w:footnote w:id="71">
    <w:p w14:paraId="5E8D8C58" w14:textId="7BD99BC2" w:rsidR="003B76E8" w:rsidRDefault="003B76E8" w:rsidP="003B76E8">
      <w:pPr>
        <w:pStyle w:val="FootnoteText"/>
      </w:pPr>
      <w:r>
        <w:rPr>
          <w:rStyle w:val="FootnoteReference"/>
        </w:rPr>
        <w:footnoteRef/>
      </w:r>
      <w:r>
        <w:t xml:space="preserve"> Evans</w:t>
      </w:r>
      <w:r w:rsidR="0034396D">
        <w:t>.</w:t>
      </w:r>
    </w:p>
  </w:footnote>
  <w:footnote w:id="72">
    <w:p w14:paraId="774E0726" w14:textId="663959CF" w:rsidR="003B76E8" w:rsidRDefault="003B76E8" w:rsidP="003B76E8">
      <w:pPr>
        <w:pStyle w:val="FootnoteText"/>
      </w:pPr>
      <w:r>
        <w:rPr>
          <w:rStyle w:val="FootnoteReference"/>
        </w:rPr>
        <w:footnoteRef/>
      </w:r>
      <w:r>
        <w:t xml:space="preserve"> Lathrop</w:t>
      </w:r>
      <w:r w:rsidR="0034396D">
        <w:t>.</w:t>
      </w:r>
    </w:p>
  </w:footnote>
  <w:footnote w:id="73">
    <w:p w14:paraId="07752E53" w14:textId="6D138FCE" w:rsidR="003B76E8" w:rsidRPr="004D28AD" w:rsidRDefault="003B76E8" w:rsidP="003B76E8">
      <w:pPr>
        <w:pStyle w:val="FootnoteText"/>
      </w:pPr>
      <w:r>
        <w:rPr>
          <w:rStyle w:val="FootnoteReference"/>
        </w:rPr>
        <w:footnoteRef/>
      </w:r>
      <w:r>
        <w:t xml:space="preserve"> </w:t>
      </w:r>
      <w:r w:rsidR="004D28AD">
        <w:t xml:space="preserve">Gilman, </w:t>
      </w:r>
      <w:r w:rsidR="004D28AD">
        <w:rPr>
          <w:i/>
          <w:iCs/>
        </w:rPr>
        <w:t xml:space="preserve">Herland, </w:t>
      </w:r>
      <w:r w:rsidR="004D28AD">
        <w:t>Ch. 2.</w:t>
      </w:r>
    </w:p>
  </w:footnote>
  <w:footnote w:id="74">
    <w:p w14:paraId="357EE0D2" w14:textId="70F08406" w:rsidR="003B76E8" w:rsidRDefault="003B76E8" w:rsidP="003B76E8">
      <w:pPr>
        <w:pStyle w:val="FootnoteText"/>
      </w:pPr>
      <w:r>
        <w:rPr>
          <w:rStyle w:val="FootnoteReference"/>
        </w:rPr>
        <w:footnoteRef/>
      </w:r>
      <w:r>
        <w:t xml:space="preserve"> </w:t>
      </w:r>
      <w:r w:rsidR="00C03D78">
        <w:t xml:space="preserve">Gilman, </w:t>
      </w:r>
      <w:r w:rsidR="00C03D78">
        <w:rPr>
          <w:i/>
          <w:iCs/>
        </w:rPr>
        <w:t xml:space="preserve">Herland, </w:t>
      </w:r>
      <w:r w:rsidR="00C03D78">
        <w:t>Ch. 7.</w:t>
      </w:r>
    </w:p>
  </w:footnote>
  <w:footnote w:id="75">
    <w:p w14:paraId="5F83BABE" w14:textId="5605BFA2" w:rsidR="003B76E8" w:rsidRDefault="003B76E8" w:rsidP="003B76E8">
      <w:pPr>
        <w:pStyle w:val="FootnoteText"/>
      </w:pPr>
      <w:r>
        <w:rPr>
          <w:rStyle w:val="FootnoteReference"/>
        </w:rPr>
        <w:footnoteRef/>
      </w:r>
      <w:r>
        <w:t xml:space="preserve"> Evans</w:t>
      </w:r>
      <w:r w:rsidR="00C03D78">
        <w:t>.</w:t>
      </w:r>
    </w:p>
  </w:footnote>
  <w:footnote w:id="76">
    <w:p w14:paraId="5B9FFEC9" w14:textId="4D9B8A7D" w:rsidR="003B76E8" w:rsidRDefault="003B76E8" w:rsidP="003B76E8">
      <w:pPr>
        <w:pStyle w:val="FootnoteText"/>
      </w:pPr>
      <w:r>
        <w:rPr>
          <w:rStyle w:val="FootnoteReference"/>
        </w:rPr>
        <w:footnoteRef/>
      </w:r>
      <w:r>
        <w:t xml:space="preserve"> </w:t>
      </w:r>
      <w:r w:rsidR="00C03D78">
        <w:t xml:space="preserve">Gilman, </w:t>
      </w:r>
      <w:r w:rsidR="00C03D78">
        <w:rPr>
          <w:i/>
          <w:iCs/>
        </w:rPr>
        <w:t xml:space="preserve">Herland, </w:t>
      </w:r>
      <w:r w:rsidR="00C03D78">
        <w:t>Ch. 3.</w:t>
      </w:r>
    </w:p>
  </w:footnote>
  <w:footnote w:id="77">
    <w:p w14:paraId="23FE5736" w14:textId="31265EFA" w:rsidR="003B76E8" w:rsidRDefault="003B76E8" w:rsidP="003B76E8">
      <w:pPr>
        <w:pStyle w:val="FootnoteText"/>
      </w:pPr>
      <w:r>
        <w:rPr>
          <w:rStyle w:val="FootnoteReference"/>
        </w:rPr>
        <w:footnoteRef/>
      </w:r>
      <w:r>
        <w:t xml:space="preserve"> </w:t>
      </w:r>
      <w:r w:rsidR="00C03D78">
        <w:t xml:space="preserve">Gilman, </w:t>
      </w:r>
      <w:r w:rsidR="00C03D78">
        <w:rPr>
          <w:i/>
          <w:iCs/>
        </w:rPr>
        <w:t xml:space="preserve">Herland, </w:t>
      </w:r>
      <w:r w:rsidR="00C03D78">
        <w:t>Ch. 12.</w:t>
      </w:r>
    </w:p>
  </w:footnote>
  <w:footnote w:id="78">
    <w:p w14:paraId="6F64858F" w14:textId="71CDD5B6" w:rsidR="003B76E8" w:rsidRDefault="003B76E8" w:rsidP="003B76E8">
      <w:pPr>
        <w:pStyle w:val="FootnoteText"/>
      </w:pPr>
      <w:r>
        <w:rPr>
          <w:rStyle w:val="FootnoteReference"/>
        </w:rPr>
        <w:footnoteRef/>
      </w:r>
      <w:r>
        <w:t xml:space="preserve"> Bartkowski</w:t>
      </w:r>
      <w:r w:rsidR="00C03D78">
        <w:t>,</w:t>
      </w:r>
      <w:r>
        <w:t xml:space="preserve"> p</w:t>
      </w:r>
      <w:r w:rsidR="00C03D78">
        <w:t xml:space="preserve">. </w:t>
      </w:r>
      <w:r>
        <w:t>17</w:t>
      </w:r>
      <w:r w:rsidR="00C03D78">
        <w:t>.</w:t>
      </w:r>
    </w:p>
  </w:footnote>
  <w:footnote w:id="79">
    <w:p w14:paraId="7E64C212" w14:textId="06E8A75A" w:rsidR="003B76E8" w:rsidRPr="00C96E01" w:rsidRDefault="003B76E8" w:rsidP="003B76E8">
      <w:pPr>
        <w:pStyle w:val="FootnoteText"/>
      </w:pPr>
      <w:r>
        <w:rPr>
          <w:rStyle w:val="FootnoteReference"/>
        </w:rPr>
        <w:footnoteRef/>
      </w:r>
      <w:r>
        <w:t xml:space="preserve"> </w:t>
      </w:r>
      <w:r w:rsidR="00C96E01">
        <w:t xml:space="preserve">Piercy, </w:t>
      </w:r>
      <w:r w:rsidR="00C96E01">
        <w:rPr>
          <w:i/>
          <w:iCs/>
        </w:rPr>
        <w:t>Woman on the Edge of Time.</w:t>
      </w:r>
      <w:r w:rsidR="00C96E01">
        <w:t xml:space="preserve"> P.</w:t>
      </w:r>
      <w:r w:rsidR="00E37D6A">
        <w:t xml:space="preserve"> </w:t>
      </w:r>
      <w:r w:rsidR="00C96E01">
        <w:t>10</w:t>
      </w:r>
      <w:r w:rsidR="00E04990">
        <w:t>2.</w:t>
      </w:r>
    </w:p>
  </w:footnote>
  <w:footnote w:id="80">
    <w:p w14:paraId="7A7627F1" w14:textId="2729BA9C" w:rsidR="003B76E8" w:rsidRDefault="003B76E8" w:rsidP="003B76E8">
      <w:pPr>
        <w:pStyle w:val="FootnoteText"/>
      </w:pPr>
      <w:r>
        <w:rPr>
          <w:rStyle w:val="FootnoteReference"/>
        </w:rPr>
        <w:footnoteRef/>
      </w:r>
      <w:r w:rsidR="00776827">
        <w:t xml:space="preserve"> Piercy, </w:t>
      </w:r>
      <w:r w:rsidR="00776827">
        <w:rPr>
          <w:i/>
          <w:iCs/>
        </w:rPr>
        <w:t>Woman on the Edge of Time.</w:t>
      </w:r>
      <w:r w:rsidR="00776827">
        <w:t xml:space="preserve"> P.</w:t>
      </w:r>
      <w:r w:rsidR="00E37D6A">
        <w:t xml:space="preserve"> </w:t>
      </w:r>
      <w:r w:rsidR="00776827">
        <w:t>105.</w:t>
      </w:r>
    </w:p>
  </w:footnote>
  <w:footnote w:id="81">
    <w:p w14:paraId="2D4D4E84" w14:textId="496AF444" w:rsidR="00C05D2D" w:rsidRDefault="00C05D2D">
      <w:pPr>
        <w:pStyle w:val="FootnoteText"/>
      </w:pPr>
      <w:r>
        <w:rPr>
          <w:rStyle w:val="FootnoteReference"/>
        </w:rPr>
        <w:footnoteRef/>
      </w:r>
      <w:r>
        <w:t xml:space="preserve"> Piercy, </w:t>
      </w:r>
      <w:r>
        <w:rPr>
          <w:i/>
          <w:iCs/>
        </w:rPr>
        <w:t xml:space="preserve">Woman on the Edge of Time, </w:t>
      </w:r>
      <w:r>
        <w:t>p.</w:t>
      </w:r>
      <w:r w:rsidR="00E37D6A">
        <w:t xml:space="preserve"> </w:t>
      </w:r>
      <w:r>
        <w:t>103.</w:t>
      </w:r>
    </w:p>
  </w:footnote>
  <w:footnote w:id="82">
    <w:p w14:paraId="21E74F0D" w14:textId="1DE9ACF6" w:rsidR="003B76E8" w:rsidRDefault="003B76E8" w:rsidP="003B76E8">
      <w:pPr>
        <w:pStyle w:val="FootnoteText"/>
      </w:pPr>
      <w:r>
        <w:rPr>
          <w:rStyle w:val="FootnoteReference"/>
        </w:rPr>
        <w:footnoteRef/>
      </w:r>
      <w:r>
        <w:t xml:space="preserve"> Baruch</w:t>
      </w:r>
      <w:r w:rsidR="00E37D6A">
        <w:t>.</w:t>
      </w:r>
    </w:p>
  </w:footnote>
  <w:footnote w:id="83">
    <w:p w14:paraId="41D05AFF" w14:textId="2668CF69" w:rsidR="003B76E8" w:rsidRDefault="003B76E8" w:rsidP="003B76E8">
      <w:pPr>
        <w:pStyle w:val="FootnoteText"/>
      </w:pPr>
      <w:r>
        <w:rPr>
          <w:rStyle w:val="FootnoteReference"/>
        </w:rPr>
        <w:footnoteRef/>
      </w:r>
      <w:r>
        <w:t xml:space="preserve"> Robertson</w:t>
      </w:r>
      <w:r w:rsidR="00E37D6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36202" w14:textId="2CF1AAE5" w:rsidR="003B76E8" w:rsidRDefault="003B76E8">
    <w:pPr>
      <w:pStyle w:val="Header"/>
    </w:pPr>
    <w:r>
      <w:rPr>
        <w:noProof/>
      </w:rPr>
      <mc:AlternateContent>
        <mc:Choice Requires="wps">
          <w:drawing>
            <wp:anchor distT="0" distB="0" distL="0" distR="0" simplePos="0" relativeHeight="251659264" behindDoc="0" locked="0" layoutInCell="1" allowOverlap="1" wp14:anchorId="4E35F007" wp14:editId="3588E33C">
              <wp:simplePos x="635" y="635"/>
              <wp:positionH relativeFrom="page">
                <wp:align>left</wp:align>
              </wp:positionH>
              <wp:positionV relativeFrom="page">
                <wp:align>top</wp:align>
              </wp:positionV>
              <wp:extent cx="443865" cy="443865"/>
              <wp:effectExtent l="0" t="0" r="6350" b="1206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EDA4DE" w14:textId="1ADAB0FE"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35F007"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3FEDA4DE" w14:textId="1ADAB0FE"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5217842"/>
      <w:docPartObj>
        <w:docPartGallery w:val="Page Numbers (Top of Page)"/>
        <w:docPartUnique/>
      </w:docPartObj>
    </w:sdtPr>
    <w:sdtEndPr>
      <w:rPr>
        <w:noProof/>
      </w:rPr>
    </w:sdtEndPr>
    <w:sdtContent>
      <w:p w14:paraId="09D21934" w14:textId="788E0D95" w:rsidR="00CC179E" w:rsidRDefault="00CC179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3A7090" w14:textId="144A84B7" w:rsidR="003B76E8" w:rsidRDefault="003B76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60256" w14:textId="7B734CC1" w:rsidR="003B76E8" w:rsidRDefault="003B76E8">
    <w:pPr>
      <w:pStyle w:val="Header"/>
    </w:pPr>
    <w:r>
      <w:rPr>
        <w:noProof/>
      </w:rPr>
      <mc:AlternateContent>
        <mc:Choice Requires="wps">
          <w:drawing>
            <wp:anchor distT="0" distB="0" distL="0" distR="0" simplePos="0" relativeHeight="251658240" behindDoc="0" locked="0" layoutInCell="1" allowOverlap="1" wp14:anchorId="11548985" wp14:editId="07C68D6E">
              <wp:simplePos x="635" y="635"/>
              <wp:positionH relativeFrom="page">
                <wp:align>left</wp:align>
              </wp:positionH>
              <wp:positionV relativeFrom="page">
                <wp:align>top</wp:align>
              </wp:positionV>
              <wp:extent cx="443865" cy="443865"/>
              <wp:effectExtent l="0" t="0" r="6350" b="1206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219A79" w14:textId="012FB5AE"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548985" id="_x0000_t202" coordsize="21600,21600" o:spt="202" path="m,l,21600r21600,l21600,xe">
              <v:stroke joinstyle="miter"/>
              <v:path gradientshapeok="t" o:connecttype="rect"/>
            </v:shapetype>
            <v:shape id="Text Box 1" o:spid="_x0000_s1029"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PD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zBbzPI8CS970c76InkseGvvRMEf9AKjFKT4L&#10;y5MZ64IaTelAv6Gm1/E2TDHD8c6ShtF8CL188U1wsV6nItSSZWFrdpbH1hGzCOhr98acHVAPSNcT&#10;jJJixTvw+9r4p7frY0AKEjMR3x7NAXbUYeJ2eDNR6L/6qer6sl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I6APDDwIAACEE&#10;AAAOAAAAAAAAAAAAAAAAAC4CAABkcnMvZTJvRG9jLnhtbFBLAQItABQABgAIAAAAIQBzm59s2QAA&#10;AAMBAAAPAAAAAAAAAAAAAAAAAGkEAABkcnMvZG93bnJldi54bWxQSwUGAAAAAAQABADzAAAAbwUA&#10;AAAA&#10;" filled="f" stroked="f">
              <v:textbox style="mso-fit-shape-to-text:t" inset="20pt,15pt,0,0">
                <w:txbxContent>
                  <w:p w14:paraId="01219A79" w14:textId="012FB5AE" w:rsidR="003B76E8" w:rsidRPr="003B76E8" w:rsidRDefault="003B76E8" w:rsidP="003B76E8">
                    <w:pPr>
                      <w:spacing w:after="0"/>
                      <w:rPr>
                        <w:rFonts w:ascii="Calibri" w:eastAsia="Calibri" w:hAnsi="Calibri" w:cs="Calibri"/>
                        <w:noProof/>
                        <w:color w:val="000000"/>
                        <w:sz w:val="20"/>
                        <w:szCs w:val="20"/>
                      </w:rPr>
                    </w:pPr>
                    <w:r w:rsidRPr="003B76E8">
                      <w:rPr>
                        <w:rFonts w:ascii="Calibri" w:eastAsia="Calibri" w:hAnsi="Calibri" w:cs="Calibri"/>
                        <w:noProof/>
                        <w:color w:val="000000"/>
                        <w:sz w:val="20"/>
                        <w:szCs w:val="20"/>
                      </w:rPr>
                      <w:t>Public</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6E8"/>
    <w:rsid w:val="00013926"/>
    <w:rsid w:val="00026AFE"/>
    <w:rsid w:val="00027461"/>
    <w:rsid w:val="00050DDC"/>
    <w:rsid w:val="00054C99"/>
    <w:rsid w:val="000748ED"/>
    <w:rsid w:val="00075BDE"/>
    <w:rsid w:val="00076FAF"/>
    <w:rsid w:val="000A03E0"/>
    <w:rsid w:val="000C13D7"/>
    <w:rsid w:val="000C3439"/>
    <w:rsid w:val="000D2805"/>
    <w:rsid w:val="000F1B27"/>
    <w:rsid w:val="001110F3"/>
    <w:rsid w:val="00120092"/>
    <w:rsid w:val="00132277"/>
    <w:rsid w:val="001343B6"/>
    <w:rsid w:val="00140B6A"/>
    <w:rsid w:val="001543B3"/>
    <w:rsid w:val="001A114B"/>
    <w:rsid w:val="001A5071"/>
    <w:rsid w:val="001A7830"/>
    <w:rsid w:val="001C27B4"/>
    <w:rsid w:val="001C42E5"/>
    <w:rsid w:val="001D6DAE"/>
    <w:rsid w:val="001E147B"/>
    <w:rsid w:val="001F04E0"/>
    <w:rsid w:val="001F3117"/>
    <w:rsid w:val="00220704"/>
    <w:rsid w:val="00223AEF"/>
    <w:rsid w:val="00225AC3"/>
    <w:rsid w:val="00243E2B"/>
    <w:rsid w:val="00247ABC"/>
    <w:rsid w:val="00254D36"/>
    <w:rsid w:val="002572B9"/>
    <w:rsid w:val="00262526"/>
    <w:rsid w:val="00265A55"/>
    <w:rsid w:val="0026668F"/>
    <w:rsid w:val="00276016"/>
    <w:rsid w:val="00293EEC"/>
    <w:rsid w:val="002A73D1"/>
    <w:rsid w:val="002A7D6C"/>
    <w:rsid w:val="002B7423"/>
    <w:rsid w:val="002C13FE"/>
    <w:rsid w:val="002E10CE"/>
    <w:rsid w:val="002F04B8"/>
    <w:rsid w:val="002F0BDE"/>
    <w:rsid w:val="002F5CBC"/>
    <w:rsid w:val="00320C1D"/>
    <w:rsid w:val="00334E35"/>
    <w:rsid w:val="0034396D"/>
    <w:rsid w:val="00344153"/>
    <w:rsid w:val="003446A0"/>
    <w:rsid w:val="003612C6"/>
    <w:rsid w:val="0036187B"/>
    <w:rsid w:val="00367016"/>
    <w:rsid w:val="003671CE"/>
    <w:rsid w:val="00376C7C"/>
    <w:rsid w:val="00384390"/>
    <w:rsid w:val="00384A77"/>
    <w:rsid w:val="00387D4C"/>
    <w:rsid w:val="003B400B"/>
    <w:rsid w:val="003B76E8"/>
    <w:rsid w:val="003C2DBC"/>
    <w:rsid w:val="003C3431"/>
    <w:rsid w:val="003D0F96"/>
    <w:rsid w:val="003E459D"/>
    <w:rsid w:val="004001F0"/>
    <w:rsid w:val="00420634"/>
    <w:rsid w:val="00423908"/>
    <w:rsid w:val="004474CC"/>
    <w:rsid w:val="00460D43"/>
    <w:rsid w:val="00466503"/>
    <w:rsid w:val="0047116B"/>
    <w:rsid w:val="00471235"/>
    <w:rsid w:val="004755F4"/>
    <w:rsid w:val="00477303"/>
    <w:rsid w:val="00493813"/>
    <w:rsid w:val="004A1C25"/>
    <w:rsid w:val="004B3309"/>
    <w:rsid w:val="004D0A70"/>
    <w:rsid w:val="004D28AD"/>
    <w:rsid w:val="0050529F"/>
    <w:rsid w:val="00521AC2"/>
    <w:rsid w:val="0052284B"/>
    <w:rsid w:val="005269C1"/>
    <w:rsid w:val="0054223F"/>
    <w:rsid w:val="00551343"/>
    <w:rsid w:val="00551D03"/>
    <w:rsid w:val="005774E1"/>
    <w:rsid w:val="00583CBA"/>
    <w:rsid w:val="005C658D"/>
    <w:rsid w:val="005D06CB"/>
    <w:rsid w:val="005D6698"/>
    <w:rsid w:val="005D6B7C"/>
    <w:rsid w:val="005D758C"/>
    <w:rsid w:val="005E2E09"/>
    <w:rsid w:val="005E5650"/>
    <w:rsid w:val="005E58CD"/>
    <w:rsid w:val="005F3A5D"/>
    <w:rsid w:val="0061403B"/>
    <w:rsid w:val="00621442"/>
    <w:rsid w:val="00656C5F"/>
    <w:rsid w:val="00663F9E"/>
    <w:rsid w:val="00671A08"/>
    <w:rsid w:val="00682F00"/>
    <w:rsid w:val="00684892"/>
    <w:rsid w:val="006A41BB"/>
    <w:rsid w:val="006B1B90"/>
    <w:rsid w:val="006B7F19"/>
    <w:rsid w:val="006C211E"/>
    <w:rsid w:val="006D10C6"/>
    <w:rsid w:val="006D284F"/>
    <w:rsid w:val="006E6344"/>
    <w:rsid w:val="006F6C42"/>
    <w:rsid w:val="00711E0C"/>
    <w:rsid w:val="00722C09"/>
    <w:rsid w:val="007255FB"/>
    <w:rsid w:val="00725D43"/>
    <w:rsid w:val="00730070"/>
    <w:rsid w:val="00740677"/>
    <w:rsid w:val="007410D5"/>
    <w:rsid w:val="00776827"/>
    <w:rsid w:val="0078221B"/>
    <w:rsid w:val="00793F85"/>
    <w:rsid w:val="007A44BC"/>
    <w:rsid w:val="007B0537"/>
    <w:rsid w:val="007C0BD9"/>
    <w:rsid w:val="007C34E5"/>
    <w:rsid w:val="007D37DC"/>
    <w:rsid w:val="007F6542"/>
    <w:rsid w:val="007F6A13"/>
    <w:rsid w:val="00804403"/>
    <w:rsid w:val="0080638A"/>
    <w:rsid w:val="00813A05"/>
    <w:rsid w:val="0081511B"/>
    <w:rsid w:val="008165B3"/>
    <w:rsid w:val="008205B2"/>
    <w:rsid w:val="00827B0F"/>
    <w:rsid w:val="008333D9"/>
    <w:rsid w:val="00841D8B"/>
    <w:rsid w:val="0085643C"/>
    <w:rsid w:val="008603DF"/>
    <w:rsid w:val="008835A5"/>
    <w:rsid w:val="00886EDC"/>
    <w:rsid w:val="00892F3E"/>
    <w:rsid w:val="0089377E"/>
    <w:rsid w:val="008A15AF"/>
    <w:rsid w:val="008B7590"/>
    <w:rsid w:val="008C266E"/>
    <w:rsid w:val="008E3026"/>
    <w:rsid w:val="00907517"/>
    <w:rsid w:val="00912194"/>
    <w:rsid w:val="0091622B"/>
    <w:rsid w:val="009278C3"/>
    <w:rsid w:val="009318DC"/>
    <w:rsid w:val="00943D7D"/>
    <w:rsid w:val="00954240"/>
    <w:rsid w:val="009628C7"/>
    <w:rsid w:val="00991B58"/>
    <w:rsid w:val="00992F44"/>
    <w:rsid w:val="009A1797"/>
    <w:rsid w:val="009B0D1C"/>
    <w:rsid w:val="009B37F2"/>
    <w:rsid w:val="009B4AE4"/>
    <w:rsid w:val="009C5AF3"/>
    <w:rsid w:val="009E0DB1"/>
    <w:rsid w:val="009E2964"/>
    <w:rsid w:val="009F2CD7"/>
    <w:rsid w:val="00A04590"/>
    <w:rsid w:val="00A05AB3"/>
    <w:rsid w:val="00A2279E"/>
    <w:rsid w:val="00A46401"/>
    <w:rsid w:val="00A51450"/>
    <w:rsid w:val="00A54D48"/>
    <w:rsid w:val="00A55E3F"/>
    <w:rsid w:val="00A66819"/>
    <w:rsid w:val="00A67242"/>
    <w:rsid w:val="00A67DBB"/>
    <w:rsid w:val="00A9221E"/>
    <w:rsid w:val="00A933DB"/>
    <w:rsid w:val="00AA05F8"/>
    <w:rsid w:val="00AA2375"/>
    <w:rsid w:val="00AB7FA5"/>
    <w:rsid w:val="00AC0A58"/>
    <w:rsid w:val="00AD14B4"/>
    <w:rsid w:val="00AD75B3"/>
    <w:rsid w:val="00AD79B9"/>
    <w:rsid w:val="00AE4DA5"/>
    <w:rsid w:val="00AE661F"/>
    <w:rsid w:val="00B03CB2"/>
    <w:rsid w:val="00B17E47"/>
    <w:rsid w:val="00B32B4F"/>
    <w:rsid w:val="00B51F51"/>
    <w:rsid w:val="00B53DAA"/>
    <w:rsid w:val="00B54A0C"/>
    <w:rsid w:val="00B75C33"/>
    <w:rsid w:val="00B85D51"/>
    <w:rsid w:val="00B9080C"/>
    <w:rsid w:val="00BA0F8D"/>
    <w:rsid w:val="00BA7E02"/>
    <w:rsid w:val="00BB2CBC"/>
    <w:rsid w:val="00BC49A5"/>
    <w:rsid w:val="00BD045E"/>
    <w:rsid w:val="00BF6C26"/>
    <w:rsid w:val="00C03D78"/>
    <w:rsid w:val="00C05D2D"/>
    <w:rsid w:val="00C137D0"/>
    <w:rsid w:val="00C16248"/>
    <w:rsid w:val="00C25E59"/>
    <w:rsid w:val="00C26CE0"/>
    <w:rsid w:val="00C27FC4"/>
    <w:rsid w:val="00C32675"/>
    <w:rsid w:val="00C3794C"/>
    <w:rsid w:val="00C40135"/>
    <w:rsid w:val="00C6332C"/>
    <w:rsid w:val="00C77A9A"/>
    <w:rsid w:val="00C92FE3"/>
    <w:rsid w:val="00C96E01"/>
    <w:rsid w:val="00CB7D83"/>
    <w:rsid w:val="00CC179E"/>
    <w:rsid w:val="00CC4013"/>
    <w:rsid w:val="00CE1BE7"/>
    <w:rsid w:val="00CE2FBE"/>
    <w:rsid w:val="00CE772A"/>
    <w:rsid w:val="00CF745A"/>
    <w:rsid w:val="00D02642"/>
    <w:rsid w:val="00D068F2"/>
    <w:rsid w:val="00D11BE3"/>
    <w:rsid w:val="00D11EE7"/>
    <w:rsid w:val="00D44783"/>
    <w:rsid w:val="00D55C1A"/>
    <w:rsid w:val="00D76592"/>
    <w:rsid w:val="00D923E8"/>
    <w:rsid w:val="00DA511E"/>
    <w:rsid w:val="00DA7BCE"/>
    <w:rsid w:val="00DD13AA"/>
    <w:rsid w:val="00DF36F6"/>
    <w:rsid w:val="00E0115F"/>
    <w:rsid w:val="00E04990"/>
    <w:rsid w:val="00E04BC1"/>
    <w:rsid w:val="00E17DCE"/>
    <w:rsid w:val="00E37D6A"/>
    <w:rsid w:val="00E50826"/>
    <w:rsid w:val="00E63898"/>
    <w:rsid w:val="00E77F72"/>
    <w:rsid w:val="00EA7D7E"/>
    <w:rsid w:val="00EB66CF"/>
    <w:rsid w:val="00EB789F"/>
    <w:rsid w:val="00F00A4D"/>
    <w:rsid w:val="00F02232"/>
    <w:rsid w:val="00F22A98"/>
    <w:rsid w:val="00F30E5D"/>
    <w:rsid w:val="00F33CF9"/>
    <w:rsid w:val="00F62B82"/>
    <w:rsid w:val="00F92786"/>
    <w:rsid w:val="00F959BA"/>
    <w:rsid w:val="00FA2B45"/>
    <w:rsid w:val="00FB0ACF"/>
    <w:rsid w:val="00FB17A8"/>
    <w:rsid w:val="00FD1C15"/>
    <w:rsid w:val="00FF1506"/>
    <w:rsid w:val="00FF1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38940"/>
  <w15:chartTrackingRefBased/>
  <w15:docId w15:val="{CC8739B1-07AE-4228-8424-29E532FD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6E8"/>
    <w:pPr>
      <w:spacing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76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76E8"/>
    <w:rPr>
      <w:sz w:val="20"/>
      <w:szCs w:val="20"/>
    </w:rPr>
  </w:style>
  <w:style w:type="character" w:styleId="FootnoteReference">
    <w:name w:val="footnote reference"/>
    <w:basedOn w:val="DefaultParagraphFont"/>
    <w:uiPriority w:val="99"/>
    <w:semiHidden/>
    <w:unhideWhenUsed/>
    <w:rsid w:val="003B76E8"/>
    <w:rPr>
      <w:vertAlign w:val="superscript"/>
    </w:rPr>
  </w:style>
  <w:style w:type="paragraph" w:styleId="Header">
    <w:name w:val="header"/>
    <w:basedOn w:val="Normal"/>
    <w:link w:val="HeaderChar"/>
    <w:uiPriority w:val="99"/>
    <w:unhideWhenUsed/>
    <w:rsid w:val="003B76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6E8"/>
    <w:rPr>
      <w:sz w:val="24"/>
      <w:szCs w:val="24"/>
    </w:rPr>
  </w:style>
  <w:style w:type="paragraph" w:styleId="Footer">
    <w:name w:val="footer"/>
    <w:basedOn w:val="Normal"/>
    <w:link w:val="FooterChar"/>
    <w:uiPriority w:val="99"/>
    <w:unhideWhenUsed/>
    <w:rsid w:val="003B76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6E8"/>
    <w:rPr>
      <w:sz w:val="24"/>
      <w:szCs w:val="24"/>
    </w:rPr>
  </w:style>
  <w:style w:type="character" w:styleId="Hyperlink">
    <w:name w:val="Hyperlink"/>
    <w:basedOn w:val="DefaultParagraphFont"/>
    <w:uiPriority w:val="99"/>
    <w:unhideWhenUsed/>
    <w:rsid w:val="001F04E0"/>
    <w:rPr>
      <w:color w:val="0563C1" w:themeColor="hyperlink"/>
      <w:u w:val="single"/>
    </w:rPr>
  </w:style>
  <w:style w:type="character" w:styleId="UnresolvedMention">
    <w:name w:val="Unresolved Mention"/>
    <w:basedOn w:val="DefaultParagraphFont"/>
    <w:uiPriority w:val="99"/>
    <w:semiHidden/>
    <w:unhideWhenUsed/>
    <w:rsid w:val="001F0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07351">
      <w:bodyDiv w:val="1"/>
      <w:marLeft w:val="0"/>
      <w:marRight w:val="0"/>
      <w:marTop w:val="0"/>
      <w:marBottom w:val="0"/>
      <w:divBdr>
        <w:top w:val="none" w:sz="0" w:space="0" w:color="auto"/>
        <w:left w:val="none" w:sz="0" w:space="0" w:color="auto"/>
        <w:bottom w:val="none" w:sz="0" w:space="0" w:color="auto"/>
        <w:right w:val="none" w:sz="0" w:space="0" w:color="auto"/>
      </w:divBdr>
      <w:divsChild>
        <w:div w:id="1231161942">
          <w:marLeft w:val="0"/>
          <w:marRight w:val="0"/>
          <w:marTop w:val="0"/>
          <w:marBottom w:val="0"/>
          <w:divBdr>
            <w:top w:val="none" w:sz="0" w:space="0" w:color="auto"/>
            <w:left w:val="none" w:sz="0" w:space="0" w:color="auto"/>
            <w:bottom w:val="none" w:sz="0" w:space="0" w:color="auto"/>
            <w:right w:val="none" w:sz="0" w:space="0" w:color="auto"/>
          </w:divBdr>
          <w:divsChild>
            <w:div w:id="192082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195390">
      <w:bodyDiv w:val="1"/>
      <w:marLeft w:val="0"/>
      <w:marRight w:val="0"/>
      <w:marTop w:val="0"/>
      <w:marBottom w:val="0"/>
      <w:divBdr>
        <w:top w:val="none" w:sz="0" w:space="0" w:color="auto"/>
        <w:left w:val="none" w:sz="0" w:space="0" w:color="auto"/>
        <w:bottom w:val="none" w:sz="0" w:space="0" w:color="auto"/>
        <w:right w:val="none" w:sz="0" w:space="0" w:color="auto"/>
      </w:divBdr>
      <w:divsChild>
        <w:div w:id="957878940">
          <w:marLeft w:val="0"/>
          <w:marRight w:val="0"/>
          <w:marTop w:val="0"/>
          <w:marBottom w:val="0"/>
          <w:divBdr>
            <w:top w:val="none" w:sz="0" w:space="0" w:color="auto"/>
            <w:left w:val="none" w:sz="0" w:space="0" w:color="auto"/>
            <w:bottom w:val="none" w:sz="0" w:space="0" w:color="auto"/>
            <w:right w:val="none" w:sz="0" w:space="0" w:color="auto"/>
          </w:divBdr>
          <w:divsChild>
            <w:div w:id="16548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203359">
      <w:bodyDiv w:val="1"/>
      <w:marLeft w:val="0"/>
      <w:marRight w:val="0"/>
      <w:marTop w:val="0"/>
      <w:marBottom w:val="0"/>
      <w:divBdr>
        <w:top w:val="none" w:sz="0" w:space="0" w:color="auto"/>
        <w:left w:val="none" w:sz="0" w:space="0" w:color="auto"/>
        <w:bottom w:val="none" w:sz="0" w:space="0" w:color="auto"/>
        <w:right w:val="none" w:sz="0" w:space="0" w:color="auto"/>
      </w:divBdr>
    </w:div>
    <w:div w:id="2061244805">
      <w:bodyDiv w:val="1"/>
      <w:marLeft w:val="0"/>
      <w:marRight w:val="0"/>
      <w:marTop w:val="0"/>
      <w:marBottom w:val="0"/>
      <w:divBdr>
        <w:top w:val="none" w:sz="0" w:space="0" w:color="auto"/>
        <w:left w:val="none" w:sz="0" w:space="0" w:color="auto"/>
        <w:bottom w:val="none" w:sz="0" w:space="0" w:color="auto"/>
        <w:right w:val="none" w:sz="0" w:space="0" w:color="auto"/>
      </w:divBdr>
      <w:divsChild>
        <w:div w:id="1749768054">
          <w:marLeft w:val="0"/>
          <w:marRight w:val="0"/>
          <w:marTop w:val="0"/>
          <w:marBottom w:val="0"/>
          <w:divBdr>
            <w:top w:val="none" w:sz="0" w:space="0" w:color="auto"/>
            <w:left w:val="none" w:sz="0" w:space="0" w:color="auto"/>
            <w:bottom w:val="none" w:sz="0" w:space="0" w:color="auto"/>
            <w:right w:val="none" w:sz="0" w:space="0" w:color="auto"/>
          </w:divBdr>
          <w:divsChild>
            <w:div w:id="170258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B679A7A84824D46B5DFA778E7CC16B5" ma:contentTypeVersion="17" ma:contentTypeDescription="Create a new document." ma:contentTypeScope="" ma:versionID="388f84f5af676f89b580474cb00182c4">
  <xsd:schema xmlns:xsd="http://www.w3.org/2001/XMLSchema" xmlns:xs="http://www.w3.org/2001/XMLSchema" xmlns:p="http://schemas.microsoft.com/office/2006/metadata/properties" xmlns:ns3="ce102db1-d7e7-4eff-a01d-ce9653041f23" xmlns:ns4="82b5828f-cd96-4343-ac07-cd16e525178d" targetNamespace="http://schemas.microsoft.com/office/2006/metadata/properties" ma:root="true" ma:fieldsID="059f3cfb797cc40a3c5e1daa646d9557" ns3:_="" ns4:_="">
    <xsd:import namespace="ce102db1-d7e7-4eff-a01d-ce9653041f23"/>
    <xsd:import namespace="82b5828f-cd96-4343-ac07-cd16e52517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_activity"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02db1-d7e7-4eff-a01d-ce9653041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b5828f-cd96-4343-ac07-cd16e525178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e102db1-d7e7-4eff-a01d-ce9653041f23" xsi:nil="true"/>
  </documentManagement>
</p:properties>
</file>

<file path=customXml/itemProps1.xml><?xml version="1.0" encoding="utf-8"?>
<ds:datastoreItem xmlns:ds="http://schemas.openxmlformats.org/officeDocument/2006/customXml" ds:itemID="{F7A05419-D2A5-44B6-9804-885311FBF27F}">
  <ds:schemaRefs>
    <ds:schemaRef ds:uri="http://schemas.openxmlformats.org/officeDocument/2006/bibliography"/>
  </ds:schemaRefs>
</ds:datastoreItem>
</file>

<file path=customXml/itemProps2.xml><?xml version="1.0" encoding="utf-8"?>
<ds:datastoreItem xmlns:ds="http://schemas.openxmlformats.org/officeDocument/2006/customXml" ds:itemID="{2E9633C3-41EC-4F25-A7EB-8900C01A1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02db1-d7e7-4eff-a01d-ce9653041f23"/>
    <ds:schemaRef ds:uri="82b5828f-cd96-4343-ac07-cd16e5251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F8E0E-A8EA-429C-AEB8-BEBE5D65AE0E}">
  <ds:schemaRefs>
    <ds:schemaRef ds:uri="http://schemas.microsoft.com/sharepoint/v3/contenttype/forms"/>
  </ds:schemaRefs>
</ds:datastoreItem>
</file>

<file path=customXml/itemProps4.xml><?xml version="1.0" encoding="utf-8"?>
<ds:datastoreItem xmlns:ds="http://schemas.openxmlformats.org/officeDocument/2006/customXml" ds:itemID="{B7FC9B61-519D-4FA0-BF0F-24CED302E31B}">
  <ds:schemaRefs>
    <ds:schemaRef ds:uri="http://schemas.microsoft.com/office/2006/metadata/properties"/>
    <ds:schemaRef ds:uri="http://schemas.microsoft.com/office/infopath/2007/PartnerControls"/>
    <ds:schemaRef ds:uri="ce102db1-d7e7-4eff-a01d-ce9653041f23"/>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4396</Words>
  <Characters>25058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Tuck</dc:creator>
  <cp:keywords/>
  <dc:description/>
  <cp:lastModifiedBy>Stephanie Tuck</cp:lastModifiedBy>
  <cp:revision>3</cp:revision>
  <dcterms:created xsi:type="dcterms:W3CDTF">2024-05-22T19:22:00Z</dcterms:created>
  <dcterms:modified xsi:type="dcterms:W3CDTF">2024-05-23T16:35:00Z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0x010100DB679A7A84824D46B5DFA778E7CC16B5</vt:lpwstr>
  </property>
  <property fmtid="{D5CDD505-2E9C-101B-9397-08002B2CF9AE}" pid="3" name="ClassificationContentMarkingHeaderShapeIds">
    <vt:lpwstr>1,2,3</vt:lpwstr>
  </property>
  <property fmtid="{D5CDD505-2E9C-101B-9397-08002B2CF9AE}" pid="4" name="ClassificationContentMarkingHeaderFontProps">
    <vt:lpwstr>#000000,10,Calibri</vt:lpwstr>
  </property>
  <property fmtid="{D5CDD505-2E9C-101B-9397-08002B2CF9AE}" pid="5" name="ClassificationContentMarkingHeaderText">
    <vt:lpwstr>Public</vt:lpwstr>
  </property>
  <property fmtid="{D5CDD505-2E9C-101B-9397-08002B2CF9AE}" pid="6" name="ClassificationContentMarkingFooterShapeIds">
    <vt:lpwstr>4,5,6</vt:lpwstr>
  </property>
  <property fmtid="{D5CDD505-2E9C-101B-9397-08002B2CF9AE}" pid="7" name="ClassificationContentMarkingFooterFontProps">
    <vt:lpwstr>#000000,10,Calibri</vt:lpwstr>
  </property>
  <property fmtid="{D5CDD505-2E9C-101B-9397-08002B2CF9AE}" pid="8" name="ClassificationContentMarkingFooterText">
    <vt:lpwstr>Public</vt:lpwstr>
  </property>
  <property fmtid="{D5CDD505-2E9C-101B-9397-08002B2CF9AE}" pid="9" name="MSIP_Label_b3e3b5ea-4b98-4e48-b5c9-b587d8d98a9b_Enabled">
    <vt:lpwstr>true</vt:lpwstr>
  </property>
  <property fmtid="{D5CDD505-2E9C-101B-9397-08002B2CF9AE}" pid="10" name="MSIP_Label_b3e3b5ea-4b98-4e48-b5c9-b587d8d98a9b_SetDate">
    <vt:lpwstr>2024-05-20T16:28:27Z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27e81af1-9e7f-4557-8ec2-ddae8e6197df</vt:lpwstr>
  </property>
  <property fmtid="{D5CDD505-2E9C-101B-9397-08002B2CF9AE}" pid="15" name="MSIP_Label_b3e3b5ea-4b98-4e48-b5c9-b587d8d98a9b_ContentBits">
    <vt:lpwstr>3</vt:lpwstr>
  </property>
</Properties>
</file>