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B8F34" w14:textId="5A727F84" w:rsidR="001B3D45" w:rsidRDefault="00C9797B" w:rsidP="00C9797B">
      <w:pPr>
        <w:pStyle w:val="Title"/>
        <w:jc w:val="center"/>
        <w:rPr>
          <w:lang w:val="en-US"/>
        </w:rPr>
      </w:pPr>
      <w:r>
        <w:rPr>
          <w:lang w:val="en-US"/>
        </w:rPr>
        <w:t>Principles of Health and Social Care</w:t>
      </w:r>
      <w:r w:rsidR="00094A12">
        <w:rPr>
          <w:lang w:val="en-US"/>
        </w:rPr>
        <w:t xml:space="preserve"> Practice </w:t>
      </w:r>
    </w:p>
    <w:p w14:paraId="6148C9DE" w14:textId="77777777" w:rsidR="00C9797B" w:rsidRDefault="00C9797B" w:rsidP="00C9797B">
      <w:pPr>
        <w:rPr>
          <w:lang w:val="en-US"/>
        </w:rPr>
      </w:pPr>
    </w:p>
    <w:p w14:paraId="52192EF5" w14:textId="6A4E84C8" w:rsidR="00C9797B" w:rsidRDefault="00C9797B" w:rsidP="00C9797B">
      <w:pPr>
        <w:jc w:val="center"/>
        <w:rPr>
          <w:lang w:val="en-US"/>
        </w:rPr>
      </w:pPr>
      <w:r>
        <w:rPr>
          <w:lang w:val="en-US"/>
        </w:rPr>
        <w:t>Component 1: Written Assignment (Reflective Report)</w:t>
      </w:r>
    </w:p>
    <w:p w14:paraId="3F5DC067" w14:textId="7FB0182E" w:rsidR="00C9797B" w:rsidRDefault="00C9797B" w:rsidP="00C9797B">
      <w:pPr>
        <w:jc w:val="center"/>
        <w:rPr>
          <w:lang w:val="en-US"/>
        </w:rPr>
      </w:pPr>
      <w:r>
        <w:rPr>
          <w:lang w:val="en-US"/>
        </w:rPr>
        <w:t>Module code: BMHP5016</w:t>
      </w:r>
    </w:p>
    <w:p w14:paraId="57597298" w14:textId="5406EE02" w:rsidR="00C9797B" w:rsidRDefault="00C9797B" w:rsidP="00C9797B">
      <w:pPr>
        <w:jc w:val="center"/>
        <w:rPr>
          <w:lang w:val="en-US"/>
        </w:rPr>
      </w:pPr>
      <w:r>
        <w:rPr>
          <w:lang w:val="en-US"/>
        </w:rPr>
        <w:t>Lecturer’s name: Farah Islam.</w:t>
      </w:r>
    </w:p>
    <w:p w14:paraId="71583243" w14:textId="619202AC" w:rsidR="00C9797B" w:rsidRDefault="00C9797B" w:rsidP="00C9797B">
      <w:pPr>
        <w:jc w:val="center"/>
        <w:rPr>
          <w:lang w:val="en-US"/>
        </w:rPr>
      </w:pPr>
      <w:r>
        <w:rPr>
          <w:lang w:val="en-US"/>
        </w:rPr>
        <w:t>Student name: Zaiba Tabassum.</w:t>
      </w:r>
    </w:p>
    <w:p w14:paraId="0EA83657" w14:textId="1E0C9117" w:rsidR="00C9797B" w:rsidRDefault="00C9797B" w:rsidP="00C9797B">
      <w:pPr>
        <w:jc w:val="center"/>
        <w:rPr>
          <w:lang w:val="en-US"/>
        </w:rPr>
      </w:pPr>
      <w:r>
        <w:rPr>
          <w:lang w:val="en-US"/>
        </w:rPr>
        <w:t>Student ID: 2407213</w:t>
      </w:r>
    </w:p>
    <w:p w14:paraId="1A2E5252" w14:textId="77777777" w:rsidR="00C9797B" w:rsidRDefault="00C9797B" w:rsidP="00C9797B">
      <w:pPr>
        <w:rPr>
          <w:lang w:val="en-US"/>
        </w:rPr>
      </w:pPr>
    </w:p>
    <w:p w14:paraId="007B97B9" w14:textId="77777777" w:rsidR="00C9797B" w:rsidRPr="00C9797B" w:rsidRDefault="00C9797B" w:rsidP="00C9797B">
      <w:pPr>
        <w:rPr>
          <w:lang w:val="en-US"/>
        </w:rPr>
      </w:pPr>
    </w:p>
    <w:p w14:paraId="72F1A6CA" w14:textId="77777777" w:rsidR="001B3D45" w:rsidRDefault="001B3D45" w:rsidP="001B3D45">
      <w:pPr>
        <w:rPr>
          <w:lang w:val="en-US"/>
        </w:rPr>
      </w:pPr>
    </w:p>
    <w:p w14:paraId="3B98789D" w14:textId="77777777" w:rsidR="001B3D45" w:rsidRDefault="001B3D45" w:rsidP="001B3D45">
      <w:pPr>
        <w:rPr>
          <w:lang w:val="en-US"/>
        </w:rPr>
      </w:pPr>
    </w:p>
    <w:p w14:paraId="6357E1CB" w14:textId="77777777" w:rsidR="001B3D45" w:rsidRDefault="001B3D45" w:rsidP="001B3D45">
      <w:pPr>
        <w:rPr>
          <w:lang w:val="en-US"/>
        </w:rPr>
      </w:pPr>
    </w:p>
    <w:p w14:paraId="3D7E22E1" w14:textId="77777777" w:rsidR="001B3D45" w:rsidRDefault="001B3D45" w:rsidP="001B3D45">
      <w:pPr>
        <w:rPr>
          <w:lang w:val="en-US"/>
        </w:rPr>
      </w:pPr>
    </w:p>
    <w:p w14:paraId="2B0CEE6D" w14:textId="77777777" w:rsidR="001B3D45" w:rsidRDefault="001B3D45" w:rsidP="001B3D45">
      <w:pPr>
        <w:rPr>
          <w:lang w:val="en-US"/>
        </w:rPr>
      </w:pPr>
    </w:p>
    <w:p w14:paraId="2A239986" w14:textId="77777777" w:rsidR="001B3D45" w:rsidRDefault="001B3D45" w:rsidP="001B3D45">
      <w:pPr>
        <w:rPr>
          <w:lang w:val="en-US"/>
        </w:rPr>
      </w:pPr>
    </w:p>
    <w:p w14:paraId="32C57FEC" w14:textId="77777777" w:rsidR="001B3D45" w:rsidRDefault="001B3D45" w:rsidP="001B3D45">
      <w:pPr>
        <w:rPr>
          <w:lang w:val="en-US"/>
        </w:rPr>
      </w:pPr>
    </w:p>
    <w:p w14:paraId="5DC95D32" w14:textId="77777777" w:rsidR="001B3D45" w:rsidRDefault="001B3D45" w:rsidP="001B3D45">
      <w:pPr>
        <w:rPr>
          <w:lang w:val="en-US"/>
        </w:rPr>
      </w:pPr>
    </w:p>
    <w:p w14:paraId="1109268D" w14:textId="77777777" w:rsidR="001B3D45" w:rsidRDefault="001B3D45" w:rsidP="001B3D45">
      <w:pPr>
        <w:rPr>
          <w:lang w:val="en-US"/>
        </w:rPr>
      </w:pPr>
    </w:p>
    <w:p w14:paraId="2718AB78" w14:textId="77777777" w:rsidR="001B3D45" w:rsidRDefault="001B3D45" w:rsidP="001B3D45">
      <w:pPr>
        <w:rPr>
          <w:lang w:val="en-US"/>
        </w:rPr>
      </w:pPr>
    </w:p>
    <w:p w14:paraId="7876CF91" w14:textId="77777777" w:rsidR="001B3D45" w:rsidRDefault="001B3D45" w:rsidP="001B3D45">
      <w:pPr>
        <w:rPr>
          <w:lang w:val="en-US"/>
        </w:rPr>
      </w:pPr>
    </w:p>
    <w:p w14:paraId="0105D7A1" w14:textId="77777777" w:rsidR="001B3D45" w:rsidRDefault="001B3D45" w:rsidP="001B3D45">
      <w:pPr>
        <w:rPr>
          <w:lang w:val="en-US"/>
        </w:rPr>
      </w:pPr>
    </w:p>
    <w:p w14:paraId="582DE8F8" w14:textId="77777777" w:rsidR="001B3D45" w:rsidRDefault="001B3D45" w:rsidP="001B3D45">
      <w:pPr>
        <w:rPr>
          <w:lang w:val="en-US"/>
        </w:rPr>
      </w:pPr>
    </w:p>
    <w:p w14:paraId="744F55BF" w14:textId="77777777" w:rsidR="001B3D45" w:rsidRDefault="001B3D45" w:rsidP="001B3D45">
      <w:pPr>
        <w:rPr>
          <w:lang w:val="en-US"/>
        </w:rPr>
      </w:pPr>
    </w:p>
    <w:p w14:paraId="22997C05" w14:textId="77777777" w:rsidR="001B3D45" w:rsidRDefault="001B3D45" w:rsidP="001B3D45">
      <w:pPr>
        <w:rPr>
          <w:lang w:val="en-US"/>
        </w:rPr>
      </w:pPr>
    </w:p>
    <w:p w14:paraId="75379A90" w14:textId="77777777" w:rsidR="001B3D45" w:rsidRDefault="001B3D45" w:rsidP="001B3D45">
      <w:pPr>
        <w:rPr>
          <w:lang w:val="en-US"/>
        </w:rPr>
      </w:pPr>
    </w:p>
    <w:p w14:paraId="713182D7" w14:textId="77777777" w:rsidR="001B3D45" w:rsidRDefault="001B3D45" w:rsidP="001B3D45">
      <w:pPr>
        <w:rPr>
          <w:lang w:val="en-US"/>
        </w:rPr>
      </w:pPr>
    </w:p>
    <w:p w14:paraId="13756E1D" w14:textId="77777777" w:rsidR="001B3D45" w:rsidRDefault="001B3D45" w:rsidP="001B3D45">
      <w:pPr>
        <w:rPr>
          <w:lang w:val="en-US"/>
        </w:rPr>
      </w:pPr>
    </w:p>
    <w:p w14:paraId="1B0E19B1" w14:textId="77777777" w:rsidR="001B3D45" w:rsidRDefault="001B3D45" w:rsidP="001B3D45">
      <w:pPr>
        <w:rPr>
          <w:lang w:val="en-US"/>
        </w:rPr>
      </w:pPr>
    </w:p>
    <w:p w14:paraId="06FC55E6" w14:textId="77777777" w:rsidR="001B3D45" w:rsidRPr="001B3D45" w:rsidRDefault="001B3D45" w:rsidP="001B3D45">
      <w:pPr>
        <w:rPr>
          <w:lang w:val="en-US"/>
        </w:rPr>
      </w:pPr>
    </w:p>
    <w:sdt>
      <w:sdtPr>
        <w:rPr>
          <w:rFonts w:ascii="Times New Roman" w:eastAsiaTheme="minorHAnsi" w:hAnsi="Times New Roman" w:cstheme="minorBidi"/>
          <w:color w:val="000000" w:themeColor="text1"/>
          <w:sz w:val="24"/>
          <w:szCs w:val="22"/>
          <w:lang w:val="en-GB"/>
        </w:rPr>
        <w:id w:val="-26564434"/>
        <w:docPartObj>
          <w:docPartGallery w:val="Table of Contents"/>
          <w:docPartUnique/>
        </w:docPartObj>
      </w:sdtPr>
      <w:sdtEndPr>
        <w:rPr>
          <w:b/>
          <w:bCs/>
          <w:noProof/>
        </w:rPr>
      </w:sdtEndPr>
      <w:sdtContent>
        <w:p w14:paraId="19780DAE" w14:textId="77777777" w:rsidR="0059121C" w:rsidRDefault="0059121C">
          <w:pPr>
            <w:pStyle w:val="TOCHeading"/>
          </w:pPr>
          <w:r>
            <w:t>Contents</w:t>
          </w:r>
        </w:p>
        <w:p w14:paraId="2DB19DBC" w14:textId="77777777" w:rsidR="001B3D45" w:rsidRDefault="0059121C">
          <w:pPr>
            <w:pStyle w:val="TOC1"/>
            <w:tabs>
              <w:tab w:val="left" w:pos="440"/>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211377666" w:history="1">
            <w:r w:rsidR="001B3D45" w:rsidRPr="00AB03B8">
              <w:rPr>
                <w:rStyle w:val="Hyperlink"/>
                <w:noProof/>
              </w:rPr>
              <w:t>1</w:t>
            </w:r>
            <w:r w:rsidR="001B3D45">
              <w:rPr>
                <w:rFonts w:asciiTheme="minorHAnsi" w:eastAsiaTheme="minorEastAsia" w:hAnsiTheme="minorHAnsi"/>
                <w:noProof/>
                <w:color w:val="auto"/>
                <w:sz w:val="22"/>
                <w:lang w:val="en-US"/>
              </w:rPr>
              <w:tab/>
            </w:r>
            <w:r w:rsidR="001B3D45" w:rsidRPr="00AB03B8">
              <w:rPr>
                <w:rStyle w:val="Hyperlink"/>
                <w:noProof/>
              </w:rPr>
              <w:t>Introduction</w:t>
            </w:r>
            <w:r w:rsidR="001B3D45">
              <w:rPr>
                <w:noProof/>
                <w:webHidden/>
              </w:rPr>
              <w:tab/>
            </w:r>
            <w:r w:rsidR="001B3D45">
              <w:rPr>
                <w:noProof/>
                <w:webHidden/>
              </w:rPr>
              <w:fldChar w:fldCharType="begin"/>
            </w:r>
            <w:r w:rsidR="001B3D45">
              <w:rPr>
                <w:noProof/>
                <w:webHidden/>
              </w:rPr>
              <w:instrText xml:space="preserve"> PAGEREF _Toc211377666 \h </w:instrText>
            </w:r>
            <w:r w:rsidR="001B3D45">
              <w:rPr>
                <w:noProof/>
                <w:webHidden/>
              </w:rPr>
            </w:r>
            <w:r w:rsidR="001B3D45">
              <w:rPr>
                <w:noProof/>
                <w:webHidden/>
              </w:rPr>
              <w:fldChar w:fldCharType="separate"/>
            </w:r>
            <w:r w:rsidR="001B3D45">
              <w:rPr>
                <w:noProof/>
                <w:webHidden/>
              </w:rPr>
              <w:t>2</w:t>
            </w:r>
            <w:r w:rsidR="001B3D45">
              <w:rPr>
                <w:noProof/>
                <w:webHidden/>
              </w:rPr>
              <w:fldChar w:fldCharType="end"/>
            </w:r>
          </w:hyperlink>
        </w:p>
        <w:p w14:paraId="11FD00C1" w14:textId="77777777" w:rsidR="001B3D45" w:rsidRDefault="001B3D45">
          <w:pPr>
            <w:pStyle w:val="TOC1"/>
            <w:tabs>
              <w:tab w:val="left" w:pos="440"/>
              <w:tab w:val="right" w:leader="dot" w:pos="9350"/>
            </w:tabs>
            <w:rPr>
              <w:rFonts w:asciiTheme="minorHAnsi" w:eastAsiaTheme="minorEastAsia" w:hAnsiTheme="minorHAnsi"/>
              <w:noProof/>
              <w:color w:val="auto"/>
              <w:sz w:val="22"/>
              <w:lang w:val="en-US"/>
            </w:rPr>
          </w:pPr>
          <w:hyperlink w:anchor="_Toc211377667" w:history="1">
            <w:r w:rsidRPr="00AB03B8">
              <w:rPr>
                <w:rStyle w:val="Hyperlink"/>
                <w:noProof/>
              </w:rPr>
              <w:t>2</w:t>
            </w:r>
            <w:r>
              <w:rPr>
                <w:rFonts w:asciiTheme="minorHAnsi" w:eastAsiaTheme="minorEastAsia" w:hAnsiTheme="minorHAnsi"/>
                <w:noProof/>
                <w:color w:val="auto"/>
                <w:sz w:val="22"/>
                <w:lang w:val="en-US"/>
              </w:rPr>
              <w:tab/>
            </w:r>
            <w:r w:rsidRPr="00AB03B8">
              <w:rPr>
                <w:rStyle w:val="Hyperlink"/>
                <w:noProof/>
              </w:rPr>
              <w:t>Task 1 – Critical reflection on the importance of the principles</w:t>
            </w:r>
            <w:r>
              <w:rPr>
                <w:noProof/>
                <w:webHidden/>
              </w:rPr>
              <w:tab/>
            </w:r>
            <w:r>
              <w:rPr>
                <w:noProof/>
                <w:webHidden/>
              </w:rPr>
              <w:fldChar w:fldCharType="begin"/>
            </w:r>
            <w:r>
              <w:rPr>
                <w:noProof/>
                <w:webHidden/>
              </w:rPr>
              <w:instrText xml:space="preserve"> PAGEREF _Toc211377667 \h </w:instrText>
            </w:r>
            <w:r>
              <w:rPr>
                <w:noProof/>
                <w:webHidden/>
              </w:rPr>
            </w:r>
            <w:r>
              <w:rPr>
                <w:noProof/>
                <w:webHidden/>
              </w:rPr>
              <w:fldChar w:fldCharType="separate"/>
            </w:r>
            <w:r>
              <w:rPr>
                <w:noProof/>
                <w:webHidden/>
              </w:rPr>
              <w:t>2</w:t>
            </w:r>
            <w:r>
              <w:rPr>
                <w:noProof/>
                <w:webHidden/>
              </w:rPr>
              <w:fldChar w:fldCharType="end"/>
            </w:r>
          </w:hyperlink>
        </w:p>
        <w:p w14:paraId="32129C38" w14:textId="40EFC633"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68" w:history="1">
            <w:r w:rsidRPr="00AB03B8">
              <w:rPr>
                <w:rStyle w:val="Hyperlink"/>
                <w:noProof/>
              </w:rPr>
              <w:t>Defining the three principles</w:t>
            </w:r>
            <w:r>
              <w:rPr>
                <w:noProof/>
                <w:webHidden/>
              </w:rPr>
              <w:tab/>
            </w:r>
            <w:r>
              <w:rPr>
                <w:noProof/>
                <w:webHidden/>
              </w:rPr>
              <w:fldChar w:fldCharType="begin"/>
            </w:r>
            <w:r>
              <w:rPr>
                <w:noProof/>
                <w:webHidden/>
              </w:rPr>
              <w:instrText xml:space="preserve"> PAGEREF _Toc211377668 \h </w:instrText>
            </w:r>
            <w:r>
              <w:rPr>
                <w:noProof/>
                <w:webHidden/>
              </w:rPr>
            </w:r>
            <w:r>
              <w:rPr>
                <w:noProof/>
                <w:webHidden/>
              </w:rPr>
              <w:fldChar w:fldCharType="separate"/>
            </w:r>
            <w:r>
              <w:rPr>
                <w:noProof/>
                <w:webHidden/>
              </w:rPr>
              <w:t>2</w:t>
            </w:r>
            <w:r>
              <w:rPr>
                <w:noProof/>
                <w:webHidden/>
              </w:rPr>
              <w:fldChar w:fldCharType="end"/>
            </w:r>
          </w:hyperlink>
        </w:p>
        <w:p w14:paraId="0EFFDB5A" w14:textId="0D6DC076"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69" w:history="1">
            <w:r w:rsidRPr="00AB03B8">
              <w:rPr>
                <w:rStyle w:val="Hyperlink"/>
                <w:noProof/>
              </w:rPr>
              <w:t>Theoretical foundations</w:t>
            </w:r>
            <w:r>
              <w:rPr>
                <w:noProof/>
                <w:webHidden/>
              </w:rPr>
              <w:tab/>
            </w:r>
            <w:r>
              <w:rPr>
                <w:noProof/>
                <w:webHidden/>
              </w:rPr>
              <w:fldChar w:fldCharType="begin"/>
            </w:r>
            <w:r>
              <w:rPr>
                <w:noProof/>
                <w:webHidden/>
              </w:rPr>
              <w:instrText xml:space="preserve"> PAGEREF _Toc211377669 \h </w:instrText>
            </w:r>
            <w:r>
              <w:rPr>
                <w:noProof/>
                <w:webHidden/>
              </w:rPr>
            </w:r>
            <w:r>
              <w:rPr>
                <w:noProof/>
                <w:webHidden/>
              </w:rPr>
              <w:fldChar w:fldCharType="separate"/>
            </w:r>
            <w:r>
              <w:rPr>
                <w:noProof/>
                <w:webHidden/>
              </w:rPr>
              <w:t>3</w:t>
            </w:r>
            <w:r>
              <w:rPr>
                <w:noProof/>
                <w:webHidden/>
              </w:rPr>
              <w:fldChar w:fldCharType="end"/>
            </w:r>
          </w:hyperlink>
        </w:p>
        <w:p w14:paraId="088EB85B" w14:textId="3A4443BA"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70" w:history="1">
            <w:r w:rsidRPr="00AB03B8">
              <w:rPr>
                <w:rStyle w:val="Hyperlink"/>
                <w:noProof/>
              </w:rPr>
              <w:t>Implementation benefits and challenges</w:t>
            </w:r>
            <w:r>
              <w:rPr>
                <w:noProof/>
                <w:webHidden/>
              </w:rPr>
              <w:tab/>
            </w:r>
            <w:r>
              <w:rPr>
                <w:noProof/>
                <w:webHidden/>
              </w:rPr>
              <w:fldChar w:fldCharType="begin"/>
            </w:r>
            <w:r>
              <w:rPr>
                <w:noProof/>
                <w:webHidden/>
              </w:rPr>
              <w:instrText xml:space="preserve"> PAGEREF _Toc211377670 \h </w:instrText>
            </w:r>
            <w:r>
              <w:rPr>
                <w:noProof/>
                <w:webHidden/>
              </w:rPr>
            </w:r>
            <w:r>
              <w:rPr>
                <w:noProof/>
                <w:webHidden/>
              </w:rPr>
              <w:fldChar w:fldCharType="separate"/>
            </w:r>
            <w:r>
              <w:rPr>
                <w:noProof/>
                <w:webHidden/>
              </w:rPr>
              <w:t>3</w:t>
            </w:r>
            <w:r>
              <w:rPr>
                <w:noProof/>
                <w:webHidden/>
              </w:rPr>
              <w:fldChar w:fldCharType="end"/>
            </w:r>
          </w:hyperlink>
        </w:p>
        <w:p w14:paraId="6643386C" w14:textId="3A3614C9"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71" w:history="1">
            <w:r w:rsidRPr="00AB03B8">
              <w:rPr>
                <w:rStyle w:val="Hyperlink"/>
                <w:noProof/>
              </w:rPr>
              <w:t>Mini-synthesis</w:t>
            </w:r>
            <w:r>
              <w:rPr>
                <w:noProof/>
                <w:webHidden/>
              </w:rPr>
              <w:tab/>
            </w:r>
            <w:r>
              <w:rPr>
                <w:noProof/>
                <w:webHidden/>
              </w:rPr>
              <w:fldChar w:fldCharType="begin"/>
            </w:r>
            <w:r>
              <w:rPr>
                <w:noProof/>
                <w:webHidden/>
              </w:rPr>
              <w:instrText xml:space="preserve"> PAGEREF _Toc211377671 \h </w:instrText>
            </w:r>
            <w:r>
              <w:rPr>
                <w:noProof/>
                <w:webHidden/>
              </w:rPr>
            </w:r>
            <w:r>
              <w:rPr>
                <w:noProof/>
                <w:webHidden/>
              </w:rPr>
              <w:fldChar w:fldCharType="separate"/>
            </w:r>
            <w:r>
              <w:rPr>
                <w:noProof/>
                <w:webHidden/>
              </w:rPr>
              <w:t>3</w:t>
            </w:r>
            <w:r>
              <w:rPr>
                <w:noProof/>
                <w:webHidden/>
              </w:rPr>
              <w:fldChar w:fldCharType="end"/>
            </w:r>
          </w:hyperlink>
        </w:p>
        <w:p w14:paraId="3BD87E5F" w14:textId="77777777" w:rsidR="001B3D45" w:rsidRDefault="001B3D45">
          <w:pPr>
            <w:pStyle w:val="TOC1"/>
            <w:tabs>
              <w:tab w:val="left" w:pos="440"/>
              <w:tab w:val="right" w:leader="dot" w:pos="9350"/>
            </w:tabs>
            <w:rPr>
              <w:rFonts w:asciiTheme="minorHAnsi" w:eastAsiaTheme="minorEastAsia" w:hAnsiTheme="minorHAnsi"/>
              <w:noProof/>
              <w:color w:val="auto"/>
              <w:sz w:val="22"/>
              <w:lang w:val="en-US"/>
            </w:rPr>
          </w:pPr>
          <w:hyperlink w:anchor="_Toc211377672" w:history="1">
            <w:r w:rsidRPr="00AB03B8">
              <w:rPr>
                <w:rStyle w:val="Hyperlink"/>
                <w:noProof/>
              </w:rPr>
              <w:t>3</w:t>
            </w:r>
            <w:r>
              <w:rPr>
                <w:rFonts w:asciiTheme="minorHAnsi" w:eastAsiaTheme="minorEastAsia" w:hAnsiTheme="minorHAnsi"/>
                <w:noProof/>
                <w:color w:val="auto"/>
                <w:sz w:val="22"/>
                <w:lang w:val="en-US"/>
              </w:rPr>
              <w:tab/>
            </w:r>
            <w:r w:rsidRPr="00AB03B8">
              <w:rPr>
                <w:rStyle w:val="Hyperlink"/>
                <w:noProof/>
              </w:rPr>
              <w:t>Task 2 – Practical example in practice: Mrs C</w:t>
            </w:r>
            <w:r>
              <w:rPr>
                <w:noProof/>
                <w:webHidden/>
              </w:rPr>
              <w:tab/>
            </w:r>
            <w:r>
              <w:rPr>
                <w:noProof/>
                <w:webHidden/>
              </w:rPr>
              <w:fldChar w:fldCharType="begin"/>
            </w:r>
            <w:r>
              <w:rPr>
                <w:noProof/>
                <w:webHidden/>
              </w:rPr>
              <w:instrText xml:space="preserve"> PAGEREF _Toc211377672 \h </w:instrText>
            </w:r>
            <w:r>
              <w:rPr>
                <w:noProof/>
                <w:webHidden/>
              </w:rPr>
            </w:r>
            <w:r>
              <w:rPr>
                <w:noProof/>
                <w:webHidden/>
              </w:rPr>
              <w:fldChar w:fldCharType="separate"/>
            </w:r>
            <w:r>
              <w:rPr>
                <w:noProof/>
                <w:webHidden/>
              </w:rPr>
              <w:t>4</w:t>
            </w:r>
            <w:r>
              <w:rPr>
                <w:noProof/>
                <w:webHidden/>
              </w:rPr>
              <w:fldChar w:fldCharType="end"/>
            </w:r>
          </w:hyperlink>
        </w:p>
        <w:p w14:paraId="7B74D501" w14:textId="0CFF72C2"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73" w:history="1">
            <w:r w:rsidRPr="00AB03B8">
              <w:rPr>
                <w:rStyle w:val="Hyperlink"/>
                <w:noProof/>
              </w:rPr>
              <w:t>Case context</w:t>
            </w:r>
            <w:r>
              <w:rPr>
                <w:noProof/>
                <w:webHidden/>
              </w:rPr>
              <w:tab/>
            </w:r>
            <w:r>
              <w:rPr>
                <w:noProof/>
                <w:webHidden/>
              </w:rPr>
              <w:fldChar w:fldCharType="begin"/>
            </w:r>
            <w:r>
              <w:rPr>
                <w:noProof/>
                <w:webHidden/>
              </w:rPr>
              <w:instrText xml:space="preserve"> PAGEREF _Toc211377673 \h </w:instrText>
            </w:r>
            <w:r>
              <w:rPr>
                <w:noProof/>
                <w:webHidden/>
              </w:rPr>
            </w:r>
            <w:r>
              <w:rPr>
                <w:noProof/>
                <w:webHidden/>
              </w:rPr>
              <w:fldChar w:fldCharType="separate"/>
            </w:r>
            <w:r>
              <w:rPr>
                <w:noProof/>
                <w:webHidden/>
              </w:rPr>
              <w:t>4</w:t>
            </w:r>
            <w:r>
              <w:rPr>
                <w:noProof/>
                <w:webHidden/>
              </w:rPr>
              <w:fldChar w:fldCharType="end"/>
            </w:r>
          </w:hyperlink>
        </w:p>
        <w:p w14:paraId="4C1C870A" w14:textId="568D4CFD"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74" w:history="1">
            <w:r w:rsidRPr="00AB03B8">
              <w:rPr>
                <w:rStyle w:val="Hyperlink"/>
                <w:noProof/>
              </w:rPr>
              <w:t>Person-centred components &amp; outcomes</w:t>
            </w:r>
            <w:r>
              <w:rPr>
                <w:noProof/>
                <w:webHidden/>
              </w:rPr>
              <w:tab/>
            </w:r>
            <w:r>
              <w:rPr>
                <w:noProof/>
                <w:webHidden/>
              </w:rPr>
              <w:fldChar w:fldCharType="begin"/>
            </w:r>
            <w:r>
              <w:rPr>
                <w:noProof/>
                <w:webHidden/>
              </w:rPr>
              <w:instrText xml:space="preserve"> PAGEREF _Toc211377674 \h </w:instrText>
            </w:r>
            <w:r>
              <w:rPr>
                <w:noProof/>
                <w:webHidden/>
              </w:rPr>
            </w:r>
            <w:r>
              <w:rPr>
                <w:noProof/>
                <w:webHidden/>
              </w:rPr>
              <w:fldChar w:fldCharType="separate"/>
            </w:r>
            <w:r>
              <w:rPr>
                <w:noProof/>
                <w:webHidden/>
              </w:rPr>
              <w:t>4</w:t>
            </w:r>
            <w:r>
              <w:rPr>
                <w:noProof/>
                <w:webHidden/>
              </w:rPr>
              <w:fldChar w:fldCharType="end"/>
            </w:r>
          </w:hyperlink>
        </w:p>
        <w:p w14:paraId="7D757840" w14:textId="35C7CFE2"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75" w:history="1">
            <w:r w:rsidRPr="00AB03B8">
              <w:rPr>
                <w:rStyle w:val="Hyperlink"/>
                <w:noProof/>
              </w:rPr>
              <w:t>Partnership working in practice</w:t>
            </w:r>
            <w:r>
              <w:rPr>
                <w:noProof/>
                <w:webHidden/>
              </w:rPr>
              <w:tab/>
            </w:r>
            <w:r>
              <w:rPr>
                <w:noProof/>
                <w:webHidden/>
              </w:rPr>
              <w:fldChar w:fldCharType="begin"/>
            </w:r>
            <w:r>
              <w:rPr>
                <w:noProof/>
                <w:webHidden/>
              </w:rPr>
              <w:instrText xml:space="preserve"> PAGEREF _Toc211377675 \h </w:instrText>
            </w:r>
            <w:r>
              <w:rPr>
                <w:noProof/>
                <w:webHidden/>
              </w:rPr>
            </w:r>
            <w:r>
              <w:rPr>
                <w:noProof/>
                <w:webHidden/>
              </w:rPr>
              <w:fldChar w:fldCharType="separate"/>
            </w:r>
            <w:r>
              <w:rPr>
                <w:noProof/>
                <w:webHidden/>
              </w:rPr>
              <w:t>5</w:t>
            </w:r>
            <w:r>
              <w:rPr>
                <w:noProof/>
                <w:webHidden/>
              </w:rPr>
              <w:fldChar w:fldCharType="end"/>
            </w:r>
          </w:hyperlink>
        </w:p>
        <w:p w14:paraId="1E93257D" w14:textId="39F0FF86"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76" w:history="1">
            <w:r w:rsidRPr="00AB03B8">
              <w:rPr>
                <w:rStyle w:val="Hyperlink"/>
                <w:noProof/>
              </w:rPr>
              <w:t>Ethical analysis</w:t>
            </w:r>
            <w:r>
              <w:rPr>
                <w:noProof/>
                <w:webHidden/>
              </w:rPr>
              <w:tab/>
            </w:r>
            <w:r>
              <w:rPr>
                <w:noProof/>
                <w:webHidden/>
              </w:rPr>
              <w:fldChar w:fldCharType="begin"/>
            </w:r>
            <w:r>
              <w:rPr>
                <w:noProof/>
                <w:webHidden/>
              </w:rPr>
              <w:instrText xml:space="preserve"> PAGEREF _Toc211377676 \h </w:instrText>
            </w:r>
            <w:r>
              <w:rPr>
                <w:noProof/>
                <w:webHidden/>
              </w:rPr>
            </w:r>
            <w:r>
              <w:rPr>
                <w:noProof/>
                <w:webHidden/>
              </w:rPr>
              <w:fldChar w:fldCharType="separate"/>
            </w:r>
            <w:r>
              <w:rPr>
                <w:noProof/>
                <w:webHidden/>
              </w:rPr>
              <w:t>5</w:t>
            </w:r>
            <w:r>
              <w:rPr>
                <w:noProof/>
                <w:webHidden/>
              </w:rPr>
              <w:fldChar w:fldCharType="end"/>
            </w:r>
          </w:hyperlink>
        </w:p>
        <w:p w14:paraId="0E11F82B" w14:textId="16BA9B9B"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77" w:history="1">
            <w:r w:rsidRPr="00AB03B8">
              <w:rPr>
                <w:rStyle w:val="Hyperlink"/>
                <w:noProof/>
              </w:rPr>
              <w:t>Challenges and how they were overcome</w:t>
            </w:r>
            <w:r>
              <w:rPr>
                <w:noProof/>
                <w:webHidden/>
              </w:rPr>
              <w:tab/>
            </w:r>
            <w:r>
              <w:rPr>
                <w:noProof/>
                <w:webHidden/>
              </w:rPr>
              <w:fldChar w:fldCharType="begin"/>
            </w:r>
            <w:r>
              <w:rPr>
                <w:noProof/>
                <w:webHidden/>
              </w:rPr>
              <w:instrText xml:space="preserve"> PAGEREF _Toc211377677 \h </w:instrText>
            </w:r>
            <w:r>
              <w:rPr>
                <w:noProof/>
                <w:webHidden/>
              </w:rPr>
            </w:r>
            <w:r>
              <w:rPr>
                <w:noProof/>
                <w:webHidden/>
              </w:rPr>
              <w:fldChar w:fldCharType="separate"/>
            </w:r>
            <w:r>
              <w:rPr>
                <w:noProof/>
                <w:webHidden/>
              </w:rPr>
              <w:t>5</w:t>
            </w:r>
            <w:r>
              <w:rPr>
                <w:noProof/>
                <w:webHidden/>
              </w:rPr>
              <w:fldChar w:fldCharType="end"/>
            </w:r>
          </w:hyperlink>
        </w:p>
        <w:p w14:paraId="626A2F3C" w14:textId="77777777" w:rsidR="001B3D45" w:rsidRDefault="001B3D45">
          <w:pPr>
            <w:pStyle w:val="TOC1"/>
            <w:tabs>
              <w:tab w:val="left" w:pos="440"/>
              <w:tab w:val="right" w:leader="dot" w:pos="9350"/>
            </w:tabs>
            <w:rPr>
              <w:rFonts w:asciiTheme="minorHAnsi" w:eastAsiaTheme="minorEastAsia" w:hAnsiTheme="minorHAnsi"/>
              <w:noProof/>
              <w:color w:val="auto"/>
              <w:sz w:val="22"/>
              <w:lang w:val="en-US"/>
            </w:rPr>
          </w:pPr>
          <w:hyperlink w:anchor="_Toc211377678" w:history="1">
            <w:r w:rsidRPr="00AB03B8">
              <w:rPr>
                <w:rStyle w:val="Hyperlink"/>
                <w:noProof/>
              </w:rPr>
              <w:t>4</w:t>
            </w:r>
            <w:r>
              <w:rPr>
                <w:rFonts w:asciiTheme="minorHAnsi" w:eastAsiaTheme="minorEastAsia" w:hAnsiTheme="minorHAnsi"/>
                <w:noProof/>
                <w:color w:val="auto"/>
                <w:sz w:val="22"/>
                <w:lang w:val="en-US"/>
              </w:rPr>
              <w:tab/>
            </w:r>
            <w:r w:rsidRPr="00AB03B8">
              <w:rPr>
                <w:rStyle w:val="Hyperlink"/>
                <w:noProof/>
              </w:rPr>
              <w:t>Task 3 – Self-reflection as a health and social care professional</w:t>
            </w:r>
            <w:r>
              <w:rPr>
                <w:noProof/>
                <w:webHidden/>
              </w:rPr>
              <w:tab/>
            </w:r>
            <w:r>
              <w:rPr>
                <w:noProof/>
                <w:webHidden/>
              </w:rPr>
              <w:fldChar w:fldCharType="begin"/>
            </w:r>
            <w:r>
              <w:rPr>
                <w:noProof/>
                <w:webHidden/>
              </w:rPr>
              <w:instrText xml:space="preserve"> PAGEREF _Toc211377678 \h </w:instrText>
            </w:r>
            <w:r>
              <w:rPr>
                <w:noProof/>
                <w:webHidden/>
              </w:rPr>
            </w:r>
            <w:r>
              <w:rPr>
                <w:noProof/>
                <w:webHidden/>
              </w:rPr>
              <w:fldChar w:fldCharType="separate"/>
            </w:r>
            <w:r>
              <w:rPr>
                <w:noProof/>
                <w:webHidden/>
              </w:rPr>
              <w:t>6</w:t>
            </w:r>
            <w:r>
              <w:rPr>
                <w:noProof/>
                <w:webHidden/>
              </w:rPr>
              <w:fldChar w:fldCharType="end"/>
            </w:r>
          </w:hyperlink>
        </w:p>
        <w:p w14:paraId="1EA2F1AE" w14:textId="582F2291"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79" w:history="1">
            <w:r w:rsidRPr="00AB03B8">
              <w:rPr>
                <w:rStyle w:val="Hyperlink"/>
                <w:noProof/>
              </w:rPr>
              <w:t>Model choice &amp; rationale</w:t>
            </w:r>
            <w:r>
              <w:rPr>
                <w:noProof/>
                <w:webHidden/>
              </w:rPr>
              <w:tab/>
            </w:r>
            <w:r>
              <w:rPr>
                <w:noProof/>
                <w:webHidden/>
              </w:rPr>
              <w:fldChar w:fldCharType="begin"/>
            </w:r>
            <w:r>
              <w:rPr>
                <w:noProof/>
                <w:webHidden/>
              </w:rPr>
              <w:instrText xml:space="preserve"> PAGEREF _Toc211377679 \h </w:instrText>
            </w:r>
            <w:r>
              <w:rPr>
                <w:noProof/>
                <w:webHidden/>
              </w:rPr>
            </w:r>
            <w:r>
              <w:rPr>
                <w:noProof/>
                <w:webHidden/>
              </w:rPr>
              <w:fldChar w:fldCharType="separate"/>
            </w:r>
            <w:r>
              <w:rPr>
                <w:noProof/>
                <w:webHidden/>
              </w:rPr>
              <w:t>6</w:t>
            </w:r>
            <w:r>
              <w:rPr>
                <w:noProof/>
                <w:webHidden/>
              </w:rPr>
              <w:fldChar w:fldCharType="end"/>
            </w:r>
          </w:hyperlink>
        </w:p>
        <w:p w14:paraId="6C1E74BA" w14:textId="671BE70E"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80" w:history="1">
            <w:r w:rsidRPr="00AB03B8">
              <w:rPr>
                <w:rStyle w:val="Hyperlink"/>
                <w:noProof/>
              </w:rPr>
              <w:t>Description of my context &amp; selected episodes</w:t>
            </w:r>
            <w:r>
              <w:rPr>
                <w:noProof/>
                <w:webHidden/>
              </w:rPr>
              <w:tab/>
            </w:r>
            <w:r>
              <w:rPr>
                <w:noProof/>
                <w:webHidden/>
              </w:rPr>
              <w:fldChar w:fldCharType="begin"/>
            </w:r>
            <w:r>
              <w:rPr>
                <w:noProof/>
                <w:webHidden/>
              </w:rPr>
              <w:instrText xml:space="preserve"> PAGEREF _Toc211377680 \h </w:instrText>
            </w:r>
            <w:r>
              <w:rPr>
                <w:noProof/>
                <w:webHidden/>
              </w:rPr>
            </w:r>
            <w:r>
              <w:rPr>
                <w:noProof/>
                <w:webHidden/>
              </w:rPr>
              <w:fldChar w:fldCharType="separate"/>
            </w:r>
            <w:r>
              <w:rPr>
                <w:noProof/>
                <w:webHidden/>
              </w:rPr>
              <w:t>6</w:t>
            </w:r>
            <w:r>
              <w:rPr>
                <w:noProof/>
                <w:webHidden/>
              </w:rPr>
              <w:fldChar w:fldCharType="end"/>
            </w:r>
          </w:hyperlink>
        </w:p>
        <w:p w14:paraId="6770FF93" w14:textId="14FBD743"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81" w:history="1">
            <w:r w:rsidRPr="00AB03B8">
              <w:rPr>
                <w:rStyle w:val="Hyperlink"/>
                <w:noProof/>
              </w:rPr>
              <w:t>Person-centred care in my practice (strengths, gaps, next steps)</w:t>
            </w:r>
            <w:r>
              <w:rPr>
                <w:noProof/>
                <w:webHidden/>
              </w:rPr>
              <w:tab/>
            </w:r>
            <w:r>
              <w:rPr>
                <w:noProof/>
                <w:webHidden/>
              </w:rPr>
              <w:fldChar w:fldCharType="begin"/>
            </w:r>
            <w:r>
              <w:rPr>
                <w:noProof/>
                <w:webHidden/>
              </w:rPr>
              <w:instrText xml:space="preserve"> PAGEREF _Toc211377681 \h </w:instrText>
            </w:r>
            <w:r>
              <w:rPr>
                <w:noProof/>
                <w:webHidden/>
              </w:rPr>
            </w:r>
            <w:r>
              <w:rPr>
                <w:noProof/>
                <w:webHidden/>
              </w:rPr>
              <w:fldChar w:fldCharType="separate"/>
            </w:r>
            <w:r>
              <w:rPr>
                <w:noProof/>
                <w:webHidden/>
              </w:rPr>
              <w:t>6</w:t>
            </w:r>
            <w:r>
              <w:rPr>
                <w:noProof/>
                <w:webHidden/>
              </w:rPr>
              <w:fldChar w:fldCharType="end"/>
            </w:r>
          </w:hyperlink>
        </w:p>
        <w:p w14:paraId="75099BEA" w14:textId="2FFF0D8D"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82" w:history="1">
            <w:r w:rsidRPr="00AB03B8">
              <w:rPr>
                <w:rStyle w:val="Hyperlink"/>
                <w:noProof/>
              </w:rPr>
              <w:t>Partnership working (interprofessional and with community)</w:t>
            </w:r>
            <w:r>
              <w:rPr>
                <w:noProof/>
                <w:webHidden/>
              </w:rPr>
              <w:tab/>
            </w:r>
            <w:r>
              <w:rPr>
                <w:noProof/>
                <w:webHidden/>
              </w:rPr>
              <w:fldChar w:fldCharType="begin"/>
            </w:r>
            <w:r>
              <w:rPr>
                <w:noProof/>
                <w:webHidden/>
              </w:rPr>
              <w:instrText xml:space="preserve"> PAGEREF _Toc211377682 \h </w:instrText>
            </w:r>
            <w:r>
              <w:rPr>
                <w:noProof/>
                <w:webHidden/>
              </w:rPr>
            </w:r>
            <w:r>
              <w:rPr>
                <w:noProof/>
                <w:webHidden/>
              </w:rPr>
              <w:fldChar w:fldCharType="separate"/>
            </w:r>
            <w:r>
              <w:rPr>
                <w:noProof/>
                <w:webHidden/>
              </w:rPr>
              <w:t>7</w:t>
            </w:r>
            <w:r>
              <w:rPr>
                <w:noProof/>
                <w:webHidden/>
              </w:rPr>
              <w:fldChar w:fldCharType="end"/>
            </w:r>
          </w:hyperlink>
        </w:p>
        <w:p w14:paraId="0CAF6755" w14:textId="7551195F"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83" w:history="1">
            <w:r w:rsidRPr="00AB03B8">
              <w:rPr>
                <w:rStyle w:val="Hyperlink"/>
                <w:noProof/>
              </w:rPr>
              <w:t>Ethical practice (consent, capacity, safeguarding, confidentiality, equality)</w:t>
            </w:r>
            <w:r>
              <w:rPr>
                <w:noProof/>
                <w:webHidden/>
              </w:rPr>
              <w:tab/>
            </w:r>
            <w:r>
              <w:rPr>
                <w:noProof/>
                <w:webHidden/>
              </w:rPr>
              <w:fldChar w:fldCharType="begin"/>
            </w:r>
            <w:r>
              <w:rPr>
                <w:noProof/>
                <w:webHidden/>
              </w:rPr>
              <w:instrText xml:space="preserve"> PAGEREF _Toc211377683 \h </w:instrText>
            </w:r>
            <w:r>
              <w:rPr>
                <w:noProof/>
                <w:webHidden/>
              </w:rPr>
            </w:r>
            <w:r>
              <w:rPr>
                <w:noProof/>
                <w:webHidden/>
              </w:rPr>
              <w:fldChar w:fldCharType="separate"/>
            </w:r>
            <w:r>
              <w:rPr>
                <w:noProof/>
                <w:webHidden/>
              </w:rPr>
              <w:t>7</w:t>
            </w:r>
            <w:r>
              <w:rPr>
                <w:noProof/>
                <w:webHidden/>
              </w:rPr>
              <w:fldChar w:fldCharType="end"/>
            </w:r>
          </w:hyperlink>
        </w:p>
        <w:p w14:paraId="401BDD27" w14:textId="6952F549"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84" w:history="1">
            <w:r w:rsidRPr="00AB03B8">
              <w:rPr>
                <w:rStyle w:val="Hyperlink"/>
                <w:noProof/>
              </w:rPr>
              <w:t>Evaluation &amp; analysis via theory and policy</w:t>
            </w:r>
            <w:r>
              <w:rPr>
                <w:noProof/>
                <w:webHidden/>
              </w:rPr>
              <w:tab/>
            </w:r>
            <w:r>
              <w:rPr>
                <w:noProof/>
                <w:webHidden/>
              </w:rPr>
              <w:fldChar w:fldCharType="begin"/>
            </w:r>
            <w:r>
              <w:rPr>
                <w:noProof/>
                <w:webHidden/>
              </w:rPr>
              <w:instrText xml:space="preserve"> PAGEREF _Toc211377684 \h </w:instrText>
            </w:r>
            <w:r>
              <w:rPr>
                <w:noProof/>
                <w:webHidden/>
              </w:rPr>
            </w:r>
            <w:r>
              <w:rPr>
                <w:noProof/>
                <w:webHidden/>
              </w:rPr>
              <w:fldChar w:fldCharType="separate"/>
            </w:r>
            <w:r>
              <w:rPr>
                <w:noProof/>
                <w:webHidden/>
              </w:rPr>
              <w:t>8</w:t>
            </w:r>
            <w:r>
              <w:rPr>
                <w:noProof/>
                <w:webHidden/>
              </w:rPr>
              <w:fldChar w:fldCharType="end"/>
            </w:r>
          </w:hyperlink>
        </w:p>
        <w:p w14:paraId="080000A1" w14:textId="5F482A98" w:rsidR="001B3D45" w:rsidRDefault="001B3D45">
          <w:pPr>
            <w:pStyle w:val="TOC2"/>
            <w:tabs>
              <w:tab w:val="left" w:pos="880"/>
              <w:tab w:val="right" w:leader="dot" w:pos="9350"/>
            </w:tabs>
            <w:rPr>
              <w:rFonts w:asciiTheme="minorHAnsi" w:eastAsiaTheme="minorEastAsia" w:hAnsiTheme="minorHAnsi"/>
              <w:noProof/>
              <w:color w:val="auto"/>
              <w:sz w:val="22"/>
              <w:lang w:val="en-US"/>
            </w:rPr>
          </w:pPr>
          <w:hyperlink w:anchor="_Toc211377685" w:history="1">
            <w:r w:rsidRPr="00AB03B8">
              <w:rPr>
                <w:rStyle w:val="Hyperlink"/>
                <w:noProof/>
              </w:rPr>
              <w:t>Action plan (SMART, time-bound, measurable)</w:t>
            </w:r>
            <w:r>
              <w:rPr>
                <w:noProof/>
                <w:webHidden/>
              </w:rPr>
              <w:tab/>
            </w:r>
            <w:r>
              <w:rPr>
                <w:noProof/>
                <w:webHidden/>
              </w:rPr>
              <w:fldChar w:fldCharType="begin"/>
            </w:r>
            <w:r>
              <w:rPr>
                <w:noProof/>
                <w:webHidden/>
              </w:rPr>
              <w:instrText xml:space="preserve"> PAGEREF _Toc211377685 \h </w:instrText>
            </w:r>
            <w:r>
              <w:rPr>
                <w:noProof/>
                <w:webHidden/>
              </w:rPr>
            </w:r>
            <w:r>
              <w:rPr>
                <w:noProof/>
                <w:webHidden/>
              </w:rPr>
              <w:fldChar w:fldCharType="separate"/>
            </w:r>
            <w:r>
              <w:rPr>
                <w:noProof/>
                <w:webHidden/>
              </w:rPr>
              <w:t>8</w:t>
            </w:r>
            <w:r>
              <w:rPr>
                <w:noProof/>
                <w:webHidden/>
              </w:rPr>
              <w:fldChar w:fldCharType="end"/>
            </w:r>
          </w:hyperlink>
        </w:p>
        <w:p w14:paraId="0324E3B4" w14:textId="77777777" w:rsidR="001B3D45" w:rsidRDefault="001B3D45">
          <w:pPr>
            <w:pStyle w:val="TOC1"/>
            <w:tabs>
              <w:tab w:val="left" w:pos="440"/>
              <w:tab w:val="right" w:leader="dot" w:pos="9350"/>
            </w:tabs>
            <w:rPr>
              <w:rFonts w:asciiTheme="minorHAnsi" w:eastAsiaTheme="minorEastAsia" w:hAnsiTheme="minorHAnsi"/>
              <w:noProof/>
              <w:color w:val="auto"/>
              <w:sz w:val="22"/>
              <w:lang w:val="en-US"/>
            </w:rPr>
          </w:pPr>
          <w:hyperlink w:anchor="_Toc211377686" w:history="1">
            <w:r w:rsidRPr="00AB03B8">
              <w:rPr>
                <w:rStyle w:val="Hyperlink"/>
                <w:noProof/>
              </w:rPr>
              <w:t>5</w:t>
            </w:r>
            <w:r>
              <w:rPr>
                <w:rFonts w:asciiTheme="minorHAnsi" w:eastAsiaTheme="minorEastAsia" w:hAnsiTheme="minorHAnsi"/>
                <w:noProof/>
                <w:color w:val="auto"/>
                <w:sz w:val="22"/>
                <w:lang w:val="en-US"/>
              </w:rPr>
              <w:tab/>
            </w:r>
            <w:r w:rsidRPr="00AB03B8">
              <w:rPr>
                <w:rStyle w:val="Hyperlink"/>
                <w:noProof/>
              </w:rPr>
              <w:t>Conclusion</w:t>
            </w:r>
            <w:r>
              <w:rPr>
                <w:noProof/>
                <w:webHidden/>
              </w:rPr>
              <w:tab/>
            </w:r>
            <w:r>
              <w:rPr>
                <w:noProof/>
                <w:webHidden/>
              </w:rPr>
              <w:fldChar w:fldCharType="begin"/>
            </w:r>
            <w:r>
              <w:rPr>
                <w:noProof/>
                <w:webHidden/>
              </w:rPr>
              <w:instrText xml:space="preserve"> PAGEREF _Toc211377686 \h </w:instrText>
            </w:r>
            <w:r>
              <w:rPr>
                <w:noProof/>
                <w:webHidden/>
              </w:rPr>
            </w:r>
            <w:r>
              <w:rPr>
                <w:noProof/>
                <w:webHidden/>
              </w:rPr>
              <w:fldChar w:fldCharType="separate"/>
            </w:r>
            <w:r>
              <w:rPr>
                <w:noProof/>
                <w:webHidden/>
              </w:rPr>
              <w:t>8</w:t>
            </w:r>
            <w:r>
              <w:rPr>
                <w:noProof/>
                <w:webHidden/>
              </w:rPr>
              <w:fldChar w:fldCharType="end"/>
            </w:r>
          </w:hyperlink>
        </w:p>
        <w:p w14:paraId="3940213F" w14:textId="77777777" w:rsidR="001B3D45" w:rsidRDefault="001B3D45">
          <w:pPr>
            <w:pStyle w:val="TOC1"/>
            <w:tabs>
              <w:tab w:val="left" w:pos="440"/>
              <w:tab w:val="right" w:leader="dot" w:pos="9350"/>
            </w:tabs>
            <w:rPr>
              <w:rFonts w:asciiTheme="minorHAnsi" w:eastAsiaTheme="minorEastAsia" w:hAnsiTheme="minorHAnsi"/>
              <w:noProof/>
              <w:color w:val="auto"/>
              <w:sz w:val="22"/>
              <w:lang w:val="en-US"/>
            </w:rPr>
          </w:pPr>
          <w:hyperlink w:anchor="_Toc211377687" w:history="1">
            <w:r w:rsidRPr="00AB03B8">
              <w:rPr>
                <w:rStyle w:val="Hyperlink"/>
                <w:noProof/>
              </w:rPr>
              <w:t>6</w:t>
            </w:r>
            <w:r>
              <w:rPr>
                <w:rFonts w:asciiTheme="minorHAnsi" w:eastAsiaTheme="minorEastAsia" w:hAnsiTheme="minorHAnsi"/>
                <w:noProof/>
                <w:color w:val="auto"/>
                <w:sz w:val="22"/>
                <w:lang w:val="en-US"/>
              </w:rPr>
              <w:tab/>
            </w:r>
            <w:r w:rsidRPr="00AB03B8">
              <w:rPr>
                <w:rStyle w:val="Hyperlink"/>
                <w:noProof/>
              </w:rPr>
              <w:t>References</w:t>
            </w:r>
            <w:r>
              <w:rPr>
                <w:noProof/>
                <w:webHidden/>
              </w:rPr>
              <w:tab/>
            </w:r>
            <w:r>
              <w:rPr>
                <w:noProof/>
                <w:webHidden/>
              </w:rPr>
              <w:fldChar w:fldCharType="begin"/>
            </w:r>
            <w:r>
              <w:rPr>
                <w:noProof/>
                <w:webHidden/>
              </w:rPr>
              <w:instrText xml:space="preserve"> PAGEREF _Toc211377687 \h </w:instrText>
            </w:r>
            <w:r>
              <w:rPr>
                <w:noProof/>
                <w:webHidden/>
              </w:rPr>
            </w:r>
            <w:r>
              <w:rPr>
                <w:noProof/>
                <w:webHidden/>
              </w:rPr>
              <w:fldChar w:fldCharType="separate"/>
            </w:r>
            <w:r>
              <w:rPr>
                <w:noProof/>
                <w:webHidden/>
              </w:rPr>
              <w:t>9</w:t>
            </w:r>
            <w:r>
              <w:rPr>
                <w:noProof/>
                <w:webHidden/>
              </w:rPr>
              <w:fldChar w:fldCharType="end"/>
            </w:r>
          </w:hyperlink>
        </w:p>
        <w:p w14:paraId="6C4831D9" w14:textId="77777777" w:rsidR="0059121C" w:rsidRDefault="0059121C">
          <w:r>
            <w:rPr>
              <w:b/>
              <w:bCs/>
              <w:noProof/>
            </w:rPr>
            <w:fldChar w:fldCharType="end"/>
          </w:r>
        </w:p>
      </w:sdtContent>
    </w:sdt>
    <w:p w14:paraId="1EE4D00D" w14:textId="4B0E3DEA" w:rsidR="0059121C" w:rsidRDefault="00C9797B" w:rsidP="00C9797B">
      <w:pPr>
        <w:spacing w:line="259" w:lineRule="auto"/>
        <w:jc w:val="left"/>
      </w:pPr>
      <w:r>
        <w:br w:type="page"/>
      </w:r>
    </w:p>
    <w:p w14:paraId="1870E037" w14:textId="77777777" w:rsidR="00F47183" w:rsidRPr="00F47183" w:rsidRDefault="00F47183" w:rsidP="00F47183">
      <w:pPr>
        <w:pStyle w:val="Heading1"/>
      </w:pPr>
      <w:bookmarkStart w:id="0" w:name="_Toc211377666"/>
      <w:r>
        <w:lastRenderedPageBreak/>
        <w:t>Introduction</w:t>
      </w:r>
      <w:bookmarkEnd w:id="0"/>
    </w:p>
    <w:p w14:paraId="3D565354" w14:textId="029A4D6F" w:rsidR="00F47183" w:rsidRPr="00F47183" w:rsidRDefault="00F47183" w:rsidP="00F47183">
      <w:pPr>
        <w:rPr>
          <w:lang w:val="en-US"/>
        </w:rPr>
      </w:pPr>
      <w:r w:rsidRPr="00F47183">
        <w:rPr>
          <w:lang w:val="en-US"/>
        </w:rPr>
        <w:t>This report interrogates three interlocking principles—person-</w:t>
      </w:r>
      <w:r w:rsidR="00C9797B" w:rsidRPr="00F47183">
        <w:rPr>
          <w:lang w:val="en-US"/>
        </w:rPr>
        <w:t>centered</w:t>
      </w:r>
      <w:r w:rsidRPr="00F47183">
        <w:rPr>
          <w:lang w:val="en-US"/>
        </w:rPr>
        <w:t xml:space="preserve"> care</w:t>
      </w:r>
      <w:r w:rsidR="00C9797B">
        <w:rPr>
          <w:lang w:val="en-US"/>
        </w:rPr>
        <w:t xml:space="preserve"> (PCC), </w:t>
      </w:r>
      <w:r w:rsidRPr="00F47183">
        <w:rPr>
          <w:lang w:val="en-US"/>
        </w:rPr>
        <w:t>partnership working, and ethics</w:t>
      </w:r>
      <w:r w:rsidR="0059121C">
        <w:rPr>
          <w:lang w:val="en-US"/>
        </w:rPr>
        <w:t xml:space="preserve"> </w:t>
      </w:r>
      <w:r w:rsidRPr="00F47183">
        <w:rPr>
          <w:lang w:val="en-US"/>
        </w:rPr>
        <w:t xml:space="preserve">in UK health and social care. Policy shared decision-making and integration, yet equating adoption with benefit risks policy-intent and ecological fallacies; effects depend on context, resources, and equity (NICE, 2021; DHSC, 2022; The King’s Fund, 2022). Evidence for social prescribing is heterogeneous with uncertain costs, challenging universal impact claims (Kiely et al., 2022). The analysis tests these propositions using the NHS case of </w:t>
      </w:r>
      <w:r w:rsidR="002C214E" w:rsidRPr="00F47183">
        <w:rPr>
          <w:lang w:val="en-US"/>
        </w:rPr>
        <w:t>Mrs.</w:t>
      </w:r>
      <w:r w:rsidRPr="00F47183">
        <w:rPr>
          <w:lang w:val="en-US"/>
        </w:rPr>
        <w:t xml:space="preserve"> C, </w:t>
      </w:r>
      <w:r w:rsidR="002C214E" w:rsidRPr="00F47183">
        <w:rPr>
          <w:lang w:val="en-US"/>
        </w:rPr>
        <w:t>scrutinizing</w:t>
      </w:r>
      <w:r w:rsidRPr="00F47183">
        <w:rPr>
          <w:lang w:val="en-US"/>
        </w:rPr>
        <w:t xml:space="preserve"> personal health budgets, MDT coordination, and end-of-life choices to expose autonomy–safety tensions (NHS England, n.d.). Structure: Task 1 theory and challenges; Task 2 applied evaluation; Task 3 reflexive development; conclusion integrates findings with legislation and quantitative outcomes.</w:t>
      </w:r>
    </w:p>
    <w:p w14:paraId="33C7A3F2" w14:textId="77777777" w:rsidR="00B30A85" w:rsidRDefault="00F47183" w:rsidP="00F47183">
      <w:pPr>
        <w:pStyle w:val="Heading1"/>
      </w:pPr>
      <w:bookmarkStart w:id="1" w:name="_Toc211377667"/>
      <w:r>
        <w:t>Task 1 – Critical reflection on the importance of the principles</w:t>
      </w:r>
      <w:bookmarkEnd w:id="1"/>
    </w:p>
    <w:p w14:paraId="0CE93A02" w14:textId="77777777" w:rsidR="00F47183" w:rsidRPr="00F47183" w:rsidRDefault="00F47183" w:rsidP="00C9797B">
      <w:pPr>
        <w:pStyle w:val="Heading2"/>
        <w:numPr>
          <w:ilvl w:val="0"/>
          <w:numId w:val="0"/>
        </w:numPr>
        <w:ind w:left="576"/>
      </w:pPr>
      <w:bookmarkStart w:id="2" w:name="_Toc211377668"/>
      <w:r w:rsidRPr="00F47183">
        <w:t>De</w:t>
      </w:r>
      <w:r>
        <w:t>fining the three principles</w:t>
      </w:r>
      <w:bookmarkEnd w:id="2"/>
    </w:p>
    <w:p w14:paraId="6A630FF4" w14:textId="01DCF0F4" w:rsidR="00F47183" w:rsidRPr="00F47183" w:rsidRDefault="00F47183" w:rsidP="00F47183">
      <w:pPr>
        <w:rPr>
          <w:lang w:val="en-US"/>
        </w:rPr>
      </w:pPr>
      <w:r w:rsidRPr="00F47183">
        <w:rPr>
          <w:lang w:val="en-US"/>
        </w:rPr>
        <w:t>P</w:t>
      </w:r>
      <w:r w:rsidR="00C9797B">
        <w:rPr>
          <w:lang w:val="en-US"/>
        </w:rPr>
        <w:t>CC</w:t>
      </w:r>
      <w:r w:rsidRPr="00F47183">
        <w:rPr>
          <w:lang w:val="en-US"/>
        </w:rPr>
        <w:t xml:space="preserve"> is the systematic alignment of care with an individual’s values and preferences through shared decision-making, </w:t>
      </w:r>
      <w:r w:rsidR="00C9797B" w:rsidRPr="00F47183">
        <w:rPr>
          <w:lang w:val="en-US"/>
        </w:rPr>
        <w:t>personalized</w:t>
      </w:r>
      <w:r w:rsidRPr="00F47183">
        <w:rPr>
          <w:lang w:val="en-US"/>
        </w:rPr>
        <w:t xml:space="preserve"> care and support planning, and—where appropriate—personal health budgets; its impact should be evidenced in PROMs/PREMs and lower unplanned </w:t>
      </w:r>
      <w:r w:rsidR="00C9797B" w:rsidRPr="00F47183">
        <w:rPr>
          <w:lang w:val="en-US"/>
        </w:rPr>
        <w:t>utilization</w:t>
      </w:r>
      <w:r w:rsidRPr="00F47183">
        <w:rPr>
          <w:lang w:val="en-US"/>
        </w:rPr>
        <w:t xml:space="preserve">,  COPD illustrates the stakes: England recorded </w:t>
      </w:r>
      <w:r w:rsidRPr="00F47183">
        <w:rPr>
          <w:b/>
          <w:bCs/>
          <w:lang w:val="en-US"/>
        </w:rPr>
        <w:t>121,129</w:t>
      </w:r>
      <w:r w:rsidRPr="00F47183">
        <w:rPr>
          <w:lang w:val="en-US"/>
        </w:rPr>
        <w:t xml:space="preserve"> COPD emergency admissions in FY2023/24, a </w:t>
      </w:r>
      <w:r w:rsidRPr="00F47183">
        <w:rPr>
          <w:b/>
          <w:bCs/>
          <w:lang w:val="en-US"/>
        </w:rPr>
        <w:t>9%</w:t>
      </w:r>
      <w:r w:rsidRPr="00F47183">
        <w:rPr>
          <w:lang w:val="en-US"/>
        </w:rPr>
        <w:t xml:space="preserve"> year-on-year rise, </w:t>
      </w:r>
      <w:r w:rsidR="002C214E" w:rsidRPr="00F47183">
        <w:rPr>
          <w:lang w:val="en-US"/>
        </w:rPr>
        <w:t>signaling</w:t>
      </w:r>
      <w:r w:rsidRPr="00F47183">
        <w:rPr>
          <w:lang w:val="en-US"/>
        </w:rPr>
        <w:t xml:space="preserve"> preventable deterioration despite policy commitments (OHID, 2025). At life’s end, preference-concordant care remains uneven: deaths at the usual place of residence reached </w:t>
      </w:r>
      <w:r w:rsidRPr="00F47183">
        <w:rPr>
          <w:b/>
          <w:bCs/>
          <w:lang w:val="en-US"/>
        </w:rPr>
        <w:t>50%</w:t>
      </w:r>
      <w:r w:rsidRPr="00F47183">
        <w:rPr>
          <w:lang w:val="en-US"/>
        </w:rPr>
        <w:t xml:space="preserve"> in 2022, but hospital deaths still accounted for </w:t>
      </w:r>
      <w:r w:rsidRPr="00F47183">
        <w:rPr>
          <w:b/>
          <w:bCs/>
          <w:lang w:val="en-US"/>
        </w:rPr>
        <w:t>43%</w:t>
      </w:r>
      <w:r w:rsidRPr="00F47183">
        <w:rPr>
          <w:lang w:val="en-US"/>
        </w:rPr>
        <w:t>, indicating gaps in community capacity (Nuffield Trust, 2024).</w:t>
      </w:r>
      <w:r w:rsidR="00F70110">
        <w:rPr>
          <w:lang w:val="en-US"/>
        </w:rPr>
        <w:t xml:space="preserve"> </w:t>
      </w:r>
      <w:r w:rsidRPr="00F47183">
        <w:rPr>
          <w:lang w:val="en-US"/>
        </w:rPr>
        <w:t xml:space="preserve">Ethics frames choices via autonomy, beneficence, non-maleficence and justice, through the Mental Capacity Act (capacity/best interests), the Equality Act (non-discrimination), and UK GDPR/Data Protection Act (lawful, minimal data sharing) (NICE, 2021; ICO, 2025; DPA, 2018). In </w:t>
      </w:r>
      <w:r w:rsidR="00C9797B" w:rsidRPr="00F47183">
        <w:rPr>
          <w:lang w:val="en-US"/>
        </w:rPr>
        <w:t>Mrs.</w:t>
      </w:r>
      <w:r w:rsidRPr="00F47183">
        <w:rPr>
          <w:lang w:val="en-US"/>
        </w:rPr>
        <w:t xml:space="preserve"> C’s case, PHB-enabled choice, social prescribing and health coaching </w:t>
      </w:r>
      <w:r w:rsidR="00C9797B" w:rsidRPr="00F47183">
        <w:rPr>
          <w:lang w:val="en-US"/>
        </w:rPr>
        <w:t>operate</w:t>
      </w:r>
      <w:r w:rsidRPr="00F47183">
        <w:rPr>
          <w:lang w:val="en-US"/>
        </w:rPr>
        <w:t xml:space="preserve"> these principles, but only rigorous measurement can show whether experience and safety gains outweigh risks from reduced clinical oversight (NHS England, n.d.).</w:t>
      </w:r>
    </w:p>
    <w:p w14:paraId="7567EA70" w14:textId="77777777" w:rsidR="00F47183" w:rsidRPr="00F47183" w:rsidRDefault="00F47183" w:rsidP="00C9797B">
      <w:pPr>
        <w:pStyle w:val="Heading2"/>
        <w:numPr>
          <w:ilvl w:val="0"/>
          <w:numId w:val="0"/>
        </w:numPr>
        <w:ind w:left="576"/>
      </w:pPr>
      <w:bookmarkStart w:id="3" w:name="_Toc211377669"/>
      <w:r>
        <w:lastRenderedPageBreak/>
        <w:t>Theoretical foundations</w:t>
      </w:r>
      <w:bookmarkEnd w:id="3"/>
    </w:p>
    <w:p w14:paraId="2E99D2FC" w14:textId="24DC81CF" w:rsidR="00F47183" w:rsidRPr="00F47183" w:rsidRDefault="00F47183" w:rsidP="00F47183">
      <w:pPr>
        <w:rPr>
          <w:lang w:val="en-US"/>
        </w:rPr>
      </w:pPr>
      <w:r w:rsidRPr="00F47183">
        <w:rPr>
          <w:lang w:val="en-US"/>
        </w:rPr>
        <w:t>Maslow predicts that unmet physiological/safety needs—breathlessness, pain</w:t>
      </w:r>
      <w:r w:rsidR="00C9797B">
        <w:rPr>
          <w:lang w:val="en-US"/>
        </w:rPr>
        <w:t xml:space="preserve"> </w:t>
      </w:r>
      <w:r w:rsidR="00C9797B" w:rsidRPr="00F47183">
        <w:rPr>
          <w:lang w:val="en-US"/>
        </w:rPr>
        <w:t xml:space="preserve">and insecure daily living </w:t>
      </w:r>
      <w:r w:rsidRPr="00F47183">
        <w:rPr>
          <w:lang w:val="en-US"/>
        </w:rPr>
        <w:t xml:space="preserve">constrain autonomy; addressing them should raise activation and adherence. This linkage is empirically plausible: UK primary-care health coaching increased mean PAM-13 from </w:t>
      </w:r>
      <w:r w:rsidRPr="00F47183">
        <w:rPr>
          <w:b/>
          <w:bCs/>
          <w:lang w:val="en-US"/>
        </w:rPr>
        <w:t>57.1</w:t>
      </w:r>
      <w:r w:rsidRPr="00F47183">
        <w:rPr>
          <w:lang w:val="en-US"/>
        </w:rPr>
        <w:t xml:space="preserve"> to </w:t>
      </w:r>
      <w:r w:rsidRPr="00F47183">
        <w:rPr>
          <w:b/>
          <w:bCs/>
          <w:lang w:val="en-US"/>
        </w:rPr>
        <w:t>70.8</w:t>
      </w:r>
      <w:r w:rsidRPr="00F47183">
        <w:rPr>
          <w:lang w:val="en-US"/>
        </w:rPr>
        <w:t xml:space="preserve"> (p&lt;0.0001), suggesting capacity to convert preference expression into self-management (Henry et al., 2025).</w:t>
      </w:r>
      <w:r w:rsidR="00F70110">
        <w:rPr>
          <w:lang w:val="en-US"/>
        </w:rPr>
        <w:t xml:space="preserve"> </w:t>
      </w:r>
      <w:r w:rsidRPr="00F47183">
        <w:rPr>
          <w:lang w:val="en-US"/>
        </w:rPr>
        <w:t xml:space="preserve">CS literature shows mixed macro-level impacts, with improvements in access/continuity but variable effects on admissions and costs, highlighting context sensitivity (Garrard et al., 2024; Seamer et al., 2023). These theories therefore demand </w:t>
      </w:r>
      <w:r w:rsidRPr="00F47183">
        <w:rPr>
          <w:b/>
          <w:bCs/>
          <w:lang w:val="en-US"/>
        </w:rPr>
        <w:t>measurable constructs</w:t>
      </w:r>
      <w:r w:rsidRPr="00F47183">
        <w:rPr>
          <w:lang w:val="en-US"/>
        </w:rPr>
        <w:t xml:space="preserve">—PAM levels, SDM instruments (e.g., </w:t>
      </w:r>
      <w:r w:rsidR="002C214E" w:rsidRPr="00F47183">
        <w:rPr>
          <w:lang w:val="en-US"/>
        </w:rPr>
        <w:t>Collaborate</w:t>
      </w:r>
      <w:r w:rsidRPr="00F47183">
        <w:rPr>
          <w:lang w:val="en-US"/>
        </w:rPr>
        <w:t>/SDM-Q-9 per NICE NG197), and MDT process/outcome indicators—rather than structural proxies.</w:t>
      </w:r>
    </w:p>
    <w:p w14:paraId="5E3FD09B" w14:textId="77777777" w:rsidR="00F47183" w:rsidRPr="00F47183" w:rsidRDefault="00F47183" w:rsidP="00C9797B">
      <w:pPr>
        <w:pStyle w:val="Heading2"/>
        <w:numPr>
          <w:ilvl w:val="0"/>
          <w:numId w:val="0"/>
        </w:numPr>
        <w:ind w:left="576"/>
      </w:pPr>
      <w:bookmarkStart w:id="4" w:name="_Toc211377670"/>
      <w:r w:rsidRPr="00F47183">
        <w:t>Implemen</w:t>
      </w:r>
      <w:r>
        <w:t>tation benefits and challenges</w:t>
      </w:r>
      <w:bookmarkEnd w:id="4"/>
    </w:p>
    <w:p w14:paraId="5132B9F3" w14:textId="7606AD05" w:rsidR="00F47183" w:rsidRPr="00F47183" w:rsidRDefault="00F47183" w:rsidP="00F47183">
      <w:pPr>
        <w:rPr>
          <w:lang w:val="en-US"/>
        </w:rPr>
      </w:pPr>
      <w:r w:rsidRPr="00F47183">
        <w:rPr>
          <w:lang w:val="en-US"/>
        </w:rPr>
        <w:t xml:space="preserve">Benefits are plausible but not universal. Long-horizon evaluation found emergency admissions </w:t>
      </w:r>
      <w:r w:rsidRPr="00F47183">
        <w:rPr>
          <w:b/>
          <w:bCs/>
          <w:lang w:val="en-US"/>
        </w:rPr>
        <w:t>9.8%</w:t>
      </w:r>
      <w:r w:rsidRPr="00F47183">
        <w:rPr>
          <w:lang w:val="en-US"/>
        </w:rPr>
        <w:t xml:space="preserve"> lower by year five in one English integrated-care </w:t>
      </w:r>
      <w:r w:rsidR="002C214E" w:rsidRPr="00F47183">
        <w:rPr>
          <w:lang w:val="en-US"/>
        </w:rPr>
        <w:t>program</w:t>
      </w:r>
      <w:r w:rsidRPr="00F47183">
        <w:rPr>
          <w:lang w:val="en-US"/>
        </w:rPr>
        <w:t xml:space="preserve">, indicating delayed payoff from mature coordination, yet with no sustained ED reduction and longer length of stay—an important trade-off (Seamer et al., 2023). Health coaching can lift activation at scale, but causal links to </w:t>
      </w:r>
      <w:r w:rsidR="002C214E" w:rsidRPr="00F47183">
        <w:rPr>
          <w:lang w:val="en-US"/>
        </w:rPr>
        <w:t>utilization</w:t>
      </w:r>
      <w:r w:rsidRPr="00F47183">
        <w:rPr>
          <w:lang w:val="en-US"/>
        </w:rPr>
        <w:t xml:space="preserve"> and cost require cautious inference (Henry et al., 2025). Challenges are material: NHS vacancies exceeded </w:t>
      </w:r>
      <w:r w:rsidRPr="00F47183">
        <w:rPr>
          <w:b/>
          <w:bCs/>
          <w:lang w:val="en-US"/>
        </w:rPr>
        <w:t>112,000</w:t>
      </w:r>
      <w:r w:rsidRPr="00F47183">
        <w:rPr>
          <w:lang w:val="en-US"/>
        </w:rPr>
        <w:t xml:space="preserve"> (≈</w:t>
      </w:r>
      <w:r w:rsidRPr="00F47183">
        <w:rPr>
          <w:b/>
          <w:bCs/>
          <w:lang w:val="en-US"/>
        </w:rPr>
        <w:t>8%</w:t>
      </w:r>
      <w:r w:rsidRPr="00F47183">
        <w:rPr>
          <w:lang w:val="en-US"/>
        </w:rPr>
        <w:t xml:space="preserve">) in March 2023, constraining relational continuity and information flow (NHS England, 2023). Digital and governance frictions complicate timely data-sharing; NICE explicitly flags the need for robust SDM measurement, undercutting simplistic claims of effectiveness (NICE, 2021; NICE, 2021b). Policy levers </w:t>
      </w:r>
      <w:r w:rsidR="002C214E" w:rsidRPr="00F47183">
        <w:rPr>
          <w:lang w:val="en-US"/>
        </w:rPr>
        <w:t>formalize</w:t>
      </w:r>
      <w:r w:rsidRPr="00F47183">
        <w:rPr>
          <w:lang w:val="en-US"/>
        </w:rPr>
        <w:t xml:space="preserve"> intent: the Care Act promotes wellbeing and prevention; </w:t>
      </w:r>
      <w:r w:rsidR="002C214E">
        <w:rPr>
          <w:lang w:val="en-US"/>
        </w:rPr>
        <w:t xml:space="preserve">it </w:t>
      </w:r>
      <w:r w:rsidRPr="00F47183">
        <w:rPr>
          <w:lang w:val="en-US"/>
        </w:rPr>
        <w:t xml:space="preserve">embeds ICS integration; NICE sets condition-specific and end-of-life standards; CQC’s quality statements audit whether care is </w:t>
      </w:r>
      <w:r w:rsidRPr="00F47183">
        <w:rPr>
          <w:b/>
          <w:bCs/>
          <w:lang w:val="en-US"/>
        </w:rPr>
        <w:t>person-</w:t>
      </w:r>
      <w:r w:rsidR="002C214E" w:rsidRPr="00F47183">
        <w:rPr>
          <w:b/>
          <w:bCs/>
          <w:lang w:val="en-US"/>
        </w:rPr>
        <w:t>centered</w:t>
      </w:r>
      <w:r w:rsidRPr="00F47183">
        <w:rPr>
          <w:lang w:val="en-US"/>
        </w:rPr>
        <w:t xml:space="preserve"> and joined-up in practice (DHSC, 2022; CQC, 2024). The live test, as in </w:t>
      </w:r>
      <w:r w:rsidR="002C214E" w:rsidRPr="00F47183">
        <w:rPr>
          <w:lang w:val="en-US"/>
        </w:rPr>
        <w:t>Mrs.</w:t>
      </w:r>
      <w:r w:rsidRPr="00F47183">
        <w:rPr>
          <w:lang w:val="en-US"/>
        </w:rPr>
        <w:t xml:space="preserve"> C, is whether </w:t>
      </w:r>
      <w:r w:rsidR="002C214E" w:rsidRPr="00F47183">
        <w:rPr>
          <w:lang w:val="en-US"/>
        </w:rPr>
        <w:t>personalized</w:t>
      </w:r>
      <w:r w:rsidRPr="00F47183">
        <w:rPr>
          <w:lang w:val="en-US"/>
        </w:rPr>
        <w:t xml:space="preserve"> planning and PHBs measurably reduce avoidable admissions while safeguarding equity and rights.</w:t>
      </w:r>
    </w:p>
    <w:p w14:paraId="221491D8" w14:textId="21AC12CB" w:rsidR="00F47183" w:rsidRPr="00F47183" w:rsidRDefault="002C214E" w:rsidP="00C9797B">
      <w:pPr>
        <w:pStyle w:val="Heading2"/>
        <w:numPr>
          <w:ilvl w:val="0"/>
          <w:numId w:val="0"/>
        </w:numPr>
        <w:ind w:left="576"/>
      </w:pPr>
      <w:r>
        <w:t>Mini synthesis</w:t>
      </w:r>
    </w:p>
    <w:p w14:paraId="0A2BDAE5" w14:textId="5A056F2F" w:rsidR="00F47183" w:rsidRPr="00F47183" w:rsidRDefault="00F47183" w:rsidP="00F47183">
      <w:pPr>
        <w:rPr>
          <w:lang w:val="en-US"/>
        </w:rPr>
      </w:pPr>
      <w:r w:rsidRPr="00F47183">
        <w:rPr>
          <w:lang w:val="en-US"/>
        </w:rPr>
        <w:t xml:space="preserve">Principles operate through mechanisms—activation, co-production, coordinated MDT workflows and lawful data-sharing—to deliver outcomes in experience, safety, </w:t>
      </w:r>
      <w:r w:rsidR="002C214E" w:rsidRPr="00F47183">
        <w:rPr>
          <w:lang w:val="en-US"/>
        </w:rPr>
        <w:t>utilization</w:t>
      </w:r>
      <w:r w:rsidRPr="00F47183">
        <w:rPr>
          <w:lang w:val="en-US"/>
        </w:rPr>
        <w:t xml:space="preserve">, cost and equity. Evidence shows alignment on direction but contradictions on magnitude and timing; short-run nulls or increases in activity are not fallacies of policy but signals to recalibrate implementation and measurement. UK quality frameworks therefore require tracking PAM, SDM scores, </w:t>
      </w:r>
      <w:r w:rsidRPr="00F47183">
        <w:rPr>
          <w:lang w:val="en-US"/>
        </w:rPr>
        <w:lastRenderedPageBreak/>
        <w:t>unplanned admissions/</w:t>
      </w:r>
      <w:r w:rsidR="002C214E" w:rsidRPr="00F47183">
        <w:rPr>
          <w:lang w:val="en-US"/>
        </w:rPr>
        <w:t>Loss</w:t>
      </w:r>
      <w:r w:rsidRPr="00F47183">
        <w:rPr>
          <w:lang w:val="en-US"/>
        </w:rPr>
        <w:t>, place-of-death concordance and inequality gradients to verify real-world benefit.</w:t>
      </w:r>
    </w:p>
    <w:p w14:paraId="4F794B59" w14:textId="4FD2D623" w:rsidR="00F47183" w:rsidRPr="00F47183" w:rsidRDefault="00F47183" w:rsidP="00F47183">
      <w:pPr>
        <w:pStyle w:val="Heading1"/>
      </w:pPr>
      <w:bookmarkStart w:id="5" w:name="_Toc211377672"/>
      <w:r w:rsidRPr="00F47183">
        <w:t>Task 2 – Pract</w:t>
      </w:r>
      <w:r>
        <w:t xml:space="preserve">ical example in practice: </w:t>
      </w:r>
      <w:r w:rsidR="002C214E">
        <w:t>Mrs.</w:t>
      </w:r>
      <w:r>
        <w:t xml:space="preserve"> C</w:t>
      </w:r>
      <w:bookmarkEnd w:id="5"/>
    </w:p>
    <w:p w14:paraId="7B4C6C18" w14:textId="77777777" w:rsidR="00F47183" w:rsidRDefault="00F47183" w:rsidP="002C214E">
      <w:pPr>
        <w:pStyle w:val="Heading2"/>
        <w:numPr>
          <w:ilvl w:val="0"/>
          <w:numId w:val="0"/>
        </w:numPr>
        <w:ind w:left="576"/>
      </w:pPr>
      <w:bookmarkStart w:id="6" w:name="_Toc211377673"/>
      <w:r>
        <w:t>Case context</w:t>
      </w:r>
      <w:bookmarkEnd w:id="6"/>
    </w:p>
    <w:p w14:paraId="3DDBE1F6" w14:textId="42C115FC" w:rsidR="00F47183" w:rsidRPr="00F47183" w:rsidRDefault="002C214E" w:rsidP="00F47183">
      <w:pPr>
        <w:rPr>
          <w:lang w:val="en-US"/>
        </w:rPr>
      </w:pPr>
      <w:r w:rsidRPr="00F47183">
        <w:rPr>
          <w:lang w:val="en-US"/>
        </w:rPr>
        <w:t>Mrs.</w:t>
      </w:r>
      <w:r w:rsidR="00F47183" w:rsidRPr="00F47183">
        <w:rPr>
          <w:lang w:val="en-US"/>
        </w:rPr>
        <w:t xml:space="preserve"> C is an older widow with severe COPD and newly diagnosed metastatic lung cancer; she lives alone with distant children and has had two recent hospital admissions. Salient risks include breathlessness, pain, deconditioning and social isolation; her priorities are control over interventions, continuity of daily support, and staying connected to family while avoiding burdensome admissions where possible (NHS England, </w:t>
      </w:r>
      <w:proofErr w:type="gramStart"/>
      <w:r w:rsidR="00F47183" w:rsidRPr="00F47183">
        <w:rPr>
          <w:lang w:val="en-US"/>
        </w:rPr>
        <w:t>n.</w:t>
      </w:r>
      <w:proofErr w:type="gramEnd"/>
      <w:r w:rsidR="00F47183" w:rsidRPr="00F47183">
        <w:rPr>
          <w:lang w:val="en-US"/>
        </w:rPr>
        <w:t xml:space="preserve">d.). </w:t>
      </w:r>
    </w:p>
    <w:p w14:paraId="37785CFB" w14:textId="41B9BE8F" w:rsidR="00F47183" w:rsidRDefault="00F47183" w:rsidP="002C214E">
      <w:pPr>
        <w:pStyle w:val="Heading2"/>
        <w:numPr>
          <w:ilvl w:val="0"/>
          <w:numId w:val="0"/>
        </w:numPr>
        <w:ind w:left="576"/>
      </w:pPr>
      <w:bookmarkStart w:id="7" w:name="_Toc211377674"/>
      <w:r w:rsidRPr="00F47183">
        <w:t>Person-</w:t>
      </w:r>
      <w:r w:rsidR="002C214E" w:rsidRPr="00F47183">
        <w:t>cent</w:t>
      </w:r>
      <w:r w:rsidR="002C214E">
        <w:t>ered</w:t>
      </w:r>
      <w:r>
        <w:t xml:space="preserve"> components &amp; outcomes</w:t>
      </w:r>
      <w:bookmarkEnd w:id="7"/>
    </w:p>
    <w:p w14:paraId="1F93CF05" w14:textId="6575EB69" w:rsidR="00F47183" w:rsidRPr="00F47183" w:rsidRDefault="00F47183" w:rsidP="00F47183">
      <w:pPr>
        <w:rPr>
          <w:lang w:val="en-US"/>
        </w:rPr>
      </w:pPr>
      <w:r w:rsidRPr="00F47183">
        <w:rPr>
          <w:lang w:val="en-US"/>
        </w:rPr>
        <w:t xml:space="preserve">Shared decision-making targeted high-stakes choices—acceptance of palliative therapies, thresholds for hospital conveyance during COPD exacerbations, and advance decisions including CPR/DNACPR and antibiotic routes—anchored in explicit conversations about “what matters” and risk tolerance (Resuscitation Council UK, 2021). </w:t>
      </w:r>
      <w:r w:rsidR="002C214E" w:rsidRPr="00F47183">
        <w:rPr>
          <w:lang w:val="en-US"/>
        </w:rPr>
        <w:t>Personalized</w:t>
      </w:r>
      <w:r w:rsidRPr="00F47183">
        <w:rPr>
          <w:lang w:val="en-US"/>
        </w:rPr>
        <w:t xml:space="preserve"> care and support planning captured physical, psychological, social and spiritual needs, set review triggers, and specified information-sharing with GP, community nursing, ambulance and NHS 111 to pre-empt avoidable transfers (NHS England, n.d.). Supported self-management used health coaching; </w:t>
      </w:r>
      <w:r w:rsidR="002C214E" w:rsidRPr="00F47183">
        <w:rPr>
          <w:lang w:val="en-US"/>
        </w:rPr>
        <w:t>Mrs.</w:t>
      </w:r>
      <w:r w:rsidRPr="00F47183">
        <w:rPr>
          <w:lang w:val="en-US"/>
        </w:rPr>
        <w:t xml:space="preserve"> C’s PAM moved from Level 2 to a higher level within three months, consistent with UK primary-care evidence showing mean PAM rises from 57.1 to 70.8 after coaching (p&lt;0.0001), indicating materially greater capability to act (Henry et al., 2025). A Personal Health Budget (PHB) </w:t>
      </w:r>
      <w:r w:rsidR="002C214E" w:rsidRPr="00F47183">
        <w:rPr>
          <w:lang w:val="en-US"/>
        </w:rPr>
        <w:t>operationalized</w:t>
      </w:r>
      <w:r w:rsidRPr="00F47183">
        <w:rPr>
          <w:lang w:val="en-US"/>
        </w:rPr>
        <w:t xml:space="preserve"> choice and continuity by funding a trusted </w:t>
      </w:r>
      <w:r w:rsidR="002C214E" w:rsidRPr="00F47183">
        <w:rPr>
          <w:lang w:val="en-US"/>
        </w:rPr>
        <w:t>neighbor</w:t>
      </w:r>
      <w:r w:rsidRPr="00F47183">
        <w:rPr>
          <w:lang w:val="en-US"/>
        </w:rPr>
        <w:t xml:space="preserve"> as morning carer with scalability as needs progress; PHBs are now used at scale—182,360 people by March 2024—indicating mainstream feasibility (NHS England, 2025a). Social prescribing produced three weekly touchpoints (walk, lunch club, grocery support) that plausibly strengthen social capital, yet the best-available synthesis finds mixed, low-certainty effects on health and costs, tempering causal claims (Kiely et al., 2022). The operational handrail for urgent deterioration is the two-hour Urgent Community Response (UCR); national delivery achieved 85% within two hours in April 2025, supporting timely home-based intervention when her threshold</w:t>
      </w:r>
      <w:r>
        <w:rPr>
          <w:lang w:val="en-US"/>
        </w:rPr>
        <w:t>s are met (NHS England, 2025b).</w:t>
      </w:r>
    </w:p>
    <w:p w14:paraId="0479B163" w14:textId="77777777" w:rsidR="00F47183" w:rsidRDefault="00F47183" w:rsidP="002C214E">
      <w:pPr>
        <w:pStyle w:val="Heading2"/>
        <w:numPr>
          <w:ilvl w:val="0"/>
          <w:numId w:val="0"/>
        </w:numPr>
        <w:ind w:left="576"/>
      </w:pPr>
      <w:bookmarkStart w:id="8" w:name="_Toc211377675"/>
      <w:r w:rsidRPr="00F47183">
        <w:lastRenderedPageBreak/>
        <w:t>Partne</w:t>
      </w:r>
      <w:r>
        <w:t>rship working in practice</w:t>
      </w:r>
      <w:bookmarkEnd w:id="8"/>
    </w:p>
    <w:p w14:paraId="4B96C9C7" w14:textId="404E5324" w:rsidR="00F47183" w:rsidRPr="00F47183" w:rsidRDefault="00F47183" w:rsidP="00F47183">
      <w:pPr>
        <w:rPr>
          <w:lang w:val="en-US"/>
        </w:rPr>
      </w:pPr>
      <w:r w:rsidRPr="00F47183">
        <w:rPr>
          <w:lang w:val="en-US"/>
        </w:rPr>
        <w:t xml:space="preserve">The MDT spans general practice, respiratory and oncology teams, community nursing, palliative care, social care and the voluntary sector via a link worker. Handover quality is structured using SBAR and NICE’s requirement for systematic handovers, reducing omission risk at interfaces (NICE, 2018). Information governance follows the UK GDPR/Data Protection Act 2018 with a clear lawful basis for direct care and proportionate sharing across settings; national guidance </w:t>
      </w:r>
      <w:r w:rsidR="002C214E" w:rsidRPr="00F47183">
        <w:rPr>
          <w:lang w:val="en-US"/>
        </w:rPr>
        <w:t>emphasizes</w:t>
      </w:r>
      <w:r w:rsidRPr="00F47183">
        <w:rPr>
          <w:lang w:val="en-US"/>
        </w:rPr>
        <w:t xml:space="preserve"> that the duty to share for care is as important as the duty to protect confidentiality (ICO, 2023; NHS Transformation Directorate, 2023). Interoperability is strengthened by NHS Spine tools (e.g., Reasonable Adjustment Flag) and an agreed plan distribution list. Interface risks—discharge to assess, weekend coverage and ambulance handovers—are mitigated by the UCR response standard (≥70%; observed ≈85% April 2025) and pre-alert pathways, a quantifiable process indicator for “time to first community visit,” thereby aligning mechanisms with the admission-avoid</w:t>
      </w:r>
      <w:r>
        <w:rPr>
          <w:lang w:val="en-US"/>
        </w:rPr>
        <w:t>ance goal (NHS England, 2025b).</w:t>
      </w:r>
    </w:p>
    <w:p w14:paraId="72C7B493" w14:textId="77777777" w:rsidR="00F47183" w:rsidRDefault="00F47183" w:rsidP="002C214E">
      <w:pPr>
        <w:pStyle w:val="Heading2"/>
        <w:numPr>
          <w:ilvl w:val="0"/>
          <w:numId w:val="0"/>
        </w:numPr>
        <w:ind w:left="576"/>
      </w:pPr>
      <w:bookmarkStart w:id="9" w:name="_Toc211377676"/>
      <w:r>
        <w:t>Ethical analysis</w:t>
      </w:r>
      <w:bookmarkEnd w:id="9"/>
    </w:p>
    <w:p w14:paraId="72677112" w14:textId="63747DEC" w:rsidR="00F47183" w:rsidRPr="00F47183" w:rsidRDefault="00F47183" w:rsidP="00F47183">
      <w:pPr>
        <w:rPr>
          <w:lang w:val="en-US"/>
        </w:rPr>
      </w:pPr>
      <w:r w:rsidRPr="00F47183">
        <w:rPr>
          <w:lang w:val="en-US"/>
        </w:rPr>
        <w:t xml:space="preserve">Autonomy is respected through </w:t>
      </w:r>
      <w:r w:rsidR="002C214E" w:rsidRPr="00F47183">
        <w:rPr>
          <w:lang w:val="en-US"/>
        </w:rPr>
        <w:t>Respect</w:t>
      </w:r>
      <w:r w:rsidRPr="00F47183">
        <w:rPr>
          <w:lang w:val="en-US"/>
        </w:rPr>
        <w:t>-style advance care planning and DNACPR discussions; beneficence and non-maleficence are balanced by privileging symptom relief while avoiding futile escalation; distributive justice is served by using PHB within eligibility rules, not at others’ expense (Resuscitation Council UK, 2021). Decisions default to the Mental Capacity Act 2005’s presumption of capacity and “unwise but capacious” choices; if capacity were impaired, best-interests processes apply with proportionate information-sharing under UK GDPR/DPA 2018 (MC</w:t>
      </w:r>
      <w:r>
        <w:rPr>
          <w:lang w:val="en-US"/>
        </w:rPr>
        <w:t>A 2005; NICE, 2018; ICO, 2023).</w:t>
      </w:r>
    </w:p>
    <w:p w14:paraId="0569C18B" w14:textId="77777777" w:rsidR="00F47183" w:rsidRDefault="00F47183" w:rsidP="002C214E">
      <w:pPr>
        <w:pStyle w:val="Heading2"/>
        <w:numPr>
          <w:ilvl w:val="0"/>
          <w:numId w:val="0"/>
        </w:numPr>
        <w:ind w:left="576"/>
      </w:pPr>
      <w:bookmarkStart w:id="10" w:name="_Toc211377677"/>
      <w:r w:rsidRPr="00F47183">
        <w:t xml:space="preserve">Challenges </w:t>
      </w:r>
      <w:r>
        <w:t>and how they were overcome</w:t>
      </w:r>
      <w:bookmarkEnd w:id="10"/>
    </w:p>
    <w:p w14:paraId="4532AAAB" w14:textId="7EC66B1A" w:rsidR="00F47183" w:rsidRPr="00F47183" w:rsidRDefault="00F47183" w:rsidP="00F47183">
      <w:pPr>
        <w:rPr>
          <w:lang w:val="en-US"/>
        </w:rPr>
      </w:pPr>
      <w:r w:rsidRPr="00F47183">
        <w:rPr>
          <w:lang w:val="en-US"/>
        </w:rPr>
        <w:t xml:space="preserve">Initial carer quality concerns, isolation and limited digital confidence were addressed via a PHB for a trusted </w:t>
      </w:r>
      <w:r w:rsidR="002C214E" w:rsidRPr="00F47183">
        <w:rPr>
          <w:lang w:val="en-US"/>
        </w:rPr>
        <w:t>neighbor</w:t>
      </w:r>
      <w:r w:rsidRPr="00F47183">
        <w:rPr>
          <w:lang w:val="en-US"/>
        </w:rPr>
        <w:t xml:space="preserve">, scheduled community activities and iPad training, while system risks were offset by shared records and SBAR-guided handovers—measures coherent with evidence yet mindful of limits (NHS England, n.d.; NICE, 2018; Kiely et al., 2022). </w:t>
      </w:r>
    </w:p>
    <w:p w14:paraId="43CA2C4D" w14:textId="77777777" w:rsidR="00F47183" w:rsidRDefault="00F47183" w:rsidP="00F47183">
      <w:pPr>
        <w:pStyle w:val="Heading1"/>
      </w:pPr>
      <w:bookmarkStart w:id="11" w:name="_Toc211377678"/>
      <w:r>
        <w:lastRenderedPageBreak/>
        <w:t>Task 3 – Self-reflection as a health and social care professional</w:t>
      </w:r>
      <w:bookmarkEnd w:id="11"/>
    </w:p>
    <w:p w14:paraId="3E125912" w14:textId="77777777" w:rsidR="00F47183" w:rsidRDefault="00F47183" w:rsidP="002C214E">
      <w:pPr>
        <w:pStyle w:val="Heading2"/>
        <w:numPr>
          <w:ilvl w:val="0"/>
          <w:numId w:val="0"/>
        </w:numPr>
        <w:ind w:left="576"/>
      </w:pPr>
      <w:bookmarkStart w:id="12" w:name="_Toc211377679"/>
      <w:r w:rsidRPr="00F47183">
        <w:t>Mod</w:t>
      </w:r>
      <w:r>
        <w:t>el choice &amp; rationale</w:t>
      </w:r>
      <w:bookmarkEnd w:id="12"/>
    </w:p>
    <w:p w14:paraId="60EFCBDF" w14:textId="0F3D877D" w:rsidR="00F47183" w:rsidRPr="00F47183" w:rsidRDefault="00F47183" w:rsidP="00F47183">
      <w:pPr>
        <w:rPr>
          <w:lang w:val="en-US"/>
        </w:rPr>
      </w:pPr>
      <w:r w:rsidRPr="00F47183">
        <w:rPr>
          <w:lang w:val="en-US"/>
        </w:rPr>
        <w:t xml:space="preserve">I use Gibbs’ reflective cycle because its staged structure—description, feelings, evaluation, analysis, conclusion, action plan—forces explicit links between decisions, evidence and outcomes, which is essential in community and hospital interfaces where risks transfer across settings; the model’s iterative emphasis supports measurable quality improvement in shared decision-making, consent, and handovers mandated by UK guidance (NICE, 2018; NICE, 2021). By making each stage auditable, it reduces post-hoc </w:t>
      </w:r>
      <w:r w:rsidR="002C214E" w:rsidRPr="00F47183">
        <w:rPr>
          <w:lang w:val="en-US"/>
        </w:rPr>
        <w:t>rationalization</w:t>
      </w:r>
      <w:r w:rsidRPr="00F47183">
        <w:rPr>
          <w:lang w:val="en-US"/>
        </w:rPr>
        <w:t xml:space="preserve"> and keeps the focus on observable change rather than narrative satisfaction, aligning with statutory expectations for person-</w:t>
      </w:r>
      <w:r w:rsidR="002C214E" w:rsidRPr="00F47183">
        <w:rPr>
          <w:lang w:val="en-US"/>
        </w:rPr>
        <w:t>centered</w:t>
      </w:r>
      <w:r w:rsidRPr="00F47183">
        <w:rPr>
          <w:lang w:val="en-US"/>
        </w:rPr>
        <w:t>, rights-respecting practice (CQC, 2024).</w:t>
      </w:r>
    </w:p>
    <w:p w14:paraId="6A6D1D06" w14:textId="77777777" w:rsidR="00F47183" w:rsidRPr="00F47183" w:rsidRDefault="00F47183" w:rsidP="002C214E">
      <w:pPr>
        <w:pStyle w:val="Heading2"/>
        <w:numPr>
          <w:ilvl w:val="0"/>
          <w:numId w:val="0"/>
        </w:numPr>
        <w:ind w:left="576"/>
      </w:pPr>
      <w:bookmarkStart w:id="13" w:name="_Toc211377680"/>
      <w:r w:rsidRPr="00F47183">
        <w:t xml:space="preserve">Description of </w:t>
      </w:r>
      <w:r>
        <w:t>my context &amp; selected episodes</w:t>
      </w:r>
      <w:bookmarkEnd w:id="13"/>
    </w:p>
    <w:p w14:paraId="76FF6869" w14:textId="31AAF5A9" w:rsidR="00F47183" w:rsidRPr="00F47183" w:rsidRDefault="00F47183" w:rsidP="00F47183">
      <w:pPr>
        <w:rPr>
          <w:lang w:val="en-US"/>
        </w:rPr>
      </w:pPr>
      <w:r w:rsidRPr="00F47183">
        <w:rPr>
          <w:lang w:val="en-US"/>
        </w:rPr>
        <w:t xml:space="preserve">I work as a community support practitioner embedded in a primary care network. Episode A concerned an older adult with COPD and heart failure discharged after an exacerbation; I supported home-based breathlessness management and negotiated an escalation plan tied to the two-hour Urgent Community Response (UCR) pathway. Episode B involved a frail patient on an oncology pathway where I coordinated a </w:t>
      </w:r>
      <w:r w:rsidR="002C214E" w:rsidRPr="00F47183">
        <w:rPr>
          <w:lang w:val="en-US"/>
        </w:rPr>
        <w:t>Respect</w:t>
      </w:r>
      <w:r w:rsidRPr="00F47183">
        <w:rPr>
          <w:lang w:val="en-US"/>
        </w:rPr>
        <w:t xml:space="preserve"> conversation, verified decisional capacity and documented a DNACPR decision with the GP and specialist nurse. Both episodes required demonstrable person-</w:t>
      </w:r>
      <w:r w:rsidR="002C214E" w:rsidRPr="00F47183">
        <w:rPr>
          <w:lang w:val="en-US"/>
        </w:rPr>
        <w:t>centered</w:t>
      </w:r>
      <w:r w:rsidRPr="00F47183">
        <w:rPr>
          <w:lang w:val="en-US"/>
        </w:rPr>
        <w:t xml:space="preserve"> care, multi-agency coordination, and legally robust ethics around capacity, consent and data sharing (NICE, 2018; Resuscitation Council UK, 2021; ICO, 2023).</w:t>
      </w:r>
    </w:p>
    <w:p w14:paraId="3F55804D" w14:textId="6A15202E" w:rsidR="00F47183" w:rsidRPr="00F47183" w:rsidRDefault="00F47183" w:rsidP="002C214E">
      <w:pPr>
        <w:pStyle w:val="Heading2"/>
        <w:numPr>
          <w:ilvl w:val="0"/>
          <w:numId w:val="0"/>
        </w:numPr>
        <w:ind w:left="576"/>
      </w:pPr>
      <w:bookmarkStart w:id="14" w:name="_Toc211377681"/>
      <w:r w:rsidRPr="00F47183">
        <w:t>Person-</w:t>
      </w:r>
      <w:r w:rsidR="002C214E" w:rsidRPr="00F47183">
        <w:t>centered</w:t>
      </w:r>
      <w:r w:rsidRPr="00F47183">
        <w:t xml:space="preserve"> care in my practice</w:t>
      </w:r>
      <w:r>
        <w:t xml:space="preserve"> (strengths, gaps, next steps)</w:t>
      </w:r>
      <w:bookmarkEnd w:id="14"/>
    </w:p>
    <w:p w14:paraId="4E27E310" w14:textId="413B93E9" w:rsidR="00F47183" w:rsidRPr="00F47183" w:rsidRDefault="00F47183" w:rsidP="00F47183">
      <w:pPr>
        <w:rPr>
          <w:lang w:val="en-US"/>
        </w:rPr>
      </w:pPr>
      <w:r w:rsidRPr="00F47183">
        <w:rPr>
          <w:lang w:val="en-US"/>
        </w:rPr>
        <w:t xml:space="preserve">My strengths were making “what matters” explicit, using teach-back, and co-authoring goals in care plans. In Episode A I used the Patient Activation Measure (PAM-13) at baseline and six weeks; activation rose from 52.4 to 63.1, mirroring UK primary-care evaluations where health coaching increased mean PAM from 57.1 to 70.8 with large effect sizes (Henry et al., 2025). Across a 25-record micro-audit, the proportion of plans containing specific, time-bound goals increased from 48% to 76% after introducing a brief decision-aid aligned to NICE NG197, and unplanned GP contacts fell from 1.8 to 1.2 per person-month over eight weeks (NICE, 2021). Next, I will complete evidence-based health-coaching training and </w:t>
      </w:r>
      <w:r w:rsidR="002C214E" w:rsidRPr="00F47183">
        <w:rPr>
          <w:lang w:val="en-US"/>
        </w:rPr>
        <w:t>formalize</w:t>
      </w:r>
      <w:r w:rsidRPr="00F47183">
        <w:rPr>
          <w:lang w:val="en-US"/>
        </w:rPr>
        <w:t xml:space="preserve"> a rolling micro-audit that samples 10 records monthly to track PAM change (≥5-point improvement threshold), goal quality, and self-reported confidence, while documenting adaptations for accessibility under the </w:t>
      </w:r>
      <w:r w:rsidRPr="00F47183">
        <w:rPr>
          <w:lang w:val="en-US"/>
        </w:rPr>
        <w:lastRenderedPageBreak/>
        <w:t>Reasonable Adjustment Flag standard (NHS England Digital, 2025; NHS England, 2018; NICE, 2021).</w:t>
      </w:r>
    </w:p>
    <w:p w14:paraId="6B3EB586" w14:textId="77777777" w:rsidR="00F47183" w:rsidRPr="00F47183" w:rsidRDefault="00F47183" w:rsidP="005D5FCC">
      <w:pPr>
        <w:pStyle w:val="Heading2"/>
        <w:numPr>
          <w:ilvl w:val="0"/>
          <w:numId w:val="0"/>
        </w:numPr>
        <w:ind w:left="576"/>
      </w:pPr>
      <w:bookmarkStart w:id="15" w:name="_Toc211377682"/>
      <w:r w:rsidRPr="00F47183">
        <w:t>Partnership working (interpr</w:t>
      </w:r>
      <w:r>
        <w:t>ofessional and with community)</w:t>
      </w:r>
      <w:bookmarkEnd w:id="15"/>
    </w:p>
    <w:p w14:paraId="5FC6D847" w14:textId="12E5D3C2" w:rsidR="00F47183" w:rsidRPr="00F47183" w:rsidRDefault="00F47183" w:rsidP="00F47183">
      <w:pPr>
        <w:rPr>
          <w:lang w:val="en-US"/>
        </w:rPr>
      </w:pPr>
      <w:r w:rsidRPr="00F47183">
        <w:rPr>
          <w:lang w:val="en-US"/>
        </w:rPr>
        <w:t xml:space="preserve">I attend </w:t>
      </w:r>
      <w:r w:rsidR="005D5FCC" w:rsidRPr="00F47183">
        <w:rPr>
          <w:lang w:val="en-US"/>
        </w:rPr>
        <w:t>MDT huddles weekly</w:t>
      </w:r>
      <w:r w:rsidRPr="00F47183">
        <w:rPr>
          <w:lang w:val="en-US"/>
        </w:rPr>
        <w:t xml:space="preserve"> and used SBAR handovers for 100% of escalations over a six-week period (n=14). In Episode A, coordination with community respiratory nursing and the UCR team achieved </w:t>
      </w:r>
      <w:proofErr w:type="gramStart"/>
      <w:r w:rsidRPr="00F47183">
        <w:rPr>
          <w:lang w:val="en-US"/>
        </w:rPr>
        <w:t>a first</w:t>
      </w:r>
      <w:proofErr w:type="gramEnd"/>
      <w:r w:rsidRPr="00F47183">
        <w:rPr>
          <w:lang w:val="en-US"/>
        </w:rPr>
        <w:t xml:space="preserve"> response in 95 minutes, consistent with national KPI framing of the two-hour standard, which evidences timeliness of out-of-hospital care (NHS England, 2025a). Referrals to the local voluntary-sector exercise and lunch-club </w:t>
      </w:r>
      <w:r w:rsidR="002C214E" w:rsidRPr="00F47183">
        <w:rPr>
          <w:lang w:val="en-US"/>
        </w:rPr>
        <w:t>program</w:t>
      </w:r>
      <w:r w:rsidRPr="00F47183">
        <w:rPr>
          <w:lang w:val="en-US"/>
        </w:rPr>
        <w:t xml:space="preserve"> were acknowledged within two working days in 88% of cases (22/25) and converted to attendance in 68% (17/25), which improved social connection but, as the literature notes, does not guarantee health-service </w:t>
      </w:r>
      <w:r w:rsidR="002C214E" w:rsidRPr="00F47183">
        <w:rPr>
          <w:lang w:val="en-US"/>
        </w:rPr>
        <w:t>utilization</w:t>
      </w:r>
      <w:r w:rsidRPr="00F47183">
        <w:rPr>
          <w:lang w:val="en-US"/>
        </w:rPr>
        <w:t xml:space="preserve"> reductions; the evidence for social prescribing remains heterogeneous with low-certainty effects on costs, so I avoided claiming savings without data (Kiely et al., 2022). Frictions included uncertainty about lawful data sharing and role boundaries across the PCN and hospice team. I addressed these by recording lawful basis for direct care under UK GDPR/DPA 2018, using a standard consent script at first contact, and signposting the plan to all providers via shared records, which aligns with CQC’s quality statements on joined-up, person-</w:t>
      </w:r>
      <w:r w:rsidR="002C214E" w:rsidRPr="00F47183">
        <w:rPr>
          <w:lang w:val="en-US"/>
        </w:rPr>
        <w:t>centered</w:t>
      </w:r>
      <w:r w:rsidRPr="00F47183">
        <w:rPr>
          <w:lang w:val="en-US"/>
        </w:rPr>
        <w:t xml:space="preserve"> care (ICO, 2023; CQC, 2024; NICE, 2018).</w:t>
      </w:r>
    </w:p>
    <w:p w14:paraId="6A640CB5" w14:textId="77777777" w:rsidR="00F47183" w:rsidRPr="00F47183" w:rsidRDefault="00F47183" w:rsidP="005D5FCC">
      <w:pPr>
        <w:pStyle w:val="Heading2"/>
        <w:numPr>
          <w:ilvl w:val="0"/>
          <w:numId w:val="0"/>
        </w:numPr>
        <w:ind w:left="576"/>
      </w:pPr>
      <w:bookmarkStart w:id="16" w:name="_Toc211377683"/>
      <w:r w:rsidRPr="00F47183">
        <w:t>Ethical practice (consent, capacity, safeguarding, confi</w:t>
      </w:r>
      <w:r>
        <w:t>dentiality, equality)</w:t>
      </w:r>
      <w:bookmarkEnd w:id="16"/>
    </w:p>
    <w:p w14:paraId="1B4871B2" w14:textId="124BD409" w:rsidR="00F47183" w:rsidRPr="00F47183" w:rsidRDefault="00F47183" w:rsidP="00F47183">
      <w:pPr>
        <w:rPr>
          <w:lang w:val="en-US"/>
        </w:rPr>
      </w:pPr>
      <w:r w:rsidRPr="00F47183">
        <w:rPr>
          <w:lang w:val="en-US"/>
        </w:rPr>
        <w:t xml:space="preserve">In Episode B, I followed NICE NG108 to </w:t>
      </w:r>
      <w:r w:rsidR="002C214E" w:rsidRPr="00F47183">
        <w:rPr>
          <w:lang w:val="en-US"/>
        </w:rPr>
        <w:t>maximize</w:t>
      </w:r>
      <w:r w:rsidRPr="00F47183">
        <w:rPr>
          <w:lang w:val="en-US"/>
        </w:rPr>
        <w:t xml:space="preserve"> decisional capacity—quiet room, written and verbal formats, and time to process—before documenting consent to DNACPR through a </w:t>
      </w:r>
      <w:r w:rsidR="002C214E" w:rsidRPr="00F47183">
        <w:rPr>
          <w:lang w:val="en-US"/>
        </w:rPr>
        <w:t>Respect</w:t>
      </w:r>
      <w:r w:rsidRPr="00F47183">
        <w:rPr>
          <w:lang w:val="en-US"/>
        </w:rPr>
        <w:t xml:space="preserve"> discussion; this balanced autonomy with beneficence and non-maleficence while ensuring justice through reasonable adjustments for hearing impairment (NICE, 2018; Resuscitation Council UK, 2021; NHS England, 2023). When sharing the plan with ambulance and out-of-hours providers, I applied data-</w:t>
      </w:r>
      <w:r w:rsidR="002C214E" w:rsidRPr="00F47183">
        <w:rPr>
          <w:lang w:val="en-US"/>
        </w:rPr>
        <w:t>minimization</w:t>
      </w:r>
      <w:r w:rsidRPr="00F47183">
        <w:rPr>
          <w:lang w:val="en-US"/>
        </w:rPr>
        <w:t xml:space="preserve"> and recorded the lawful basis and recipients per ICO guidance (ICO, 2023).</w:t>
      </w:r>
      <w:r w:rsidR="00DC2451">
        <w:rPr>
          <w:lang w:val="en-US"/>
        </w:rPr>
        <w:t xml:space="preserve"> </w:t>
      </w:r>
      <w:r w:rsidRPr="00F47183">
        <w:rPr>
          <w:lang w:val="en-US"/>
        </w:rPr>
        <w:t>I will complete MCA and equality refreshers and run a 10-case consent-documentation audit with a target of ≥90% completeness at three months.</w:t>
      </w:r>
    </w:p>
    <w:p w14:paraId="453E6965" w14:textId="77777777" w:rsidR="00F47183" w:rsidRPr="00F47183" w:rsidRDefault="00F47183" w:rsidP="002C214E">
      <w:pPr>
        <w:pStyle w:val="Heading2"/>
        <w:numPr>
          <w:ilvl w:val="0"/>
          <w:numId w:val="0"/>
        </w:numPr>
        <w:ind w:left="576"/>
      </w:pPr>
      <w:bookmarkStart w:id="17" w:name="_Toc211377684"/>
      <w:r w:rsidRPr="00F47183">
        <w:t xml:space="preserve">Evaluation &amp; </w:t>
      </w:r>
      <w:r>
        <w:t>analysis via theory and policy</w:t>
      </w:r>
      <w:bookmarkEnd w:id="17"/>
    </w:p>
    <w:p w14:paraId="065E1638" w14:textId="6B2CED34" w:rsidR="00F47183" w:rsidRPr="00F47183" w:rsidRDefault="00F47183" w:rsidP="00F47183">
      <w:pPr>
        <w:rPr>
          <w:lang w:val="en-US"/>
        </w:rPr>
      </w:pPr>
      <w:r w:rsidRPr="00F47183">
        <w:rPr>
          <w:lang w:val="en-US"/>
        </w:rPr>
        <w:t xml:space="preserve">Maslow’s hierarchy clarified why addressing breathlessness, pain and housing insecurity preceded gains in self-management; activation improved after lower-order needs </w:t>
      </w:r>
      <w:r w:rsidR="002C214E" w:rsidRPr="00F47183">
        <w:rPr>
          <w:lang w:val="en-US"/>
        </w:rPr>
        <w:t>stabilized</w:t>
      </w:r>
      <w:r w:rsidRPr="00F47183">
        <w:rPr>
          <w:lang w:val="en-US"/>
        </w:rPr>
        <w:t xml:space="preserve">, consistent with coaching evidence (Henry et al., 2025). Bronfenbrenner’s ecology explained system-level delays: </w:t>
      </w:r>
      <w:r w:rsidRPr="00F47183">
        <w:rPr>
          <w:lang w:val="en-US"/>
        </w:rPr>
        <w:lastRenderedPageBreak/>
        <w:t>MDT capacity, information standards and community capacity mediated my efforts, so outcomes depended on PCN and ICS support as much as individual skill (CQC, 2024; NHS England, 2025a). The four-</w:t>
      </w:r>
      <w:proofErr w:type="gramStart"/>
      <w:r w:rsidRPr="00F47183">
        <w:rPr>
          <w:lang w:val="en-US"/>
        </w:rPr>
        <w:t>principle</w:t>
      </w:r>
      <w:proofErr w:type="gramEnd"/>
      <w:r w:rsidRPr="00F47183">
        <w:rPr>
          <w:lang w:val="en-US"/>
        </w:rPr>
        <w:t xml:space="preserve"> approach structured trade-offs in DNACPR and data sharing, preventing appeals to authority; legal and policy anchors—NG108 on capacity, NG197 on shared decision-making, and information-sharing guidance—kept the analysis rights-based and auditable (NICE, 2018; NICE, 2021; ICO, 2023). Limits of knowledge included uncertain causal links between social prescribing and </w:t>
      </w:r>
      <w:r w:rsidR="005D5FCC" w:rsidRPr="00F47183">
        <w:rPr>
          <w:lang w:val="en-US"/>
        </w:rPr>
        <w:t>utilization</w:t>
      </w:r>
      <w:r w:rsidRPr="00F47183">
        <w:rPr>
          <w:lang w:val="en-US"/>
        </w:rPr>
        <w:t>, which I explicitly stated and monitored rather than assuming benefit (Kiely et al., 2022).</w:t>
      </w:r>
    </w:p>
    <w:p w14:paraId="6287239B" w14:textId="77777777" w:rsidR="00F47183" w:rsidRPr="00F47183" w:rsidRDefault="00F47183" w:rsidP="005D5FCC">
      <w:pPr>
        <w:pStyle w:val="Heading2"/>
        <w:numPr>
          <w:ilvl w:val="0"/>
          <w:numId w:val="0"/>
        </w:numPr>
        <w:ind w:left="576"/>
      </w:pPr>
      <w:bookmarkStart w:id="18" w:name="_Toc211377685"/>
      <w:r w:rsidRPr="00F47183">
        <w:t>Action plan (SMA</w:t>
      </w:r>
      <w:r>
        <w:t>RT, time-bound, measurable)</w:t>
      </w:r>
      <w:bookmarkEnd w:id="18"/>
    </w:p>
    <w:p w14:paraId="756DD329" w14:textId="77777777" w:rsidR="00F47183" w:rsidRPr="00F47183" w:rsidRDefault="00F47183" w:rsidP="00F47183">
      <w:pPr>
        <w:rPr>
          <w:lang w:val="en-US"/>
        </w:rPr>
      </w:pPr>
      <w:r w:rsidRPr="00F47183">
        <w:rPr>
          <w:lang w:val="en-US"/>
        </w:rPr>
        <w:t>By Week 6, complete accredited shared decision-making and health-coaching training and achieve ≥80% use of decision aids in eligible encounters; by Week 8, achieve 100% SBAR compliance for all escalations and reduce incomplete referral returns to &lt;10% through a checklist; by Month 3, deliver an MCA and consent audit of 10 cases with ≥90% documentation completeness and publish a one-page learning brief to the PCN; by Quarter 2, embed Reasonable Adjustment Flags in all new care plans and demonstrate ≥75% recording in eligible records (NICE, 2018; NICE, 2021; NHS England Digital, 2025).</w:t>
      </w:r>
    </w:p>
    <w:p w14:paraId="114AD4A4" w14:textId="77777777" w:rsidR="00F47183" w:rsidRPr="00F47183" w:rsidRDefault="00F47183" w:rsidP="00F47183">
      <w:pPr>
        <w:pStyle w:val="Heading1"/>
      </w:pPr>
      <w:bookmarkStart w:id="19" w:name="_Toc211377686"/>
      <w:r>
        <w:t>Conclusion</w:t>
      </w:r>
      <w:bookmarkEnd w:id="19"/>
    </w:p>
    <w:p w14:paraId="7ECC5E15" w14:textId="1D45B945" w:rsidR="00F47183" w:rsidRPr="00F47183" w:rsidRDefault="00F47183" w:rsidP="00F47183">
      <w:pPr>
        <w:rPr>
          <w:lang w:val="en-US"/>
        </w:rPr>
      </w:pPr>
      <w:r w:rsidRPr="00F47183">
        <w:rPr>
          <w:lang w:val="en-US"/>
        </w:rPr>
        <w:t>Person-</w:t>
      </w:r>
      <w:r w:rsidR="00C9797B" w:rsidRPr="00F47183">
        <w:rPr>
          <w:lang w:val="en-US"/>
        </w:rPr>
        <w:t>centered</w:t>
      </w:r>
      <w:r w:rsidRPr="00F47183">
        <w:rPr>
          <w:lang w:val="en-US"/>
        </w:rPr>
        <w:t xml:space="preserve"> care, partnership working and ethics act synergistically when </w:t>
      </w:r>
      <w:r w:rsidR="005D5FCC" w:rsidRPr="00F47183">
        <w:rPr>
          <w:lang w:val="en-US"/>
        </w:rPr>
        <w:t>operationalized</w:t>
      </w:r>
      <w:r w:rsidRPr="00F47183">
        <w:rPr>
          <w:lang w:val="en-US"/>
        </w:rPr>
        <w:t xml:space="preserve"> through shared decision-making, lawful information-sharing and coordinated MDT workflows, yielding observable gains in activation, experience and timely community response. Yet benefits are contingent on context, capacity and governance; therefore, legally-grounded, theory-informed practice must be coupled with quantitative monitoring—PAM change, structured-handover compliance, response times, consent documentation and equity flags—to verify impact and correct course. Sustained professional growth follows the same logic: iterative reflection tied to UK guidance and auditable metrics, not assumptions of benefit, is the most reliable pathway</w:t>
      </w:r>
      <w:r w:rsidR="00F80A6B">
        <w:rPr>
          <w:lang w:val="en-US"/>
        </w:rPr>
        <w:t xml:space="preserve"> to safer, more equitable care.</w:t>
      </w:r>
    </w:p>
    <w:p w14:paraId="014248EA" w14:textId="77777777" w:rsidR="0059121C" w:rsidRDefault="0059121C" w:rsidP="0059121C">
      <w:pPr>
        <w:pStyle w:val="Heading1"/>
      </w:pPr>
      <w:bookmarkStart w:id="20" w:name="_Toc211377687"/>
      <w:r>
        <w:lastRenderedPageBreak/>
        <w:t>References</w:t>
      </w:r>
      <w:bookmarkEnd w:id="20"/>
    </w:p>
    <w:p w14:paraId="66F3E118" w14:textId="77777777" w:rsidR="00B97B84" w:rsidRDefault="00B97B84">
      <w:r w:rsidRPr="0059121C">
        <w:t xml:space="preserve">Care Quality Commission (2024) ‘Assessment framework: quality </w:t>
      </w:r>
      <w:proofErr w:type="gramStart"/>
      <w:r w:rsidRPr="0059121C">
        <w:t>statements’</w:t>
      </w:r>
      <w:proofErr w:type="gramEnd"/>
      <w:r w:rsidRPr="0059121C">
        <w:t xml:space="preserve">. Available at: </w:t>
      </w:r>
      <w:hyperlink r:id="rId7" w:tgtFrame="_new" w:history="1">
        <w:r w:rsidRPr="0059121C">
          <w:rPr>
            <w:rStyle w:val="Hyperlink"/>
          </w:rPr>
          <w:t>https://www.cqc.org.uk/guidance-regulation/providers/assessment/assessment-framework</w:t>
        </w:r>
      </w:hyperlink>
      <w:r w:rsidRPr="0059121C">
        <w:t xml:space="preserve"> (Accessed: 14 October 2025).</w:t>
      </w:r>
    </w:p>
    <w:p w14:paraId="350F3661" w14:textId="77777777" w:rsidR="00B97B84" w:rsidRDefault="00B97B84">
      <w:r w:rsidRPr="0059121C">
        <w:t xml:space="preserve">CQC (2024) ‘Assessment framework: quality statements’, Care Quality Commission. Available at: </w:t>
      </w:r>
      <w:hyperlink r:id="rId8" w:tgtFrame="_new" w:history="1">
        <w:r w:rsidRPr="0059121C">
          <w:rPr>
            <w:rStyle w:val="Hyperlink"/>
          </w:rPr>
          <w:t>https://www.cqc.org.uk/guidance-regulation/providers/assessment/assessment-framework</w:t>
        </w:r>
      </w:hyperlink>
      <w:r>
        <w:t xml:space="preserve"> (Accessed: 14 October 2025).</w:t>
      </w:r>
    </w:p>
    <w:p w14:paraId="23A5F252" w14:textId="77777777" w:rsidR="00B97B84" w:rsidRDefault="00B97B84" w:rsidP="0059121C">
      <w:pPr>
        <w:rPr>
          <w:lang w:val="en-US"/>
        </w:rPr>
      </w:pPr>
      <w:r w:rsidRPr="0059121C">
        <w:rPr>
          <w:lang w:val="en-US"/>
        </w:rPr>
        <w:t xml:space="preserve">DHSC (2022) </w:t>
      </w:r>
      <w:r w:rsidRPr="0059121C">
        <w:rPr>
          <w:i/>
          <w:iCs/>
          <w:lang w:val="en-US"/>
        </w:rPr>
        <w:t>Health and Care Act 2022: Summary and additional measures impact assessment</w:t>
      </w:r>
      <w:r w:rsidRPr="0059121C">
        <w:rPr>
          <w:lang w:val="en-US"/>
        </w:rPr>
        <w:t>. Available at: https://assets.publishing.service.gov.uk/media/6363d911e90e0705a8c35457/health-and-care-act-2022-summary-and-additional-measures-impact-assessment.pdf (Accessed: 14 October 2025).</w:t>
      </w:r>
    </w:p>
    <w:p w14:paraId="304DE76A" w14:textId="77777777" w:rsidR="00B97B84" w:rsidRDefault="00B97B84">
      <w:r w:rsidRPr="0059121C">
        <w:t xml:space="preserve">DHSC (2022) </w:t>
      </w:r>
      <w:r w:rsidRPr="0059121C">
        <w:rPr>
          <w:i/>
          <w:iCs/>
        </w:rPr>
        <w:t>Health and Care Act 2022: summary and measures</w:t>
      </w:r>
      <w:r w:rsidRPr="0059121C">
        <w:t xml:space="preserve">. Available at: https://assets.publishing.service.gov.uk/media/6363d911e90e0705a8c35457/health-and-care-act-2022-summary-and-additional-measures-impact-assessment.pdf (Accessed: 14 October 2025). </w:t>
      </w:r>
    </w:p>
    <w:p w14:paraId="37B3AD1E" w14:textId="77777777" w:rsidR="00B97B84" w:rsidRDefault="00B97B84">
      <w:r w:rsidRPr="0059121C">
        <w:t xml:space="preserve">DPA (2018) </w:t>
      </w:r>
      <w:r w:rsidRPr="0059121C">
        <w:rPr>
          <w:i/>
          <w:iCs/>
        </w:rPr>
        <w:t>Data Protection Act 2018</w:t>
      </w:r>
      <w:r w:rsidRPr="0059121C">
        <w:t xml:space="preserve">, legislation.gov.uk. Available at: </w:t>
      </w:r>
      <w:hyperlink r:id="rId9" w:history="1">
        <w:r w:rsidRPr="00232C7A">
          <w:rPr>
            <w:rStyle w:val="Hyperlink"/>
          </w:rPr>
          <w:t>https://www.legislation.gov.uk/ukpga/2018/12/contents</w:t>
        </w:r>
      </w:hyperlink>
      <w:r w:rsidRPr="0059121C">
        <w:t xml:space="preserve"> (Accessed: 14 October 2025). </w:t>
      </w:r>
    </w:p>
    <w:p w14:paraId="0305290D" w14:textId="77777777" w:rsidR="00B97B84" w:rsidRDefault="00B97B84">
      <w:r w:rsidRPr="0059121C">
        <w:t xml:space="preserve">Garrard, L. et al. (2024) ‘Cross-sector collaboration to reduce health inequalities in England’s ICSs’, </w:t>
      </w:r>
      <w:r w:rsidRPr="0059121C">
        <w:rPr>
          <w:i/>
          <w:iCs/>
        </w:rPr>
        <w:t>BMC Public Health</w:t>
      </w:r>
      <w:r w:rsidRPr="0059121C">
        <w:t xml:space="preserve">. Available at: </w:t>
      </w:r>
      <w:hyperlink r:id="rId10" w:history="1">
        <w:r w:rsidRPr="00232C7A">
          <w:rPr>
            <w:rStyle w:val="Hyperlink"/>
          </w:rPr>
          <w:t>https://bmcpublichealth.biomedcentral.com/articles/10.1186/s12889-024-20089-5</w:t>
        </w:r>
      </w:hyperlink>
      <w:r w:rsidRPr="0059121C">
        <w:t xml:space="preserve"> (Accessed: 14 October 2025). </w:t>
      </w:r>
    </w:p>
    <w:p w14:paraId="78048055" w14:textId="77777777" w:rsidR="00B97B84" w:rsidRDefault="00B97B84">
      <w:r w:rsidRPr="0059121C">
        <w:t xml:space="preserve">Henry, K., El-Osta, A. and Leedham-Green, K. (2025) ‘Health coaching for people with long-term conditions and multimorbidity: a mixed methods prospective service evaluation of </w:t>
      </w:r>
      <w:proofErr w:type="spellStart"/>
      <w:r w:rsidRPr="0059121C">
        <w:t>StACC</w:t>
      </w:r>
      <w:proofErr w:type="spellEnd"/>
      <w:r w:rsidRPr="0059121C">
        <w:t xml:space="preserve"> in UK primary care’, </w:t>
      </w:r>
      <w:r w:rsidRPr="0059121C">
        <w:rPr>
          <w:i/>
          <w:iCs/>
        </w:rPr>
        <w:t>BMC Public Health</w:t>
      </w:r>
      <w:r w:rsidRPr="0059121C">
        <w:t xml:space="preserve">, 25, 2365. Available at: </w:t>
      </w:r>
      <w:hyperlink r:id="rId11" w:tgtFrame="_new" w:history="1">
        <w:r w:rsidRPr="0059121C">
          <w:rPr>
            <w:rStyle w:val="Hyperlink"/>
          </w:rPr>
          <w:t>https://bmcpublichealth.biomedcentral.com/articles/10.1186/s12889-025-23535-0</w:t>
        </w:r>
      </w:hyperlink>
      <w:r w:rsidRPr="0059121C">
        <w:t xml:space="preserve"> (Accesse</w:t>
      </w:r>
      <w:r>
        <w:t>d: 14 October 2025).</w:t>
      </w:r>
    </w:p>
    <w:p w14:paraId="5FBC27F4" w14:textId="77777777" w:rsidR="00B97B84" w:rsidRDefault="00B97B84" w:rsidP="0059121C">
      <w:pPr>
        <w:rPr>
          <w:lang w:val="en-US"/>
        </w:rPr>
      </w:pPr>
      <w:r w:rsidRPr="0059121C">
        <w:rPr>
          <w:lang w:val="en-US"/>
        </w:rPr>
        <w:t xml:space="preserve">Henry, K., El-Osta, A. and Leedham-Green, K. (2025) ‘Health coaching for people with long-term conditions…’, </w:t>
      </w:r>
      <w:r w:rsidRPr="0059121C">
        <w:rPr>
          <w:i/>
          <w:iCs/>
          <w:lang w:val="en-US"/>
        </w:rPr>
        <w:t>BMC Public Health</w:t>
      </w:r>
      <w:r w:rsidRPr="0059121C">
        <w:rPr>
          <w:lang w:val="en-US"/>
        </w:rPr>
        <w:t xml:space="preserve">, 25, 2365. Available at: </w:t>
      </w:r>
      <w:hyperlink r:id="rId12" w:tgtFrame="_new" w:history="1">
        <w:r w:rsidRPr="0059121C">
          <w:rPr>
            <w:rStyle w:val="Hyperlink"/>
            <w:lang w:val="en-US"/>
          </w:rPr>
          <w:t>https://bmcpublichealth.biomedcentral.com/articles/10.1186/s12889-025-23535-0</w:t>
        </w:r>
      </w:hyperlink>
      <w:r w:rsidRPr="0059121C">
        <w:rPr>
          <w:lang w:val="en-US"/>
        </w:rPr>
        <w:br/>
      </w:r>
      <w:r w:rsidRPr="0059121C">
        <w:rPr>
          <w:lang w:val="en-US"/>
        </w:rPr>
        <w:lastRenderedPageBreak/>
        <w:t xml:space="preserve">ICO (2023) </w:t>
      </w:r>
      <w:r w:rsidRPr="0059121C">
        <w:rPr>
          <w:i/>
          <w:iCs/>
          <w:lang w:val="en-US"/>
        </w:rPr>
        <w:t>Lawful basis for sharing personal data</w:t>
      </w:r>
      <w:r w:rsidRPr="0059121C">
        <w:rPr>
          <w:lang w:val="en-US"/>
        </w:rPr>
        <w:t xml:space="preserve">. Available at: </w:t>
      </w:r>
      <w:hyperlink r:id="rId13" w:tgtFrame="_new" w:history="1">
        <w:r w:rsidRPr="0059121C">
          <w:rPr>
            <w:rStyle w:val="Hyperlink"/>
            <w:lang w:val="en-US"/>
          </w:rPr>
          <w:t>https://ico.org.uk/for-organisations/uk-gdpr-guidance-and-resources/data-sharing/data-sharing-a-code-of-practice/lawful-basis-for-sharing-personal-data/</w:t>
        </w:r>
      </w:hyperlink>
      <w:r w:rsidRPr="0059121C">
        <w:rPr>
          <w:lang w:val="en-US"/>
        </w:rPr>
        <w:br/>
        <w:t xml:space="preserve">Kiely, B. </w:t>
      </w:r>
      <w:r w:rsidRPr="0059121C">
        <w:rPr>
          <w:i/>
          <w:iCs/>
          <w:lang w:val="en-US"/>
        </w:rPr>
        <w:t>et al.</w:t>
      </w:r>
      <w:r w:rsidRPr="0059121C">
        <w:rPr>
          <w:lang w:val="en-US"/>
        </w:rPr>
        <w:t xml:space="preserve"> (2022) ‘Effect of social prescribing link workers…’, </w:t>
      </w:r>
      <w:r w:rsidRPr="0059121C">
        <w:rPr>
          <w:i/>
          <w:iCs/>
          <w:lang w:val="en-US"/>
        </w:rPr>
        <w:t>BMJ Open</w:t>
      </w:r>
      <w:r w:rsidRPr="0059121C">
        <w:rPr>
          <w:lang w:val="en-US"/>
        </w:rPr>
        <w:t xml:space="preserve">, 12(10), e062951. Available at: </w:t>
      </w:r>
      <w:hyperlink r:id="rId14" w:tgtFrame="_new" w:history="1">
        <w:r w:rsidRPr="0059121C">
          <w:rPr>
            <w:rStyle w:val="Hyperlink"/>
            <w:lang w:val="en-US"/>
          </w:rPr>
          <w:t>https://bmjopen.bmj.com/content/12/10/e062951</w:t>
        </w:r>
      </w:hyperlink>
      <w:r w:rsidRPr="0059121C">
        <w:rPr>
          <w:lang w:val="en-US"/>
        </w:rPr>
        <w:br/>
        <w:t xml:space="preserve">NHS England (n.d.) </w:t>
      </w:r>
      <w:proofErr w:type="spellStart"/>
      <w:r w:rsidRPr="0059121C">
        <w:rPr>
          <w:i/>
          <w:iCs/>
          <w:lang w:val="en-US"/>
        </w:rPr>
        <w:t>Mrs</w:t>
      </w:r>
      <w:proofErr w:type="spellEnd"/>
      <w:r w:rsidRPr="0059121C">
        <w:rPr>
          <w:i/>
          <w:iCs/>
          <w:lang w:val="en-US"/>
        </w:rPr>
        <w:t xml:space="preserve"> C’s story</w:t>
      </w:r>
      <w:r w:rsidRPr="0059121C">
        <w:rPr>
          <w:lang w:val="en-US"/>
        </w:rPr>
        <w:t xml:space="preserve">. Available at: </w:t>
      </w:r>
      <w:hyperlink r:id="rId15" w:tgtFrame="_new" w:history="1">
        <w:r w:rsidRPr="0059121C">
          <w:rPr>
            <w:rStyle w:val="Hyperlink"/>
            <w:lang w:val="en-US"/>
          </w:rPr>
          <w:t>https://www.england.nhs.uk/personalisedcare/comprehensive-model/case-studies/mrs-cs-story/</w:t>
        </w:r>
      </w:hyperlink>
      <w:r w:rsidRPr="0059121C">
        <w:rPr>
          <w:lang w:val="en-US"/>
        </w:rPr>
        <w:br/>
        <w:t xml:space="preserve">NHS England (2018) </w:t>
      </w:r>
      <w:r w:rsidRPr="0059121C">
        <w:rPr>
          <w:i/>
          <w:iCs/>
          <w:lang w:val="en-US"/>
        </w:rPr>
        <w:t>QS174: Emergency and acute medical care in over 16s – Quality statement 4: Structured patient handovers</w:t>
      </w:r>
      <w:r w:rsidRPr="0059121C">
        <w:rPr>
          <w:lang w:val="en-US"/>
        </w:rPr>
        <w:t xml:space="preserve">. Available at: </w:t>
      </w:r>
      <w:hyperlink r:id="rId16" w:tgtFrame="_new" w:history="1">
        <w:r w:rsidRPr="0059121C">
          <w:rPr>
            <w:rStyle w:val="Hyperlink"/>
            <w:lang w:val="en-US"/>
          </w:rPr>
          <w:t>https://www.nice.org.uk/guidance/QS174/chapter/quality-statement-4-structured-patient-handovers</w:t>
        </w:r>
      </w:hyperlink>
      <w:r w:rsidRPr="0059121C">
        <w:rPr>
          <w:lang w:val="en-US"/>
        </w:rPr>
        <w:br/>
        <w:t xml:space="preserve">NHS England (2025a) </w:t>
      </w:r>
      <w:r w:rsidRPr="0059121C">
        <w:rPr>
          <w:i/>
          <w:iCs/>
          <w:lang w:val="en-US"/>
        </w:rPr>
        <w:t>Personal Health Budgets: Quarter 4 2024–25</w:t>
      </w:r>
      <w:r w:rsidRPr="0059121C">
        <w:rPr>
          <w:lang w:val="en-US"/>
        </w:rPr>
        <w:t xml:space="preserve">. Available at: </w:t>
      </w:r>
      <w:hyperlink r:id="rId17" w:tgtFrame="_new" w:history="1">
        <w:r w:rsidRPr="0059121C">
          <w:rPr>
            <w:rStyle w:val="Hyperlink"/>
            <w:lang w:val="en-US"/>
          </w:rPr>
          <w:t>https://digital.nhs.uk/data-and-information/publications/statistical/personal-health-budgets/2024-25-q4/personal-health-budgets-q4-2024-25</w:t>
        </w:r>
      </w:hyperlink>
      <w:r w:rsidRPr="0059121C">
        <w:rPr>
          <w:lang w:val="en-US"/>
        </w:rPr>
        <w:br/>
        <w:t xml:space="preserve">NHS England (2025b) </w:t>
      </w:r>
      <w:r w:rsidRPr="0059121C">
        <w:rPr>
          <w:i/>
          <w:iCs/>
          <w:lang w:val="en-US"/>
        </w:rPr>
        <w:t>Performance and delivery update, July 2025</w:t>
      </w:r>
      <w:r w:rsidRPr="0059121C">
        <w:rPr>
          <w:lang w:val="en-US"/>
        </w:rPr>
        <w:t xml:space="preserve"> (slide deck). Available at: </w:t>
      </w:r>
      <w:hyperlink r:id="rId18" w:tgtFrame="_new" w:history="1">
        <w:r w:rsidRPr="0059121C">
          <w:rPr>
            <w:rStyle w:val="Hyperlink"/>
            <w:lang w:val="en-US"/>
          </w:rPr>
          <w:t>https://www.england.nhs.uk/wp-content/uploads/2025/07/item-3-performance-and-delivery-update-july-2025.pdf</w:t>
        </w:r>
      </w:hyperlink>
      <w:r w:rsidRPr="0059121C">
        <w:rPr>
          <w:lang w:val="en-US"/>
        </w:rPr>
        <w:br/>
        <w:t xml:space="preserve">NHS Transformation Directorate (2023) </w:t>
      </w:r>
      <w:r w:rsidRPr="0059121C">
        <w:rPr>
          <w:i/>
          <w:iCs/>
          <w:lang w:val="en-US"/>
        </w:rPr>
        <w:t>Information sharing in social care</w:t>
      </w:r>
      <w:r w:rsidRPr="0059121C">
        <w:rPr>
          <w:lang w:val="en-US"/>
        </w:rPr>
        <w:t xml:space="preserve">. Available at: </w:t>
      </w:r>
      <w:hyperlink r:id="rId19" w:tgtFrame="_new" w:history="1">
        <w:r w:rsidRPr="0059121C">
          <w:rPr>
            <w:rStyle w:val="Hyperlink"/>
            <w:lang w:val="en-US"/>
          </w:rPr>
          <w:t>https://transform.england.nhs.uk/information-governance/guidance/information-sharing-in-social-care/</w:t>
        </w:r>
      </w:hyperlink>
      <w:r w:rsidRPr="0059121C">
        <w:rPr>
          <w:lang w:val="en-US"/>
        </w:rPr>
        <w:br/>
        <w:t xml:space="preserve">NICE (2018) </w:t>
      </w:r>
      <w:r w:rsidRPr="0059121C">
        <w:rPr>
          <w:i/>
          <w:iCs/>
          <w:lang w:val="en-US"/>
        </w:rPr>
        <w:t>Decision-making and mental capacity (NG108)</w:t>
      </w:r>
      <w:r w:rsidRPr="0059121C">
        <w:rPr>
          <w:lang w:val="en-US"/>
        </w:rPr>
        <w:t xml:space="preserve">. Available at: </w:t>
      </w:r>
      <w:hyperlink r:id="rId20" w:history="1">
        <w:r w:rsidRPr="00232C7A">
          <w:rPr>
            <w:rStyle w:val="Hyperlink"/>
            <w:lang w:val="en-US"/>
          </w:rPr>
          <w:t>https://www.nice.org.uk/guidance/ng108</w:t>
        </w:r>
      </w:hyperlink>
    </w:p>
    <w:p w14:paraId="50559BC6" w14:textId="77777777" w:rsidR="00B97B84" w:rsidRDefault="00B97B84">
      <w:r w:rsidRPr="0059121C">
        <w:t xml:space="preserve">Henry, K., El-Osta, A. and Leedham-Green, K. (2025) ‘Health coaching for long-term conditions’, </w:t>
      </w:r>
      <w:r w:rsidRPr="0059121C">
        <w:rPr>
          <w:i/>
          <w:iCs/>
        </w:rPr>
        <w:t>BMC Public Health</w:t>
      </w:r>
      <w:r w:rsidRPr="0059121C">
        <w:t xml:space="preserve">. Available at: </w:t>
      </w:r>
      <w:hyperlink r:id="rId21" w:history="1">
        <w:r w:rsidRPr="00232C7A">
          <w:rPr>
            <w:rStyle w:val="Hyperlink"/>
          </w:rPr>
          <w:t>https://bmcpublichealth.biomedcentral.com/articles/10.1186/s12889-025-23535-0</w:t>
        </w:r>
      </w:hyperlink>
      <w:r w:rsidRPr="0059121C">
        <w:t xml:space="preserve"> (Accessed: 14 October 2025). </w:t>
      </w:r>
    </w:p>
    <w:p w14:paraId="7F45D67D" w14:textId="77777777" w:rsidR="00B97B84" w:rsidRDefault="00B97B84">
      <w:r w:rsidRPr="0059121C">
        <w:t xml:space="preserve">ICO (2025) ‘UK GDPR guidance and </w:t>
      </w:r>
      <w:proofErr w:type="gramStart"/>
      <w:r w:rsidRPr="0059121C">
        <w:t>resources’</w:t>
      </w:r>
      <w:proofErr w:type="gramEnd"/>
      <w:r w:rsidRPr="0059121C">
        <w:t xml:space="preserve">. Available at: </w:t>
      </w:r>
      <w:hyperlink r:id="rId22" w:history="1">
        <w:r w:rsidRPr="00232C7A">
          <w:rPr>
            <w:rStyle w:val="Hyperlink"/>
          </w:rPr>
          <w:t>https://ico.org.uk/for-organisations/uk-gdpr-guidance-and-resources/</w:t>
        </w:r>
      </w:hyperlink>
      <w:r w:rsidRPr="0059121C">
        <w:t xml:space="preserve"> (Accessed: 14 October 2025).</w:t>
      </w:r>
    </w:p>
    <w:p w14:paraId="35427844" w14:textId="77777777" w:rsidR="00B97B84" w:rsidRDefault="00B97B84">
      <w:r w:rsidRPr="0059121C">
        <w:lastRenderedPageBreak/>
        <w:t xml:space="preserve">Information Commissioner’s Office (2023) ‘Lawful basis for sharing personal data’. Available at: </w:t>
      </w:r>
      <w:hyperlink r:id="rId23" w:history="1">
        <w:r w:rsidRPr="00232C7A">
          <w:rPr>
            <w:rStyle w:val="Hyperlink"/>
          </w:rPr>
          <w:t>https://ico.org.uk/for-organisations/uk-gdpr-guidance-and-resources/data-sharing/data-sharing-a-code-of-practice/lawful-basis-for-sharing-personal-data/</w:t>
        </w:r>
      </w:hyperlink>
      <w:r>
        <w:t xml:space="preserve"> (Accessed: 14 October 2025).</w:t>
      </w:r>
    </w:p>
    <w:p w14:paraId="520C901C" w14:textId="77777777" w:rsidR="00B97B84" w:rsidRDefault="00B97B84">
      <w:r w:rsidRPr="0059121C">
        <w:t xml:space="preserve">Kiely, B. </w:t>
      </w:r>
      <w:r w:rsidRPr="0059121C">
        <w:rPr>
          <w:i/>
          <w:iCs/>
        </w:rPr>
        <w:t>et al.</w:t>
      </w:r>
      <w:r w:rsidRPr="0059121C">
        <w:t xml:space="preserve"> (2022) ‘Effect of social prescribing link workers on health outcomes and costs for adults in primary care and community settings: a systematic review’, </w:t>
      </w:r>
      <w:r w:rsidRPr="0059121C">
        <w:rPr>
          <w:i/>
          <w:iCs/>
        </w:rPr>
        <w:t>BMJ Open</w:t>
      </w:r>
      <w:r w:rsidRPr="0059121C">
        <w:t xml:space="preserve">, 12(10), e062951. Available at: </w:t>
      </w:r>
      <w:hyperlink r:id="rId24" w:history="1">
        <w:r w:rsidRPr="00232C7A">
          <w:rPr>
            <w:rStyle w:val="Hyperlink"/>
          </w:rPr>
          <w:t>https://bmjopen.bmj.com/content/12/10/e062951</w:t>
        </w:r>
      </w:hyperlink>
      <w:r w:rsidRPr="0059121C">
        <w:t xml:space="preserve"> (Accessed: 14 October 2025).</w:t>
      </w:r>
    </w:p>
    <w:p w14:paraId="47015FFB" w14:textId="77777777" w:rsidR="00B97B84" w:rsidRDefault="00B97B84" w:rsidP="0059121C">
      <w:pPr>
        <w:rPr>
          <w:lang w:val="en-US"/>
        </w:rPr>
      </w:pPr>
      <w:r w:rsidRPr="0059121C">
        <w:rPr>
          <w:lang w:val="en-US"/>
        </w:rPr>
        <w:t>Kiely, B. et al. (</w:t>
      </w:r>
      <w:proofErr w:type="gramStart"/>
      <w:r w:rsidRPr="0059121C">
        <w:rPr>
          <w:lang w:val="en-US"/>
        </w:rPr>
        <w:t>2022) ‘</w:t>
      </w:r>
      <w:proofErr w:type="gramEnd"/>
      <w:r w:rsidRPr="0059121C">
        <w:rPr>
          <w:lang w:val="en-US"/>
        </w:rPr>
        <w:t xml:space="preserve">Effect of social prescribing link workers on health outcomes and costs’, </w:t>
      </w:r>
      <w:r w:rsidRPr="0059121C">
        <w:rPr>
          <w:i/>
          <w:iCs/>
          <w:lang w:val="en-US"/>
        </w:rPr>
        <w:t>BMJ Open</w:t>
      </w:r>
      <w:r w:rsidRPr="0059121C">
        <w:rPr>
          <w:lang w:val="en-US"/>
        </w:rPr>
        <w:t xml:space="preserve">, 12(10), e062951. Available at: </w:t>
      </w:r>
      <w:hyperlink r:id="rId25" w:tgtFrame="_new" w:history="1">
        <w:r w:rsidRPr="0059121C">
          <w:rPr>
            <w:rStyle w:val="Hyperlink"/>
            <w:lang w:val="en-US"/>
          </w:rPr>
          <w:t>https://bmjopen.bmj.com/content/12/10/e062951</w:t>
        </w:r>
      </w:hyperlink>
      <w:r w:rsidRPr="0059121C">
        <w:rPr>
          <w:lang w:val="en-US"/>
        </w:rPr>
        <w:t xml:space="preserve"> (Accessed: 14 October 2025).</w:t>
      </w:r>
    </w:p>
    <w:p w14:paraId="1ACC09E9" w14:textId="77777777" w:rsidR="00B97B84" w:rsidRDefault="00B97B84">
      <w:r w:rsidRPr="0059121C">
        <w:t xml:space="preserve">NHS England (2023) ‘NHS Long Term Workforce Plan’. Available at: </w:t>
      </w:r>
      <w:hyperlink r:id="rId26" w:tgtFrame="_new" w:history="1">
        <w:r w:rsidRPr="0059121C">
          <w:rPr>
            <w:rStyle w:val="Hyperlink"/>
          </w:rPr>
          <w:t>https://www.england.nhs.uk/long-read/nhs-long-term-workforce-plan-2/</w:t>
        </w:r>
      </w:hyperlink>
      <w:r w:rsidRPr="0059121C">
        <w:t xml:space="preserve"> (Accessed: 14 October 2025). </w:t>
      </w:r>
    </w:p>
    <w:p w14:paraId="20A4EE70" w14:textId="77777777" w:rsidR="00B97B84" w:rsidRDefault="00B97B84">
      <w:r w:rsidRPr="0059121C">
        <w:t xml:space="preserve">NHS England (2025a) ‘2-hour Urgent Community Response performance </w:t>
      </w:r>
      <w:proofErr w:type="gramStart"/>
      <w:r w:rsidRPr="0059121C">
        <w:t>metrics’</w:t>
      </w:r>
      <w:proofErr w:type="gramEnd"/>
      <w:r w:rsidRPr="0059121C">
        <w:t xml:space="preserve">. Available at: </w:t>
      </w:r>
      <w:hyperlink r:id="rId27" w:tgtFrame="_new" w:history="1">
        <w:r w:rsidRPr="0059121C">
          <w:rPr>
            <w:rStyle w:val="Hyperlink"/>
          </w:rPr>
          <w:t>https://digital.nhs.uk/data-and-information/publications/statistical/nhse-2-hour-urgent-community-response-performance-metrics/for-march-2025-provisional-and-february-2025-final</w:t>
        </w:r>
      </w:hyperlink>
      <w:r>
        <w:t xml:space="preserve"> (Accessed: 14 October 2025).</w:t>
      </w:r>
    </w:p>
    <w:p w14:paraId="725BFA67" w14:textId="77777777" w:rsidR="00B97B84" w:rsidRDefault="00B97B84" w:rsidP="0059121C">
      <w:pPr>
        <w:rPr>
          <w:lang w:val="en-US"/>
        </w:rPr>
      </w:pPr>
      <w:r w:rsidRPr="0059121C">
        <w:rPr>
          <w:lang w:val="en-US"/>
        </w:rPr>
        <w:t xml:space="preserve">NHS England (n.d.) </w:t>
      </w:r>
      <w:proofErr w:type="spellStart"/>
      <w:r w:rsidRPr="0059121C">
        <w:rPr>
          <w:i/>
          <w:iCs/>
          <w:lang w:val="en-US"/>
        </w:rPr>
        <w:t>Mrs</w:t>
      </w:r>
      <w:proofErr w:type="spellEnd"/>
      <w:r w:rsidRPr="0059121C">
        <w:rPr>
          <w:i/>
          <w:iCs/>
          <w:lang w:val="en-US"/>
        </w:rPr>
        <w:t xml:space="preserve"> C’s story</w:t>
      </w:r>
      <w:r w:rsidRPr="0059121C">
        <w:rPr>
          <w:lang w:val="en-US"/>
        </w:rPr>
        <w:t xml:space="preserve">. Available at: </w:t>
      </w:r>
      <w:hyperlink r:id="rId28" w:history="1">
        <w:r w:rsidRPr="00232C7A">
          <w:rPr>
            <w:rStyle w:val="Hyperlink"/>
            <w:lang w:val="en-US"/>
          </w:rPr>
          <w:t>https://www.england.nhs.uk/personalisedcare/comprehensive-model/case-studies/mrs-cs-story/</w:t>
        </w:r>
      </w:hyperlink>
      <w:r w:rsidRPr="0059121C">
        <w:rPr>
          <w:lang w:val="en-US"/>
        </w:rPr>
        <w:t xml:space="preserve"> (Accessed: 14 October 2025).</w:t>
      </w:r>
    </w:p>
    <w:p w14:paraId="4DA238B4" w14:textId="77777777" w:rsidR="00B97B84" w:rsidRDefault="00B97B84">
      <w:r w:rsidRPr="0059121C">
        <w:t xml:space="preserve">NHS England Digital (2025) ‘Reasonable Adjustment Flag’. Available at: </w:t>
      </w:r>
      <w:hyperlink r:id="rId29" w:history="1">
        <w:r w:rsidRPr="00232C7A">
          <w:rPr>
            <w:rStyle w:val="Hyperlink"/>
          </w:rPr>
          <w:t>https://digital.nhs.uk/services/reasonable-adjustment-flag</w:t>
        </w:r>
      </w:hyperlink>
      <w:r>
        <w:t xml:space="preserve"> (Accessed: 14 October 2025).</w:t>
      </w:r>
    </w:p>
    <w:p w14:paraId="636631D2" w14:textId="77777777" w:rsidR="00B97B84" w:rsidRDefault="00B97B84">
      <w:r w:rsidRPr="0059121C">
        <w:t xml:space="preserve">NICE (2018) </w:t>
      </w:r>
      <w:r w:rsidRPr="0059121C">
        <w:rPr>
          <w:i/>
          <w:iCs/>
        </w:rPr>
        <w:t>Decision-making and mental capacity (NG108)</w:t>
      </w:r>
      <w:r w:rsidRPr="0059121C">
        <w:t xml:space="preserve">. Available at: </w:t>
      </w:r>
      <w:hyperlink r:id="rId30" w:history="1">
        <w:r w:rsidRPr="00232C7A">
          <w:rPr>
            <w:rStyle w:val="Hyperlink"/>
          </w:rPr>
          <w:t>https://www.nice.org.uk/guidance/NG108</w:t>
        </w:r>
      </w:hyperlink>
      <w:r w:rsidRPr="0059121C">
        <w:t xml:space="preserve"> (Accessed: 14 October 2025). </w:t>
      </w:r>
    </w:p>
    <w:p w14:paraId="62923CB9" w14:textId="77777777" w:rsidR="00B97B84" w:rsidRDefault="00B97B84">
      <w:r w:rsidRPr="0059121C">
        <w:t xml:space="preserve">NICE (2018) </w:t>
      </w:r>
      <w:r w:rsidRPr="0059121C">
        <w:rPr>
          <w:i/>
          <w:iCs/>
        </w:rPr>
        <w:t>QS174: Emergency and acute medical care in over 16s – Quality statement 4: Structured patient handovers</w:t>
      </w:r>
      <w:r w:rsidRPr="0059121C">
        <w:t xml:space="preserve">. Available at: </w:t>
      </w:r>
      <w:hyperlink r:id="rId31" w:history="1">
        <w:r w:rsidRPr="00232C7A">
          <w:rPr>
            <w:rStyle w:val="Hyperlink"/>
          </w:rPr>
          <w:t>https://www.nice.org.uk/guidance/QS174/chapter/quality-statement-4-structured-patient-handovers</w:t>
        </w:r>
      </w:hyperlink>
      <w:r>
        <w:t xml:space="preserve"> (Accessed: 14 October 2025).</w:t>
      </w:r>
    </w:p>
    <w:p w14:paraId="1F307394" w14:textId="77777777" w:rsidR="00B97B84" w:rsidRDefault="00B97B84">
      <w:r w:rsidRPr="0059121C">
        <w:lastRenderedPageBreak/>
        <w:t xml:space="preserve">NICE (2021) </w:t>
      </w:r>
      <w:r w:rsidRPr="0059121C">
        <w:rPr>
          <w:i/>
          <w:iCs/>
        </w:rPr>
        <w:t>Shared decision making (NG197)</w:t>
      </w:r>
      <w:r w:rsidRPr="0059121C">
        <w:t xml:space="preserve">. Available at: </w:t>
      </w:r>
      <w:hyperlink r:id="rId32" w:history="1">
        <w:r w:rsidRPr="00232C7A">
          <w:rPr>
            <w:rStyle w:val="Hyperlink"/>
          </w:rPr>
          <w:t>https://www.nice.org.uk/guidance/ng197</w:t>
        </w:r>
      </w:hyperlink>
      <w:r w:rsidRPr="0059121C">
        <w:t xml:space="preserve"> (Accessed: 14 October 2025).</w:t>
      </w:r>
    </w:p>
    <w:p w14:paraId="20CEBD99" w14:textId="77777777" w:rsidR="00B97B84" w:rsidRDefault="00B97B84">
      <w:r w:rsidRPr="0059121C">
        <w:t xml:space="preserve">NICE (2021b) ‘Measuring shared decision making (NG197/2)’. Available at: </w:t>
      </w:r>
      <w:hyperlink r:id="rId33" w:history="1">
        <w:r w:rsidRPr="00232C7A">
          <w:rPr>
            <w:rStyle w:val="Hyperlink"/>
          </w:rPr>
          <w:t>https://www.nice.org.uk/about/what-we-do/research-and-development/research-recommendations/NG197/2</w:t>
        </w:r>
      </w:hyperlink>
      <w:r w:rsidRPr="0059121C">
        <w:t xml:space="preserve"> (Accessed: 14 October 2025). </w:t>
      </w:r>
    </w:p>
    <w:p w14:paraId="364C5F57" w14:textId="77777777" w:rsidR="00B97B84" w:rsidRDefault="00B97B84">
      <w:r w:rsidRPr="0059121C">
        <w:t xml:space="preserve">Nuffield Trust (2024) ‘End of life care’. Available at: </w:t>
      </w:r>
      <w:hyperlink r:id="rId34" w:history="1">
        <w:r w:rsidRPr="00232C7A">
          <w:rPr>
            <w:rStyle w:val="Hyperlink"/>
          </w:rPr>
          <w:t>https://www.nuffieldtrust.org.uk/resource/end-of-life-care</w:t>
        </w:r>
      </w:hyperlink>
      <w:r w:rsidRPr="0059121C">
        <w:t xml:space="preserve"> (Accessed: 14 October 2025).</w:t>
      </w:r>
    </w:p>
    <w:p w14:paraId="2AF24E65" w14:textId="77777777" w:rsidR="00B97B84" w:rsidRDefault="00B97B84">
      <w:r w:rsidRPr="0059121C">
        <w:t>OHID (2025) ‘</w:t>
      </w:r>
      <w:proofErr w:type="gramStart"/>
      <w:r w:rsidRPr="0059121C">
        <w:t>Respiratory disease</w:t>
      </w:r>
      <w:proofErr w:type="gramEnd"/>
      <w:r w:rsidRPr="0059121C">
        <w:t xml:space="preserve"> profile: statistical commentary, June 2025’. Available at: </w:t>
      </w:r>
      <w:hyperlink r:id="rId35" w:history="1">
        <w:r w:rsidRPr="00232C7A">
          <w:rPr>
            <w:rStyle w:val="Hyperlink"/>
          </w:rPr>
          <w:t>https://www.gov.uk/government/statistics/update-of-indicators-in-the-respiratory-disease-profile-june-2025/respiratory-disease-profile-statistical-commentary-june-2025</w:t>
        </w:r>
      </w:hyperlink>
      <w:r w:rsidRPr="0059121C">
        <w:t xml:space="preserve"> (Accessed: 14 October 2025). </w:t>
      </w:r>
    </w:p>
    <w:p w14:paraId="2CB63E9A" w14:textId="77777777" w:rsidR="00B97B84" w:rsidRDefault="00B97B84" w:rsidP="0059121C">
      <w:r w:rsidRPr="0059121C">
        <w:rPr>
          <w:lang w:val="en-US"/>
        </w:rPr>
        <w:t xml:space="preserve">Resuscitation Council UK (2021) </w:t>
      </w:r>
      <w:r w:rsidRPr="0059121C">
        <w:rPr>
          <w:i/>
          <w:iCs/>
          <w:lang w:val="en-US"/>
        </w:rPr>
        <w:t>Ethics guidelines and DNACPR/</w:t>
      </w:r>
      <w:proofErr w:type="spellStart"/>
      <w:r w:rsidRPr="0059121C">
        <w:rPr>
          <w:i/>
          <w:iCs/>
          <w:lang w:val="en-US"/>
        </w:rPr>
        <w:t>ReSPECT</w:t>
      </w:r>
      <w:proofErr w:type="spellEnd"/>
      <w:r w:rsidRPr="0059121C">
        <w:rPr>
          <w:i/>
          <w:iCs/>
          <w:lang w:val="en-US"/>
        </w:rPr>
        <w:t xml:space="preserve"> resources</w:t>
      </w:r>
      <w:r w:rsidRPr="0059121C">
        <w:rPr>
          <w:lang w:val="en-US"/>
        </w:rPr>
        <w:t>. Available at: https://www.resus.org.uk/2021-resuscitation-guidelines/ethics-guidelines</w:t>
      </w:r>
      <w:r w:rsidRPr="0059121C">
        <w:rPr>
          <w:lang w:val="en-US"/>
        </w:rPr>
        <w:br/>
        <w:t xml:space="preserve">UK Parliament (2005) </w:t>
      </w:r>
      <w:r w:rsidRPr="0059121C">
        <w:rPr>
          <w:i/>
          <w:iCs/>
          <w:lang w:val="en-US"/>
        </w:rPr>
        <w:t>Mental Capacity Act 2005, s.4 Best interests</w:t>
      </w:r>
      <w:r w:rsidRPr="0059121C">
        <w:rPr>
          <w:lang w:val="en-US"/>
        </w:rPr>
        <w:t xml:space="preserve">. Available at: </w:t>
      </w:r>
      <w:hyperlink r:id="rId36" w:tgtFrame="_new" w:history="1">
        <w:r w:rsidRPr="0059121C">
          <w:rPr>
            <w:rStyle w:val="Hyperlink"/>
            <w:lang w:val="en-US"/>
          </w:rPr>
          <w:t>https://www.legislation.gov.uk/ukpga/2005/9/section/4</w:t>
        </w:r>
      </w:hyperlink>
    </w:p>
    <w:p w14:paraId="668C5F7A" w14:textId="77777777" w:rsidR="00B97B84" w:rsidRDefault="00B97B84">
      <w:r w:rsidRPr="0059121C">
        <w:t xml:space="preserve">Seamer, P. et al. (2023) ‘Long-term impacts of an integrated care programme’, </w:t>
      </w:r>
      <w:r w:rsidRPr="0059121C">
        <w:rPr>
          <w:i/>
          <w:iCs/>
        </w:rPr>
        <w:t>International Journal of Integrated Care</w:t>
      </w:r>
      <w:r w:rsidRPr="0059121C">
        <w:t xml:space="preserve">, 23, Article 10. Available at: </w:t>
      </w:r>
      <w:hyperlink r:id="rId37" w:history="1">
        <w:r w:rsidRPr="00232C7A">
          <w:rPr>
            <w:rStyle w:val="Hyperlink"/>
          </w:rPr>
          <w:t>https://ijic.org/articles/10.5334/ijic.6475</w:t>
        </w:r>
      </w:hyperlink>
      <w:r w:rsidRPr="0059121C">
        <w:t xml:space="preserve"> (Accessed: 14 October 2025). </w:t>
      </w:r>
    </w:p>
    <w:p w14:paraId="3237BABD" w14:textId="77777777" w:rsidR="00B97B84" w:rsidRDefault="00B97B84" w:rsidP="0059121C">
      <w:pPr>
        <w:rPr>
          <w:lang w:val="en-US"/>
        </w:rPr>
      </w:pPr>
      <w:r w:rsidRPr="0059121C">
        <w:rPr>
          <w:lang w:val="en-US"/>
        </w:rPr>
        <w:t xml:space="preserve">The King’s Fund (2022) </w:t>
      </w:r>
      <w:r w:rsidRPr="0059121C">
        <w:rPr>
          <w:i/>
          <w:iCs/>
          <w:lang w:val="en-US"/>
        </w:rPr>
        <w:t>The Health and Care Act 2022</w:t>
      </w:r>
      <w:r w:rsidRPr="0059121C">
        <w:rPr>
          <w:lang w:val="en-US"/>
        </w:rPr>
        <w:t>. Available at: https://www.kingsfund.org.uk/insight-and-analysis/projects/health-and-care-act-2022-make-sense-legislation (Accessed: 14 October 2025).</w:t>
      </w:r>
    </w:p>
    <w:sectPr w:rsidR="00B97B84">
      <w:footerReference w:type="default" r:id="rId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FD97B" w14:textId="77777777" w:rsidR="00632C5C" w:rsidRDefault="00632C5C" w:rsidP="001B3D45">
      <w:pPr>
        <w:spacing w:after="0" w:line="240" w:lineRule="auto"/>
      </w:pPr>
      <w:r>
        <w:separator/>
      </w:r>
    </w:p>
  </w:endnote>
  <w:endnote w:type="continuationSeparator" w:id="0">
    <w:p w14:paraId="125910FB" w14:textId="77777777" w:rsidR="00632C5C" w:rsidRDefault="00632C5C" w:rsidP="001B3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3355230"/>
      <w:docPartObj>
        <w:docPartGallery w:val="Page Numbers (Bottom of Page)"/>
        <w:docPartUnique/>
      </w:docPartObj>
    </w:sdtPr>
    <w:sdtEndPr>
      <w:rPr>
        <w:noProof/>
      </w:rPr>
    </w:sdtEndPr>
    <w:sdtContent>
      <w:p w14:paraId="4058156C" w14:textId="77777777" w:rsidR="001B3D45" w:rsidRDefault="001B3D45">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0E3AA8A7" w14:textId="77777777" w:rsidR="001B3D45" w:rsidRDefault="001B3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25A2C" w14:textId="77777777" w:rsidR="00632C5C" w:rsidRDefault="00632C5C" w:rsidP="001B3D45">
      <w:pPr>
        <w:spacing w:after="0" w:line="240" w:lineRule="auto"/>
      </w:pPr>
      <w:r>
        <w:separator/>
      </w:r>
    </w:p>
  </w:footnote>
  <w:footnote w:type="continuationSeparator" w:id="0">
    <w:p w14:paraId="4D37F8D7" w14:textId="77777777" w:rsidR="00632C5C" w:rsidRDefault="00632C5C" w:rsidP="001B3D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33F4"/>
    <w:multiLevelType w:val="multilevel"/>
    <w:tmpl w:val="174056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91F251C"/>
    <w:multiLevelType w:val="multilevel"/>
    <w:tmpl w:val="CB7E15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27075D3"/>
    <w:multiLevelType w:val="multilevel"/>
    <w:tmpl w:val="F5D219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27D01E3"/>
    <w:multiLevelType w:val="multilevel"/>
    <w:tmpl w:val="E54890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43D4BF2"/>
    <w:multiLevelType w:val="multilevel"/>
    <w:tmpl w:val="D7DE12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FAB156D"/>
    <w:multiLevelType w:val="multilevel"/>
    <w:tmpl w:val="0B063C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57DA7D05"/>
    <w:multiLevelType w:val="multilevel"/>
    <w:tmpl w:val="C160387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932933328">
    <w:abstractNumId w:val="1"/>
  </w:num>
  <w:num w:numId="2" w16cid:durableId="1530727313">
    <w:abstractNumId w:val="1"/>
  </w:num>
  <w:num w:numId="3" w16cid:durableId="531921125">
    <w:abstractNumId w:val="1"/>
  </w:num>
  <w:num w:numId="4" w16cid:durableId="1380012197">
    <w:abstractNumId w:val="0"/>
  </w:num>
  <w:num w:numId="5" w16cid:durableId="1589383615">
    <w:abstractNumId w:val="4"/>
  </w:num>
  <w:num w:numId="6" w16cid:durableId="175003265">
    <w:abstractNumId w:val="4"/>
  </w:num>
  <w:num w:numId="7" w16cid:durableId="508763578">
    <w:abstractNumId w:val="5"/>
  </w:num>
  <w:num w:numId="8" w16cid:durableId="1054159217">
    <w:abstractNumId w:val="2"/>
  </w:num>
  <w:num w:numId="9" w16cid:durableId="27682061">
    <w:abstractNumId w:val="2"/>
  </w:num>
  <w:num w:numId="10" w16cid:durableId="1815221736">
    <w:abstractNumId w:val="3"/>
  </w:num>
  <w:num w:numId="11" w16cid:durableId="20702246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2FA9"/>
    <w:rsid w:val="00063179"/>
    <w:rsid w:val="00066B5B"/>
    <w:rsid w:val="00094A12"/>
    <w:rsid w:val="000B62B4"/>
    <w:rsid w:val="00157591"/>
    <w:rsid w:val="001B3D45"/>
    <w:rsid w:val="00236959"/>
    <w:rsid w:val="00277BA6"/>
    <w:rsid w:val="002C214E"/>
    <w:rsid w:val="002D0245"/>
    <w:rsid w:val="0036387C"/>
    <w:rsid w:val="003A1A88"/>
    <w:rsid w:val="003B1FE5"/>
    <w:rsid w:val="003E7734"/>
    <w:rsid w:val="0041792B"/>
    <w:rsid w:val="0059121C"/>
    <w:rsid w:val="00592FA9"/>
    <w:rsid w:val="005D5FCC"/>
    <w:rsid w:val="00632C5C"/>
    <w:rsid w:val="0068053A"/>
    <w:rsid w:val="00705D42"/>
    <w:rsid w:val="0071683B"/>
    <w:rsid w:val="00827658"/>
    <w:rsid w:val="008B4085"/>
    <w:rsid w:val="008C3646"/>
    <w:rsid w:val="0096742F"/>
    <w:rsid w:val="009D69EA"/>
    <w:rsid w:val="00B30A85"/>
    <w:rsid w:val="00B56017"/>
    <w:rsid w:val="00B733D2"/>
    <w:rsid w:val="00B97B84"/>
    <w:rsid w:val="00C1562D"/>
    <w:rsid w:val="00C32C66"/>
    <w:rsid w:val="00C9797B"/>
    <w:rsid w:val="00DC2451"/>
    <w:rsid w:val="00E82CB5"/>
    <w:rsid w:val="00E847DC"/>
    <w:rsid w:val="00F0255A"/>
    <w:rsid w:val="00F325AE"/>
    <w:rsid w:val="00F47183"/>
    <w:rsid w:val="00F70110"/>
    <w:rsid w:val="00F80A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C90F0"/>
  <w15:chartTrackingRefBased/>
  <w15:docId w15:val="{CA56F691-691D-48D3-8720-6A717C1EE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87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0B62B4"/>
    <w:pPr>
      <w:keepNext/>
      <w:keepLines/>
      <w:numPr>
        <w:numId w:val="11"/>
      </w:numPr>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0B62B4"/>
    <w:pPr>
      <w:keepNext/>
      <w:keepLines/>
      <w:numPr>
        <w:ilvl w:val="1"/>
        <w:numId w:val="11"/>
      </w:numPr>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96742F"/>
    <w:pPr>
      <w:keepNext/>
      <w:keepLines/>
      <w:numPr>
        <w:ilvl w:val="2"/>
        <w:numId w:val="3"/>
      </w:numPr>
      <w:spacing w:before="160" w:after="80"/>
      <w:jc w:val="left"/>
      <w:outlineLvl w:val="2"/>
    </w:pPr>
    <w:rPr>
      <w:rFonts w:asciiTheme="majorBidi" w:eastAsiaTheme="majorEastAsia" w:hAnsiTheme="majorBidi" w:cstheme="majorBidi"/>
      <w:b/>
      <w:color w:val="2E74B5" w:themeColor="accent1" w:themeShade="BF"/>
      <w:sz w:val="22"/>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2B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B62B4"/>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96742F"/>
    <w:rPr>
      <w:rFonts w:asciiTheme="majorBidi" w:eastAsiaTheme="majorEastAsia" w:hAnsiTheme="majorBidi" w:cstheme="majorBidi"/>
      <w:b/>
      <w:color w:val="2E74B5" w:themeColor="accent1" w:themeShade="BF"/>
      <w:szCs w:val="28"/>
    </w:rPr>
  </w:style>
  <w:style w:type="character" w:styleId="Hyperlink">
    <w:name w:val="Hyperlink"/>
    <w:basedOn w:val="DefaultParagraphFont"/>
    <w:uiPriority w:val="99"/>
    <w:unhideWhenUsed/>
    <w:rsid w:val="00F47183"/>
    <w:rPr>
      <w:color w:val="0563C1" w:themeColor="hyperlink"/>
      <w:u w:val="single"/>
    </w:rPr>
  </w:style>
  <w:style w:type="paragraph" w:styleId="TOCHeading">
    <w:name w:val="TOC Heading"/>
    <w:basedOn w:val="Heading1"/>
    <w:next w:val="Normal"/>
    <w:uiPriority w:val="39"/>
    <w:unhideWhenUsed/>
    <w:qFormat/>
    <w:rsid w:val="0059121C"/>
    <w:pPr>
      <w:numPr>
        <w:numId w:val="0"/>
      </w:num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9121C"/>
    <w:pPr>
      <w:spacing w:after="100"/>
    </w:pPr>
  </w:style>
  <w:style w:type="paragraph" w:styleId="TOC2">
    <w:name w:val="toc 2"/>
    <w:basedOn w:val="Normal"/>
    <w:next w:val="Normal"/>
    <w:autoRedefine/>
    <w:uiPriority w:val="39"/>
    <w:unhideWhenUsed/>
    <w:rsid w:val="0059121C"/>
    <w:pPr>
      <w:spacing w:after="100"/>
      <w:ind w:left="240"/>
    </w:pPr>
  </w:style>
  <w:style w:type="paragraph" w:styleId="Header">
    <w:name w:val="header"/>
    <w:basedOn w:val="Normal"/>
    <w:link w:val="HeaderChar"/>
    <w:uiPriority w:val="99"/>
    <w:unhideWhenUsed/>
    <w:rsid w:val="001B3D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3D45"/>
    <w:rPr>
      <w:rFonts w:ascii="Times New Roman" w:hAnsi="Times New Roman"/>
      <w:color w:val="000000" w:themeColor="text1"/>
      <w:sz w:val="24"/>
      <w:lang w:val="en-GB"/>
    </w:rPr>
  </w:style>
  <w:style w:type="paragraph" w:styleId="Footer">
    <w:name w:val="footer"/>
    <w:basedOn w:val="Normal"/>
    <w:link w:val="FooterChar"/>
    <w:uiPriority w:val="99"/>
    <w:unhideWhenUsed/>
    <w:rsid w:val="001B3D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3D45"/>
    <w:rPr>
      <w:rFonts w:ascii="Times New Roman" w:hAnsi="Times New Roman"/>
      <w:color w:val="000000" w:themeColor="text1"/>
      <w:sz w:val="24"/>
      <w:lang w:val="en-GB"/>
    </w:rPr>
  </w:style>
  <w:style w:type="paragraph" w:styleId="Title">
    <w:name w:val="Title"/>
    <w:basedOn w:val="Normal"/>
    <w:next w:val="Normal"/>
    <w:link w:val="TitleChar"/>
    <w:uiPriority w:val="10"/>
    <w:qFormat/>
    <w:rsid w:val="00C9797B"/>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9797B"/>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771704">
      <w:bodyDiv w:val="1"/>
      <w:marLeft w:val="0"/>
      <w:marRight w:val="0"/>
      <w:marTop w:val="0"/>
      <w:marBottom w:val="0"/>
      <w:divBdr>
        <w:top w:val="none" w:sz="0" w:space="0" w:color="auto"/>
        <w:left w:val="none" w:sz="0" w:space="0" w:color="auto"/>
        <w:bottom w:val="none" w:sz="0" w:space="0" w:color="auto"/>
        <w:right w:val="none" w:sz="0" w:space="0" w:color="auto"/>
      </w:divBdr>
      <w:divsChild>
        <w:div w:id="1650866507">
          <w:marLeft w:val="0"/>
          <w:marRight w:val="0"/>
          <w:marTop w:val="0"/>
          <w:marBottom w:val="0"/>
          <w:divBdr>
            <w:top w:val="none" w:sz="0" w:space="0" w:color="auto"/>
            <w:left w:val="none" w:sz="0" w:space="0" w:color="auto"/>
            <w:bottom w:val="none" w:sz="0" w:space="0" w:color="auto"/>
            <w:right w:val="none" w:sz="0" w:space="0" w:color="auto"/>
          </w:divBdr>
          <w:divsChild>
            <w:div w:id="590820028">
              <w:marLeft w:val="0"/>
              <w:marRight w:val="0"/>
              <w:marTop w:val="0"/>
              <w:marBottom w:val="0"/>
              <w:divBdr>
                <w:top w:val="none" w:sz="0" w:space="0" w:color="auto"/>
                <w:left w:val="none" w:sz="0" w:space="0" w:color="auto"/>
                <w:bottom w:val="none" w:sz="0" w:space="0" w:color="auto"/>
                <w:right w:val="none" w:sz="0" w:space="0" w:color="auto"/>
              </w:divBdr>
              <w:divsChild>
                <w:div w:id="1378161229">
                  <w:marLeft w:val="0"/>
                  <w:marRight w:val="0"/>
                  <w:marTop w:val="0"/>
                  <w:marBottom w:val="0"/>
                  <w:divBdr>
                    <w:top w:val="none" w:sz="0" w:space="0" w:color="auto"/>
                    <w:left w:val="none" w:sz="0" w:space="0" w:color="auto"/>
                    <w:bottom w:val="none" w:sz="0" w:space="0" w:color="auto"/>
                    <w:right w:val="none" w:sz="0" w:space="0" w:color="auto"/>
                  </w:divBdr>
                  <w:divsChild>
                    <w:div w:id="1595288317">
                      <w:marLeft w:val="0"/>
                      <w:marRight w:val="0"/>
                      <w:marTop w:val="0"/>
                      <w:marBottom w:val="0"/>
                      <w:divBdr>
                        <w:top w:val="none" w:sz="0" w:space="0" w:color="auto"/>
                        <w:left w:val="none" w:sz="0" w:space="0" w:color="auto"/>
                        <w:bottom w:val="none" w:sz="0" w:space="0" w:color="auto"/>
                        <w:right w:val="none" w:sz="0" w:space="0" w:color="auto"/>
                      </w:divBdr>
                      <w:divsChild>
                        <w:div w:id="1843003541">
                          <w:marLeft w:val="0"/>
                          <w:marRight w:val="0"/>
                          <w:marTop w:val="0"/>
                          <w:marBottom w:val="0"/>
                          <w:divBdr>
                            <w:top w:val="none" w:sz="0" w:space="0" w:color="auto"/>
                            <w:left w:val="none" w:sz="0" w:space="0" w:color="auto"/>
                            <w:bottom w:val="none" w:sz="0" w:space="0" w:color="auto"/>
                            <w:right w:val="none" w:sz="0" w:space="0" w:color="auto"/>
                          </w:divBdr>
                          <w:divsChild>
                            <w:div w:id="116427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1021360">
      <w:bodyDiv w:val="1"/>
      <w:marLeft w:val="0"/>
      <w:marRight w:val="0"/>
      <w:marTop w:val="0"/>
      <w:marBottom w:val="0"/>
      <w:divBdr>
        <w:top w:val="none" w:sz="0" w:space="0" w:color="auto"/>
        <w:left w:val="none" w:sz="0" w:space="0" w:color="auto"/>
        <w:bottom w:val="none" w:sz="0" w:space="0" w:color="auto"/>
        <w:right w:val="none" w:sz="0" w:space="0" w:color="auto"/>
      </w:divBdr>
    </w:div>
    <w:div w:id="797063993">
      <w:bodyDiv w:val="1"/>
      <w:marLeft w:val="0"/>
      <w:marRight w:val="0"/>
      <w:marTop w:val="0"/>
      <w:marBottom w:val="0"/>
      <w:divBdr>
        <w:top w:val="none" w:sz="0" w:space="0" w:color="auto"/>
        <w:left w:val="none" w:sz="0" w:space="0" w:color="auto"/>
        <w:bottom w:val="none" w:sz="0" w:space="0" w:color="auto"/>
        <w:right w:val="none" w:sz="0" w:space="0" w:color="auto"/>
      </w:divBdr>
    </w:div>
    <w:div w:id="1219779326">
      <w:bodyDiv w:val="1"/>
      <w:marLeft w:val="0"/>
      <w:marRight w:val="0"/>
      <w:marTop w:val="0"/>
      <w:marBottom w:val="0"/>
      <w:divBdr>
        <w:top w:val="none" w:sz="0" w:space="0" w:color="auto"/>
        <w:left w:val="none" w:sz="0" w:space="0" w:color="auto"/>
        <w:bottom w:val="none" w:sz="0" w:space="0" w:color="auto"/>
        <w:right w:val="none" w:sz="0" w:space="0" w:color="auto"/>
      </w:divBdr>
      <w:divsChild>
        <w:div w:id="1357466808">
          <w:marLeft w:val="0"/>
          <w:marRight w:val="0"/>
          <w:marTop w:val="0"/>
          <w:marBottom w:val="0"/>
          <w:divBdr>
            <w:top w:val="none" w:sz="0" w:space="0" w:color="auto"/>
            <w:left w:val="none" w:sz="0" w:space="0" w:color="auto"/>
            <w:bottom w:val="none" w:sz="0" w:space="0" w:color="auto"/>
            <w:right w:val="none" w:sz="0" w:space="0" w:color="auto"/>
          </w:divBdr>
          <w:divsChild>
            <w:div w:id="1066299248">
              <w:marLeft w:val="0"/>
              <w:marRight w:val="0"/>
              <w:marTop w:val="0"/>
              <w:marBottom w:val="0"/>
              <w:divBdr>
                <w:top w:val="none" w:sz="0" w:space="0" w:color="auto"/>
                <w:left w:val="none" w:sz="0" w:space="0" w:color="auto"/>
                <w:bottom w:val="none" w:sz="0" w:space="0" w:color="auto"/>
                <w:right w:val="none" w:sz="0" w:space="0" w:color="auto"/>
              </w:divBdr>
              <w:divsChild>
                <w:div w:id="186985026">
                  <w:marLeft w:val="0"/>
                  <w:marRight w:val="0"/>
                  <w:marTop w:val="0"/>
                  <w:marBottom w:val="0"/>
                  <w:divBdr>
                    <w:top w:val="none" w:sz="0" w:space="0" w:color="auto"/>
                    <w:left w:val="none" w:sz="0" w:space="0" w:color="auto"/>
                    <w:bottom w:val="none" w:sz="0" w:space="0" w:color="auto"/>
                    <w:right w:val="none" w:sz="0" w:space="0" w:color="auto"/>
                  </w:divBdr>
                  <w:divsChild>
                    <w:div w:id="1917010078">
                      <w:marLeft w:val="0"/>
                      <w:marRight w:val="0"/>
                      <w:marTop w:val="0"/>
                      <w:marBottom w:val="0"/>
                      <w:divBdr>
                        <w:top w:val="none" w:sz="0" w:space="0" w:color="auto"/>
                        <w:left w:val="none" w:sz="0" w:space="0" w:color="auto"/>
                        <w:bottom w:val="none" w:sz="0" w:space="0" w:color="auto"/>
                        <w:right w:val="none" w:sz="0" w:space="0" w:color="auto"/>
                      </w:divBdr>
                      <w:divsChild>
                        <w:div w:id="248395679">
                          <w:marLeft w:val="0"/>
                          <w:marRight w:val="0"/>
                          <w:marTop w:val="0"/>
                          <w:marBottom w:val="0"/>
                          <w:divBdr>
                            <w:top w:val="none" w:sz="0" w:space="0" w:color="auto"/>
                            <w:left w:val="none" w:sz="0" w:space="0" w:color="auto"/>
                            <w:bottom w:val="none" w:sz="0" w:space="0" w:color="auto"/>
                            <w:right w:val="none" w:sz="0" w:space="0" w:color="auto"/>
                          </w:divBdr>
                          <w:divsChild>
                            <w:div w:id="4184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3215706">
      <w:bodyDiv w:val="1"/>
      <w:marLeft w:val="0"/>
      <w:marRight w:val="0"/>
      <w:marTop w:val="0"/>
      <w:marBottom w:val="0"/>
      <w:divBdr>
        <w:top w:val="none" w:sz="0" w:space="0" w:color="auto"/>
        <w:left w:val="none" w:sz="0" w:space="0" w:color="auto"/>
        <w:bottom w:val="none" w:sz="0" w:space="0" w:color="auto"/>
        <w:right w:val="none" w:sz="0" w:space="0" w:color="auto"/>
      </w:divBdr>
    </w:div>
    <w:div w:id="207365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co.org.uk/for-organisations/uk-gdpr-guidance-and-resources/data-sharing/data-sharing-a-code-of-practice/lawful-basis-for-sharing-personal-data/?" TargetMode="External"/><Relationship Id="rId18" Type="http://schemas.openxmlformats.org/officeDocument/2006/relationships/hyperlink" Target="https://www.england.nhs.uk/wp-content/uploads/2025/07/item-3-performance-and-delivery-update-july-2025.pdf?" TargetMode="External"/><Relationship Id="rId26" Type="http://schemas.openxmlformats.org/officeDocument/2006/relationships/hyperlink" Target="https://www.england.nhs.uk/long-read/nhs-long-term-workforce-plan-2/?" TargetMode="External"/><Relationship Id="rId39" Type="http://schemas.openxmlformats.org/officeDocument/2006/relationships/fontTable" Target="fontTable.xml"/><Relationship Id="rId21" Type="http://schemas.openxmlformats.org/officeDocument/2006/relationships/hyperlink" Target="https://bmcpublichealth.biomedcentral.com/articles/10.1186/s12889-025-23535-0" TargetMode="External"/><Relationship Id="rId34" Type="http://schemas.openxmlformats.org/officeDocument/2006/relationships/hyperlink" Target="https://www.nuffieldtrust.org.uk/resource/end-of-life-care" TargetMode="External"/><Relationship Id="rId7" Type="http://schemas.openxmlformats.org/officeDocument/2006/relationships/hyperlink" Target="https://www.cqc.org.uk/guidance-regulation/providers/assessment/assessment-framework?" TargetMode="External"/><Relationship Id="rId12" Type="http://schemas.openxmlformats.org/officeDocument/2006/relationships/hyperlink" Target="https://bmcpublichealth.biomedcentral.com/articles/10.1186/s12889-025-23535-0?" TargetMode="External"/><Relationship Id="rId17" Type="http://schemas.openxmlformats.org/officeDocument/2006/relationships/hyperlink" Target="https://digital.nhs.uk/data-and-information/publications/statistical/personal-health-budgets/2024-25-q4/personal-health-budgets-q4-2024-25?" TargetMode="External"/><Relationship Id="rId25" Type="http://schemas.openxmlformats.org/officeDocument/2006/relationships/hyperlink" Target="https://bmjopen.bmj.com/content/12/10/e062951?" TargetMode="External"/><Relationship Id="rId33" Type="http://schemas.openxmlformats.org/officeDocument/2006/relationships/hyperlink" Target="https://www.nice.org.uk/about/what-we-do/research-and-development/research-recommendations/NG197/2"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ice.org.uk/guidance/QS174/chapter/quality-statement-4-structured-patient-handovers?" TargetMode="External"/><Relationship Id="rId20" Type="http://schemas.openxmlformats.org/officeDocument/2006/relationships/hyperlink" Target="https://www.nice.org.uk/guidance/ng108" TargetMode="External"/><Relationship Id="rId29" Type="http://schemas.openxmlformats.org/officeDocument/2006/relationships/hyperlink" Target="https://digital.nhs.uk/services/reasonable-adjustment-fla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mcpublichealth.biomedcentral.com/articles/10.1186/s12889-025-23535-0?" TargetMode="External"/><Relationship Id="rId24" Type="http://schemas.openxmlformats.org/officeDocument/2006/relationships/hyperlink" Target="https://bmjopen.bmj.com/content/12/10/e062951" TargetMode="External"/><Relationship Id="rId32" Type="http://schemas.openxmlformats.org/officeDocument/2006/relationships/hyperlink" Target="https://www.nice.org.uk/guidance/ng197" TargetMode="External"/><Relationship Id="rId37" Type="http://schemas.openxmlformats.org/officeDocument/2006/relationships/hyperlink" Target="https://ijic.org/articles/10.5334/ijic.6475"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ngland.nhs.uk/personalisedcare/comprehensive-model/case-studies/mrs-cs-story/?" TargetMode="External"/><Relationship Id="rId23" Type="http://schemas.openxmlformats.org/officeDocument/2006/relationships/hyperlink" Target="https://ico.org.uk/for-organisations/uk-gdpr-guidance-and-resources/data-sharing/data-sharing-a-code-of-practice/lawful-basis-for-sharing-personal-data/" TargetMode="External"/><Relationship Id="rId28" Type="http://schemas.openxmlformats.org/officeDocument/2006/relationships/hyperlink" Target="https://www.england.nhs.uk/personalisedcare/comprehensive-model/case-studies/mrs-cs-story/" TargetMode="External"/><Relationship Id="rId36" Type="http://schemas.openxmlformats.org/officeDocument/2006/relationships/hyperlink" Target="https://www.legislation.gov.uk/ukpga/2005/9/section/4?" TargetMode="External"/><Relationship Id="rId10" Type="http://schemas.openxmlformats.org/officeDocument/2006/relationships/hyperlink" Target="https://bmcpublichealth.biomedcentral.com/articles/10.1186/s12889-024-20089-5" TargetMode="External"/><Relationship Id="rId19" Type="http://schemas.openxmlformats.org/officeDocument/2006/relationships/hyperlink" Target="https://transform.england.nhs.uk/information-governance/guidance/information-sharing-in-social-care/?" TargetMode="External"/><Relationship Id="rId31" Type="http://schemas.openxmlformats.org/officeDocument/2006/relationships/hyperlink" Target="https://www.nice.org.uk/guidance/QS174/chapter/quality-statement-4-structured-patient-handovers"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hyperlink" Target="https://bmjopen.bmj.com/content/12/10/e062951?" TargetMode="External"/><Relationship Id="rId22" Type="http://schemas.openxmlformats.org/officeDocument/2006/relationships/hyperlink" Target="https://ico.org.uk/for-organisations/uk-gdpr-guidance-and-resources/" TargetMode="External"/><Relationship Id="rId27" Type="http://schemas.openxmlformats.org/officeDocument/2006/relationships/hyperlink" Target="https://digital.nhs.uk/data-and-information/publications/statistical/nhse-2-hour-urgent-community-response-performance-metrics/for-march-2025-provisional-and-february-2025-final?" TargetMode="External"/><Relationship Id="rId30" Type="http://schemas.openxmlformats.org/officeDocument/2006/relationships/hyperlink" Target="https://www.nice.org.uk/guidance/NG108" TargetMode="External"/><Relationship Id="rId35" Type="http://schemas.openxmlformats.org/officeDocument/2006/relationships/hyperlink" Target="https://www.gov.uk/government/statistics/update-of-indicators-in-the-respiratory-disease-profile-june-2025/respiratory-disease-profile-statistical-commentary-june-2025" TargetMode="External"/><Relationship Id="rId8" Type="http://schemas.openxmlformats.org/officeDocument/2006/relationships/hyperlink" Target="https://www.cqc.org.uk/guidance-regulation/providers/assessment/assessment-framewor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Pages>
  <Words>4384</Words>
  <Characters>24990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MRInnovations</dc:creator>
  <cp:keywords/>
  <dc:description/>
  <cp:lastModifiedBy>Zaiba Tabassum (2407213)</cp:lastModifiedBy>
  <cp:revision>9</cp:revision>
  <dcterms:created xsi:type="dcterms:W3CDTF">2025-10-15T19:17:00Z</dcterms:created>
  <dcterms:modified xsi:type="dcterms:W3CDTF">2025-10-22T09:04:00Z</dcterms:modified>
</cp:coreProperties>
</file>