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B4094D9" w14:textId="77777777" w:rsidR="00403FD1" w:rsidRDefault="00403FD1" w:rsidP="00403FD1">
      <w:pPr>
        <w:rPr>
          <w:b/>
          <w:bCs/>
        </w:rPr>
      </w:pPr>
    </w:p>
    <w:p w14:paraId="7398CF5A" w14:textId="7A617F70" w:rsidR="00403FD1" w:rsidRPr="00406AE7" w:rsidRDefault="00403FD1" w:rsidP="00403FD1">
      <w:pPr>
        <w:rPr>
          <w:b/>
          <w:bCs/>
          <w:sz w:val="24"/>
          <w:szCs w:val="24"/>
        </w:rPr>
      </w:pPr>
      <w:r w:rsidRPr="00DC38D5">
        <w:rPr>
          <w:b/>
          <w:bCs/>
          <w:sz w:val="24"/>
          <w:szCs w:val="24"/>
        </w:rPr>
        <w:t xml:space="preserve">Essay one: </w:t>
      </w:r>
      <w:r w:rsidRPr="00406AE7">
        <w:rPr>
          <w:b/>
          <w:bCs/>
          <w:sz w:val="24"/>
          <w:szCs w:val="24"/>
        </w:rPr>
        <w:t>How effectively has the police service adapted to accommodate diversity within the UK?</w:t>
      </w:r>
      <w:r w:rsidR="00411B87" w:rsidRPr="00406AE7">
        <w:rPr>
          <w:b/>
          <w:bCs/>
          <w:sz w:val="24"/>
          <w:szCs w:val="24"/>
        </w:rPr>
        <w:t xml:space="preserve"> </w:t>
      </w:r>
      <w:r w:rsidRPr="00406AE7">
        <w:rPr>
          <w:b/>
          <w:bCs/>
          <w:sz w:val="24"/>
          <w:szCs w:val="24"/>
        </w:rPr>
        <w:t>Consider the police force itself and/or the way police engage with diverse communities.</w:t>
      </w:r>
    </w:p>
    <w:p w14:paraId="4BDD373D" w14:textId="63EC1970" w:rsidR="00BC2189" w:rsidRPr="00406AE7" w:rsidRDefault="00403FD1" w:rsidP="00403FD1">
      <w:pPr>
        <w:rPr>
          <w:b/>
          <w:bCs/>
          <w:sz w:val="28"/>
          <w:szCs w:val="28"/>
        </w:rPr>
      </w:pPr>
      <w:r w:rsidRPr="00406AE7">
        <w:rPr>
          <w:b/>
          <w:bCs/>
          <w:sz w:val="24"/>
          <w:szCs w:val="24"/>
        </w:rPr>
        <w:t>Word limit: 1000 words</w:t>
      </w:r>
    </w:p>
    <w:p w14:paraId="4F40341A" w14:textId="5710B602" w:rsidR="00F61CDD" w:rsidRPr="00DC38D5" w:rsidRDefault="00F61CDD" w:rsidP="00F61CDD">
      <w:pPr>
        <w:rPr>
          <w:rFonts w:cstheme="minorHAnsi"/>
          <w:sz w:val="24"/>
          <w:szCs w:val="24"/>
        </w:rPr>
      </w:pPr>
      <w:r w:rsidRPr="00DC38D5">
        <w:rPr>
          <w:rFonts w:cstheme="minorHAnsi"/>
          <w:sz w:val="24"/>
          <w:szCs w:val="24"/>
        </w:rPr>
        <w:t>This essay argues that, while there have been several significant landmarks for diversity in modern history regarding legislation and police initiatives, a substantial discrepancy remains in perceived inclusivity and job satisfaction among minority groups across English and Welsh police forces. This is particularly pronounced for sexual minorities within the workforce. The discussion does not deny that inequality and discrimination toward other minority groups and protected characteristics exist; however, due to the scope limitations of this essay, it will explore two main themes (sexuality and religion), a</w:t>
      </w:r>
      <w:r w:rsidR="00406AE7">
        <w:rPr>
          <w:rFonts w:cstheme="minorHAnsi"/>
          <w:sz w:val="24"/>
          <w:szCs w:val="24"/>
        </w:rPr>
        <w:t>s t</w:t>
      </w:r>
      <w:r w:rsidRPr="00DC38D5">
        <w:rPr>
          <w:rFonts w:cstheme="minorHAnsi"/>
          <w:sz w:val="24"/>
          <w:szCs w:val="24"/>
        </w:rPr>
        <w:t xml:space="preserve">he literature </w:t>
      </w:r>
      <w:r w:rsidR="00406AE7">
        <w:rPr>
          <w:rFonts w:cstheme="minorHAnsi"/>
          <w:sz w:val="24"/>
          <w:szCs w:val="24"/>
        </w:rPr>
        <w:t>would suggest diversity</w:t>
      </w:r>
      <w:r w:rsidRPr="00DC38D5">
        <w:rPr>
          <w:rFonts w:cstheme="minorHAnsi"/>
          <w:sz w:val="24"/>
          <w:szCs w:val="24"/>
        </w:rPr>
        <w:t xml:space="preserve"> </w:t>
      </w:r>
      <w:r w:rsidR="00406AE7">
        <w:rPr>
          <w:rFonts w:cstheme="minorHAnsi"/>
          <w:sz w:val="24"/>
          <w:szCs w:val="24"/>
        </w:rPr>
        <w:t xml:space="preserve">is accommodated the least amongst among </w:t>
      </w:r>
      <w:r w:rsidRPr="00DC38D5">
        <w:rPr>
          <w:rFonts w:cstheme="minorHAnsi"/>
          <w:sz w:val="24"/>
          <w:szCs w:val="24"/>
        </w:rPr>
        <w:t>these minority groups</w:t>
      </w:r>
      <w:r w:rsidR="00406AE7">
        <w:rPr>
          <w:rFonts w:cstheme="minorHAnsi"/>
          <w:sz w:val="24"/>
          <w:szCs w:val="24"/>
        </w:rPr>
        <w:t xml:space="preserve"> by several measures. </w:t>
      </w:r>
    </w:p>
    <w:p w14:paraId="6D1BBA36" w14:textId="77777777" w:rsidR="00F61CDD" w:rsidRPr="00DC38D5" w:rsidRDefault="00F61CDD" w:rsidP="00F61CDD">
      <w:pPr>
        <w:rPr>
          <w:rFonts w:cstheme="minorHAnsi"/>
          <w:sz w:val="24"/>
          <w:szCs w:val="24"/>
        </w:rPr>
      </w:pPr>
      <w:r w:rsidRPr="00DC38D5">
        <w:rPr>
          <w:rFonts w:cstheme="minorHAnsi"/>
          <w:sz w:val="24"/>
          <w:szCs w:val="24"/>
        </w:rPr>
        <w:t>The most significant reforms to the UK police service emerged from the Stephen Lawrence Inquiry Report (Home Office, 1999). These reforms were primarily race-related but laid the foundation for broader diversity efforts (Home Office, 1999). More recently, the National Police Learning Requirement for Race and Diversity Training was introduced, aiming to raise awareness of the UK’s various demographics, including race, gender, disability, age, sexual orientation, and religion, while educating officers on adopting inclusive practices in the workplace and public engagement (Clements, 2008).</w:t>
      </w:r>
    </w:p>
    <w:p w14:paraId="5BC3919E" w14:textId="77777777" w:rsidR="00F61CDD" w:rsidRPr="00DC38D5" w:rsidRDefault="00F61CDD" w:rsidP="00F61CDD">
      <w:pPr>
        <w:rPr>
          <w:rFonts w:cstheme="minorHAnsi"/>
          <w:sz w:val="24"/>
          <w:szCs w:val="24"/>
        </w:rPr>
      </w:pPr>
      <w:r w:rsidRPr="00DC38D5">
        <w:rPr>
          <w:rFonts w:cstheme="minorHAnsi"/>
          <w:sz w:val="24"/>
          <w:szCs w:val="24"/>
        </w:rPr>
        <w:t>The 2003 BBC documentary The Secret Policeman followed an undercover journalist through police training and recruitment, exposing numerous officers for their verbal hostility toward Asians and general discrimination, alongside sympathies for far-right political groups (McLaughlin, 2007). Following this, ten officers resigned, and subsequent scrutiny highlighted police recruitment and retention, revealing significant under-representation of BAME employees at management levels (Stout, 2010).</w:t>
      </w:r>
    </w:p>
    <w:p w14:paraId="78B638BB" w14:textId="77777777" w:rsidR="00F61CDD" w:rsidRPr="00DC38D5" w:rsidRDefault="00F61CDD" w:rsidP="00F61CDD">
      <w:pPr>
        <w:rPr>
          <w:rFonts w:cstheme="minorHAnsi"/>
          <w:sz w:val="24"/>
          <w:szCs w:val="24"/>
        </w:rPr>
      </w:pPr>
      <w:r w:rsidRPr="00DC38D5">
        <w:rPr>
          <w:rFonts w:cstheme="minorHAnsi"/>
          <w:sz w:val="24"/>
          <w:szCs w:val="24"/>
        </w:rPr>
        <w:t>The most comprehensive effort to ensure legal protection was the Equality Act (2010), which collated over 116 pieces of existing legislation, including the Employment Equality Regulations of 2003 and the Equality Act Regulations (2007), addressing discrimination based on sexual orientation. The Act served as a broader initiative to deter and prevent direct discrimination based on protected characteristics (Stout, 2010). Additionally, it allowed for positive discrimination in recruitment when a qualified candidate possesses a protected characteristic that is under-represented in the workforce (Colgan and Wright, 2011).</w:t>
      </w:r>
    </w:p>
    <w:p w14:paraId="01AB5214" w14:textId="77777777" w:rsidR="00F61CDD" w:rsidRPr="00DC38D5" w:rsidRDefault="00F61CDD" w:rsidP="00F61CDD">
      <w:pPr>
        <w:rPr>
          <w:rFonts w:cstheme="minorHAnsi"/>
          <w:sz w:val="24"/>
          <w:szCs w:val="24"/>
        </w:rPr>
      </w:pPr>
      <w:r w:rsidRPr="00DC38D5">
        <w:rPr>
          <w:rFonts w:cstheme="minorHAnsi"/>
          <w:sz w:val="24"/>
          <w:szCs w:val="24"/>
        </w:rPr>
        <w:t xml:space="preserve">An example of this in practice is South Wales Police’s ‘Positive Action’ recruitment initiative. According to SWP, “Positive action refers to a range of measures and initiatives that employers can lawfully take to actively encourage individuals from under-represented groups to apply…” (SWP, 2024). Services offered by this initiative include up-skill sessions and one-to-one tailored support throughout the application process (ibid). This initiative </w:t>
      </w:r>
      <w:r w:rsidRPr="00DC38D5">
        <w:rPr>
          <w:rFonts w:cstheme="minorHAnsi"/>
          <w:sz w:val="24"/>
          <w:szCs w:val="24"/>
        </w:rPr>
        <w:lastRenderedPageBreak/>
        <w:t>demonstrates that positive discrimination has not only been legalised but is actively utilised within the police service.</w:t>
      </w:r>
    </w:p>
    <w:p w14:paraId="24786B5C" w14:textId="77777777" w:rsidR="00F61CDD" w:rsidRPr="00DC38D5" w:rsidRDefault="00F61CDD" w:rsidP="00F61CDD">
      <w:pPr>
        <w:rPr>
          <w:rFonts w:cstheme="minorHAnsi"/>
          <w:sz w:val="24"/>
          <w:szCs w:val="24"/>
        </w:rPr>
      </w:pPr>
      <w:r w:rsidRPr="00DC38D5">
        <w:rPr>
          <w:rFonts w:cstheme="minorHAnsi"/>
          <w:sz w:val="24"/>
          <w:szCs w:val="24"/>
        </w:rPr>
        <w:t>There have been clear attempts by the police service to project a more inclusive image toward sexual minorities throughout modern history. LAGLOs (Lesbian &amp; Gay Liaison Officers) were introduced as early as 1996. However, this sentiment has been limited to gay and lesbian officers only. Using Hampshire Constabulary as an example, the force renamed the role to "LGBTQ+ Link Officers," emphasising their responsibility to encourage reporting of homophobic, biphobic, and transphobic hate crimes (Lindsay, 2022). While this represents a positive evolution in public image, it does not negate the police service's ongoing failures to foster an environment of fairness and equality within its workforce.</w:t>
      </w:r>
    </w:p>
    <w:p w14:paraId="3ABB74B4" w14:textId="77777777" w:rsidR="00F61CDD" w:rsidRPr="00DC38D5" w:rsidRDefault="00F61CDD" w:rsidP="00F61CDD">
      <w:pPr>
        <w:rPr>
          <w:rFonts w:cstheme="minorHAnsi"/>
          <w:sz w:val="24"/>
          <w:szCs w:val="24"/>
        </w:rPr>
      </w:pPr>
      <w:r w:rsidRPr="00DC38D5">
        <w:rPr>
          <w:rFonts w:cstheme="minorHAnsi"/>
          <w:sz w:val="24"/>
          <w:szCs w:val="24"/>
        </w:rPr>
        <w:t>Thompson and Nored (2002) state that sexual minorities are particularly susceptible to discrimination within the police compared to other minority groups. Bernstein and Kostelac (2002) and Colvin (2012) attribute this to the historical prosecution of homosexuality by police. This historical context is reflected in a survey conducted by Colvin (2005), which found that 49% of lesbians and 54% of gay men had heard homophobic talk, while 37% of lesbians and 34.5% of gay men reported being "outed" at work, and 32% of gay men and 18.1% of lesbians experienced feelings of tokenism.</w:t>
      </w:r>
    </w:p>
    <w:p w14:paraId="4478E46C" w14:textId="77777777" w:rsidR="00F61CDD" w:rsidRPr="00DC38D5" w:rsidRDefault="00F61CDD" w:rsidP="00F61CDD">
      <w:pPr>
        <w:rPr>
          <w:rFonts w:cstheme="minorHAnsi"/>
          <w:sz w:val="24"/>
          <w:szCs w:val="24"/>
        </w:rPr>
      </w:pPr>
      <w:r w:rsidRPr="00DC38D5">
        <w:rPr>
          <w:rFonts w:cstheme="minorHAnsi"/>
          <w:sz w:val="24"/>
          <w:szCs w:val="24"/>
        </w:rPr>
        <w:t>A more recent study by Durham University (2020) indicates that, when comparing the frequency of derogatory comments received in the workplace across all minority groups, sexual orientation ranks among the highest—25.6% for lesbian, gay, or bisexual workers and as high as 31.5% for gay and lesbian workers alone. While this may suggest some improvement over the five years since Colvin's study, it is essential to note that Colvin (2005) does not specify a timeframe in its methodology. In the broader context, 25-66% of gay men, lesbians, and bisexuals experience employment discrimination throughout their careers in the UK (Alderson, 2003). Numbers as high as those outlined over just a 12-month period underscore the ongoing severity of homophobia within the police service.</w:t>
      </w:r>
    </w:p>
    <w:p w14:paraId="6CDFE490" w14:textId="77777777" w:rsidR="00F61CDD" w:rsidRPr="00DC38D5" w:rsidRDefault="00F61CDD" w:rsidP="00F61CDD">
      <w:pPr>
        <w:rPr>
          <w:rFonts w:cstheme="minorHAnsi"/>
          <w:sz w:val="24"/>
          <w:szCs w:val="24"/>
        </w:rPr>
      </w:pPr>
      <w:r w:rsidRPr="00DC38D5">
        <w:rPr>
          <w:rFonts w:cstheme="minorHAnsi"/>
          <w:sz w:val="24"/>
          <w:szCs w:val="24"/>
        </w:rPr>
        <w:t>The College of Policing (2022) published recommendations for adjustments for religious staff and officers. Notable recommendations for Jewish officers include prayer rooms and breaks, kosher-dedicated food storage, shatnez-free uniforms, and flexible hours around Shabbat. Similarly, adjustments for Muslim officers include prayer rooms, breaks, and halal catering. While these recommendations demonstrate attempts to create a fair environment for religious employees, they remain non-mandatory and do not appear to be rooted in actual policy. Furthermore, research indicates that cultural barriers persist in recruitment and promotion.</w:t>
      </w:r>
    </w:p>
    <w:p w14:paraId="645066A4" w14:textId="77777777" w:rsidR="00F61CDD" w:rsidRPr="00DC38D5" w:rsidRDefault="00F61CDD" w:rsidP="00F61CDD">
      <w:pPr>
        <w:rPr>
          <w:rFonts w:cstheme="minorHAnsi"/>
          <w:sz w:val="24"/>
          <w:szCs w:val="24"/>
        </w:rPr>
      </w:pPr>
      <w:r w:rsidRPr="00DC38D5">
        <w:rPr>
          <w:rFonts w:cstheme="minorHAnsi"/>
          <w:sz w:val="24"/>
          <w:szCs w:val="24"/>
        </w:rPr>
        <w:t xml:space="preserve">The Durham University survey (2020) revealed that 21.4% of Muslim police officers agreed that their promotion opportunities were negatively affected by their religion/beliefs, contrasting sharply with only 2.5% of Christian police officer respondents. For Muslim police staff, the proportion was 11.8%, while for Christian staff, it was just 0.5%. Additionally, 36.1% of Muslim respondents reported experiencing derogatory remarks about their religion/beliefs within the past year, and a similar proportion reported hearing offensive </w:t>
      </w:r>
      <w:r w:rsidRPr="00DC38D5">
        <w:rPr>
          <w:rFonts w:cstheme="minorHAnsi"/>
          <w:sz w:val="24"/>
          <w:szCs w:val="24"/>
        </w:rPr>
        <w:lastRenderedPageBreak/>
        <w:t>jokes or stories. This underlines not just the existence of discrimination but its pervasive impact on job satisfaction and morale within the ranks.</w:t>
      </w:r>
    </w:p>
    <w:p w14:paraId="493149A2" w14:textId="7B7E8501" w:rsidR="00845171" w:rsidRDefault="00F61CDD" w:rsidP="00F61CDD">
      <w:pPr>
        <w:rPr>
          <w:rFonts w:cstheme="minorHAnsi"/>
          <w:sz w:val="24"/>
          <w:szCs w:val="24"/>
        </w:rPr>
      </w:pPr>
      <w:r w:rsidRPr="00DC38D5">
        <w:rPr>
          <w:rFonts w:cstheme="minorHAnsi"/>
          <w:sz w:val="24"/>
          <w:szCs w:val="24"/>
        </w:rPr>
        <w:t>In conclusion, strategic approaches have been demonstrated through the legislation and initiatives discussed. Measuring the efficacy of these efforts over time proves challenging due to a scarcity of literature, low response rates, and inconsistent methodologies in existing studies. Overall, there has been a clear evolution in the discourse, and transparency has been exhibited by UK forces concerning public engagement and media exposure. However, the data strongly suggest that workplace discrimination persists across UK forces, with homophobia remaining a significant area of concern.</w:t>
      </w:r>
    </w:p>
    <w:p w14:paraId="3ED5D027" w14:textId="77777777" w:rsidR="00DC38D5" w:rsidRPr="00DC38D5" w:rsidRDefault="00DC38D5" w:rsidP="00F61CDD">
      <w:pPr>
        <w:rPr>
          <w:rFonts w:cstheme="minorHAnsi"/>
          <w:color w:val="2A2A2A"/>
          <w:sz w:val="24"/>
          <w:szCs w:val="24"/>
          <w:shd w:val="clear" w:color="auto" w:fill="FFFFFF"/>
        </w:rPr>
      </w:pPr>
    </w:p>
    <w:p w14:paraId="10BAD30A" w14:textId="2DAB0475" w:rsidR="00845171" w:rsidRPr="00DC38D5" w:rsidRDefault="00845171" w:rsidP="00FA6240">
      <w:pPr>
        <w:rPr>
          <w:rFonts w:cstheme="minorHAnsi"/>
          <w:b/>
          <w:bCs/>
          <w:color w:val="2A2A2A"/>
          <w:sz w:val="24"/>
          <w:szCs w:val="24"/>
          <w:shd w:val="clear" w:color="auto" w:fill="FFFFFF"/>
        </w:rPr>
      </w:pPr>
      <w:r w:rsidRPr="00DC38D5">
        <w:rPr>
          <w:rFonts w:cstheme="minorHAnsi"/>
          <w:b/>
          <w:bCs/>
          <w:color w:val="2A2A2A"/>
          <w:sz w:val="24"/>
          <w:szCs w:val="24"/>
          <w:shd w:val="clear" w:color="auto" w:fill="FFFFFF"/>
        </w:rPr>
        <w:t>References</w:t>
      </w:r>
    </w:p>
    <w:p w14:paraId="75780A72" w14:textId="77777777" w:rsidR="00845171" w:rsidRPr="00DC38D5" w:rsidRDefault="00845171" w:rsidP="00845171">
      <w:pPr>
        <w:spacing w:line="278" w:lineRule="auto"/>
        <w:rPr>
          <w:sz w:val="24"/>
          <w:szCs w:val="24"/>
        </w:rPr>
      </w:pPr>
      <w:r w:rsidRPr="00DC38D5">
        <w:rPr>
          <w:sz w:val="24"/>
          <w:szCs w:val="24"/>
        </w:rPr>
        <w:t>ALDERSON, K., 2003-last update, The Corporate Closet: Career Challenges of Gay and Lesbian Individuals. Available: </w:t>
      </w:r>
      <w:hyperlink r:id="rId6" w:tgtFrame="_blank" w:history="1">
        <w:r w:rsidRPr="00DC38D5">
          <w:rPr>
            <w:rStyle w:val="Hyperlink"/>
            <w:sz w:val="24"/>
            <w:szCs w:val="24"/>
          </w:rPr>
          <w:t>https://eric.ed.gov/?id=ED481087</w:t>
        </w:r>
      </w:hyperlink>
      <w:r w:rsidRPr="00DC38D5">
        <w:rPr>
          <w:sz w:val="24"/>
          <w:szCs w:val="24"/>
        </w:rPr>
        <w:t> [May 8, 2024].</w:t>
      </w:r>
    </w:p>
    <w:p w14:paraId="1935A4D0" w14:textId="77777777" w:rsidR="00845171" w:rsidRPr="00DC38D5" w:rsidRDefault="00845171" w:rsidP="00845171">
      <w:pPr>
        <w:spacing w:line="278" w:lineRule="auto"/>
        <w:rPr>
          <w:sz w:val="24"/>
          <w:szCs w:val="24"/>
        </w:rPr>
      </w:pPr>
      <w:r w:rsidRPr="00DC38D5">
        <w:rPr>
          <w:i/>
          <w:iCs/>
          <w:sz w:val="24"/>
          <w:szCs w:val="24"/>
        </w:rPr>
        <w:t>Equality Act. </w:t>
      </w:r>
      <w:r w:rsidRPr="00DC38D5">
        <w:rPr>
          <w:sz w:val="24"/>
          <w:szCs w:val="24"/>
        </w:rPr>
        <w:t xml:space="preserve">2010. Statutory Act </w:t>
      </w:r>
      <w:proofErr w:type="spellStart"/>
      <w:r w:rsidRPr="00DC38D5">
        <w:rPr>
          <w:sz w:val="24"/>
          <w:szCs w:val="24"/>
        </w:rPr>
        <w:t>edn</w:t>
      </w:r>
      <w:proofErr w:type="spellEnd"/>
      <w:r w:rsidRPr="00DC38D5">
        <w:rPr>
          <w:sz w:val="24"/>
          <w:szCs w:val="24"/>
        </w:rPr>
        <w:t>. UK.</w:t>
      </w:r>
    </w:p>
    <w:p w14:paraId="3A007A88" w14:textId="77777777" w:rsidR="00845171" w:rsidRPr="00DC38D5" w:rsidRDefault="00845171" w:rsidP="00845171">
      <w:pPr>
        <w:spacing w:line="278" w:lineRule="auto"/>
        <w:rPr>
          <w:sz w:val="24"/>
          <w:szCs w:val="24"/>
        </w:rPr>
      </w:pPr>
      <w:r w:rsidRPr="00DC38D5">
        <w:rPr>
          <w:i/>
          <w:iCs/>
          <w:sz w:val="24"/>
          <w:szCs w:val="24"/>
        </w:rPr>
        <w:t>The Equality Act (Sexual Orientation) Regulations 2007. </w:t>
      </w:r>
      <w:r w:rsidRPr="00DC38D5">
        <w:rPr>
          <w:sz w:val="24"/>
          <w:szCs w:val="24"/>
        </w:rPr>
        <w:t xml:space="preserve">2007. Statutory Act </w:t>
      </w:r>
      <w:proofErr w:type="spellStart"/>
      <w:r w:rsidRPr="00DC38D5">
        <w:rPr>
          <w:sz w:val="24"/>
          <w:szCs w:val="24"/>
        </w:rPr>
        <w:t>edn</w:t>
      </w:r>
      <w:proofErr w:type="spellEnd"/>
      <w:r w:rsidRPr="00DC38D5">
        <w:rPr>
          <w:sz w:val="24"/>
          <w:szCs w:val="24"/>
        </w:rPr>
        <w:t>. UK.</w:t>
      </w:r>
    </w:p>
    <w:p w14:paraId="3F698B5F" w14:textId="77777777" w:rsidR="00845171" w:rsidRPr="00DC38D5" w:rsidRDefault="00845171" w:rsidP="00845171">
      <w:pPr>
        <w:spacing w:line="278" w:lineRule="auto"/>
        <w:rPr>
          <w:sz w:val="24"/>
          <w:szCs w:val="24"/>
        </w:rPr>
      </w:pPr>
      <w:r w:rsidRPr="00DC38D5">
        <w:rPr>
          <w:i/>
          <w:iCs/>
          <w:sz w:val="24"/>
          <w:szCs w:val="24"/>
        </w:rPr>
        <w:t>Employment Equality Regulations of 2003 . </w:t>
      </w:r>
      <w:r w:rsidRPr="00DC38D5">
        <w:rPr>
          <w:sz w:val="24"/>
          <w:szCs w:val="24"/>
        </w:rPr>
        <w:t xml:space="preserve">2003. Statutory Act </w:t>
      </w:r>
      <w:proofErr w:type="spellStart"/>
      <w:r w:rsidRPr="00DC38D5">
        <w:rPr>
          <w:sz w:val="24"/>
          <w:szCs w:val="24"/>
        </w:rPr>
        <w:t>edn</w:t>
      </w:r>
      <w:proofErr w:type="spellEnd"/>
      <w:r w:rsidRPr="00DC38D5">
        <w:rPr>
          <w:sz w:val="24"/>
          <w:szCs w:val="24"/>
        </w:rPr>
        <w:t>. UK.</w:t>
      </w:r>
    </w:p>
    <w:p w14:paraId="4F149ECB" w14:textId="77777777" w:rsidR="00845171" w:rsidRPr="00DC38D5" w:rsidRDefault="00845171" w:rsidP="00845171">
      <w:pPr>
        <w:spacing w:line="278" w:lineRule="auto"/>
        <w:rPr>
          <w:sz w:val="24"/>
          <w:szCs w:val="24"/>
        </w:rPr>
      </w:pPr>
      <w:r w:rsidRPr="00DC38D5">
        <w:rPr>
          <w:sz w:val="24"/>
          <w:szCs w:val="24"/>
        </w:rPr>
        <w:t>COLGAN, F. and WRIGHT, T., 2011. Lesbian, Gay and Bisexual Equality in a Modernizing Public Sector 1997–2010: Opportunities and Threats. </w:t>
      </w:r>
      <w:r w:rsidRPr="00DC38D5">
        <w:rPr>
          <w:i/>
          <w:iCs/>
          <w:sz w:val="24"/>
          <w:szCs w:val="24"/>
        </w:rPr>
        <w:t>Gender, Work &amp; Organization, </w:t>
      </w:r>
      <w:r w:rsidRPr="00DC38D5">
        <w:rPr>
          <w:b/>
          <w:bCs/>
          <w:sz w:val="24"/>
          <w:szCs w:val="24"/>
        </w:rPr>
        <w:t>18</w:t>
      </w:r>
      <w:r w:rsidRPr="00DC38D5">
        <w:rPr>
          <w:sz w:val="24"/>
          <w:szCs w:val="24"/>
        </w:rPr>
        <w:t>(5), pp. 548–570.</w:t>
      </w:r>
    </w:p>
    <w:p w14:paraId="651C9F12" w14:textId="77777777" w:rsidR="00845171" w:rsidRPr="00DC38D5" w:rsidRDefault="00845171" w:rsidP="00845171">
      <w:pPr>
        <w:rPr>
          <w:sz w:val="24"/>
          <w:szCs w:val="24"/>
        </w:rPr>
      </w:pPr>
      <w:r w:rsidRPr="00DC38D5">
        <w:rPr>
          <w:sz w:val="24"/>
          <w:szCs w:val="24"/>
        </w:rPr>
        <w:t>COLLEGE OF POLICING, Nov 17, 2020-last update, Promoting and supporting diversity and inclusion. Available: </w:t>
      </w:r>
      <w:hyperlink r:id="rId7" w:tgtFrame="_blank" w:history="1">
        <w:r w:rsidRPr="00DC38D5">
          <w:rPr>
            <w:rStyle w:val="Hyperlink"/>
            <w:sz w:val="24"/>
            <w:szCs w:val="24"/>
          </w:rPr>
          <w:t>https://www.college.police.uk/article/diversity-and-inclusion-cpd-in-focus</w:t>
        </w:r>
      </w:hyperlink>
      <w:r w:rsidRPr="00DC38D5">
        <w:rPr>
          <w:sz w:val="24"/>
          <w:szCs w:val="24"/>
        </w:rPr>
        <w:t> [08/05/24, .</w:t>
      </w:r>
    </w:p>
    <w:p w14:paraId="160F60C4" w14:textId="77777777" w:rsidR="00845171" w:rsidRPr="00DC38D5" w:rsidRDefault="00845171" w:rsidP="00845171">
      <w:pPr>
        <w:spacing w:line="278" w:lineRule="auto"/>
        <w:rPr>
          <w:sz w:val="24"/>
          <w:szCs w:val="24"/>
        </w:rPr>
      </w:pPr>
      <w:r w:rsidRPr="00DC38D5">
        <w:rPr>
          <w:sz w:val="24"/>
          <w:szCs w:val="24"/>
        </w:rPr>
        <w:t>CLEMENTS, P 2008, </w:t>
      </w:r>
      <w:r w:rsidRPr="00DC38D5">
        <w:rPr>
          <w:i/>
          <w:iCs/>
          <w:sz w:val="24"/>
          <w:szCs w:val="24"/>
        </w:rPr>
        <w:t>Policing a diverse society</w:t>
      </w:r>
      <w:r w:rsidRPr="00DC38D5">
        <w:rPr>
          <w:sz w:val="24"/>
          <w:szCs w:val="24"/>
        </w:rPr>
        <w:t>. Blackstone's practical policing, Oxford University Press, Oxford.</w:t>
      </w:r>
    </w:p>
    <w:p w14:paraId="66FFEFE8" w14:textId="77777777" w:rsidR="00845171" w:rsidRPr="00DC38D5" w:rsidRDefault="00845171" w:rsidP="00845171">
      <w:pPr>
        <w:spacing w:line="278" w:lineRule="auto"/>
        <w:rPr>
          <w:sz w:val="24"/>
          <w:szCs w:val="24"/>
        </w:rPr>
      </w:pPr>
      <w:r w:rsidRPr="00DC38D5">
        <w:rPr>
          <w:sz w:val="24"/>
          <w:szCs w:val="24"/>
        </w:rPr>
        <w:t>COLVIN, R., 2015. Shared workplace experiences of lesbian and gay police officers in the United Kingdom. </w:t>
      </w:r>
      <w:r w:rsidRPr="00DC38D5">
        <w:rPr>
          <w:i/>
          <w:iCs/>
          <w:sz w:val="24"/>
          <w:szCs w:val="24"/>
        </w:rPr>
        <w:t>N/A</w:t>
      </w:r>
      <w:r w:rsidRPr="00406AE7">
        <w:rPr>
          <w:i/>
          <w:iCs/>
          <w:sz w:val="24"/>
          <w:szCs w:val="24"/>
        </w:rPr>
        <w:t>, </w:t>
      </w:r>
      <w:r w:rsidRPr="00406AE7">
        <w:rPr>
          <w:sz w:val="24"/>
          <w:szCs w:val="24"/>
        </w:rPr>
        <w:t>1-17.</w:t>
      </w:r>
    </w:p>
    <w:p w14:paraId="03A373AC" w14:textId="77777777" w:rsidR="00845171" w:rsidRPr="00DC38D5" w:rsidRDefault="00845171" w:rsidP="00845171">
      <w:pPr>
        <w:spacing w:line="278" w:lineRule="auto"/>
        <w:rPr>
          <w:sz w:val="24"/>
          <w:szCs w:val="24"/>
        </w:rPr>
      </w:pPr>
      <w:r w:rsidRPr="00DC38D5">
        <w:rPr>
          <w:sz w:val="24"/>
          <w:szCs w:val="24"/>
        </w:rPr>
        <w:t>COLVIN, R., 2012. </w:t>
      </w:r>
      <w:r w:rsidRPr="00DC38D5">
        <w:rPr>
          <w:i/>
          <w:iCs/>
          <w:sz w:val="24"/>
          <w:szCs w:val="24"/>
        </w:rPr>
        <w:t>Gay and Lesbian Cops: Diversity and Effective Policing. </w:t>
      </w:r>
      <w:r w:rsidRPr="00DC38D5">
        <w:rPr>
          <w:sz w:val="24"/>
          <w:szCs w:val="24"/>
        </w:rPr>
        <w:t xml:space="preserve">Boulder, CO: Lynne </w:t>
      </w:r>
      <w:proofErr w:type="spellStart"/>
      <w:r w:rsidRPr="00DC38D5">
        <w:rPr>
          <w:sz w:val="24"/>
          <w:szCs w:val="24"/>
        </w:rPr>
        <w:t>Rienner</w:t>
      </w:r>
      <w:proofErr w:type="spellEnd"/>
      <w:r w:rsidRPr="00DC38D5">
        <w:rPr>
          <w:sz w:val="24"/>
          <w:szCs w:val="24"/>
        </w:rPr>
        <w:t xml:space="preserve"> Publishers.</w:t>
      </w:r>
    </w:p>
    <w:p w14:paraId="30993F8A" w14:textId="77777777" w:rsidR="00845171" w:rsidRPr="00DC38D5" w:rsidRDefault="00845171" w:rsidP="00845171">
      <w:pPr>
        <w:spacing w:line="278" w:lineRule="auto"/>
        <w:rPr>
          <w:sz w:val="24"/>
          <w:szCs w:val="24"/>
        </w:rPr>
      </w:pPr>
      <w:r w:rsidRPr="00DC38D5">
        <w:rPr>
          <w:sz w:val="24"/>
          <w:szCs w:val="24"/>
        </w:rPr>
        <w:t>DURHAM UNIVERSITY, 2020. </w:t>
      </w:r>
      <w:r w:rsidRPr="00DC38D5">
        <w:rPr>
          <w:i/>
          <w:iCs/>
          <w:sz w:val="24"/>
          <w:szCs w:val="24"/>
        </w:rPr>
        <w:t>Diversity, Equality and Inclusion</w:t>
      </w:r>
      <w:r w:rsidRPr="00DC38D5">
        <w:rPr>
          <w:i/>
          <w:iCs/>
          <w:sz w:val="24"/>
          <w:szCs w:val="24"/>
        </w:rPr>
        <w:br/>
        <w:t>in Policing 2019. </w:t>
      </w:r>
      <w:r w:rsidRPr="00DC38D5">
        <w:rPr>
          <w:sz w:val="24"/>
          <w:szCs w:val="24"/>
        </w:rPr>
        <w:t>Durham University: Durham University.</w:t>
      </w:r>
    </w:p>
    <w:p w14:paraId="02275180" w14:textId="77777777" w:rsidR="00845171" w:rsidRPr="00DC38D5" w:rsidRDefault="00845171" w:rsidP="00845171">
      <w:pPr>
        <w:spacing w:line="278" w:lineRule="auto"/>
        <w:rPr>
          <w:sz w:val="24"/>
          <w:szCs w:val="24"/>
        </w:rPr>
      </w:pPr>
      <w:r w:rsidRPr="00DC38D5">
        <w:rPr>
          <w:sz w:val="24"/>
          <w:szCs w:val="24"/>
        </w:rPr>
        <w:t xml:space="preserve">Lavender and blue: Attitudes about homosexuality and </w:t>
      </w:r>
      <w:proofErr w:type="spellStart"/>
      <w:r w:rsidRPr="00DC38D5">
        <w:rPr>
          <w:sz w:val="24"/>
          <w:szCs w:val="24"/>
        </w:rPr>
        <w:t>behavior</w:t>
      </w:r>
      <w:proofErr w:type="spellEnd"/>
      <w:r w:rsidRPr="00DC38D5">
        <w:rPr>
          <w:sz w:val="24"/>
          <w:szCs w:val="24"/>
        </w:rPr>
        <w:t xml:space="preserve"> toward lesbians and gay men among police officers. 2002. </w:t>
      </w:r>
      <w:r w:rsidRPr="00DC38D5">
        <w:rPr>
          <w:i/>
          <w:iCs/>
          <w:sz w:val="24"/>
          <w:szCs w:val="24"/>
        </w:rPr>
        <w:t>Journal of Contemporary Criminal Justice, </w:t>
      </w:r>
      <w:r w:rsidRPr="00DC38D5">
        <w:rPr>
          <w:b/>
          <w:bCs/>
          <w:sz w:val="24"/>
          <w:szCs w:val="24"/>
        </w:rPr>
        <w:t>18</w:t>
      </w:r>
      <w:r w:rsidRPr="00DC38D5">
        <w:rPr>
          <w:sz w:val="24"/>
          <w:szCs w:val="24"/>
        </w:rPr>
        <w:t>(3), pp. 302–328.</w:t>
      </w:r>
    </w:p>
    <w:p w14:paraId="396E501A" w14:textId="77777777" w:rsidR="00845171" w:rsidRPr="00DC38D5" w:rsidRDefault="00845171" w:rsidP="00845171">
      <w:pPr>
        <w:spacing w:line="278" w:lineRule="auto"/>
        <w:rPr>
          <w:sz w:val="24"/>
          <w:szCs w:val="24"/>
        </w:rPr>
      </w:pPr>
      <w:r w:rsidRPr="00DC38D5">
        <w:rPr>
          <w:sz w:val="24"/>
          <w:szCs w:val="24"/>
        </w:rPr>
        <w:t xml:space="preserve">LINDSAY, H., 2022, 12 </w:t>
      </w:r>
      <w:proofErr w:type="gramStart"/>
      <w:r w:rsidRPr="00DC38D5">
        <w:rPr>
          <w:sz w:val="24"/>
          <w:szCs w:val="24"/>
        </w:rPr>
        <w:t>May,.</w:t>
      </w:r>
      <w:proofErr w:type="gramEnd"/>
      <w:r w:rsidRPr="00DC38D5">
        <w:rPr>
          <w:sz w:val="24"/>
          <w:szCs w:val="24"/>
        </w:rPr>
        <w:t xml:space="preserve"> LGBT+ Link Officers: Hampshire Constabulary’s support service is renamed as it marks its 25th anniversary</w:t>
      </w:r>
      <w:r w:rsidRPr="00DC38D5">
        <w:rPr>
          <w:i/>
          <w:iCs/>
          <w:sz w:val="24"/>
          <w:szCs w:val="24"/>
        </w:rPr>
        <w:t>. Hampshire Chronicle</w:t>
      </w:r>
      <w:r w:rsidRPr="00DC38D5">
        <w:rPr>
          <w:sz w:val="24"/>
          <w:szCs w:val="24"/>
        </w:rPr>
        <w:t>.</w:t>
      </w:r>
    </w:p>
    <w:p w14:paraId="5803BC8E" w14:textId="77777777" w:rsidR="00845171" w:rsidRPr="00DC38D5" w:rsidRDefault="00845171" w:rsidP="00845171">
      <w:pPr>
        <w:spacing w:line="278" w:lineRule="auto"/>
        <w:rPr>
          <w:sz w:val="24"/>
          <w:szCs w:val="24"/>
        </w:rPr>
      </w:pPr>
      <w:r w:rsidRPr="00DC38D5">
        <w:rPr>
          <w:sz w:val="24"/>
          <w:szCs w:val="24"/>
        </w:rPr>
        <w:lastRenderedPageBreak/>
        <w:t>MCCARTHY, D., 2012. Gay and Lesbian Cops: Diversity and Effective Policing. </w:t>
      </w:r>
      <w:r w:rsidRPr="00DC38D5">
        <w:rPr>
          <w:i/>
          <w:iCs/>
          <w:sz w:val="24"/>
          <w:szCs w:val="24"/>
        </w:rPr>
        <w:t>The British Journal of Criminology, </w:t>
      </w:r>
      <w:r w:rsidRPr="00DC38D5">
        <w:rPr>
          <w:b/>
          <w:bCs/>
          <w:sz w:val="24"/>
          <w:szCs w:val="24"/>
        </w:rPr>
        <w:t>53</w:t>
      </w:r>
      <w:r w:rsidRPr="00DC38D5">
        <w:rPr>
          <w:sz w:val="24"/>
          <w:szCs w:val="24"/>
        </w:rPr>
        <w:t>(3), pp. 525–528.</w:t>
      </w:r>
    </w:p>
    <w:p w14:paraId="22656C87" w14:textId="77777777" w:rsidR="00845171" w:rsidRPr="00DC38D5" w:rsidRDefault="00845171" w:rsidP="00845171">
      <w:pPr>
        <w:spacing w:line="278" w:lineRule="auto"/>
        <w:rPr>
          <w:sz w:val="24"/>
          <w:szCs w:val="24"/>
        </w:rPr>
      </w:pPr>
      <w:r w:rsidRPr="00DC38D5">
        <w:rPr>
          <w:sz w:val="24"/>
          <w:szCs w:val="24"/>
        </w:rPr>
        <w:t>MCLAUGHLIN, E., 2024. </w:t>
      </w:r>
      <w:r w:rsidRPr="00DC38D5">
        <w:rPr>
          <w:i/>
          <w:iCs/>
          <w:sz w:val="24"/>
          <w:szCs w:val="24"/>
        </w:rPr>
        <w:t>The New Policing. </w:t>
      </w:r>
      <w:r w:rsidRPr="00DC38D5">
        <w:rPr>
          <w:sz w:val="24"/>
          <w:szCs w:val="24"/>
        </w:rPr>
        <w:t>London, UK: SAGE Publications Ltd.</w:t>
      </w:r>
    </w:p>
    <w:p w14:paraId="280141D3" w14:textId="77777777" w:rsidR="00845171" w:rsidRPr="00DC38D5" w:rsidRDefault="00845171" w:rsidP="00845171">
      <w:pPr>
        <w:spacing w:line="278" w:lineRule="auto"/>
        <w:rPr>
          <w:sz w:val="24"/>
          <w:szCs w:val="24"/>
        </w:rPr>
      </w:pPr>
      <w:r w:rsidRPr="00DC38D5">
        <w:rPr>
          <w:sz w:val="24"/>
          <w:szCs w:val="24"/>
        </w:rPr>
        <w:t>PERKINS, K. and WILEY, S., 2024. Minorities | SpringerLink. , pp. 1192–1195.</w:t>
      </w:r>
    </w:p>
    <w:p w14:paraId="5346F9C4" w14:textId="77777777" w:rsidR="00845171" w:rsidRPr="00DC38D5" w:rsidRDefault="00845171" w:rsidP="00845171">
      <w:pPr>
        <w:spacing w:line="278" w:lineRule="auto"/>
        <w:rPr>
          <w:sz w:val="24"/>
          <w:szCs w:val="24"/>
        </w:rPr>
      </w:pPr>
      <w:r w:rsidRPr="00DC38D5">
        <w:rPr>
          <w:sz w:val="24"/>
          <w:szCs w:val="24"/>
        </w:rPr>
        <w:t>SOUTH WALES POLICE, 2024-last update, Positive Action Support. Available: </w:t>
      </w:r>
      <w:hyperlink r:id="rId8" w:tgtFrame="_blank" w:history="1">
        <w:r w:rsidRPr="00DC38D5">
          <w:rPr>
            <w:rStyle w:val="Hyperlink"/>
            <w:sz w:val="24"/>
            <w:szCs w:val="24"/>
          </w:rPr>
          <w:t>https://www.south-wales.police.uk/police-forces/south-wales-police/areas/careers/careers/positive-action/</w:t>
        </w:r>
      </w:hyperlink>
      <w:r w:rsidRPr="00DC38D5">
        <w:rPr>
          <w:sz w:val="24"/>
          <w:szCs w:val="24"/>
        </w:rPr>
        <w:t> [Sep 3, 2024].</w:t>
      </w:r>
    </w:p>
    <w:p w14:paraId="64E8C44B" w14:textId="77777777" w:rsidR="00845171" w:rsidRPr="00DC38D5" w:rsidRDefault="00845171" w:rsidP="00845171">
      <w:pPr>
        <w:spacing w:line="278" w:lineRule="auto"/>
        <w:rPr>
          <w:sz w:val="24"/>
          <w:szCs w:val="24"/>
        </w:rPr>
      </w:pPr>
      <w:r w:rsidRPr="00DC38D5">
        <w:rPr>
          <w:sz w:val="24"/>
          <w:szCs w:val="24"/>
        </w:rPr>
        <w:t>STOUT, B., 2010. </w:t>
      </w:r>
      <w:r w:rsidRPr="00DC38D5">
        <w:rPr>
          <w:i/>
          <w:iCs/>
          <w:sz w:val="24"/>
          <w:szCs w:val="24"/>
        </w:rPr>
        <w:t>Equality and diversity in policing. </w:t>
      </w:r>
      <w:r w:rsidRPr="00DC38D5">
        <w:rPr>
          <w:sz w:val="24"/>
          <w:szCs w:val="24"/>
        </w:rPr>
        <w:t>Exeter: Learning Matters.</w:t>
      </w:r>
    </w:p>
    <w:p w14:paraId="37FE77DF" w14:textId="77777777" w:rsidR="00E627DA" w:rsidRPr="00DC38D5" w:rsidRDefault="00E627DA" w:rsidP="00FA6240">
      <w:pPr>
        <w:rPr>
          <w:rFonts w:cstheme="minorHAnsi"/>
          <w:b/>
          <w:bCs/>
          <w:sz w:val="24"/>
          <w:szCs w:val="24"/>
        </w:rPr>
      </w:pPr>
    </w:p>
    <w:p w14:paraId="3E00C39D" w14:textId="3ADAAEE7" w:rsidR="00FA6240" w:rsidRPr="00DC38D5" w:rsidRDefault="00E627DA" w:rsidP="00E627DA">
      <w:pPr>
        <w:jc w:val="center"/>
        <w:rPr>
          <w:sz w:val="28"/>
          <w:szCs w:val="28"/>
        </w:rPr>
      </w:pPr>
      <w:r w:rsidRPr="00DC38D5">
        <w:rPr>
          <w:sz w:val="28"/>
          <w:szCs w:val="28"/>
        </w:rPr>
        <w:t>***</w:t>
      </w:r>
    </w:p>
    <w:p w14:paraId="51D31B4C" w14:textId="77777777" w:rsidR="00845171" w:rsidRPr="00DC38D5" w:rsidRDefault="00845171" w:rsidP="00845171">
      <w:pPr>
        <w:rPr>
          <w:sz w:val="28"/>
          <w:szCs w:val="28"/>
        </w:rPr>
      </w:pPr>
    </w:p>
    <w:p w14:paraId="0A304109" w14:textId="47BB5ED3" w:rsidR="00E56622" w:rsidRPr="00406AE7" w:rsidRDefault="00403FD1" w:rsidP="00403FD1">
      <w:pPr>
        <w:rPr>
          <w:b/>
          <w:bCs/>
          <w:sz w:val="24"/>
          <w:szCs w:val="24"/>
        </w:rPr>
      </w:pPr>
      <w:r w:rsidRPr="00406AE7">
        <w:rPr>
          <w:b/>
          <w:bCs/>
          <w:sz w:val="24"/>
          <w:szCs w:val="24"/>
        </w:rPr>
        <w:t xml:space="preserve">Essay two: </w:t>
      </w:r>
      <w:r w:rsidR="00E56622" w:rsidRPr="00406AE7">
        <w:rPr>
          <w:b/>
          <w:bCs/>
          <w:sz w:val="24"/>
          <w:szCs w:val="24"/>
        </w:rPr>
        <w:t xml:space="preserve">Counter-terrorism policing – How might terrorist groups’ involvement in other forms of criminality inform counter-terrorism policing? </w:t>
      </w:r>
    </w:p>
    <w:p w14:paraId="7DD51B6F" w14:textId="3BC528E2" w:rsidR="00DC38D5" w:rsidRPr="00406AE7" w:rsidRDefault="00403FD1" w:rsidP="00403FD1">
      <w:pPr>
        <w:rPr>
          <w:rFonts w:cstheme="minorHAnsi"/>
          <w:b/>
          <w:bCs/>
          <w:sz w:val="24"/>
          <w:szCs w:val="24"/>
        </w:rPr>
      </w:pPr>
      <w:bookmarkStart w:id="0" w:name="_Hlk176287355"/>
      <w:r w:rsidRPr="00406AE7">
        <w:rPr>
          <w:rFonts w:cstheme="minorHAnsi"/>
          <w:b/>
          <w:bCs/>
          <w:sz w:val="24"/>
          <w:szCs w:val="24"/>
        </w:rPr>
        <w:t>Word limit: 1000 words</w:t>
      </w:r>
    </w:p>
    <w:bookmarkEnd w:id="0"/>
    <w:p w14:paraId="7B644BF2" w14:textId="77777777" w:rsidR="00F61CDD" w:rsidRPr="00DC38D5" w:rsidRDefault="00F61CDD" w:rsidP="00F61CDD">
      <w:pPr>
        <w:rPr>
          <w:rFonts w:eastAsia="Arial Unicode MS" w:cstheme="minorHAnsi"/>
          <w:color w:val="000000"/>
          <w:kern w:val="0"/>
          <w:sz w:val="24"/>
          <w:szCs w:val="24"/>
          <w:bdr w:val="nil"/>
          <w:lang w:eastAsia="en-GB"/>
          <w14:ligatures w14:val="none"/>
        </w:rPr>
      </w:pPr>
      <w:r w:rsidRPr="00DC38D5">
        <w:rPr>
          <w:rFonts w:eastAsia="Arial Unicode MS" w:cstheme="minorHAnsi"/>
          <w:color w:val="000000"/>
          <w:kern w:val="0"/>
          <w:sz w:val="24"/>
          <w:szCs w:val="24"/>
          <w:bdr w:val="nil"/>
          <w:lang w:eastAsia="en-GB"/>
          <w14:ligatures w14:val="none"/>
        </w:rPr>
        <w:t>This essay explores the connection between terrorist activity and the involvement of terrorist groups in other forms of criminality, particularly organised crime (OC). By examining the motivations for such involvement, the mechanisms through which these groups operate, and the implications for counter-terrorism policing, this essay aims to provide a clearer understanding of how these interactions can inform effective policing strategies.</w:t>
      </w:r>
    </w:p>
    <w:p w14:paraId="51C28C08" w14:textId="77777777" w:rsidR="00F61CDD" w:rsidRPr="00DC38D5" w:rsidRDefault="00F61CDD" w:rsidP="00F61CDD">
      <w:pPr>
        <w:rPr>
          <w:rFonts w:eastAsia="Arial Unicode MS" w:cstheme="minorHAnsi"/>
          <w:color w:val="000000"/>
          <w:kern w:val="0"/>
          <w:sz w:val="24"/>
          <w:szCs w:val="24"/>
          <w:bdr w:val="nil"/>
          <w:lang w:eastAsia="en-GB"/>
          <w14:ligatures w14:val="none"/>
        </w:rPr>
      </w:pPr>
      <w:r w:rsidRPr="00DC38D5">
        <w:rPr>
          <w:rFonts w:eastAsia="Arial Unicode MS" w:cstheme="minorHAnsi"/>
          <w:color w:val="000000"/>
          <w:kern w:val="0"/>
          <w:sz w:val="24"/>
          <w:szCs w:val="24"/>
          <w:bdr w:val="nil"/>
          <w:lang w:eastAsia="en-GB"/>
          <w14:ligatures w14:val="none"/>
        </w:rPr>
        <w:t>Organised crime is generally understood as structured groups engaging in illicit activities for profit. While there is no universally accepted definition of organised crime, the UK’s Serious Crime Act (2015) describes an “Organised Criminal Group” (OCG) as a group of three or more individuals who collaborate to further criminal activities (CPS, 2022). In contrast, the Terrorism Act (2000) defines terrorism as actions intended to influence a government or intimidate the public for political, religious, or ideological reasons.</w:t>
      </w:r>
    </w:p>
    <w:p w14:paraId="2F82F855" w14:textId="77777777" w:rsidR="00F61CDD" w:rsidRPr="00DC38D5" w:rsidRDefault="00F61CDD" w:rsidP="00F61CDD">
      <w:pPr>
        <w:rPr>
          <w:rFonts w:eastAsia="Arial Unicode MS" w:cstheme="minorHAnsi"/>
          <w:color w:val="000000"/>
          <w:kern w:val="0"/>
          <w:sz w:val="24"/>
          <w:szCs w:val="24"/>
          <w:bdr w:val="nil"/>
          <w:lang w:eastAsia="en-GB"/>
          <w14:ligatures w14:val="none"/>
        </w:rPr>
      </w:pPr>
      <w:r w:rsidRPr="00DC38D5">
        <w:rPr>
          <w:rFonts w:eastAsia="Arial Unicode MS" w:cstheme="minorHAnsi"/>
          <w:color w:val="000000"/>
          <w:kern w:val="0"/>
          <w:sz w:val="24"/>
          <w:szCs w:val="24"/>
          <w:bdr w:val="nil"/>
          <w:lang w:eastAsia="en-GB"/>
          <w14:ligatures w14:val="none"/>
        </w:rPr>
        <w:t>A significant aspect of the connection between terrorism and organised crime lies in the financial motivations. The United Nations Office on Drugs and Crime (2017) emphasises that the drug trade remains a substantial income source for many terrorist groups. For example, during the time of the report, it was estimated that up to 85% of opium poppy cultivation in Afghanistan occurred in Taliban-controlled areas. Furthermore, studies have shown that paramilitary groups in Northern Ireland have historically controlled significant portions of the drug trade (Silke, 2010). Such financial entanglements highlight the ways in which terrorist groups can engage in organised crime to support their operations.</w:t>
      </w:r>
    </w:p>
    <w:p w14:paraId="4E7D9E29" w14:textId="77777777" w:rsidR="00F61CDD" w:rsidRPr="00DC38D5" w:rsidRDefault="00F61CDD" w:rsidP="00F61CDD">
      <w:pPr>
        <w:rPr>
          <w:rFonts w:eastAsia="Arial Unicode MS" w:cstheme="minorHAnsi"/>
          <w:color w:val="000000"/>
          <w:kern w:val="0"/>
          <w:sz w:val="24"/>
          <w:szCs w:val="24"/>
          <w:bdr w:val="nil"/>
          <w:lang w:eastAsia="en-GB"/>
          <w14:ligatures w14:val="none"/>
        </w:rPr>
      </w:pPr>
      <w:r w:rsidRPr="00DC38D5">
        <w:rPr>
          <w:rFonts w:eastAsia="Arial Unicode MS" w:cstheme="minorHAnsi"/>
          <w:color w:val="000000"/>
          <w:kern w:val="0"/>
          <w:sz w:val="24"/>
          <w:szCs w:val="24"/>
          <w:bdr w:val="nil"/>
          <w:lang w:eastAsia="en-GB"/>
          <w14:ligatures w14:val="none"/>
        </w:rPr>
        <w:t xml:space="preserve">Terrorist groups often turn to organised crime as a means of funding their activities. This relationship can manifest in various ways, such as drug trafficking, arms smuggling, and </w:t>
      </w:r>
      <w:r w:rsidRPr="00DC38D5">
        <w:rPr>
          <w:rFonts w:eastAsia="Arial Unicode MS" w:cstheme="minorHAnsi"/>
          <w:color w:val="000000"/>
          <w:kern w:val="0"/>
          <w:sz w:val="24"/>
          <w:szCs w:val="24"/>
          <w:bdr w:val="nil"/>
          <w:lang w:eastAsia="en-GB"/>
          <w14:ligatures w14:val="none"/>
        </w:rPr>
        <w:lastRenderedPageBreak/>
        <w:t xml:space="preserve">human trafficking. The Financial Action Task Force (FATF, 2012) has reported that groups like the Real IRA (RIRA) have engaged in the counterfeit cigarette trade as a major funding source. These activities not only provide financial resources but also facilitate connections between terrorist organisations and criminal networks, which can be exploited for further illicit activities. </w:t>
      </w:r>
    </w:p>
    <w:p w14:paraId="44295719" w14:textId="77777777" w:rsidR="00F61CDD" w:rsidRPr="00DC38D5" w:rsidRDefault="00F61CDD" w:rsidP="00F61CDD">
      <w:pPr>
        <w:rPr>
          <w:rFonts w:eastAsia="Arial Unicode MS" w:cstheme="minorHAnsi"/>
          <w:color w:val="000000"/>
          <w:kern w:val="0"/>
          <w:sz w:val="24"/>
          <w:szCs w:val="24"/>
          <w:bdr w:val="nil"/>
          <w:lang w:eastAsia="en-GB"/>
          <w14:ligatures w14:val="none"/>
        </w:rPr>
      </w:pPr>
      <w:r w:rsidRPr="00DC38D5">
        <w:rPr>
          <w:rFonts w:eastAsia="Arial Unicode MS" w:cstheme="minorHAnsi"/>
          <w:color w:val="000000"/>
          <w:kern w:val="0"/>
          <w:sz w:val="24"/>
          <w:szCs w:val="24"/>
          <w:bdr w:val="nil"/>
          <w:lang w:eastAsia="en-GB"/>
          <w14:ligatures w14:val="none"/>
        </w:rPr>
        <w:t>The interplay between organised crime and terrorism suggests a dual-use model where methods and resources can be shared. For instance, the Irish Republican Army (IRA) has been known to launder drug trafficking proceeds to fund their operations, showcasing the mutual benefits of collaboration with OCGs (EMCDDA &amp; Europol, 2016). By understanding the methods these groups employ to sustain their operations, counter-terrorism policing can develop more targeted strategies to intercept such activities.</w:t>
      </w:r>
    </w:p>
    <w:p w14:paraId="00FF2983" w14:textId="2798DBDB" w:rsidR="00F61CDD" w:rsidRPr="00DC38D5" w:rsidRDefault="00F61CDD" w:rsidP="00F61CDD">
      <w:pPr>
        <w:rPr>
          <w:rFonts w:eastAsia="Arial Unicode MS" w:cstheme="minorHAnsi"/>
          <w:color w:val="000000"/>
          <w:kern w:val="0"/>
          <w:sz w:val="24"/>
          <w:szCs w:val="24"/>
          <w:bdr w:val="nil"/>
          <w:lang w:eastAsia="en-GB"/>
          <w14:ligatures w14:val="none"/>
        </w:rPr>
      </w:pPr>
      <w:r w:rsidRPr="00DC38D5">
        <w:rPr>
          <w:rFonts w:eastAsia="Arial Unicode MS" w:cstheme="minorHAnsi"/>
          <w:color w:val="000000"/>
          <w:kern w:val="0"/>
          <w:sz w:val="24"/>
          <w:szCs w:val="24"/>
          <w:bdr w:val="nil"/>
          <w:lang w:eastAsia="en-GB"/>
          <w14:ligatures w14:val="none"/>
        </w:rPr>
        <w:t>The involvement of terrorist groups in organised crime informs counter-terrorism policing in several ways. First, understanding the financial underpinnings of terrorism can enhance intelligence-gathering efforts. Identifying key revenue sources and their connections to organised crime can help law enforcement agencies disrupt funding streams. For example, the UK successfully extradited three Irish citizens from Slovakia in 2008 for conspiring to smuggle weapons for the RIRA, showcasing the efficacy of intelligence-driven operations (Cracknell et al., 2001).</w:t>
      </w:r>
    </w:p>
    <w:p w14:paraId="57E82862" w14:textId="77777777" w:rsidR="00F61CDD" w:rsidRPr="00DC38D5" w:rsidRDefault="00F61CDD" w:rsidP="00F61CDD">
      <w:pPr>
        <w:rPr>
          <w:rFonts w:eastAsia="Arial Unicode MS" w:cstheme="minorHAnsi"/>
          <w:color w:val="000000"/>
          <w:kern w:val="0"/>
          <w:sz w:val="24"/>
          <w:szCs w:val="24"/>
          <w:bdr w:val="nil"/>
          <w:lang w:eastAsia="en-GB"/>
          <w14:ligatures w14:val="none"/>
        </w:rPr>
      </w:pPr>
      <w:r w:rsidRPr="00DC38D5">
        <w:rPr>
          <w:rFonts w:eastAsia="Arial Unicode MS" w:cstheme="minorHAnsi"/>
          <w:color w:val="000000"/>
          <w:kern w:val="0"/>
          <w:sz w:val="24"/>
          <w:szCs w:val="24"/>
          <w:bdr w:val="nil"/>
          <w:lang w:eastAsia="en-GB"/>
          <w14:ligatures w14:val="none"/>
        </w:rPr>
        <w:t>Moreover, the relationship between organised crime and terrorism emphasises the importance of local intelligence. The National Intelligence Model (NIM), established in the UK, outlines a framework for addressing local crime and disorder issues, which is crucial for effective counter-terrorism efforts. According to Thomas (2016), community intelligence gathered at the local level can help identify radical extremists, their associates, and their activities. This aligns with the UK Government's Contest Strategy, which emphasises the role of community intelligence in countering terrorism (Home Office, 2006).</w:t>
      </w:r>
    </w:p>
    <w:p w14:paraId="00620E60" w14:textId="77777777" w:rsidR="00F61CDD" w:rsidRPr="00DC38D5" w:rsidRDefault="00F61CDD" w:rsidP="00F61CDD">
      <w:pPr>
        <w:rPr>
          <w:rFonts w:eastAsia="Arial Unicode MS" w:cstheme="minorHAnsi"/>
          <w:color w:val="000000"/>
          <w:kern w:val="0"/>
          <w:sz w:val="24"/>
          <w:szCs w:val="24"/>
          <w:bdr w:val="nil"/>
          <w:lang w:eastAsia="en-GB"/>
          <w14:ligatures w14:val="none"/>
        </w:rPr>
      </w:pPr>
      <w:r w:rsidRPr="00DC38D5">
        <w:rPr>
          <w:rFonts w:eastAsia="Arial Unicode MS" w:cstheme="minorHAnsi"/>
          <w:color w:val="000000"/>
          <w:kern w:val="0"/>
          <w:sz w:val="24"/>
          <w:szCs w:val="24"/>
          <w:bdr w:val="nil"/>
          <w:lang w:eastAsia="en-GB"/>
          <w14:ligatures w14:val="none"/>
        </w:rPr>
        <w:t xml:space="preserve">Flood and Gasper (2009) argue that community intelligence allows law enforcement to build a comprehensive picture of the concerns within a community, helping to identify potential risks associated with terrorism. Neighbourhood policing fosters relationships between officers and </w:t>
      </w:r>
      <w:proofErr w:type="gramStart"/>
      <w:r w:rsidRPr="00DC38D5">
        <w:rPr>
          <w:rFonts w:eastAsia="Arial Unicode MS" w:cstheme="minorHAnsi"/>
          <w:color w:val="000000"/>
          <w:kern w:val="0"/>
          <w:sz w:val="24"/>
          <w:szCs w:val="24"/>
          <w:bdr w:val="nil"/>
          <w:lang w:eastAsia="en-GB"/>
          <w14:ligatures w14:val="none"/>
        </w:rPr>
        <w:t>local residents</w:t>
      </w:r>
      <w:proofErr w:type="gramEnd"/>
      <w:r w:rsidRPr="00DC38D5">
        <w:rPr>
          <w:rFonts w:eastAsia="Arial Unicode MS" w:cstheme="minorHAnsi"/>
          <w:color w:val="000000"/>
          <w:kern w:val="0"/>
          <w:sz w:val="24"/>
          <w:szCs w:val="24"/>
          <w:bdr w:val="nil"/>
          <w:lang w:eastAsia="en-GB"/>
          <w14:ligatures w14:val="none"/>
        </w:rPr>
        <w:t>, making it easier for police to notice subtle changes or suspicious activities within communities. Officers who are familiar with their communities are more likely to receive crucial information that may not be reported through formal channels (Kelling &amp; Bratton, 2006).</w:t>
      </w:r>
    </w:p>
    <w:p w14:paraId="4CCE1E7D" w14:textId="77777777" w:rsidR="00F61CDD" w:rsidRPr="00DC38D5" w:rsidRDefault="00F61CDD" w:rsidP="00F61CDD">
      <w:pPr>
        <w:rPr>
          <w:rFonts w:eastAsia="Arial Unicode MS" w:cstheme="minorHAnsi"/>
          <w:color w:val="000000"/>
          <w:kern w:val="0"/>
          <w:sz w:val="24"/>
          <w:szCs w:val="24"/>
          <w:bdr w:val="nil"/>
          <w:lang w:eastAsia="en-GB"/>
          <w14:ligatures w14:val="none"/>
        </w:rPr>
      </w:pPr>
      <w:r w:rsidRPr="00DC38D5">
        <w:rPr>
          <w:rFonts w:eastAsia="Arial Unicode MS" w:cstheme="minorHAnsi"/>
          <w:color w:val="000000"/>
          <w:kern w:val="0"/>
          <w:sz w:val="24"/>
          <w:szCs w:val="24"/>
          <w:bdr w:val="nil"/>
          <w:lang w:eastAsia="en-GB"/>
          <w14:ligatures w14:val="none"/>
        </w:rPr>
        <w:t>Furthermore, the NIM framework emphasises the importance of community intelligence in addressing local crime and disorder, making it integral to counter-terrorism efforts (Thomas, 2016). The model highlights the need for local-level engagement to identify and mitigate risks, recognising that many potential terrorists reside within local communities. By effectively leveraging community intelligence, law enforcement can proactively identify radicalisation trends and potential threats, enhancing the overall security landscape.</w:t>
      </w:r>
    </w:p>
    <w:p w14:paraId="1A74824C" w14:textId="77777777" w:rsidR="00F61CDD" w:rsidRPr="00DC38D5" w:rsidRDefault="00F61CDD" w:rsidP="00F61CDD">
      <w:pPr>
        <w:rPr>
          <w:rFonts w:eastAsia="Arial Unicode MS" w:cstheme="minorHAnsi"/>
          <w:color w:val="000000"/>
          <w:kern w:val="0"/>
          <w:sz w:val="24"/>
          <w:szCs w:val="24"/>
          <w:bdr w:val="nil"/>
          <w:lang w:eastAsia="en-GB"/>
          <w14:ligatures w14:val="none"/>
        </w:rPr>
      </w:pPr>
      <w:r w:rsidRPr="00DC38D5">
        <w:rPr>
          <w:rFonts w:eastAsia="Arial Unicode MS" w:cstheme="minorHAnsi"/>
          <w:color w:val="000000"/>
          <w:kern w:val="0"/>
          <w:sz w:val="24"/>
          <w:szCs w:val="24"/>
          <w:bdr w:val="nil"/>
          <w:lang w:eastAsia="en-GB"/>
          <w14:ligatures w14:val="none"/>
        </w:rPr>
        <w:t xml:space="preserve">While the interconnectedness of organised crime and terrorism presents opportunities for more effective policing, challenges remain. Jupp and Garrod (2019) argue that existing models may not adequately capture the historical complexities and interactions between </w:t>
      </w:r>
      <w:r w:rsidRPr="00DC38D5">
        <w:rPr>
          <w:rFonts w:eastAsia="Arial Unicode MS" w:cstheme="minorHAnsi"/>
          <w:color w:val="000000"/>
          <w:kern w:val="0"/>
          <w:sz w:val="24"/>
          <w:szCs w:val="24"/>
          <w:bdr w:val="nil"/>
          <w:lang w:eastAsia="en-GB"/>
          <w14:ligatures w14:val="none"/>
        </w:rPr>
        <w:lastRenderedPageBreak/>
        <w:t>these phenomena, particularly in regions like Northern Ireland, where paramilitary groups maintain significant influence. Their research suggests that no complete transformation between organised crime and terrorism has occurred, emphasising the need for nuanced approaches that reflect the local context and historical evolution of these groups.</w:t>
      </w:r>
    </w:p>
    <w:p w14:paraId="02B75A28" w14:textId="77777777" w:rsidR="00F61CDD" w:rsidRPr="00DC38D5" w:rsidRDefault="00F61CDD" w:rsidP="00F61CDD">
      <w:pPr>
        <w:rPr>
          <w:rFonts w:eastAsia="Arial Unicode MS" w:cstheme="minorHAnsi"/>
          <w:color w:val="000000"/>
          <w:kern w:val="0"/>
          <w:sz w:val="24"/>
          <w:szCs w:val="24"/>
          <w:bdr w:val="nil"/>
          <w:lang w:eastAsia="en-GB"/>
          <w14:ligatures w14:val="none"/>
        </w:rPr>
      </w:pPr>
      <w:r w:rsidRPr="00DC38D5">
        <w:rPr>
          <w:rFonts w:eastAsia="Arial Unicode MS" w:cstheme="minorHAnsi"/>
          <w:color w:val="000000"/>
          <w:kern w:val="0"/>
          <w:sz w:val="24"/>
          <w:szCs w:val="24"/>
          <w:bdr w:val="nil"/>
          <w:lang w:eastAsia="en-GB"/>
          <w14:ligatures w14:val="none"/>
        </w:rPr>
        <w:t>Furthermore, the reliance on outdated definitions and frameworks can hinder the development of effective strategies. Recent studies emphasise the need for contemporary definitions and models that consider the evolving landscape of crime and terrorism. For instance, Cherney and Hartley (2015) acknowledge the importance of community engagement in mitigating terrorism risks and the tensions that can arise during these efforts. This highlights the need for adaptive strategies that reflect the changing nature of both organised crime and terrorist networks.</w:t>
      </w:r>
    </w:p>
    <w:p w14:paraId="587AA5E7" w14:textId="6EDE4A38" w:rsidR="00F61CDD" w:rsidRDefault="00F61CDD" w:rsidP="00F61CDD">
      <w:pPr>
        <w:rPr>
          <w:rFonts w:eastAsia="Arial Unicode MS" w:cstheme="minorHAnsi"/>
          <w:color w:val="000000"/>
          <w:kern w:val="0"/>
          <w:sz w:val="24"/>
          <w:szCs w:val="24"/>
          <w:bdr w:val="nil"/>
          <w:lang w:eastAsia="en-GB"/>
          <w14:ligatures w14:val="none"/>
        </w:rPr>
      </w:pPr>
      <w:r w:rsidRPr="00DC38D5">
        <w:rPr>
          <w:rFonts w:eastAsia="Arial Unicode MS" w:cstheme="minorHAnsi"/>
          <w:color w:val="000000"/>
          <w:kern w:val="0"/>
          <w:sz w:val="24"/>
          <w:szCs w:val="24"/>
          <w:bdr w:val="nil"/>
          <w:lang w:eastAsia="en-GB"/>
          <w14:ligatures w14:val="none"/>
        </w:rPr>
        <w:t>In conclusion, understanding the linkages between terrorist groups and organised crime can provide valuable insights for counter-terrorism policing. By examining the financial motivations, mechanisms of involvement, and the interconnectedness of these groups, law enforcement can enhance their strategies to identify, predict, and intercept terrorist activities. Engaging local communities and integrating intelligence at various levels further strengthens these strategies. While challenges exist, particularly in adapting existing models to contemporary contexts, a more integrated approach to policing that acknowledges these complexities is essential for effectively addressing the evolving threats posed by terrorism and organised crime.</w:t>
      </w:r>
    </w:p>
    <w:p w14:paraId="1940C68E" w14:textId="77777777" w:rsidR="00DC38D5" w:rsidRPr="00DC38D5" w:rsidRDefault="00DC38D5" w:rsidP="00F61CDD">
      <w:pPr>
        <w:rPr>
          <w:rFonts w:eastAsia="Arial Unicode MS" w:cstheme="minorHAnsi"/>
          <w:color w:val="000000"/>
          <w:kern w:val="0"/>
          <w:sz w:val="24"/>
          <w:szCs w:val="24"/>
          <w:bdr w:val="nil"/>
          <w:lang w:eastAsia="en-GB"/>
          <w14:ligatures w14:val="none"/>
        </w:rPr>
      </w:pPr>
    </w:p>
    <w:p w14:paraId="5B5281EB" w14:textId="64CE46AF" w:rsidR="00F61CDD" w:rsidRPr="00DC38D5" w:rsidRDefault="00F61CDD" w:rsidP="00F61CDD">
      <w:pPr>
        <w:rPr>
          <w:rFonts w:eastAsia="Arial Unicode MS" w:cstheme="minorHAnsi"/>
          <w:b/>
          <w:bCs/>
          <w:color w:val="000000"/>
          <w:kern w:val="0"/>
          <w:sz w:val="24"/>
          <w:szCs w:val="24"/>
          <w:bdr w:val="nil"/>
          <w:lang w:eastAsia="en-GB"/>
          <w14:ligatures w14:val="none"/>
        </w:rPr>
      </w:pPr>
      <w:r w:rsidRPr="00DC38D5">
        <w:rPr>
          <w:rFonts w:eastAsia="Arial Unicode MS" w:cstheme="minorHAnsi"/>
          <w:b/>
          <w:bCs/>
          <w:color w:val="000000"/>
          <w:kern w:val="0"/>
          <w:sz w:val="24"/>
          <w:szCs w:val="24"/>
          <w:bdr w:val="nil"/>
          <w:lang w:eastAsia="en-GB"/>
          <w14:ligatures w14:val="none"/>
        </w:rPr>
        <w:t>References:</w:t>
      </w:r>
    </w:p>
    <w:p w14:paraId="074F0092" w14:textId="77777777" w:rsidR="00F61CDD" w:rsidRPr="00DC38D5" w:rsidRDefault="00F61CDD" w:rsidP="00F61CDD">
      <w:pPr>
        <w:rPr>
          <w:rFonts w:eastAsia="Arial Unicode MS" w:cstheme="minorHAnsi"/>
          <w:color w:val="000000"/>
          <w:kern w:val="0"/>
          <w:sz w:val="24"/>
          <w:szCs w:val="24"/>
          <w:bdr w:val="nil"/>
          <w:lang w:eastAsia="en-GB"/>
          <w14:ligatures w14:val="none"/>
        </w:rPr>
      </w:pPr>
      <w:r w:rsidRPr="00DC38D5">
        <w:rPr>
          <w:rFonts w:eastAsia="Arial Unicode MS" w:cstheme="minorHAnsi"/>
          <w:color w:val="000000"/>
          <w:kern w:val="0"/>
          <w:sz w:val="24"/>
          <w:szCs w:val="24"/>
          <w:bdr w:val="nil"/>
          <w:lang w:eastAsia="en-GB"/>
          <w14:ligatures w14:val="none"/>
        </w:rPr>
        <w:t>ATKINSON, M.P. and WEIN, L.M., 2010. An Overlapping Networks Approach to Resource Allocation for Domestic Counterterrorism. Studies in Conflict &amp; Terrorism, 33(7), pp. 618–651.</w:t>
      </w:r>
    </w:p>
    <w:p w14:paraId="7CD59F9A" w14:textId="1A165E54" w:rsidR="00F61CDD" w:rsidRPr="00DC38D5" w:rsidRDefault="00F61CDD" w:rsidP="00F61CDD">
      <w:pPr>
        <w:rPr>
          <w:rFonts w:eastAsia="Arial Unicode MS" w:cstheme="minorHAnsi"/>
          <w:color w:val="000000"/>
          <w:kern w:val="0"/>
          <w:sz w:val="24"/>
          <w:szCs w:val="24"/>
          <w:bdr w:val="nil"/>
          <w:lang w:eastAsia="en-GB"/>
          <w14:ligatures w14:val="none"/>
        </w:rPr>
      </w:pPr>
      <w:r w:rsidRPr="00DC38D5">
        <w:rPr>
          <w:rFonts w:eastAsia="Arial Unicode MS" w:cstheme="minorHAnsi"/>
          <w:color w:val="000000"/>
          <w:kern w:val="0"/>
          <w:sz w:val="24"/>
          <w:szCs w:val="24"/>
          <w:bdr w:val="nil"/>
          <w:lang w:eastAsia="en-GB"/>
          <w14:ligatures w14:val="none"/>
        </w:rPr>
        <w:t>CRACKNELL, D., DEPUTY POLITICAL EDITOR and MURRAY, A., 2001, July 08. Three men held in Slovakia over IRA gunrunning. The Telegraph, 1.</w:t>
      </w:r>
      <w:r w:rsidR="001B5FAD">
        <w:rPr>
          <w:rFonts w:eastAsia="Arial Unicode MS" w:cstheme="minorHAnsi"/>
          <w:color w:val="000000"/>
          <w:kern w:val="0"/>
          <w:sz w:val="24"/>
          <w:szCs w:val="24"/>
          <w:bdr w:val="nil"/>
          <w:lang w:eastAsia="en-GB"/>
          <w14:ligatures w14:val="none"/>
        </w:rPr>
        <w:t xml:space="preserve"> Available: </w:t>
      </w:r>
      <w:hyperlink r:id="rId9" w:history="1">
        <w:r w:rsidR="001B5FAD" w:rsidRPr="00626DBD">
          <w:rPr>
            <w:rStyle w:val="Hyperlink"/>
            <w:rFonts w:eastAsia="Arial Unicode MS" w:cstheme="minorHAnsi"/>
            <w:kern w:val="0"/>
            <w:sz w:val="24"/>
            <w:szCs w:val="24"/>
            <w:bdr w:val="nil"/>
            <w:lang w:eastAsia="en-GB"/>
            <w14:ligatures w14:val="none"/>
          </w:rPr>
          <w:t>https://www.telegraph.co.uk/news/worldnews/europe/slovakia/1333225/Three-men-held-in-Slovakia-over-IRA-gunrunning.html?msockid=2613ffdefc1f6c41296aeb61fdff6d5a</w:t>
        </w:r>
      </w:hyperlink>
      <w:r w:rsidR="001B5FAD">
        <w:rPr>
          <w:rFonts w:eastAsia="Arial Unicode MS" w:cstheme="minorHAnsi"/>
          <w:color w:val="000000"/>
          <w:kern w:val="0"/>
          <w:sz w:val="24"/>
          <w:szCs w:val="24"/>
          <w:bdr w:val="nil"/>
          <w:lang w:eastAsia="en-GB"/>
          <w14:ligatures w14:val="none"/>
        </w:rPr>
        <w:t xml:space="preserve"> </w:t>
      </w:r>
    </w:p>
    <w:p w14:paraId="2A58CA7D" w14:textId="77777777" w:rsidR="00F61CDD" w:rsidRPr="00DC38D5" w:rsidRDefault="00F61CDD" w:rsidP="00F61CDD">
      <w:pPr>
        <w:rPr>
          <w:rFonts w:eastAsia="Arial Unicode MS" w:cstheme="minorHAnsi"/>
          <w:color w:val="000000"/>
          <w:kern w:val="0"/>
          <w:sz w:val="24"/>
          <w:szCs w:val="24"/>
          <w:bdr w:val="nil"/>
          <w:lang w:eastAsia="en-GB"/>
          <w14:ligatures w14:val="none"/>
        </w:rPr>
      </w:pPr>
      <w:r w:rsidRPr="00DC38D5">
        <w:rPr>
          <w:rFonts w:eastAsia="Arial Unicode MS" w:cstheme="minorHAnsi"/>
          <w:color w:val="000000"/>
          <w:kern w:val="0"/>
          <w:sz w:val="24"/>
          <w:szCs w:val="24"/>
          <w:bdr w:val="nil"/>
          <w:lang w:eastAsia="en-GB"/>
          <w14:ligatures w14:val="none"/>
        </w:rPr>
        <w:t xml:space="preserve">EMCDDA and EUROPOL, Apr 05, 2016. 2016 EU Drug Markets Report: In-depth Analysis. Available: </w:t>
      </w:r>
      <w:r w:rsidRPr="001B5FAD">
        <w:rPr>
          <w:rStyle w:val="Hyperlink"/>
          <w:lang w:eastAsia="en-GB"/>
        </w:rPr>
        <w:t>https://www.emcdda.europa.eu/publications/joint-publications/eu-drug-markets-2016-in-depth-analysis_en [18/04/24].</w:t>
      </w:r>
    </w:p>
    <w:p w14:paraId="2B5CD47C" w14:textId="04AA408E" w:rsidR="00F61CDD" w:rsidRPr="00DC38D5" w:rsidRDefault="00F61CDD" w:rsidP="00F61CDD">
      <w:pPr>
        <w:rPr>
          <w:rFonts w:eastAsia="Arial Unicode MS" w:cstheme="minorHAnsi"/>
          <w:color w:val="000000"/>
          <w:kern w:val="0"/>
          <w:sz w:val="24"/>
          <w:szCs w:val="24"/>
          <w:bdr w:val="nil"/>
          <w:lang w:eastAsia="en-GB"/>
          <w14:ligatures w14:val="none"/>
        </w:rPr>
      </w:pPr>
      <w:r w:rsidRPr="00DC38D5">
        <w:rPr>
          <w:rFonts w:eastAsia="Arial Unicode MS" w:cstheme="minorHAnsi"/>
          <w:color w:val="000000"/>
          <w:kern w:val="0"/>
          <w:sz w:val="24"/>
          <w:szCs w:val="24"/>
          <w:bdr w:val="nil"/>
          <w:lang w:eastAsia="en-GB"/>
          <w14:ligatures w14:val="none"/>
        </w:rPr>
        <w:t>EUROPEAN COUNCIL, Mar 21, 2024. The EU's response to terrorism [</w:t>
      </w:r>
      <w:r w:rsidR="001B5FAD">
        <w:rPr>
          <w:rFonts w:eastAsia="Arial Unicode MS" w:cstheme="minorHAnsi"/>
          <w:color w:val="000000"/>
          <w:kern w:val="0"/>
          <w:sz w:val="24"/>
          <w:szCs w:val="24"/>
          <w:bdr w:val="nil"/>
          <w:lang w:eastAsia="en-GB"/>
          <w14:ligatures w14:val="none"/>
        </w:rPr>
        <w:t xml:space="preserve">Accessed: </w:t>
      </w:r>
      <w:r w:rsidRPr="00DC38D5">
        <w:rPr>
          <w:rFonts w:eastAsia="Arial Unicode MS" w:cstheme="minorHAnsi"/>
          <w:color w:val="000000"/>
          <w:kern w:val="0"/>
          <w:sz w:val="24"/>
          <w:szCs w:val="24"/>
          <w:bdr w:val="nil"/>
          <w:lang w:eastAsia="en-GB"/>
          <w14:ligatures w14:val="none"/>
        </w:rPr>
        <w:t>24/03/2024].</w:t>
      </w:r>
    </w:p>
    <w:p w14:paraId="23505FEE" w14:textId="77777777" w:rsidR="00F61CDD" w:rsidRPr="00DC38D5" w:rsidRDefault="00F61CDD" w:rsidP="00F61CDD">
      <w:pPr>
        <w:rPr>
          <w:rFonts w:eastAsia="Arial Unicode MS" w:cstheme="minorHAnsi"/>
          <w:color w:val="000000"/>
          <w:kern w:val="0"/>
          <w:sz w:val="24"/>
          <w:szCs w:val="24"/>
          <w:bdr w:val="nil"/>
          <w:lang w:eastAsia="en-GB"/>
          <w14:ligatures w14:val="none"/>
        </w:rPr>
      </w:pPr>
      <w:r w:rsidRPr="00DC38D5">
        <w:rPr>
          <w:rFonts w:eastAsia="Arial Unicode MS" w:cstheme="minorHAnsi"/>
          <w:color w:val="000000"/>
          <w:kern w:val="0"/>
          <w:sz w:val="24"/>
          <w:szCs w:val="24"/>
          <w:bdr w:val="nil"/>
          <w:lang w:eastAsia="en-GB"/>
          <w14:ligatures w14:val="none"/>
        </w:rPr>
        <w:t>FATF, 2012. Illicit Tobacco Trade. Worldwide: OECD/FATF.</w:t>
      </w:r>
    </w:p>
    <w:p w14:paraId="5D7D00DB" w14:textId="77777777" w:rsidR="00F61CDD" w:rsidRPr="00DC38D5" w:rsidRDefault="00F61CDD" w:rsidP="00F61CDD">
      <w:pPr>
        <w:rPr>
          <w:rFonts w:eastAsia="Arial Unicode MS" w:cstheme="minorHAnsi"/>
          <w:color w:val="000000"/>
          <w:kern w:val="0"/>
          <w:sz w:val="24"/>
          <w:szCs w:val="24"/>
          <w:bdr w:val="nil"/>
          <w:lang w:eastAsia="en-GB"/>
          <w14:ligatures w14:val="none"/>
        </w:rPr>
      </w:pPr>
      <w:r w:rsidRPr="00DC38D5">
        <w:rPr>
          <w:rFonts w:eastAsia="Arial Unicode MS" w:cstheme="minorHAnsi"/>
          <w:color w:val="000000"/>
          <w:kern w:val="0"/>
          <w:sz w:val="24"/>
          <w:szCs w:val="24"/>
          <w:bdr w:val="nil"/>
          <w:lang w:eastAsia="en-GB"/>
          <w14:ligatures w14:val="none"/>
        </w:rPr>
        <w:t xml:space="preserve">HOME OFFICE, Sep 15, 2023. FACTSHEET: Proscription. Available: </w:t>
      </w:r>
      <w:r w:rsidRPr="001B5FAD">
        <w:rPr>
          <w:rStyle w:val="Hyperlink"/>
          <w:lang w:eastAsia="en-GB"/>
        </w:rPr>
        <w:t>https://homeofficemedia.blog.gov.uk/2023/09/15/factsheet-proscription/.</w:t>
      </w:r>
    </w:p>
    <w:p w14:paraId="1F96B1C5" w14:textId="77777777" w:rsidR="00F61CDD" w:rsidRPr="00DC38D5" w:rsidRDefault="00F61CDD" w:rsidP="00F61CDD">
      <w:pPr>
        <w:rPr>
          <w:rFonts w:eastAsia="Arial Unicode MS" w:cstheme="minorHAnsi"/>
          <w:color w:val="000000"/>
          <w:kern w:val="0"/>
          <w:sz w:val="24"/>
          <w:szCs w:val="24"/>
          <w:bdr w:val="nil"/>
          <w:lang w:eastAsia="en-GB"/>
          <w14:ligatures w14:val="none"/>
        </w:rPr>
      </w:pPr>
      <w:r w:rsidRPr="00DC38D5">
        <w:rPr>
          <w:rFonts w:eastAsia="Arial Unicode MS" w:cstheme="minorHAnsi"/>
          <w:color w:val="000000"/>
          <w:kern w:val="0"/>
          <w:sz w:val="24"/>
          <w:szCs w:val="24"/>
          <w:bdr w:val="nil"/>
          <w:lang w:eastAsia="en-GB"/>
          <w14:ligatures w14:val="none"/>
        </w:rPr>
        <w:t>HOME OFFICE, 2006. Contest: The Government’s Strategy for Countering Terrorism.</w:t>
      </w:r>
    </w:p>
    <w:p w14:paraId="732E8EBB" w14:textId="6664B786" w:rsidR="00F61CDD" w:rsidRPr="00DC38D5" w:rsidRDefault="00F61CDD" w:rsidP="00F61CDD">
      <w:pPr>
        <w:rPr>
          <w:rFonts w:eastAsia="Arial Unicode MS" w:cstheme="minorHAnsi"/>
          <w:color w:val="000000"/>
          <w:kern w:val="0"/>
          <w:sz w:val="24"/>
          <w:szCs w:val="24"/>
          <w:bdr w:val="nil"/>
          <w:lang w:eastAsia="en-GB"/>
          <w14:ligatures w14:val="none"/>
        </w:rPr>
      </w:pPr>
      <w:r w:rsidRPr="00DC38D5">
        <w:rPr>
          <w:rFonts w:eastAsia="Arial Unicode MS" w:cstheme="minorHAnsi"/>
          <w:color w:val="000000"/>
          <w:kern w:val="0"/>
          <w:sz w:val="24"/>
          <w:szCs w:val="24"/>
          <w:bdr w:val="nil"/>
          <w:lang w:eastAsia="en-GB"/>
          <w14:ligatures w14:val="none"/>
        </w:rPr>
        <w:lastRenderedPageBreak/>
        <w:t xml:space="preserve">HOUSE OF COMMONS, 2014. Tobacco smuggling - Home Affairs Committee. Available: </w:t>
      </w:r>
      <w:r w:rsidRPr="001B5FAD">
        <w:rPr>
          <w:rStyle w:val="Hyperlink"/>
          <w:lang w:eastAsia="en-GB"/>
        </w:rPr>
        <w:t>https://publications.parliament.uk/pa/cm201415/cmselect/cmhaff/200/20004.htm</w:t>
      </w:r>
      <w:r w:rsidRPr="00DC38D5">
        <w:rPr>
          <w:rFonts w:eastAsia="Arial Unicode MS" w:cstheme="minorHAnsi"/>
          <w:color w:val="000000"/>
          <w:kern w:val="0"/>
          <w:sz w:val="24"/>
          <w:szCs w:val="24"/>
          <w:bdr w:val="nil"/>
          <w:lang w:eastAsia="en-GB"/>
          <w14:ligatures w14:val="none"/>
        </w:rPr>
        <w:t xml:space="preserve"> [</w:t>
      </w:r>
      <w:r w:rsidR="001B5FAD">
        <w:rPr>
          <w:rFonts w:eastAsia="Arial Unicode MS" w:cstheme="minorHAnsi"/>
          <w:color w:val="000000"/>
          <w:kern w:val="0"/>
          <w:sz w:val="24"/>
          <w:szCs w:val="24"/>
          <w:bdr w:val="nil"/>
          <w:lang w:eastAsia="en-GB"/>
          <w14:ligatures w14:val="none"/>
        </w:rPr>
        <w:t xml:space="preserve">Accessed: </w:t>
      </w:r>
      <w:r w:rsidRPr="00DC38D5">
        <w:rPr>
          <w:rFonts w:eastAsia="Arial Unicode MS" w:cstheme="minorHAnsi"/>
          <w:color w:val="000000"/>
          <w:kern w:val="0"/>
          <w:sz w:val="24"/>
          <w:szCs w:val="24"/>
          <w:bdr w:val="nil"/>
          <w:lang w:eastAsia="en-GB"/>
          <w14:ligatures w14:val="none"/>
        </w:rPr>
        <w:t>18/04/24].</w:t>
      </w:r>
    </w:p>
    <w:p w14:paraId="5C2696AA" w14:textId="3E338F9F" w:rsidR="00F61CDD" w:rsidRPr="00DC38D5" w:rsidRDefault="00F61CDD" w:rsidP="00F61CDD">
      <w:pPr>
        <w:rPr>
          <w:rFonts w:eastAsia="Arial Unicode MS" w:cstheme="minorHAnsi"/>
          <w:color w:val="000000"/>
          <w:kern w:val="0"/>
          <w:sz w:val="24"/>
          <w:szCs w:val="24"/>
          <w:bdr w:val="nil"/>
          <w:lang w:eastAsia="en-GB"/>
          <w14:ligatures w14:val="none"/>
        </w:rPr>
      </w:pPr>
      <w:r w:rsidRPr="00DC38D5">
        <w:rPr>
          <w:rFonts w:eastAsia="Arial Unicode MS" w:cstheme="minorHAnsi"/>
          <w:color w:val="000000"/>
          <w:kern w:val="0"/>
          <w:sz w:val="24"/>
          <w:szCs w:val="24"/>
          <w:bdr w:val="nil"/>
          <w:lang w:eastAsia="en-GB"/>
          <w14:ligatures w14:val="none"/>
        </w:rPr>
        <w:t>HOUSE OF COMMONS, 2006. Select Committee on Northern Ireland Affairs Third Report. Available:</w:t>
      </w:r>
      <w:r w:rsidR="001B5FAD">
        <w:rPr>
          <w:rFonts w:eastAsia="Arial Unicode MS" w:cstheme="minorHAnsi"/>
          <w:color w:val="000000"/>
          <w:kern w:val="0"/>
          <w:sz w:val="24"/>
          <w:szCs w:val="24"/>
          <w:bdr w:val="nil"/>
          <w:lang w:eastAsia="en-GB"/>
          <w14:ligatures w14:val="none"/>
        </w:rPr>
        <w:t xml:space="preserve"> </w:t>
      </w:r>
      <w:r w:rsidRPr="001B5FAD">
        <w:rPr>
          <w:rStyle w:val="Hyperlink"/>
          <w:lang w:eastAsia="en-GB"/>
        </w:rPr>
        <w:t>https://publications.parliament.uk/pa/cm200506/cmselect/cmniaf/886/88605.htm</w:t>
      </w:r>
      <w:r w:rsidRPr="00DC38D5">
        <w:rPr>
          <w:rFonts w:eastAsia="Arial Unicode MS" w:cstheme="minorHAnsi"/>
          <w:color w:val="000000"/>
          <w:kern w:val="0"/>
          <w:sz w:val="24"/>
          <w:szCs w:val="24"/>
          <w:bdr w:val="nil"/>
          <w:lang w:eastAsia="en-GB"/>
          <w14:ligatures w14:val="none"/>
        </w:rPr>
        <w:t xml:space="preserve"> [</w:t>
      </w:r>
      <w:r w:rsidR="001B5FAD">
        <w:rPr>
          <w:rFonts w:eastAsia="Arial Unicode MS" w:cstheme="minorHAnsi"/>
          <w:color w:val="000000"/>
          <w:kern w:val="0"/>
          <w:sz w:val="24"/>
          <w:szCs w:val="24"/>
          <w:bdr w:val="nil"/>
          <w:lang w:eastAsia="en-GB"/>
          <w14:ligatures w14:val="none"/>
        </w:rPr>
        <w:t xml:space="preserve">Accessed: </w:t>
      </w:r>
      <w:r w:rsidRPr="00DC38D5">
        <w:rPr>
          <w:rFonts w:eastAsia="Arial Unicode MS" w:cstheme="minorHAnsi"/>
          <w:color w:val="000000"/>
          <w:kern w:val="0"/>
          <w:sz w:val="24"/>
          <w:szCs w:val="24"/>
          <w:bdr w:val="nil"/>
          <w:lang w:eastAsia="en-GB"/>
          <w14:ligatures w14:val="none"/>
        </w:rPr>
        <w:t>18/04/24].</w:t>
      </w:r>
    </w:p>
    <w:p w14:paraId="4F6EE5FA" w14:textId="77777777" w:rsidR="00F61CDD" w:rsidRPr="00DC38D5" w:rsidRDefault="00F61CDD" w:rsidP="00F61CDD">
      <w:pPr>
        <w:rPr>
          <w:rFonts w:eastAsia="Arial Unicode MS" w:cstheme="minorHAnsi"/>
          <w:color w:val="000000"/>
          <w:kern w:val="0"/>
          <w:sz w:val="24"/>
          <w:szCs w:val="24"/>
          <w:bdr w:val="nil"/>
          <w:lang w:eastAsia="en-GB"/>
          <w14:ligatures w14:val="none"/>
        </w:rPr>
      </w:pPr>
      <w:r w:rsidRPr="00DC38D5">
        <w:rPr>
          <w:rFonts w:eastAsia="Arial Unicode MS" w:cstheme="minorHAnsi"/>
          <w:color w:val="000000"/>
          <w:kern w:val="0"/>
          <w:sz w:val="24"/>
          <w:szCs w:val="24"/>
          <w:bdr w:val="nil"/>
          <w:lang w:eastAsia="en-GB"/>
          <w14:ligatures w14:val="none"/>
        </w:rPr>
        <w:t>JUPP, J. and GARROD, M., 2019. Legacies of the Troubles: The Links between Organized Crime and Terrorism in Northern Ireland. Studies in Conflict &amp; Terrorism, 45(5-6), pp. 389–428.</w:t>
      </w:r>
    </w:p>
    <w:p w14:paraId="6C798913" w14:textId="76E481E1" w:rsidR="00F61CDD" w:rsidRPr="001B5FAD" w:rsidRDefault="00F61CDD" w:rsidP="00F61CDD">
      <w:pPr>
        <w:rPr>
          <w:rStyle w:val="Hyperlink"/>
          <w:lang w:eastAsia="en-GB"/>
        </w:rPr>
      </w:pPr>
      <w:r w:rsidRPr="00DC38D5">
        <w:rPr>
          <w:rFonts w:eastAsia="Arial Unicode MS" w:cstheme="minorHAnsi"/>
          <w:color w:val="000000"/>
          <w:kern w:val="0"/>
          <w:sz w:val="24"/>
          <w:szCs w:val="24"/>
          <w:bdr w:val="nil"/>
          <w:lang w:eastAsia="en-GB"/>
          <w14:ligatures w14:val="none"/>
        </w:rPr>
        <w:t xml:space="preserve">KEARNEY, V., Sep 27, 2017. New taskforce to tackle paramilitaries. Available: </w:t>
      </w:r>
      <w:hyperlink r:id="rId10" w:history="1">
        <w:r w:rsidR="001B5FAD" w:rsidRPr="00626DBD">
          <w:rPr>
            <w:rStyle w:val="Hyperlink"/>
            <w:lang w:eastAsia="en-GB"/>
          </w:rPr>
          <w:t>https://www.bbc.co.uk/news/uk-northern-ireland-41407322</w:t>
        </w:r>
      </w:hyperlink>
      <w:r w:rsidRPr="001B5FAD">
        <w:rPr>
          <w:rStyle w:val="Hyperlink"/>
          <w:lang w:eastAsia="en-GB"/>
        </w:rPr>
        <w:t>.</w:t>
      </w:r>
      <w:r w:rsidR="001B5FAD">
        <w:rPr>
          <w:rStyle w:val="Hyperlink"/>
          <w:lang w:eastAsia="en-GB"/>
        </w:rPr>
        <w:t xml:space="preserve"> </w:t>
      </w:r>
      <w:r w:rsidR="001B5FAD" w:rsidRPr="00DC38D5">
        <w:rPr>
          <w:rFonts w:eastAsia="Arial Unicode MS" w:cstheme="minorHAnsi"/>
          <w:color w:val="000000"/>
          <w:kern w:val="0"/>
          <w:sz w:val="24"/>
          <w:szCs w:val="24"/>
          <w:bdr w:val="nil"/>
          <w:lang w:eastAsia="en-GB"/>
          <w14:ligatures w14:val="none"/>
        </w:rPr>
        <w:t>[</w:t>
      </w:r>
      <w:r w:rsidR="001B5FAD">
        <w:rPr>
          <w:rFonts w:eastAsia="Arial Unicode MS" w:cstheme="minorHAnsi"/>
          <w:color w:val="000000"/>
          <w:kern w:val="0"/>
          <w:sz w:val="24"/>
          <w:szCs w:val="24"/>
          <w:bdr w:val="nil"/>
          <w:lang w:eastAsia="en-GB"/>
          <w14:ligatures w14:val="none"/>
        </w:rPr>
        <w:t xml:space="preserve">Accessed: </w:t>
      </w:r>
      <w:r w:rsidR="001B5FAD" w:rsidRPr="00DC38D5">
        <w:rPr>
          <w:rFonts w:eastAsia="Arial Unicode MS" w:cstheme="minorHAnsi"/>
          <w:color w:val="000000"/>
          <w:kern w:val="0"/>
          <w:sz w:val="24"/>
          <w:szCs w:val="24"/>
          <w:bdr w:val="nil"/>
          <w:lang w:eastAsia="en-GB"/>
          <w14:ligatures w14:val="none"/>
        </w:rPr>
        <w:t>18/04/24].</w:t>
      </w:r>
    </w:p>
    <w:p w14:paraId="0D8C9544" w14:textId="59D5AF68" w:rsidR="00F61CDD" w:rsidRPr="001B5FAD" w:rsidRDefault="00F61CDD" w:rsidP="00F61CDD">
      <w:pPr>
        <w:rPr>
          <w:rStyle w:val="Hyperlink"/>
          <w:lang w:eastAsia="en-GB"/>
        </w:rPr>
      </w:pPr>
      <w:r w:rsidRPr="00DC38D5">
        <w:rPr>
          <w:rFonts w:eastAsia="Arial Unicode MS" w:cstheme="minorHAnsi"/>
          <w:color w:val="000000"/>
          <w:kern w:val="0"/>
          <w:sz w:val="24"/>
          <w:szCs w:val="24"/>
          <w:bdr w:val="nil"/>
          <w:lang w:eastAsia="en-GB"/>
          <w14:ligatures w14:val="none"/>
        </w:rPr>
        <w:t xml:space="preserve">MAKARENKO, T., Oct 15, 2012. Europe's Crime-Terror Nexus: Links between Terrorist and Organised Crime Groups in the European Union. Available: </w:t>
      </w:r>
      <w:hyperlink r:id="rId11" w:history="1">
        <w:r w:rsidR="001B5FAD" w:rsidRPr="00626DBD">
          <w:rPr>
            <w:rStyle w:val="Hyperlink"/>
            <w:lang w:eastAsia="en-GB"/>
          </w:rPr>
          <w:t>https://www.europarl.europa.eu/thinktank/ga/document/IPOL-LIBE_ET(2012)462503</w:t>
        </w:r>
      </w:hyperlink>
      <w:r w:rsidRPr="001B5FAD">
        <w:rPr>
          <w:rStyle w:val="Hyperlink"/>
          <w:lang w:eastAsia="en-GB"/>
        </w:rPr>
        <w:t>.</w:t>
      </w:r>
      <w:r w:rsidR="001B5FAD">
        <w:rPr>
          <w:rStyle w:val="Hyperlink"/>
          <w:lang w:eastAsia="en-GB"/>
        </w:rPr>
        <w:t xml:space="preserve"> </w:t>
      </w:r>
      <w:r w:rsidR="001B5FAD" w:rsidRPr="00DC38D5">
        <w:rPr>
          <w:rFonts w:eastAsia="Arial Unicode MS" w:cstheme="minorHAnsi"/>
          <w:color w:val="000000"/>
          <w:kern w:val="0"/>
          <w:sz w:val="24"/>
          <w:szCs w:val="24"/>
          <w:bdr w:val="nil"/>
          <w:lang w:eastAsia="en-GB"/>
          <w14:ligatures w14:val="none"/>
        </w:rPr>
        <w:t>[</w:t>
      </w:r>
      <w:r w:rsidR="001B5FAD">
        <w:rPr>
          <w:rFonts w:eastAsia="Arial Unicode MS" w:cstheme="minorHAnsi"/>
          <w:color w:val="000000"/>
          <w:kern w:val="0"/>
          <w:sz w:val="24"/>
          <w:szCs w:val="24"/>
          <w:bdr w:val="nil"/>
          <w:lang w:eastAsia="en-GB"/>
          <w14:ligatures w14:val="none"/>
        </w:rPr>
        <w:t xml:space="preserve">Accessed: </w:t>
      </w:r>
      <w:r w:rsidR="001B5FAD" w:rsidRPr="00DC38D5">
        <w:rPr>
          <w:rFonts w:eastAsia="Arial Unicode MS" w:cstheme="minorHAnsi"/>
          <w:color w:val="000000"/>
          <w:kern w:val="0"/>
          <w:sz w:val="24"/>
          <w:szCs w:val="24"/>
          <w:bdr w:val="nil"/>
          <w:lang w:eastAsia="en-GB"/>
          <w14:ligatures w14:val="none"/>
        </w:rPr>
        <w:t>18/04/24].</w:t>
      </w:r>
    </w:p>
    <w:p w14:paraId="654712D0" w14:textId="77777777" w:rsidR="00F61CDD" w:rsidRPr="00DC38D5" w:rsidRDefault="00F61CDD" w:rsidP="00F61CDD">
      <w:pPr>
        <w:rPr>
          <w:rFonts w:eastAsia="Arial Unicode MS" w:cstheme="minorHAnsi"/>
          <w:color w:val="000000"/>
          <w:kern w:val="0"/>
          <w:sz w:val="24"/>
          <w:szCs w:val="24"/>
          <w:bdr w:val="nil"/>
          <w:lang w:eastAsia="en-GB"/>
          <w14:ligatures w14:val="none"/>
        </w:rPr>
      </w:pPr>
      <w:r w:rsidRPr="00DC38D5">
        <w:rPr>
          <w:rFonts w:eastAsia="Arial Unicode MS" w:cstheme="minorHAnsi"/>
          <w:color w:val="000000"/>
          <w:kern w:val="0"/>
          <w:sz w:val="24"/>
          <w:szCs w:val="24"/>
          <w:bdr w:val="nil"/>
          <w:lang w:eastAsia="en-GB"/>
          <w14:ligatures w14:val="none"/>
        </w:rPr>
        <w:t>PUTTONEN, R. and ROMITI, F., 2022. Full article: The Linkages between Organized Crime and Terrorism. Studies in Conflict &amp; Terrorism, 45(5-6), pp. 331–334.</w:t>
      </w:r>
    </w:p>
    <w:p w14:paraId="72A9AFD8" w14:textId="77777777" w:rsidR="00F61CDD" w:rsidRPr="00DC38D5" w:rsidRDefault="00F61CDD" w:rsidP="00F61CDD">
      <w:pPr>
        <w:rPr>
          <w:rFonts w:eastAsia="Arial Unicode MS" w:cstheme="minorHAnsi"/>
          <w:color w:val="000000"/>
          <w:kern w:val="0"/>
          <w:sz w:val="24"/>
          <w:szCs w:val="24"/>
          <w:bdr w:val="nil"/>
          <w:lang w:eastAsia="en-GB"/>
          <w14:ligatures w14:val="none"/>
        </w:rPr>
      </w:pPr>
      <w:r w:rsidRPr="00DC38D5">
        <w:rPr>
          <w:rFonts w:eastAsia="Arial Unicode MS" w:cstheme="minorHAnsi"/>
          <w:color w:val="000000"/>
          <w:kern w:val="0"/>
          <w:sz w:val="24"/>
          <w:szCs w:val="24"/>
          <w:bdr w:val="nil"/>
          <w:lang w:eastAsia="en-GB"/>
          <w14:ligatures w14:val="none"/>
        </w:rPr>
        <w:t xml:space="preserve">SILKE, A., 2010. Drink, Drugs, and </w:t>
      </w:r>
      <w:proofErr w:type="spellStart"/>
      <w:r w:rsidRPr="00DC38D5">
        <w:rPr>
          <w:rFonts w:eastAsia="Arial Unicode MS" w:cstheme="minorHAnsi"/>
          <w:color w:val="000000"/>
          <w:kern w:val="0"/>
          <w:sz w:val="24"/>
          <w:szCs w:val="24"/>
          <w:bdr w:val="nil"/>
          <w:lang w:eastAsia="en-GB"/>
          <w14:ligatures w14:val="none"/>
        </w:rPr>
        <w:t>Rock'n'Roll</w:t>
      </w:r>
      <w:proofErr w:type="spellEnd"/>
      <w:r w:rsidRPr="00DC38D5">
        <w:rPr>
          <w:rFonts w:eastAsia="Arial Unicode MS" w:cstheme="minorHAnsi"/>
          <w:color w:val="000000"/>
          <w:kern w:val="0"/>
          <w:sz w:val="24"/>
          <w:szCs w:val="24"/>
          <w:bdr w:val="nil"/>
          <w:lang w:eastAsia="en-GB"/>
          <w14:ligatures w14:val="none"/>
        </w:rPr>
        <w:t>: Financing Loyalist Terrorism in Northern Ireland — Part Two: Studies in Conflict &amp; Terrorism, 23(2), pp. 1.</w:t>
      </w:r>
    </w:p>
    <w:p w14:paraId="72CBDC17" w14:textId="77777777" w:rsidR="00F61CDD" w:rsidRPr="00DC38D5" w:rsidRDefault="00F61CDD" w:rsidP="00F61CDD">
      <w:pPr>
        <w:rPr>
          <w:rFonts w:eastAsia="Arial Unicode MS" w:cstheme="minorHAnsi"/>
          <w:color w:val="000000"/>
          <w:kern w:val="0"/>
          <w:sz w:val="24"/>
          <w:szCs w:val="24"/>
          <w:bdr w:val="nil"/>
          <w:lang w:eastAsia="en-GB"/>
          <w14:ligatures w14:val="none"/>
        </w:rPr>
      </w:pPr>
      <w:r w:rsidRPr="00DC38D5">
        <w:rPr>
          <w:rFonts w:eastAsia="Arial Unicode MS" w:cstheme="minorHAnsi"/>
          <w:color w:val="000000"/>
          <w:kern w:val="0"/>
          <w:sz w:val="24"/>
          <w:szCs w:val="24"/>
          <w:bdr w:val="nil"/>
          <w:lang w:eastAsia="en-GB"/>
          <w14:ligatures w14:val="none"/>
        </w:rPr>
        <w:t>THOMAS, G., 2016. A Case for Local Neighbourhood Policing and Community Intelligence in Counter Terrorism.</w:t>
      </w:r>
    </w:p>
    <w:p w14:paraId="11C74A7B" w14:textId="77777777" w:rsidR="00F61CDD" w:rsidRPr="00DC38D5" w:rsidRDefault="00F61CDD" w:rsidP="00F61CDD">
      <w:pPr>
        <w:rPr>
          <w:rFonts w:eastAsia="Arial Unicode MS" w:cstheme="minorHAnsi"/>
          <w:color w:val="000000"/>
          <w:kern w:val="0"/>
          <w:sz w:val="24"/>
          <w:szCs w:val="24"/>
          <w:bdr w:val="nil"/>
          <w:lang w:eastAsia="en-GB"/>
          <w14:ligatures w14:val="none"/>
        </w:rPr>
      </w:pPr>
      <w:r w:rsidRPr="00DC38D5">
        <w:rPr>
          <w:rFonts w:eastAsia="Arial Unicode MS" w:cstheme="minorHAnsi"/>
          <w:color w:val="000000"/>
          <w:kern w:val="0"/>
          <w:sz w:val="24"/>
          <w:szCs w:val="24"/>
          <w:bdr w:val="nil"/>
          <w:lang w:eastAsia="en-GB"/>
          <w14:ligatures w14:val="none"/>
        </w:rPr>
        <w:t>CHERNEY, A. and HARTLEY, J., 2015. Community engagement to tackle terrorism and violent extremism: challenges, tensions and pitfalls. Policing and Society.</w:t>
      </w:r>
    </w:p>
    <w:p w14:paraId="2581085B" w14:textId="77777777" w:rsidR="00F61CDD" w:rsidRPr="00DC38D5" w:rsidRDefault="00F61CDD" w:rsidP="00F61CDD">
      <w:pPr>
        <w:rPr>
          <w:rFonts w:eastAsia="Arial Unicode MS" w:cstheme="minorHAnsi"/>
          <w:color w:val="000000"/>
          <w:kern w:val="0"/>
          <w:sz w:val="24"/>
          <w:szCs w:val="24"/>
          <w:bdr w:val="nil"/>
          <w:lang w:eastAsia="en-GB"/>
          <w14:ligatures w14:val="none"/>
        </w:rPr>
      </w:pPr>
      <w:r w:rsidRPr="00DC38D5">
        <w:rPr>
          <w:rFonts w:eastAsia="Arial Unicode MS" w:cstheme="minorHAnsi"/>
          <w:color w:val="000000"/>
          <w:kern w:val="0"/>
          <w:sz w:val="24"/>
          <w:szCs w:val="24"/>
          <w:bdr w:val="nil"/>
          <w:lang w:eastAsia="en-GB"/>
          <w14:ligatures w14:val="none"/>
        </w:rPr>
        <w:t>Terrorism Act 2000. 2000. Statute Law Database.</w:t>
      </w:r>
    </w:p>
    <w:p w14:paraId="5EFFE797" w14:textId="622A6353" w:rsidR="00845171" w:rsidRPr="00DC38D5" w:rsidRDefault="00F61CDD" w:rsidP="00F61CDD">
      <w:pPr>
        <w:rPr>
          <w:rFonts w:cstheme="minorHAnsi"/>
          <w:b/>
          <w:bCs/>
          <w:sz w:val="24"/>
          <w:szCs w:val="24"/>
        </w:rPr>
      </w:pPr>
      <w:r w:rsidRPr="00DC38D5">
        <w:rPr>
          <w:rFonts w:eastAsia="Arial Unicode MS" w:cstheme="minorHAnsi"/>
          <w:color w:val="000000"/>
          <w:kern w:val="0"/>
          <w:sz w:val="24"/>
          <w:szCs w:val="24"/>
          <w:bdr w:val="nil"/>
          <w:lang w:eastAsia="en-GB"/>
          <w14:ligatures w14:val="none"/>
        </w:rPr>
        <w:t>UNITED NATIONS CONVENTION AGAINST TRANSNATIONAL ORGANIZED CRIME AND THE PROTOCOLS</w:t>
      </w:r>
    </w:p>
    <w:p w14:paraId="4E35BBCC" w14:textId="5E4D1DC5" w:rsidR="004C22FD" w:rsidRPr="00DC38D5" w:rsidRDefault="004C22FD" w:rsidP="004C22FD">
      <w:pPr>
        <w:jc w:val="center"/>
        <w:rPr>
          <w:rFonts w:cstheme="minorHAnsi"/>
          <w:b/>
          <w:bCs/>
          <w:sz w:val="24"/>
          <w:szCs w:val="24"/>
        </w:rPr>
      </w:pPr>
      <w:r w:rsidRPr="00DC38D5">
        <w:rPr>
          <w:rFonts w:cstheme="minorHAnsi"/>
          <w:b/>
          <w:bCs/>
          <w:sz w:val="24"/>
          <w:szCs w:val="24"/>
        </w:rPr>
        <w:t>***</w:t>
      </w:r>
    </w:p>
    <w:p w14:paraId="1098695E" w14:textId="77777777" w:rsidR="00B373C2" w:rsidRPr="00DC38D5" w:rsidRDefault="00B373C2" w:rsidP="00403FD1">
      <w:pPr>
        <w:rPr>
          <w:rFonts w:cstheme="minorHAnsi"/>
          <w:b/>
          <w:bCs/>
          <w:sz w:val="24"/>
          <w:szCs w:val="24"/>
        </w:rPr>
      </w:pPr>
    </w:p>
    <w:p w14:paraId="02550C0B" w14:textId="4B5B8209" w:rsidR="00403FD1" w:rsidRDefault="00403FD1" w:rsidP="00403FD1">
      <w:pPr>
        <w:rPr>
          <w:rFonts w:cstheme="minorHAnsi"/>
          <w:sz w:val="24"/>
          <w:szCs w:val="24"/>
        </w:rPr>
      </w:pPr>
      <w:r w:rsidRPr="00DC38D5">
        <w:rPr>
          <w:rFonts w:cstheme="minorHAnsi"/>
          <w:b/>
          <w:bCs/>
          <w:sz w:val="24"/>
          <w:szCs w:val="24"/>
        </w:rPr>
        <w:t xml:space="preserve">Essay three: </w:t>
      </w:r>
      <w:r w:rsidRPr="00DC38D5">
        <w:rPr>
          <w:rFonts w:cstheme="minorHAnsi"/>
          <w:sz w:val="24"/>
          <w:szCs w:val="24"/>
        </w:rPr>
        <w:t xml:space="preserve">How might personal attitudes, values and bias impact upon the effective investigation of volume crime? </w:t>
      </w:r>
    </w:p>
    <w:p w14:paraId="2CAB36F5" w14:textId="77777777" w:rsidR="00DC38D5" w:rsidRPr="00DC38D5" w:rsidRDefault="00DC38D5" w:rsidP="00DC38D5">
      <w:pPr>
        <w:rPr>
          <w:rFonts w:cstheme="minorHAnsi"/>
          <w:sz w:val="24"/>
          <w:szCs w:val="24"/>
        </w:rPr>
      </w:pPr>
      <w:r w:rsidRPr="00DC38D5">
        <w:rPr>
          <w:rFonts w:cstheme="minorHAnsi"/>
          <w:sz w:val="24"/>
          <w:szCs w:val="24"/>
        </w:rPr>
        <w:t>Word limit: 1000 words</w:t>
      </w:r>
    </w:p>
    <w:p w14:paraId="1F56729B" w14:textId="77777777" w:rsidR="00A76BF1" w:rsidRPr="00BB2C65" w:rsidRDefault="00A76BF1" w:rsidP="00A76BF1">
      <w:pPr>
        <w:pStyle w:val="Default"/>
        <w:spacing w:after="240" w:line="280" w:lineRule="atLeast"/>
        <w:rPr>
          <w:rFonts w:asciiTheme="minorHAnsi" w:eastAsia="Times" w:hAnsiTheme="minorHAnsi" w:cstheme="minorHAnsi"/>
          <w:sz w:val="24"/>
          <w:szCs w:val="24"/>
          <w:shd w:val="clear" w:color="auto" w:fill="FFFFFF"/>
        </w:rPr>
      </w:pPr>
      <w:bookmarkStart w:id="1" w:name="_Hlk179836190"/>
      <w:r w:rsidRPr="00BB2C65">
        <w:rPr>
          <w:rFonts w:asciiTheme="minorHAnsi" w:hAnsiTheme="minorHAnsi" w:cstheme="minorHAnsi"/>
          <w:sz w:val="24"/>
          <w:szCs w:val="24"/>
          <w:shd w:val="clear" w:color="auto" w:fill="FFFFFF"/>
        </w:rPr>
        <w:t xml:space="preserve">In their model for categorising the likelihood of solving a given investigation, Eck (1993) emphasised that cases with leads requiring investigative work are where police actions significantly influence judicial outcomes. Since a large proportion of volume crimes are detected through information from victims and witnesses, initial contact between the public </w:t>
      </w:r>
      <w:r w:rsidRPr="00BB2C65">
        <w:rPr>
          <w:rFonts w:asciiTheme="minorHAnsi" w:hAnsiTheme="minorHAnsi" w:cstheme="minorHAnsi"/>
          <w:sz w:val="24"/>
          <w:szCs w:val="24"/>
          <w:shd w:val="clear" w:color="auto" w:fill="FFFFFF"/>
        </w:rPr>
        <w:lastRenderedPageBreak/>
        <w:t>and police is crucial, contributing significantly to detections (Jansson, 2005). However, how officers conduct these initial interactions is crucial to the investigative process.</w:t>
      </w:r>
    </w:p>
    <w:p w14:paraId="52775B74" w14:textId="5C2A409B" w:rsidR="00A76BF1" w:rsidRPr="00BB2C65" w:rsidRDefault="00A76BF1" w:rsidP="00A76BF1">
      <w:pPr>
        <w:pStyle w:val="Default"/>
        <w:spacing w:after="240" w:line="280" w:lineRule="atLeast"/>
        <w:rPr>
          <w:rFonts w:asciiTheme="minorHAnsi" w:eastAsia="Times" w:hAnsiTheme="minorHAnsi" w:cstheme="minorHAnsi"/>
          <w:sz w:val="24"/>
          <w:szCs w:val="24"/>
          <w:shd w:val="clear" w:color="auto" w:fill="FFFFFF"/>
        </w:rPr>
      </w:pPr>
      <w:r w:rsidRPr="00BB2C65">
        <w:rPr>
          <w:rFonts w:asciiTheme="minorHAnsi" w:hAnsiTheme="minorHAnsi" w:cstheme="minorHAnsi"/>
          <w:sz w:val="24"/>
          <w:szCs w:val="24"/>
          <w:shd w:val="clear" w:color="auto" w:fill="FFFFFF"/>
        </w:rPr>
        <w:t xml:space="preserve">A recent case highlights how shortfalls in competencies and values can affect an investigation. </w:t>
      </w:r>
      <w:r w:rsidR="00A830D3" w:rsidRPr="00BB2C65">
        <w:rPr>
          <w:rFonts w:asciiTheme="minorHAnsi" w:hAnsiTheme="minorHAnsi" w:cstheme="minorHAnsi"/>
          <w:sz w:val="24"/>
          <w:szCs w:val="24"/>
          <w:shd w:val="clear" w:color="auto" w:fill="FFFFFF"/>
        </w:rPr>
        <w:t>On response, a</w:t>
      </w:r>
      <w:r w:rsidRPr="00BB2C65">
        <w:rPr>
          <w:rFonts w:asciiTheme="minorHAnsi" w:hAnsiTheme="minorHAnsi" w:cstheme="minorHAnsi"/>
          <w:sz w:val="24"/>
          <w:szCs w:val="24"/>
          <w:shd w:val="clear" w:color="auto" w:fill="FFFFFF"/>
        </w:rPr>
        <w:t xml:space="preserve"> call handler misclassified a </w:t>
      </w:r>
      <w:r w:rsidR="00A830D3" w:rsidRPr="00BB2C65">
        <w:rPr>
          <w:rFonts w:asciiTheme="minorHAnsi" w:hAnsiTheme="minorHAnsi" w:cstheme="minorHAnsi"/>
          <w:sz w:val="24"/>
          <w:szCs w:val="24"/>
          <w:shd w:val="clear" w:color="auto" w:fill="FFFFFF"/>
        </w:rPr>
        <w:t>burglary</w:t>
      </w:r>
      <w:r w:rsidRPr="00BB2C65">
        <w:rPr>
          <w:rFonts w:asciiTheme="minorHAnsi" w:hAnsiTheme="minorHAnsi" w:cstheme="minorHAnsi"/>
          <w:sz w:val="24"/>
          <w:szCs w:val="24"/>
          <w:shd w:val="clear" w:color="auto" w:fill="FFFFFF"/>
        </w:rPr>
        <w:t xml:space="preserve"> as a theft, preventing CID from being notified to preserve the scene. As a result, response officers arrived without the necessary evidence collection tools, and crucial evidence degraded before the error was realised. Furthermore,</w:t>
      </w:r>
      <w:r w:rsidR="00A830D3" w:rsidRPr="00BB2C65">
        <w:rPr>
          <w:rFonts w:asciiTheme="minorHAnsi" w:hAnsiTheme="minorHAnsi" w:cstheme="minorHAnsi"/>
          <w:sz w:val="24"/>
          <w:szCs w:val="24"/>
          <w:shd w:val="clear" w:color="auto" w:fill="FFFFFF"/>
        </w:rPr>
        <w:t xml:space="preserve"> as officers were unaware of the full extent of the incident in the first instance,</w:t>
      </w:r>
      <w:r w:rsidRPr="00BB2C65">
        <w:rPr>
          <w:rFonts w:asciiTheme="minorHAnsi" w:hAnsiTheme="minorHAnsi" w:cstheme="minorHAnsi"/>
          <w:sz w:val="24"/>
          <w:szCs w:val="24"/>
          <w:shd w:val="clear" w:color="auto" w:fill="FFFFFF"/>
        </w:rPr>
        <w:t xml:space="preserve"> </w:t>
      </w:r>
      <w:r w:rsidR="00A830D3" w:rsidRPr="00BB2C65">
        <w:rPr>
          <w:rFonts w:asciiTheme="minorHAnsi" w:hAnsiTheme="minorHAnsi" w:cstheme="minorHAnsi"/>
          <w:sz w:val="24"/>
          <w:szCs w:val="24"/>
          <w:shd w:val="clear" w:color="auto" w:fill="FFFFFF"/>
        </w:rPr>
        <w:t>they</w:t>
      </w:r>
      <w:r w:rsidRPr="00BB2C65">
        <w:rPr>
          <w:rFonts w:asciiTheme="minorHAnsi" w:hAnsiTheme="minorHAnsi" w:cstheme="minorHAnsi"/>
          <w:sz w:val="24"/>
          <w:szCs w:val="24"/>
          <w:shd w:val="clear" w:color="auto" w:fill="FFFFFF"/>
        </w:rPr>
        <w:t xml:space="preserve"> failed to show appropriate empathy</w:t>
      </w:r>
      <w:r w:rsidR="00A830D3" w:rsidRPr="00BB2C65">
        <w:rPr>
          <w:rFonts w:asciiTheme="minorHAnsi" w:hAnsiTheme="minorHAnsi" w:cstheme="minorHAnsi"/>
          <w:sz w:val="24"/>
          <w:szCs w:val="24"/>
          <w:shd w:val="clear" w:color="auto" w:fill="FFFFFF"/>
        </w:rPr>
        <w:t xml:space="preserve"> when making a first impression, </w:t>
      </w:r>
      <w:r w:rsidRPr="00BB2C65">
        <w:rPr>
          <w:rFonts w:asciiTheme="minorHAnsi" w:hAnsiTheme="minorHAnsi" w:cstheme="minorHAnsi"/>
          <w:sz w:val="24"/>
          <w:szCs w:val="24"/>
          <w:shd w:val="clear" w:color="auto" w:fill="FFFFFF"/>
        </w:rPr>
        <w:t>causing the victim to withdraw support. This example illustrates how a lack of objectivity and critical thinking can lead to cascading failures.</w:t>
      </w:r>
    </w:p>
    <w:p w14:paraId="47FC655B" w14:textId="77777777" w:rsidR="00A76BF1" w:rsidRPr="00BB2C65" w:rsidRDefault="00A76BF1" w:rsidP="00A76BF1">
      <w:pPr>
        <w:pStyle w:val="Default"/>
        <w:spacing w:after="240" w:line="280" w:lineRule="atLeast"/>
        <w:rPr>
          <w:rFonts w:asciiTheme="minorHAnsi" w:eastAsia="Times" w:hAnsiTheme="minorHAnsi" w:cstheme="minorHAnsi"/>
          <w:sz w:val="24"/>
          <w:szCs w:val="24"/>
          <w:shd w:val="clear" w:color="auto" w:fill="FFFFFF"/>
        </w:rPr>
      </w:pPr>
      <w:r w:rsidRPr="00BB2C65">
        <w:rPr>
          <w:rFonts w:asciiTheme="minorHAnsi" w:hAnsiTheme="minorHAnsi" w:cstheme="minorHAnsi"/>
          <w:sz w:val="24"/>
          <w:szCs w:val="24"/>
          <w:shd w:val="clear" w:color="auto" w:fill="FFFFFF"/>
        </w:rPr>
        <w:t>Investigating volume crime—offences such as burglary, theft, and criminal damage—is a core function of police work. However, the success of these investigations depends not just on procedural knowledge but also on personal attitudes, values, and biases, which affect resource allocation and interactions with the public. This essay explores how these personal factors influence the investigation of volume crimes, using academic research and recent policing examples.</w:t>
      </w:r>
    </w:p>
    <w:p w14:paraId="38C92355" w14:textId="77777777" w:rsidR="00A76BF1" w:rsidRPr="00BB2C65" w:rsidRDefault="00A76BF1" w:rsidP="00A76BF1">
      <w:pPr>
        <w:pStyle w:val="Default"/>
        <w:spacing w:after="240" w:line="280" w:lineRule="atLeast"/>
        <w:rPr>
          <w:rFonts w:asciiTheme="minorHAnsi" w:eastAsia="Times" w:hAnsiTheme="minorHAnsi" w:cstheme="minorHAnsi"/>
          <w:sz w:val="24"/>
          <w:szCs w:val="24"/>
          <w:shd w:val="clear" w:color="auto" w:fill="FFFFFF"/>
        </w:rPr>
      </w:pPr>
      <w:r w:rsidRPr="00BB2C65">
        <w:rPr>
          <w:rFonts w:asciiTheme="minorHAnsi" w:hAnsiTheme="minorHAnsi" w:cstheme="minorHAnsi"/>
          <w:sz w:val="24"/>
          <w:szCs w:val="24"/>
          <w:shd w:val="clear" w:color="auto" w:fill="FFFFFF"/>
        </w:rPr>
        <w:t>Personal attitudes, defined as officers' predispositions toward situations and communities, play a pivotal role in crime response. Officers with positive attitudes toward community policing are more likely to foster cooperation from the public, which is essential for solving volume crimes (Harrison et al., 2022). Tilley et al. (2009) highlighted that officers who actively engage with the community and build trust are 30% more successful in resolving cases compared to those who maintain distant relations with the public.</w:t>
      </w:r>
    </w:p>
    <w:p w14:paraId="175D5477" w14:textId="77777777" w:rsidR="00A76BF1" w:rsidRPr="00BB2C65" w:rsidRDefault="00A76BF1" w:rsidP="00A76BF1">
      <w:pPr>
        <w:pStyle w:val="Default"/>
        <w:spacing w:after="240" w:line="280" w:lineRule="atLeast"/>
        <w:rPr>
          <w:rFonts w:asciiTheme="minorHAnsi" w:eastAsia="Times" w:hAnsiTheme="minorHAnsi" w:cstheme="minorHAnsi"/>
          <w:sz w:val="24"/>
          <w:szCs w:val="24"/>
          <w:shd w:val="clear" w:color="auto" w:fill="FFFFFF"/>
        </w:rPr>
      </w:pPr>
      <w:r w:rsidRPr="00BB2C65">
        <w:rPr>
          <w:rFonts w:asciiTheme="minorHAnsi" w:hAnsiTheme="minorHAnsi" w:cstheme="minorHAnsi"/>
          <w:sz w:val="24"/>
          <w:szCs w:val="24"/>
          <w:shd w:val="clear" w:color="auto" w:fill="FFFFFF"/>
        </w:rPr>
        <w:t>Conversely, negative attitudes, such as cynicism or distrust of certain communities, can alienate witnesses and hinder investigations. This has been particularly evident in the treatment of minority groups, where historical and ongoing discrimination have fostered a reluctance to engage with law enforcement. For example, research shows that 46% of individuals from minority communities reported reluctance to report crimes due to fear of discrimination, significantly limiting effective police engagement (Buil-Gil et al., 2021).</w:t>
      </w:r>
    </w:p>
    <w:p w14:paraId="727E11E0" w14:textId="77777777" w:rsidR="00A76BF1" w:rsidRPr="00BB2C65" w:rsidRDefault="00A76BF1" w:rsidP="00A76BF1">
      <w:pPr>
        <w:pStyle w:val="Default"/>
        <w:spacing w:after="240" w:line="280" w:lineRule="atLeast"/>
        <w:rPr>
          <w:rFonts w:asciiTheme="minorHAnsi" w:eastAsia="Times" w:hAnsiTheme="minorHAnsi" w:cstheme="minorHAnsi"/>
          <w:sz w:val="24"/>
          <w:szCs w:val="24"/>
          <w:shd w:val="clear" w:color="auto" w:fill="FFFFFF"/>
        </w:rPr>
      </w:pPr>
      <w:r w:rsidRPr="00BB2C65">
        <w:rPr>
          <w:rFonts w:asciiTheme="minorHAnsi" w:hAnsiTheme="minorHAnsi" w:cstheme="minorHAnsi"/>
          <w:sz w:val="24"/>
          <w:szCs w:val="24"/>
          <w:shd w:val="clear" w:color="auto" w:fill="FFFFFF"/>
        </w:rPr>
        <w:t>Moreover, personal values, which guide beliefs about right and wrong, also shape how officers prioritise cases. Heaton (2007) argues that personal values can sometimes conflict with professional duties, particularly in handling volume crimes, which officers may not see as high-priority cases. Between 1992 and 1999, national crime rates dropped by 20%, but this decline was uneven across forces, with some reporting reductions as high as 37%, while others showed little progress (Heaton, 2007). For example, forces in Manchester achieved significant reductions in property crime, while other areas failed to make notable progress. This variation suggests that personal values and biases, particularly regarding what constitutes a "serious" crime, may influence how thoroughly volume crime cases are investigated.</w:t>
      </w:r>
    </w:p>
    <w:p w14:paraId="6980A480" w14:textId="77777777" w:rsidR="00A76BF1" w:rsidRPr="00BB2C65" w:rsidRDefault="00A76BF1" w:rsidP="00A76BF1">
      <w:pPr>
        <w:pStyle w:val="Default"/>
        <w:spacing w:after="240" w:line="280" w:lineRule="atLeast"/>
        <w:rPr>
          <w:rFonts w:asciiTheme="minorHAnsi" w:eastAsia="Times" w:hAnsiTheme="minorHAnsi" w:cstheme="minorHAnsi"/>
          <w:sz w:val="24"/>
          <w:szCs w:val="24"/>
          <w:shd w:val="clear" w:color="auto" w:fill="FFFFFF"/>
        </w:rPr>
      </w:pPr>
      <w:r w:rsidRPr="00BB2C65">
        <w:rPr>
          <w:rFonts w:asciiTheme="minorHAnsi" w:hAnsiTheme="minorHAnsi" w:cstheme="minorHAnsi"/>
          <w:sz w:val="24"/>
          <w:szCs w:val="24"/>
          <w:shd w:val="clear" w:color="auto" w:fill="FFFFFF"/>
        </w:rPr>
        <w:t xml:space="preserve">Bias, whether conscious or unconscious, can undermine the effectiveness and fairness of investigations. Unconscious biases, such as racial or gender stereotypes, may lead officers to focus on certain suspects while ignoring others, distorting the evidence-gathering process. Nelli (2017) found that officers with negative biases toward victims provided less support, </w:t>
      </w:r>
      <w:r w:rsidRPr="00BB2C65">
        <w:rPr>
          <w:rFonts w:asciiTheme="minorHAnsi" w:hAnsiTheme="minorHAnsi" w:cstheme="minorHAnsi"/>
          <w:sz w:val="24"/>
          <w:szCs w:val="24"/>
          <w:shd w:val="clear" w:color="auto" w:fill="FFFFFF"/>
        </w:rPr>
        <w:lastRenderedPageBreak/>
        <w:t>with nearly 40% of victims reporting feeling dismissed or ignored by law enforcement during investigations. This not only impacts victim cooperation but also compromises the integrity of the investigation itself.</w:t>
      </w:r>
    </w:p>
    <w:p w14:paraId="0733B286" w14:textId="77777777" w:rsidR="00A76BF1" w:rsidRPr="00BB2C65" w:rsidRDefault="00A76BF1" w:rsidP="00A76BF1">
      <w:pPr>
        <w:pStyle w:val="Default"/>
        <w:spacing w:after="240" w:line="280" w:lineRule="atLeast"/>
        <w:rPr>
          <w:rFonts w:asciiTheme="minorHAnsi" w:eastAsia="Times" w:hAnsiTheme="minorHAnsi" w:cstheme="minorHAnsi"/>
          <w:sz w:val="24"/>
          <w:szCs w:val="24"/>
          <w:shd w:val="clear" w:color="auto" w:fill="FFFFFF"/>
        </w:rPr>
      </w:pPr>
      <w:r w:rsidRPr="00BB2C65">
        <w:rPr>
          <w:rFonts w:asciiTheme="minorHAnsi" w:hAnsiTheme="minorHAnsi" w:cstheme="minorHAnsi"/>
          <w:sz w:val="24"/>
          <w:szCs w:val="24"/>
          <w:shd w:val="clear" w:color="auto" w:fill="FFFFFF"/>
        </w:rPr>
        <w:t>Moreover, data-driven policing is also prone to bias. Research shows that past discriminatory practices can skew crime data, leading to a disproportionate focus on specific communities (Buil-Gil et al., 2021). The impact of such biases is compounded when officers' investigative priorities align with flawed data interpretations. Tilley et al. (2009) provided evidence that areas disproportionately targeted by police, such as inner-city minority communities in Manchester and Birmingham, often experience heightened tensions, leading to further alienation and reduced cooperation from community members.</w:t>
      </w:r>
    </w:p>
    <w:p w14:paraId="655460FF" w14:textId="77777777" w:rsidR="00A76BF1" w:rsidRPr="00BB2C65" w:rsidRDefault="00A76BF1" w:rsidP="00A76BF1">
      <w:pPr>
        <w:pStyle w:val="Default"/>
        <w:spacing w:after="240" w:line="280" w:lineRule="atLeast"/>
        <w:rPr>
          <w:rFonts w:asciiTheme="minorHAnsi" w:eastAsia="Times" w:hAnsiTheme="minorHAnsi" w:cstheme="minorHAnsi"/>
          <w:sz w:val="24"/>
          <w:szCs w:val="24"/>
          <w:shd w:val="clear" w:color="auto" w:fill="FFFFFF"/>
        </w:rPr>
      </w:pPr>
      <w:r w:rsidRPr="00BB2C65">
        <w:rPr>
          <w:rFonts w:asciiTheme="minorHAnsi" w:hAnsiTheme="minorHAnsi" w:cstheme="minorHAnsi"/>
          <w:sz w:val="24"/>
          <w:szCs w:val="24"/>
          <w:shd w:val="clear" w:color="auto" w:fill="FFFFFF"/>
        </w:rPr>
        <w:t xml:space="preserve">The introduction of body-worn video (BWV) technology aimed to increase transparency and accountability in police interactions. While BWV has improved oversight, it has also highlighted that deeper unconscious biases still affect police behaviour. Harrison et al. (2022) found that officers, feeling scrutinised under BWV, modified their conduct, but this did not necessarily eradicate the underlying biases that informed their interactions. In fact, 65% of officers reported feeling pressure to conform to expected behaviours </w:t>
      </w:r>
      <w:proofErr w:type="gramStart"/>
      <w:r w:rsidRPr="00BB2C65">
        <w:rPr>
          <w:rFonts w:asciiTheme="minorHAnsi" w:hAnsiTheme="minorHAnsi" w:cstheme="minorHAnsi"/>
          <w:sz w:val="24"/>
          <w:szCs w:val="24"/>
          <w:shd w:val="clear" w:color="auto" w:fill="FFFFFF"/>
        </w:rPr>
        <w:t>in light of</w:t>
      </w:r>
      <w:proofErr w:type="gramEnd"/>
      <w:r w:rsidRPr="00BB2C65">
        <w:rPr>
          <w:rFonts w:asciiTheme="minorHAnsi" w:hAnsiTheme="minorHAnsi" w:cstheme="minorHAnsi"/>
          <w:sz w:val="24"/>
          <w:szCs w:val="24"/>
          <w:shd w:val="clear" w:color="auto" w:fill="FFFFFF"/>
        </w:rPr>
        <w:t xml:space="preserve"> BWV usage, indicating that accountability mechanisms alone may not address the root of biases affecting volume crime investigations.</w:t>
      </w:r>
    </w:p>
    <w:p w14:paraId="7119F7D1" w14:textId="77777777" w:rsidR="00A76BF1" w:rsidRPr="00BB2C65" w:rsidRDefault="00A76BF1" w:rsidP="00A76BF1">
      <w:pPr>
        <w:pStyle w:val="Default"/>
        <w:spacing w:after="240" w:line="280" w:lineRule="atLeast"/>
        <w:rPr>
          <w:rFonts w:asciiTheme="minorHAnsi" w:eastAsia="Times" w:hAnsiTheme="minorHAnsi" w:cstheme="minorHAnsi"/>
          <w:sz w:val="24"/>
          <w:szCs w:val="24"/>
          <w:shd w:val="clear" w:color="auto" w:fill="FFFFFF"/>
        </w:rPr>
      </w:pPr>
      <w:r w:rsidRPr="00BB2C65">
        <w:rPr>
          <w:rFonts w:asciiTheme="minorHAnsi" w:hAnsiTheme="minorHAnsi" w:cstheme="minorHAnsi"/>
          <w:sz w:val="24"/>
          <w:szCs w:val="24"/>
          <w:shd w:val="clear" w:color="auto" w:fill="FFFFFF"/>
        </w:rPr>
        <w:t>To mitigate the impact of personal attitudes, values, and biases on volume crime investigations, police forces must adopt strategies promoting fairness and objectivity. This includes regular unconscious bias training, enhancing community engagement, and ensuring that officers understand the diverse needs of the populations they serve (Nelli, 2017). Moreover, data collection and analysis systems need to be re-evaluated to eliminate inherent biases. A culture of reflection and self-awareness within police forces can help officers recognise their biases and strive for more equitable policing.</w:t>
      </w:r>
    </w:p>
    <w:p w14:paraId="0C44FD52" w14:textId="77777777" w:rsidR="00A76BF1" w:rsidRPr="00BB2C65" w:rsidRDefault="00A76BF1" w:rsidP="00A76BF1">
      <w:pPr>
        <w:pStyle w:val="Default"/>
        <w:spacing w:after="240" w:line="280" w:lineRule="atLeast"/>
        <w:rPr>
          <w:rFonts w:asciiTheme="minorHAnsi" w:eastAsia="Times" w:hAnsiTheme="minorHAnsi" w:cstheme="minorHAnsi"/>
          <w:sz w:val="24"/>
          <w:szCs w:val="24"/>
          <w:shd w:val="clear" w:color="auto" w:fill="FFFFFF"/>
        </w:rPr>
      </w:pPr>
      <w:r w:rsidRPr="00BB2C65">
        <w:rPr>
          <w:rFonts w:asciiTheme="minorHAnsi" w:hAnsiTheme="minorHAnsi" w:cstheme="minorHAnsi"/>
          <w:sz w:val="24"/>
          <w:szCs w:val="24"/>
          <w:shd w:val="clear" w:color="auto" w:fill="FFFFFF"/>
        </w:rPr>
        <w:t xml:space="preserve">In conclusion, personal attitudes, values, and biases significantly affect the investigation of volume crimes. While institutional frameworks and procedures provide guidelines for police conduct, the subjective beliefs and predispositions of </w:t>
      </w:r>
      <w:proofErr w:type="gramStart"/>
      <w:r w:rsidRPr="00BB2C65">
        <w:rPr>
          <w:rFonts w:asciiTheme="minorHAnsi" w:hAnsiTheme="minorHAnsi" w:cstheme="minorHAnsi"/>
          <w:sz w:val="24"/>
          <w:szCs w:val="24"/>
          <w:shd w:val="clear" w:color="auto" w:fill="FFFFFF"/>
        </w:rPr>
        <w:t>officers</w:t>
      </w:r>
      <w:proofErr w:type="gramEnd"/>
      <w:r w:rsidRPr="00BB2C65">
        <w:rPr>
          <w:rFonts w:asciiTheme="minorHAnsi" w:hAnsiTheme="minorHAnsi" w:cstheme="minorHAnsi"/>
          <w:sz w:val="24"/>
          <w:szCs w:val="24"/>
          <w:shd w:val="clear" w:color="auto" w:fill="FFFFFF"/>
        </w:rPr>
        <w:t xml:space="preserve"> shape how these frameworks are applied. To improve the effectiveness of volume crime investigations, ongoing efforts must be made to promote accountability, objectivity, and community engagement. By acknowledging and addressing the personal factors influencing their work, police officers can enhance the fairness and effectiveness of their investigations.</w:t>
      </w:r>
    </w:p>
    <w:bookmarkEnd w:id="1"/>
    <w:p w14:paraId="76B7D18C" w14:textId="77777777" w:rsidR="00DC38D5" w:rsidRPr="00DC38D5" w:rsidRDefault="00DC38D5" w:rsidP="00DC38D5">
      <w:pPr>
        <w:pStyle w:val="Default"/>
        <w:spacing w:after="240" w:line="280" w:lineRule="atLeast"/>
        <w:rPr>
          <w:rFonts w:asciiTheme="minorHAnsi" w:eastAsia="Times" w:hAnsiTheme="minorHAnsi" w:cstheme="minorHAnsi"/>
          <w:sz w:val="24"/>
          <w:szCs w:val="24"/>
          <w:shd w:val="clear" w:color="auto" w:fill="FFFFFF"/>
        </w:rPr>
      </w:pPr>
      <w:r w:rsidRPr="00DC38D5">
        <w:rPr>
          <w:rFonts w:asciiTheme="minorHAnsi" w:hAnsiTheme="minorHAnsi" w:cstheme="minorHAnsi"/>
          <w:b/>
          <w:bCs/>
          <w:sz w:val="24"/>
          <w:szCs w:val="24"/>
          <w:shd w:val="clear" w:color="auto" w:fill="FFFFFF"/>
        </w:rPr>
        <w:t>References:</w:t>
      </w:r>
    </w:p>
    <w:p w14:paraId="04EEEB23" w14:textId="77777777" w:rsidR="00DC38D5" w:rsidRPr="00DC38D5" w:rsidRDefault="00DC38D5" w:rsidP="00DC38D5">
      <w:pPr>
        <w:pStyle w:val="Default"/>
        <w:spacing w:line="280" w:lineRule="atLeast"/>
        <w:rPr>
          <w:rFonts w:asciiTheme="minorHAnsi" w:hAnsiTheme="minorHAnsi" w:cstheme="minorHAnsi"/>
          <w:i/>
          <w:iCs/>
          <w:sz w:val="24"/>
          <w:szCs w:val="24"/>
        </w:rPr>
      </w:pPr>
      <w:r w:rsidRPr="00DC38D5">
        <w:rPr>
          <w:rFonts w:asciiTheme="minorHAnsi" w:hAnsiTheme="minorHAnsi" w:cstheme="minorHAnsi"/>
          <w:sz w:val="24"/>
          <w:szCs w:val="24"/>
        </w:rPr>
        <w:t>AIHIO, N., 2017. </w:t>
      </w:r>
      <w:r w:rsidRPr="00DC38D5">
        <w:rPr>
          <w:rFonts w:asciiTheme="minorHAnsi" w:hAnsiTheme="minorHAnsi" w:cstheme="minorHAnsi"/>
          <w:i/>
          <w:iCs/>
          <w:sz w:val="24"/>
          <w:szCs w:val="24"/>
        </w:rPr>
        <w:t>IMPROVING VICTIM SATISFACTION IN VOLUME CRIME INVESTIGATIONS: THE ROLE OF POLICE ACTIONS AND VICTIM CHARACTERISTICS. </w:t>
      </w:r>
      <w:r w:rsidRPr="00DC38D5">
        <w:rPr>
          <w:rFonts w:asciiTheme="minorHAnsi" w:hAnsiTheme="minorHAnsi" w:cstheme="minorHAnsi"/>
          <w:sz w:val="24"/>
          <w:szCs w:val="24"/>
        </w:rPr>
        <w:t xml:space="preserve">London, UK: Tilley, N., et al. (2021). Practitioner perspectives of policing volume crime. </w:t>
      </w:r>
      <w:r w:rsidRPr="00DC38D5">
        <w:rPr>
          <w:rFonts w:asciiTheme="minorHAnsi" w:hAnsiTheme="minorHAnsi" w:cstheme="minorHAnsi"/>
          <w:i/>
          <w:iCs/>
          <w:sz w:val="24"/>
          <w:szCs w:val="24"/>
        </w:rPr>
        <w:t>Policing and Society</w:t>
      </w:r>
      <w:r w:rsidRPr="00DC38D5">
        <w:rPr>
          <w:rFonts w:asciiTheme="minorHAnsi" w:hAnsiTheme="minorHAnsi" w:cstheme="minorHAnsi"/>
          <w:sz w:val="24"/>
          <w:szCs w:val="24"/>
        </w:rPr>
        <w:t xml:space="preserve">. Available: </w:t>
      </w:r>
      <w:hyperlink r:id="rId12" w:history="1">
        <w:r w:rsidRPr="00DC38D5">
          <w:rPr>
            <w:rFonts w:asciiTheme="minorHAnsi" w:hAnsiTheme="minorHAnsi" w:cstheme="minorHAnsi"/>
            <w:color w:val="0000FF"/>
            <w:sz w:val="24"/>
            <w:szCs w:val="24"/>
            <w:u w:val="single"/>
            <w:lang w:eastAsia="en-US"/>
          </w:rPr>
          <w:t>Thesis_FullFinalCopy_NelliAIHIO2723948.pdf (lsbu.ac.uk)</w:t>
        </w:r>
      </w:hyperlink>
      <w:r w:rsidRPr="00DC38D5">
        <w:rPr>
          <w:rFonts w:asciiTheme="minorHAnsi" w:hAnsiTheme="minorHAnsi" w:cstheme="minorHAnsi"/>
          <w:sz w:val="24"/>
          <w:szCs w:val="24"/>
        </w:rPr>
        <w:t xml:space="preserve"> [Accessed: 11/10/24].</w:t>
      </w:r>
    </w:p>
    <w:p w14:paraId="5CBF5A2E" w14:textId="77777777" w:rsidR="00DC38D5" w:rsidRPr="00DC38D5" w:rsidRDefault="00DC38D5" w:rsidP="00DC38D5">
      <w:pPr>
        <w:pStyle w:val="Default"/>
        <w:spacing w:after="240" w:line="280" w:lineRule="atLeast"/>
        <w:rPr>
          <w:rFonts w:asciiTheme="minorHAnsi" w:hAnsiTheme="minorHAnsi" w:cstheme="minorHAnsi"/>
          <w:sz w:val="24"/>
          <w:szCs w:val="24"/>
          <w:shd w:val="clear" w:color="auto" w:fill="FFFFFF"/>
        </w:rPr>
      </w:pPr>
    </w:p>
    <w:p w14:paraId="33F386F4" w14:textId="77777777" w:rsidR="00DC38D5" w:rsidRPr="00DC38D5" w:rsidRDefault="00DC38D5" w:rsidP="00DC38D5">
      <w:pPr>
        <w:pStyle w:val="Default"/>
        <w:spacing w:after="240" w:line="280" w:lineRule="atLeast"/>
        <w:rPr>
          <w:rFonts w:asciiTheme="minorHAnsi" w:eastAsia="Times" w:hAnsiTheme="minorHAnsi" w:cstheme="minorHAnsi"/>
          <w:sz w:val="24"/>
          <w:szCs w:val="24"/>
          <w:shd w:val="clear" w:color="auto" w:fill="FFFFFF"/>
        </w:rPr>
      </w:pPr>
      <w:r w:rsidRPr="00DC38D5">
        <w:rPr>
          <w:rFonts w:asciiTheme="minorHAnsi" w:hAnsiTheme="minorHAnsi" w:cstheme="minorHAnsi"/>
          <w:sz w:val="24"/>
          <w:szCs w:val="24"/>
          <w:shd w:val="clear" w:color="auto" w:fill="FFFFFF"/>
        </w:rPr>
        <w:t xml:space="preserve">Buil-Gil, D., Moretti, A., &amp; Langton, S. H. (2021). The accuracy of crime statistics: assessing the impact of police data bias on geographic crime analysis. </w:t>
      </w:r>
      <w:r w:rsidRPr="00DC38D5">
        <w:rPr>
          <w:rFonts w:asciiTheme="minorHAnsi" w:hAnsiTheme="minorHAnsi" w:cstheme="minorHAnsi"/>
          <w:i/>
          <w:iCs/>
          <w:sz w:val="24"/>
          <w:szCs w:val="24"/>
          <w:shd w:val="clear" w:color="auto" w:fill="FFFFFF"/>
        </w:rPr>
        <w:t>Journal of Experimental Criminology, 18</w:t>
      </w:r>
      <w:r w:rsidRPr="00DC38D5">
        <w:rPr>
          <w:rFonts w:asciiTheme="minorHAnsi" w:hAnsiTheme="minorHAnsi" w:cstheme="minorHAnsi"/>
          <w:sz w:val="24"/>
          <w:szCs w:val="24"/>
          <w:shd w:val="clear" w:color="auto" w:fill="FFFFFF"/>
        </w:rPr>
        <w:t xml:space="preserve">, 515-541. </w:t>
      </w:r>
      <w:r w:rsidRPr="00DC38D5">
        <w:rPr>
          <w:rFonts w:asciiTheme="minorHAnsi" w:hAnsiTheme="minorHAnsi" w:cstheme="minorHAnsi"/>
          <w:sz w:val="24"/>
          <w:szCs w:val="24"/>
        </w:rPr>
        <w:t xml:space="preserve">Available: </w:t>
      </w:r>
      <w:hyperlink r:id="rId13" w:history="1">
        <w:r w:rsidRPr="00DC38D5">
          <w:rPr>
            <w:rFonts w:asciiTheme="minorHAnsi" w:hAnsiTheme="minorHAnsi" w:cstheme="minorHAnsi"/>
            <w:color w:val="0000FF"/>
            <w:sz w:val="24"/>
            <w:szCs w:val="24"/>
            <w:u w:val="single"/>
            <w:lang w:eastAsia="en-US"/>
          </w:rPr>
          <w:t xml:space="preserve">The accuracy of crime statistics: assessing the impact of </w:t>
        </w:r>
        <w:r w:rsidRPr="00DC38D5">
          <w:rPr>
            <w:rFonts w:asciiTheme="minorHAnsi" w:hAnsiTheme="minorHAnsi" w:cstheme="minorHAnsi"/>
            <w:color w:val="0000FF"/>
            <w:sz w:val="24"/>
            <w:szCs w:val="24"/>
            <w:u w:val="single"/>
            <w:lang w:eastAsia="en-US"/>
          </w:rPr>
          <w:lastRenderedPageBreak/>
          <w:t>police data bias on geographic crime analysis | Journal of Experimental Criminology (springer.com)</w:t>
        </w:r>
      </w:hyperlink>
      <w:r w:rsidRPr="00DC38D5">
        <w:rPr>
          <w:rFonts w:asciiTheme="minorHAnsi" w:hAnsiTheme="minorHAnsi" w:cstheme="minorHAnsi"/>
          <w:color w:val="auto"/>
          <w:sz w:val="24"/>
          <w:szCs w:val="24"/>
          <w:lang w:eastAsia="en-US"/>
        </w:rPr>
        <w:t xml:space="preserve"> [Accessed 09/10/24]</w:t>
      </w:r>
    </w:p>
    <w:p w14:paraId="208D1C3A" w14:textId="03B9B514" w:rsidR="00DC38D5" w:rsidRPr="00DC38D5" w:rsidRDefault="00A76BF1" w:rsidP="00DC38D5">
      <w:pPr>
        <w:pStyle w:val="Default"/>
        <w:spacing w:after="240" w:line="280" w:lineRule="atLeast"/>
        <w:rPr>
          <w:rFonts w:asciiTheme="minorHAnsi" w:eastAsia="Times" w:hAnsiTheme="minorHAnsi" w:cstheme="minorHAnsi"/>
          <w:sz w:val="24"/>
          <w:szCs w:val="24"/>
          <w:shd w:val="clear" w:color="auto" w:fill="FFFFFF"/>
        </w:rPr>
      </w:pPr>
      <w:r w:rsidRPr="00DC38D5">
        <w:rPr>
          <w:rFonts w:asciiTheme="minorHAnsi" w:hAnsiTheme="minorHAnsi" w:cstheme="minorHAnsi"/>
          <w:sz w:val="24"/>
          <w:szCs w:val="24"/>
          <w:shd w:val="clear" w:color="auto" w:fill="FFFFFF"/>
        </w:rPr>
        <w:t>ECK, J. E. (1983)</w:t>
      </w:r>
      <w:r w:rsidR="00DC38D5" w:rsidRPr="00DC38D5">
        <w:rPr>
          <w:rFonts w:asciiTheme="minorHAnsi" w:hAnsiTheme="minorHAnsi" w:cstheme="minorHAnsi"/>
          <w:sz w:val="24"/>
          <w:szCs w:val="24"/>
          <w:shd w:val="clear" w:color="auto" w:fill="FFFFFF"/>
        </w:rPr>
        <w:t xml:space="preserve">. Solving Crimes: The Investigation of Burglary and Robbery. </w:t>
      </w:r>
      <w:r w:rsidR="00DC38D5" w:rsidRPr="00DC38D5">
        <w:rPr>
          <w:rFonts w:asciiTheme="minorHAnsi" w:hAnsiTheme="minorHAnsi" w:cstheme="minorHAnsi"/>
          <w:i/>
          <w:iCs/>
          <w:sz w:val="24"/>
          <w:szCs w:val="24"/>
          <w:shd w:val="clear" w:color="auto" w:fill="FFFFFF"/>
        </w:rPr>
        <w:t>Police Executive Research Forum</w:t>
      </w:r>
      <w:r w:rsidR="00DC38D5" w:rsidRPr="00DC38D5">
        <w:rPr>
          <w:rFonts w:asciiTheme="minorHAnsi" w:hAnsiTheme="minorHAnsi" w:cstheme="minorHAnsi"/>
          <w:sz w:val="24"/>
          <w:szCs w:val="24"/>
          <w:shd w:val="clear" w:color="auto" w:fill="FFFFFF"/>
        </w:rPr>
        <w:t>. Available</w:t>
      </w:r>
      <w:r w:rsidR="00DC38D5" w:rsidRPr="00DC38D5">
        <w:rPr>
          <w:rFonts w:asciiTheme="minorHAnsi" w:hAnsiTheme="minorHAnsi" w:cstheme="minorHAnsi"/>
        </w:rPr>
        <w:t xml:space="preserve">: </w:t>
      </w:r>
      <w:hyperlink r:id="rId14" w:history="1">
        <w:r w:rsidR="00DC38D5" w:rsidRPr="00DC38D5">
          <w:rPr>
            <w:rFonts w:asciiTheme="minorHAnsi" w:hAnsiTheme="minorHAnsi" w:cstheme="minorHAnsi"/>
            <w:color w:val="0000FF"/>
            <w:sz w:val="24"/>
            <w:szCs w:val="24"/>
            <w:u w:val="single"/>
            <w:lang w:eastAsia="en-US"/>
          </w:rPr>
          <w:t>Solving Crimes - The Investigation of Burglary and Robbery | Office of Justice Programs (ojp.gov)</w:t>
        </w:r>
      </w:hyperlink>
      <w:r w:rsidR="00DC38D5" w:rsidRPr="00DC38D5">
        <w:rPr>
          <w:rFonts w:asciiTheme="minorHAnsi" w:hAnsiTheme="minorHAnsi" w:cstheme="minorHAnsi"/>
          <w:sz w:val="24"/>
          <w:szCs w:val="24"/>
          <w:shd w:val="clear" w:color="auto" w:fill="FFFFFF"/>
        </w:rPr>
        <w:t xml:space="preserve"> [Accessed: 09/10/24].</w:t>
      </w:r>
    </w:p>
    <w:p w14:paraId="6080B1E3" w14:textId="44C5F6DE" w:rsidR="00DC38D5" w:rsidRPr="00DC38D5" w:rsidRDefault="00A76BF1" w:rsidP="00DC38D5">
      <w:pPr>
        <w:pStyle w:val="Default"/>
        <w:spacing w:after="240" w:line="280" w:lineRule="atLeast"/>
        <w:rPr>
          <w:rFonts w:asciiTheme="minorHAnsi" w:eastAsia="Times" w:hAnsiTheme="minorHAnsi" w:cstheme="minorHAnsi"/>
          <w:sz w:val="24"/>
          <w:szCs w:val="24"/>
          <w:shd w:val="clear" w:color="auto" w:fill="FFFFFF"/>
        </w:rPr>
      </w:pPr>
      <w:r w:rsidRPr="00DC38D5">
        <w:rPr>
          <w:rFonts w:asciiTheme="minorHAnsi" w:hAnsiTheme="minorHAnsi" w:cstheme="minorHAnsi"/>
          <w:sz w:val="24"/>
          <w:szCs w:val="24"/>
          <w:shd w:val="clear" w:color="auto" w:fill="FFFFFF"/>
        </w:rPr>
        <w:t>EDWARDS, J., ET AL</w:t>
      </w:r>
      <w:r w:rsidR="00DC38D5" w:rsidRPr="00DC38D5">
        <w:rPr>
          <w:rFonts w:asciiTheme="minorHAnsi" w:hAnsiTheme="minorHAnsi" w:cstheme="minorHAnsi"/>
          <w:sz w:val="24"/>
          <w:szCs w:val="24"/>
          <w:shd w:val="clear" w:color="auto" w:fill="FFFFFF"/>
        </w:rPr>
        <w:t xml:space="preserve">. (2021). Practitioner Perspectives of the Utility of the National Decision Model in Relation to Criminal Investigations and Response Policing. </w:t>
      </w:r>
      <w:r w:rsidR="00DC38D5" w:rsidRPr="00DC38D5">
        <w:rPr>
          <w:rFonts w:asciiTheme="minorHAnsi" w:hAnsiTheme="minorHAnsi" w:cstheme="minorHAnsi"/>
          <w:i/>
          <w:iCs/>
          <w:sz w:val="24"/>
          <w:szCs w:val="24"/>
          <w:shd w:val="clear" w:color="auto" w:fill="FFFFFF"/>
        </w:rPr>
        <w:t>Policing and Society</w:t>
      </w:r>
      <w:r w:rsidR="00DC38D5" w:rsidRPr="00DC38D5">
        <w:rPr>
          <w:rFonts w:asciiTheme="minorHAnsi" w:hAnsiTheme="minorHAnsi" w:cstheme="minorHAnsi"/>
          <w:sz w:val="24"/>
          <w:szCs w:val="24"/>
          <w:shd w:val="clear" w:color="auto" w:fill="FFFFFF"/>
        </w:rPr>
        <w:t xml:space="preserve">. Available: </w:t>
      </w:r>
      <w:hyperlink r:id="rId15" w:history="1">
        <w:r w:rsidR="00DC38D5" w:rsidRPr="00DC38D5">
          <w:rPr>
            <w:rFonts w:asciiTheme="minorHAnsi" w:hAnsiTheme="minorHAnsi" w:cstheme="minorHAnsi"/>
            <w:color w:val="0000FF"/>
            <w:sz w:val="24"/>
            <w:szCs w:val="24"/>
            <w:u w:val="single"/>
            <w:lang w:eastAsia="en-US"/>
          </w:rPr>
          <w:t xml:space="preserve">Final Thesis Joshua </w:t>
        </w:r>
        <w:proofErr w:type="spellStart"/>
        <w:r w:rsidR="00DC38D5" w:rsidRPr="00DC38D5">
          <w:rPr>
            <w:rFonts w:asciiTheme="minorHAnsi" w:hAnsiTheme="minorHAnsi" w:cstheme="minorHAnsi"/>
            <w:color w:val="0000FF"/>
            <w:sz w:val="24"/>
            <w:szCs w:val="24"/>
            <w:u w:val="single"/>
            <w:lang w:eastAsia="en-US"/>
          </w:rPr>
          <w:t>EdwardsTracked</w:t>
        </w:r>
        <w:proofErr w:type="spellEnd"/>
        <w:r w:rsidR="00DC38D5" w:rsidRPr="00DC38D5">
          <w:rPr>
            <w:rFonts w:asciiTheme="minorHAnsi" w:hAnsiTheme="minorHAnsi" w:cstheme="minorHAnsi"/>
            <w:color w:val="0000FF"/>
            <w:sz w:val="24"/>
            <w:szCs w:val="24"/>
            <w:u w:val="single"/>
            <w:lang w:eastAsia="en-US"/>
          </w:rPr>
          <w:t xml:space="preserve"> changes.pdf (canterbury.ac.uk)</w:t>
        </w:r>
      </w:hyperlink>
      <w:r w:rsidR="00DC38D5" w:rsidRPr="00DC38D5">
        <w:rPr>
          <w:rFonts w:asciiTheme="minorHAnsi" w:hAnsiTheme="minorHAnsi" w:cstheme="minorHAnsi"/>
          <w:sz w:val="24"/>
          <w:szCs w:val="24"/>
          <w:shd w:val="clear" w:color="auto" w:fill="FFFFFF"/>
        </w:rPr>
        <w:t xml:space="preserve"> [Accessed: 09/10/24].</w:t>
      </w:r>
    </w:p>
    <w:p w14:paraId="443542FB" w14:textId="40FD2A2F" w:rsidR="00DC38D5" w:rsidRPr="00DC38D5" w:rsidRDefault="00A76BF1" w:rsidP="00DC38D5">
      <w:pPr>
        <w:pStyle w:val="Default"/>
        <w:spacing w:after="240" w:line="280" w:lineRule="atLeast"/>
        <w:rPr>
          <w:rFonts w:asciiTheme="minorHAnsi" w:eastAsia="Times" w:hAnsiTheme="minorHAnsi" w:cstheme="minorHAnsi"/>
          <w:sz w:val="24"/>
          <w:szCs w:val="24"/>
          <w:shd w:val="clear" w:color="auto" w:fill="FFFFFF"/>
        </w:rPr>
      </w:pPr>
      <w:r w:rsidRPr="00DC38D5">
        <w:rPr>
          <w:rFonts w:asciiTheme="minorHAnsi" w:hAnsiTheme="minorHAnsi" w:cstheme="minorHAnsi"/>
          <w:sz w:val="24"/>
          <w:szCs w:val="24"/>
          <w:shd w:val="clear" w:color="auto" w:fill="FFFFFF"/>
        </w:rPr>
        <w:t>HARRISON, K., L’HOIRY, X., &amp; SANTORSO, S. (2022</w:t>
      </w:r>
      <w:r w:rsidR="00DC38D5" w:rsidRPr="00DC38D5">
        <w:rPr>
          <w:rFonts w:asciiTheme="minorHAnsi" w:hAnsiTheme="minorHAnsi" w:cstheme="minorHAnsi"/>
          <w:sz w:val="24"/>
          <w:szCs w:val="24"/>
          <w:shd w:val="clear" w:color="auto" w:fill="FFFFFF"/>
        </w:rPr>
        <w:t xml:space="preserve">). Exploring the impact of body-worn video on the everyday behaviours of police officers. </w:t>
      </w:r>
      <w:r w:rsidR="00DC38D5" w:rsidRPr="00DC38D5">
        <w:rPr>
          <w:rFonts w:asciiTheme="minorHAnsi" w:hAnsiTheme="minorHAnsi" w:cstheme="minorHAnsi"/>
          <w:i/>
          <w:iCs/>
          <w:sz w:val="24"/>
          <w:szCs w:val="24"/>
          <w:shd w:val="clear" w:color="auto" w:fill="FFFFFF"/>
        </w:rPr>
        <w:t>The Police Journal: Theory, Practice and Principles</w:t>
      </w:r>
      <w:r w:rsidR="00DC38D5" w:rsidRPr="00DC38D5">
        <w:rPr>
          <w:rFonts w:asciiTheme="minorHAnsi" w:hAnsiTheme="minorHAnsi" w:cstheme="minorHAnsi"/>
          <w:sz w:val="24"/>
          <w:szCs w:val="24"/>
          <w:shd w:val="clear" w:color="auto" w:fill="FFFFFF"/>
        </w:rPr>
        <w:t xml:space="preserve">. </w:t>
      </w:r>
      <w:r w:rsidR="00DC38D5" w:rsidRPr="00DC38D5">
        <w:rPr>
          <w:rFonts w:asciiTheme="minorHAnsi" w:hAnsiTheme="minorHAnsi" w:cstheme="minorHAnsi"/>
          <w:sz w:val="24"/>
          <w:szCs w:val="24"/>
        </w:rPr>
        <w:t xml:space="preserve">Available: </w:t>
      </w:r>
      <w:hyperlink r:id="rId16" w:history="1">
        <w:r w:rsidR="00DC38D5" w:rsidRPr="00DC38D5">
          <w:rPr>
            <w:rFonts w:asciiTheme="minorHAnsi" w:hAnsiTheme="minorHAnsi" w:cstheme="minorHAnsi"/>
            <w:color w:val="0000FF"/>
            <w:sz w:val="24"/>
            <w:szCs w:val="24"/>
            <w:u w:val="single"/>
            <w:lang w:eastAsia="en-US"/>
          </w:rPr>
          <w:t xml:space="preserve">Exploring the impact of body-worn video on the everyday behaviours of police officers - Karen Harrison, Xavier </w:t>
        </w:r>
        <w:proofErr w:type="spellStart"/>
        <w:r w:rsidR="00DC38D5" w:rsidRPr="00DC38D5">
          <w:rPr>
            <w:rFonts w:asciiTheme="minorHAnsi" w:hAnsiTheme="minorHAnsi" w:cstheme="minorHAnsi"/>
            <w:color w:val="0000FF"/>
            <w:sz w:val="24"/>
            <w:szCs w:val="24"/>
            <w:u w:val="single"/>
            <w:lang w:eastAsia="en-US"/>
          </w:rPr>
          <w:t>L’Hoiry</w:t>
        </w:r>
        <w:proofErr w:type="spellEnd"/>
        <w:r w:rsidR="00DC38D5" w:rsidRPr="00DC38D5">
          <w:rPr>
            <w:rFonts w:asciiTheme="minorHAnsi" w:hAnsiTheme="minorHAnsi" w:cstheme="minorHAnsi"/>
            <w:color w:val="0000FF"/>
            <w:sz w:val="24"/>
            <w:szCs w:val="24"/>
            <w:u w:val="single"/>
            <w:lang w:eastAsia="en-US"/>
          </w:rPr>
          <w:t xml:space="preserve">, Simone </w:t>
        </w:r>
        <w:proofErr w:type="spellStart"/>
        <w:r w:rsidR="00DC38D5" w:rsidRPr="00DC38D5">
          <w:rPr>
            <w:rFonts w:asciiTheme="minorHAnsi" w:hAnsiTheme="minorHAnsi" w:cstheme="minorHAnsi"/>
            <w:color w:val="0000FF"/>
            <w:sz w:val="24"/>
            <w:szCs w:val="24"/>
            <w:u w:val="single"/>
            <w:lang w:eastAsia="en-US"/>
          </w:rPr>
          <w:t>Santorso</w:t>
        </w:r>
        <w:proofErr w:type="spellEnd"/>
        <w:r w:rsidR="00DC38D5" w:rsidRPr="00DC38D5">
          <w:rPr>
            <w:rFonts w:asciiTheme="minorHAnsi" w:hAnsiTheme="minorHAnsi" w:cstheme="minorHAnsi"/>
            <w:color w:val="0000FF"/>
            <w:sz w:val="24"/>
            <w:szCs w:val="24"/>
            <w:u w:val="single"/>
            <w:lang w:eastAsia="en-US"/>
          </w:rPr>
          <w:t>, 2022 (uwtsd.ac.uk)</w:t>
        </w:r>
      </w:hyperlink>
      <w:r w:rsidR="00DC38D5" w:rsidRPr="00DC38D5">
        <w:rPr>
          <w:rFonts w:asciiTheme="minorHAnsi" w:hAnsiTheme="minorHAnsi" w:cstheme="minorHAnsi"/>
          <w:sz w:val="24"/>
          <w:szCs w:val="24"/>
          <w:shd w:val="clear" w:color="auto" w:fill="FFFFFF"/>
        </w:rPr>
        <w:t xml:space="preserve"> [Accessed: 10/10/24].</w:t>
      </w:r>
    </w:p>
    <w:p w14:paraId="4A577824" w14:textId="2A65AC8B" w:rsidR="00DC38D5" w:rsidRPr="00DC38D5" w:rsidRDefault="00A76BF1" w:rsidP="00DC38D5">
      <w:pPr>
        <w:pStyle w:val="Default"/>
        <w:spacing w:after="240" w:line="280" w:lineRule="atLeast"/>
        <w:rPr>
          <w:rFonts w:asciiTheme="minorHAnsi" w:hAnsiTheme="minorHAnsi" w:cstheme="minorHAnsi"/>
          <w:sz w:val="24"/>
          <w:szCs w:val="24"/>
          <w:shd w:val="clear" w:color="auto" w:fill="FFFFFF"/>
        </w:rPr>
      </w:pPr>
      <w:r w:rsidRPr="00DC38D5">
        <w:rPr>
          <w:rFonts w:asciiTheme="minorHAnsi" w:hAnsiTheme="minorHAnsi" w:cstheme="minorHAnsi"/>
          <w:sz w:val="24"/>
          <w:szCs w:val="24"/>
          <w:shd w:val="clear" w:color="auto" w:fill="FFFFFF"/>
        </w:rPr>
        <w:t>HEATON, R. (2007</w:t>
      </w:r>
      <w:r w:rsidR="00DC38D5" w:rsidRPr="00DC38D5">
        <w:rPr>
          <w:rFonts w:asciiTheme="minorHAnsi" w:hAnsiTheme="minorHAnsi" w:cstheme="minorHAnsi"/>
          <w:sz w:val="24"/>
          <w:szCs w:val="24"/>
          <w:shd w:val="clear" w:color="auto" w:fill="FFFFFF"/>
        </w:rPr>
        <w:t>). Policing Styles, Police Centralisation and Volume Crime Rates. PhD Thesis, University of Kent.</w:t>
      </w:r>
      <w:r w:rsidR="00DC38D5" w:rsidRPr="00DC38D5">
        <w:rPr>
          <w:rFonts w:asciiTheme="minorHAnsi" w:hAnsiTheme="minorHAnsi" w:cstheme="minorHAnsi"/>
          <w:color w:val="auto"/>
          <w:sz w:val="24"/>
          <w:szCs w:val="24"/>
          <w:lang w:eastAsia="en-US"/>
        </w:rPr>
        <w:t xml:space="preserve"> Available: </w:t>
      </w:r>
      <w:hyperlink r:id="rId17" w:history="1">
        <w:proofErr w:type="spellStart"/>
        <w:r w:rsidR="00DC38D5" w:rsidRPr="00DC38D5">
          <w:rPr>
            <w:rFonts w:asciiTheme="minorHAnsi" w:hAnsiTheme="minorHAnsi" w:cstheme="minorHAnsi"/>
            <w:color w:val="0000FF"/>
            <w:sz w:val="24"/>
            <w:szCs w:val="24"/>
            <w:u w:val="single"/>
            <w:lang w:eastAsia="en-US"/>
          </w:rPr>
          <w:t>Heaton_Policing</w:t>
        </w:r>
        <w:proofErr w:type="spellEnd"/>
        <w:r w:rsidR="00DC38D5" w:rsidRPr="00DC38D5">
          <w:rPr>
            <w:rFonts w:asciiTheme="minorHAnsi" w:hAnsiTheme="minorHAnsi" w:cstheme="minorHAnsi"/>
            <w:color w:val="0000FF"/>
            <w:sz w:val="24"/>
            <w:szCs w:val="24"/>
            <w:u w:val="single"/>
            <w:lang w:eastAsia="en-US"/>
          </w:rPr>
          <w:t xml:space="preserve"> styles.pdf (kent.ac.uk)</w:t>
        </w:r>
      </w:hyperlink>
      <w:r w:rsidR="00DC38D5" w:rsidRPr="00DC38D5">
        <w:rPr>
          <w:rFonts w:asciiTheme="minorHAnsi" w:hAnsiTheme="minorHAnsi" w:cstheme="minorHAnsi"/>
          <w:sz w:val="24"/>
          <w:szCs w:val="24"/>
          <w:shd w:val="clear" w:color="auto" w:fill="FFFFFF"/>
        </w:rPr>
        <w:t xml:space="preserve"> [Accessed: 10/10/24].</w:t>
      </w:r>
    </w:p>
    <w:p w14:paraId="18A8D891" w14:textId="2164D4A9" w:rsidR="00DC38D5" w:rsidRPr="00DC38D5" w:rsidRDefault="00A76BF1" w:rsidP="00DC38D5">
      <w:pPr>
        <w:pStyle w:val="Default"/>
        <w:spacing w:after="240" w:line="280" w:lineRule="atLeast"/>
        <w:rPr>
          <w:rFonts w:asciiTheme="minorHAnsi" w:eastAsia="Times" w:hAnsiTheme="minorHAnsi" w:cstheme="minorHAnsi"/>
          <w:sz w:val="24"/>
          <w:szCs w:val="24"/>
          <w:shd w:val="clear" w:color="auto" w:fill="FFFFFF"/>
        </w:rPr>
      </w:pPr>
      <w:r w:rsidRPr="00DC38D5">
        <w:rPr>
          <w:rFonts w:asciiTheme="minorHAnsi" w:hAnsiTheme="minorHAnsi" w:cstheme="minorHAnsi"/>
          <w:sz w:val="24"/>
          <w:szCs w:val="24"/>
          <w:shd w:val="clear" w:color="auto" w:fill="FFFFFF"/>
        </w:rPr>
        <w:t>JANSSON, K</w:t>
      </w:r>
      <w:r w:rsidR="00DC38D5" w:rsidRPr="00DC38D5">
        <w:rPr>
          <w:rFonts w:asciiTheme="minorHAnsi" w:hAnsiTheme="minorHAnsi" w:cstheme="minorHAnsi"/>
          <w:sz w:val="24"/>
          <w:szCs w:val="24"/>
          <w:shd w:val="clear" w:color="auto" w:fill="FFFFFF"/>
        </w:rPr>
        <w:t xml:space="preserve">. (2005). British Crime Survey: Measuring Crime for 25 Years. Home Office. </w:t>
      </w:r>
      <w:r w:rsidR="00DC38D5" w:rsidRPr="00DC38D5">
        <w:rPr>
          <w:rFonts w:asciiTheme="minorHAnsi" w:hAnsiTheme="minorHAnsi" w:cstheme="minorHAnsi"/>
          <w:sz w:val="24"/>
          <w:szCs w:val="24"/>
        </w:rPr>
        <w:t xml:space="preserve">Available: </w:t>
      </w:r>
      <w:hyperlink r:id="rId18" w:history="1">
        <w:r w:rsidR="00DC38D5" w:rsidRPr="00DC38D5">
          <w:rPr>
            <w:rFonts w:asciiTheme="minorHAnsi" w:hAnsiTheme="minorHAnsi" w:cstheme="minorHAnsi"/>
            <w:color w:val="0000FF"/>
            <w:sz w:val="24"/>
            <w:szCs w:val="24"/>
            <w:u w:val="single"/>
            <w:lang w:eastAsia="en-US"/>
          </w:rPr>
          <w:t>British Crime Survey - Measuring crime for 25 years (researchgate.net)</w:t>
        </w:r>
      </w:hyperlink>
      <w:r w:rsidR="00DC38D5" w:rsidRPr="00DC38D5">
        <w:rPr>
          <w:rFonts w:asciiTheme="minorHAnsi" w:hAnsiTheme="minorHAnsi" w:cstheme="minorHAnsi"/>
          <w:color w:val="auto"/>
          <w:sz w:val="24"/>
          <w:szCs w:val="24"/>
          <w:lang w:eastAsia="en-US"/>
        </w:rPr>
        <w:t xml:space="preserve"> </w:t>
      </w:r>
      <w:r w:rsidR="00DC38D5" w:rsidRPr="00DC38D5">
        <w:rPr>
          <w:rFonts w:asciiTheme="minorHAnsi" w:hAnsiTheme="minorHAnsi" w:cstheme="minorHAnsi"/>
          <w:sz w:val="24"/>
          <w:szCs w:val="24"/>
          <w:shd w:val="clear" w:color="auto" w:fill="FFFFFF"/>
        </w:rPr>
        <w:t>[Accessed: 09/10/24].</w:t>
      </w:r>
    </w:p>
    <w:p w14:paraId="20890433" w14:textId="759030A4" w:rsidR="00DC38D5" w:rsidRPr="00DC38D5" w:rsidRDefault="00A76BF1" w:rsidP="00DC38D5">
      <w:pPr>
        <w:pStyle w:val="Default"/>
        <w:spacing w:after="240" w:line="280" w:lineRule="atLeast"/>
        <w:rPr>
          <w:rFonts w:asciiTheme="minorHAnsi" w:eastAsia="Times" w:hAnsiTheme="minorHAnsi" w:cstheme="minorHAnsi"/>
          <w:sz w:val="24"/>
          <w:szCs w:val="24"/>
          <w:shd w:val="clear" w:color="auto" w:fill="FFFFFF"/>
        </w:rPr>
      </w:pPr>
      <w:r w:rsidRPr="00DC38D5">
        <w:rPr>
          <w:rFonts w:asciiTheme="minorHAnsi" w:hAnsiTheme="minorHAnsi" w:cstheme="minorHAnsi"/>
          <w:sz w:val="24"/>
          <w:szCs w:val="24"/>
          <w:shd w:val="clear" w:color="auto" w:fill="FFFFFF"/>
        </w:rPr>
        <w:t>TILLEY, N., ET AL.</w:t>
      </w:r>
      <w:r w:rsidR="00DC38D5" w:rsidRPr="00DC38D5">
        <w:rPr>
          <w:rFonts w:asciiTheme="minorHAnsi" w:hAnsiTheme="minorHAnsi" w:cstheme="minorHAnsi"/>
          <w:sz w:val="24"/>
          <w:szCs w:val="24"/>
          <w:shd w:val="clear" w:color="auto" w:fill="FFFFFF"/>
        </w:rPr>
        <w:t xml:space="preserve"> (2009). Factors influencing police performance in the investigation of volume crimes in England and Wales. </w:t>
      </w:r>
      <w:r w:rsidR="00DC38D5" w:rsidRPr="00DC38D5">
        <w:rPr>
          <w:rFonts w:asciiTheme="minorHAnsi" w:hAnsiTheme="minorHAnsi" w:cstheme="minorHAnsi"/>
          <w:i/>
          <w:iCs/>
          <w:sz w:val="24"/>
          <w:szCs w:val="24"/>
          <w:shd w:val="clear" w:color="auto" w:fill="FFFFFF"/>
        </w:rPr>
        <w:t>Policing and Society</w:t>
      </w:r>
      <w:r w:rsidR="00DC38D5" w:rsidRPr="00DC38D5">
        <w:rPr>
          <w:rFonts w:asciiTheme="minorHAnsi" w:hAnsiTheme="minorHAnsi" w:cstheme="minorHAnsi"/>
          <w:sz w:val="24"/>
          <w:szCs w:val="24"/>
          <w:shd w:val="clear" w:color="auto" w:fill="FFFFFF"/>
        </w:rPr>
        <w:t xml:space="preserve">. Available: </w:t>
      </w:r>
      <w:hyperlink r:id="rId19" w:history="1">
        <w:r w:rsidR="00DC38D5" w:rsidRPr="00DC38D5">
          <w:rPr>
            <w:rFonts w:asciiTheme="minorHAnsi" w:hAnsiTheme="minorHAnsi" w:cstheme="minorHAnsi"/>
            <w:color w:val="0000FF"/>
            <w:sz w:val="24"/>
            <w:szCs w:val="24"/>
            <w:u w:val="single"/>
            <w:lang w:eastAsia="en-US"/>
          </w:rPr>
          <w:t>Factors influencing police performance in the investigation of volume crimes in England and Wales: Police Practice and Research: Vol 10 , No 3 - Get Access (tandfonline.com)</w:t>
        </w:r>
      </w:hyperlink>
      <w:r w:rsidR="00DC38D5" w:rsidRPr="00DC38D5">
        <w:rPr>
          <w:rFonts w:asciiTheme="minorHAnsi" w:hAnsiTheme="minorHAnsi" w:cstheme="minorHAnsi"/>
          <w:sz w:val="24"/>
          <w:szCs w:val="24"/>
          <w:shd w:val="clear" w:color="auto" w:fill="FFFFFF"/>
        </w:rPr>
        <w:t xml:space="preserve"> [Accessed: 11/10/24].</w:t>
      </w:r>
    </w:p>
    <w:p w14:paraId="3A060D4B" w14:textId="77777777" w:rsidR="00756A91" w:rsidRPr="00DC38D5" w:rsidRDefault="00756A91" w:rsidP="00403FD1">
      <w:pPr>
        <w:rPr>
          <w:rFonts w:cstheme="minorHAnsi"/>
          <w:sz w:val="24"/>
          <w:szCs w:val="24"/>
        </w:rPr>
      </w:pPr>
    </w:p>
    <w:p w14:paraId="51A1C9B4" w14:textId="7E956FB1" w:rsidR="00DA2FCE" w:rsidRPr="00DC38D5" w:rsidRDefault="00913BEF" w:rsidP="00DA2FCE">
      <w:pPr>
        <w:jc w:val="center"/>
        <w:rPr>
          <w:rFonts w:cstheme="minorHAnsi"/>
          <w:b/>
          <w:bCs/>
          <w:sz w:val="24"/>
          <w:szCs w:val="24"/>
        </w:rPr>
      </w:pPr>
      <w:r w:rsidRPr="00DC38D5">
        <w:rPr>
          <w:rFonts w:cstheme="minorHAnsi"/>
          <w:sz w:val="24"/>
          <w:szCs w:val="24"/>
        </w:rPr>
        <w:t>***</w:t>
      </w:r>
    </w:p>
    <w:p w14:paraId="658CBB99" w14:textId="77777777" w:rsidR="00DA2FCE" w:rsidRPr="00DC38D5" w:rsidRDefault="00DA2FCE" w:rsidP="00594678">
      <w:pPr>
        <w:rPr>
          <w:rFonts w:cstheme="minorHAnsi"/>
          <w:b/>
          <w:bCs/>
          <w:sz w:val="24"/>
          <w:szCs w:val="24"/>
        </w:rPr>
      </w:pPr>
    </w:p>
    <w:p w14:paraId="64A5769E" w14:textId="46C3EDF5" w:rsidR="00594678" w:rsidRPr="00DC38D5" w:rsidRDefault="00594678" w:rsidP="00594678">
      <w:pPr>
        <w:rPr>
          <w:rFonts w:cstheme="minorHAnsi"/>
          <w:b/>
          <w:bCs/>
          <w:sz w:val="24"/>
          <w:szCs w:val="24"/>
        </w:rPr>
      </w:pPr>
      <w:r w:rsidRPr="00DC38D5">
        <w:rPr>
          <w:rFonts w:cstheme="minorHAnsi"/>
          <w:b/>
          <w:bCs/>
          <w:sz w:val="24"/>
          <w:szCs w:val="24"/>
        </w:rPr>
        <w:t xml:space="preserve">Essay four: </w:t>
      </w:r>
    </w:p>
    <w:p w14:paraId="4D660017" w14:textId="3531B79A" w:rsidR="00594678" w:rsidRPr="00406AE7" w:rsidRDefault="00594678" w:rsidP="00594678">
      <w:pPr>
        <w:rPr>
          <w:rFonts w:cstheme="minorHAnsi"/>
          <w:b/>
          <w:bCs/>
          <w:sz w:val="24"/>
          <w:szCs w:val="24"/>
        </w:rPr>
      </w:pPr>
      <w:r w:rsidRPr="00406AE7">
        <w:rPr>
          <w:rFonts w:cstheme="minorHAnsi"/>
          <w:b/>
          <w:bCs/>
          <w:sz w:val="24"/>
          <w:szCs w:val="24"/>
        </w:rPr>
        <w:t>Outline potential links between serious and organised crime and public protection issues. What</w:t>
      </w:r>
      <w:r w:rsidR="00117BCA" w:rsidRPr="00406AE7">
        <w:rPr>
          <w:rFonts w:cstheme="minorHAnsi"/>
          <w:b/>
          <w:bCs/>
          <w:sz w:val="24"/>
          <w:szCs w:val="24"/>
        </w:rPr>
        <w:t xml:space="preserve"> c</w:t>
      </w:r>
      <w:r w:rsidRPr="00406AE7">
        <w:rPr>
          <w:rFonts w:cstheme="minorHAnsi"/>
          <w:b/>
          <w:bCs/>
          <w:sz w:val="24"/>
          <w:szCs w:val="24"/>
        </w:rPr>
        <w:t>haracteristics make some people more vulnerable to exploitation by serious and organised crime gangs?</w:t>
      </w:r>
    </w:p>
    <w:p w14:paraId="2DD9DAE3" w14:textId="27F1079E" w:rsidR="00D81F25" w:rsidRPr="00406AE7" w:rsidRDefault="00594678" w:rsidP="00D81F25">
      <w:pPr>
        <w:rPr>
          <w:rFonts w:cstheme="minorHAnsi"/>
          <w:b/>
          <w:bCs/>
          <w:sz w:val="24"/>
          <w:szCs w:val="24"/>
        </w:rPr>
      </w:pPr>
      <w:r w:rsidRPr="00406AE7">
        <w:rPr>
          <w:rFonts w:cstheme="minorHAnsi"/>
          <w:b/>
          <w:bCs/>
          <w:sz w:val="24"/>
          <w:szCs w:val="24"/>
        </w:rPr>
        <w:t>Word limit: 1000 words.</w:t>
      </w:r>
    </w:p>
    <w:p w14:paraId="4697351E" w14:textId="12504E55" w:rsidR="007A7990" w:rsidRPr="00DC38D5" w:rsidRDefault="007A7990" w:rsidP="007A7990">
      <w:pPr>
        <w:pStyle w:val="Default"/>
        <w:spacing w:after="240" w:line="280" w:lineRule="atLeast"/>
        <w:rPr>
          <w:rFonts w:asciiTheme="minorHAnsi" w:eastAsia="Helvetica" w:hAnsiTheme="minorHAnsi" w:cstheme="minorHAnsi"/>
          <w:b/>
          <w:bCs/>
          <w:sz w:val="24"/>
          <w:szCs w:val="24"/>
        </w:rPr>
      </w:pPr>
      <w:r w:rsidRPr="00DC38D5">
        <w:rPr>
          <w:rFonts w:asciiTheme="minorHAnsi" w:hAnsiTheme="minorHAnsi" w:cstheme="minorHAnsi"/>
          <w:sz w:val="24"/>
          <w:szCs w:val="24"/>
        </w:rPr>
        <w:t xml:space="preserve">Serious and organised crime (SOC) presents a significant threat to public protection, intertwining with various aspects of society and exploiting vulnerable individuals. Understanding the connections between SOC and public protection issues is crucial for developing effective strategies to combat these threats. This essay explores the links </w:t>
      </w:r>
      <w:r w:rsidRPr="00DC38D5">
        <w:rPr>
          <w:rFonts w:asciiTheme="minorHAnsi" w:hAnsiTheme="minorHAnsi" w:cstheme="minorHAnsi"/>
          <w:sz w:val="24"/>
          <w:szCs w:val="24"/>
        </w:rPr>
        <w:lastRenderedPageBreak/>
        <w:t>between serious and organised crime and public protection, identifying characteristics that render certain individuals more susceptible to exploitation by these criminal entities.</w:t>
      </w:r>
    </w:p>
    <w:p w14:paraId="1C54655D" w14:textId="77777777" w:rsidR="007A7990" w:rsidRPr="00DC38D5" w:rsidRDefault="007A7990" w:rsidP="007A7990">
      <w:pPr>
        <w:pStyle w:val="Default"/>
        <w:spacing w:after="240" w:line="280" w:lineRule="atLeast"/>
        <w:rPr>
          <w:rFonts w:asciiTheme="minorHAnsi" w:eastAsia="Helvetica" w:hAnsiTheme="minorHAnsi" w:cstheme="minorHAnsi"/>
          <w:sz w:val="24"/>
          <w:szCs w:val="24"/>
        </w:rPr>
      </w:pPr>
      <w:r w:rsidRPr="00DC38D5">
        <w:rPr>
          <w:rFonts w:asciiTheme="minorHAnsi" w:hAnsiTheme="minorHAnsi" w:cstheme="minorHAnsi"/>
          <w:sz w:val="24"/>
          <w:szCs w:val="24"/>
        </w:rPr>
        <w:t>Serious and organised crime encompasses a wide range of illegal activities, including drug trafficking, human trafficking, and cybercrime, which directly impact public safety and security. The complexity of SOC lies in its ability to infiltrate legitimate sectors, creating a multifaceted threat to public protection. For instance, SOC gangs often engage in human trafficking, exploiting vulnerable individuals for labor or sexual exploitation, thus directly harming public welfare (Allum, 2019). This exploitation not only violates individual rights but also burdens public health and social services.</w:t>
      </w:r>
    </w:p>
    <w:p w14:paraId="4FAAC16F" w14:textId="3FB3186F" w:rsidR="007A7990" w:rsidRPr="00DC38D5" w:rsidRDefault="007A7990" w:rsidP="007A7990">
      <w:pPr>
        <w:pStyle w:val="Default"/>
        <w:spacing w:after="240" w:line="280" w:lineRule="atLeast"/>
        <w:rPr>
          <w:rFonts w:asciiTheme="minorHAnsi" w:eastAsia="Helvetica" w:hAnsiTheme="minorHAnsi" w:cstheme="minorHAnsi"/>
          <w:sz w:val="24"/>
          <w:szCs w:val="24"/>
        </w:rPr>
      </w:pPr>
      <w:r w:rsidRPr="00DC38D5">
        <w:rPr>
          <w:rFonts w:asciiTheme="minorHAnsi" w:hAnsiTheme="minorHAnsi" w:cstheme="minorHAnsi"/>
          <w:sz w:val="24"/>
          <w:szCs w:val="24"/>
        </w:rPr>
        <w:t>Organised crime groups (OCGs) use sophisticated methods to evade law enforcement, including corruption, violence, and intimidation, which further complicates efforts to protect the public. The integration of technology into criminal operations has enhanced the capacity of these groups to commit crimes on a global scale, making it harder for authorities to track and apprehend offenders (Broadhurst et al., 2014). Consequently, the pervasive nature of SOC necessitates a comprehensive approach to public protection that addresses both the direct and indirect impacts of organised criminal activities.</w:t>
      </w:r>
    </w:p>
    <w:p w14:paraId="64CB9FC1" w14:textId="77777777" w:rsidR="007A7990" w:rsidRPr="00DC38D5" w:rsidRDefault="007A7990" w:rsidP="007A7990">
      <w:pPr>
        <w:pStyle w:val="Default"/>
        <w:spacing w:after="240" w:line="280" w:lineRule="atLeast"/>
        <w:rPr>
          <w:rFonts w:asciiTheme="minorHAnsi" w:eastAsia="Helvetica" w:hAnsiTheme="minorHAnsi" w:cstheme="minorHAnsi"/>
          <w:sz w:val="24"/>
          <w:szCs w:val="24"/>
        </w:rPr>
      </w:pPr>
      <w:r w:rsidRPr="00DC38D5">
        <w:rPr>
          <w:rFonts w:asciiTheme="minorHAnsi" w:hAnsiTheme="minorHAnsi" w:cstheme="minorHAnsi"/>
          <w:sz w:val="24"/>
          <w:szCs w:val="24"/>
        </w:rPr>
        <w:t>One specific tactic used by SOC gangs is cuckooing, where criminals take over the homes of vulnerable individuals to use as bases for drug dealing. This form of exploitation severely impacts public protection by turning residential areas into hubs of criminal activity, thereby increasing community risks (Spicer, 2019). Vulnerable individuals, such as those with mental health issues or substance abuse problems, are often targeted for cuckooing. These individuals are coerced through threats or violence, exacerbating their already precarious situations and further entrenching them in the criminal underworld.</w:t>
      </w:r>
    </w:p>
    <w:p w14:paraId="4A4E373A" w14:textId="77777777" w:rsidR="007A7990" w:rsidRPr="00DC38D5" w:rsidRDefault="007A7990" w:rsidP="007A7990">
      <w:pPr>
        <w:pStyle w:val="Default"/>
        <w:spacing w:after="240" w:line="280" w:lineRule="atLeast"/>
        <w:rPr>
          <w:rFonts w:asciiTheme="minorHAnsi" w:eastAsia="Helvetica" w:hAnsiTheme="minorHAnsi" w:cstheme="minorHAnsi"/>
          <w:sz w:val="24"/>
          <w:szCs w:val="24"/>
        </w:rPr>
      </w:pPr>
      <w:r w:rsidRPr="00DC38D5">
        <w:rPr>
          <w:rFonts w:asciiTheme="minorHAnsi" w:hAnsiTheme="minorHAnsi" w:cstheme="minorHAnsi"/>
          <w:sz w:val="24"/>
          <w:szCs w:val="24"/>
        </w:rPr>
        <w:t>Several factors contribute to the vulnerability of individuals to exploitation by serious and organised crime gangs. Socioeconomic deprivation is a primary factor, as individuals from impoverished backgrounds often lack access to resources and opportunities, making them easy targets for recruitment and exploitation. Criminal gangs exploit these vulnerabilities by offering financial incentives or false promises of a better life (Aronowitz, 2019). Moreover, individuals with limited social support networks are more likely to fall prey to these gangs, as they may lack the means to seek help or resist coercion.</w:t>
      </w:r>
    </w:p>
    <w:p w14:paraId="35A99B57" w14:textId="77777777" w:rsidR="007A7990" w:rsidRPr="00DC38D5" w:rsidRDefault="007A7990" w:rsidP="007A7990">
      <w:pPr>
        <w:pStyle w:val="Default"/>
        <w:spacing w:after="240" w:line="280" w:lineRule="atLeast"/>
        <w:rPr>
          <w:rFonts w:asciiTheme="minorHAnsi" w:eastAsia="Helvetica" w:hAnsiTheme="minorHAnsi" w:cstheme="minorHAnsi"/>
          <w:sz w:val="24"/>
          <w:szCs w:val="24"/>
        </w:rPr>
      </w:pPr>
      <w:r w:rsidRPr="00DC38D5">
        <w:rPr>
          <w:rFonts w:asciiTheme="minorHAnsi" w:hAnsiTheme="minorHAnsi" w:cstheme="minorHAnsi"/>
          <w:sz w:val="24"/>
          <w:szCs w:val="24"/>
        </w:rPr>
        <w:t>Educational attainment also plays a crucial role in determining vulnerability. It has been found that those with lower levels of education are often less aware of the risks associated with SOC and may be more easily deceived by criminals and criminal schemes. Additionally, mental health issues and substance abuse further exacerbate vulnerability, as individuals struggling with these problems may be more susceptible to manipulation and exploitation (Schneider, 2019). The intersection of these factors creates a complex web of vulnerability that SOC gangs can exploit to further their criminal enterprises.</w:t>
      </w:r>
    </w:p>
    <w:p w14:paraId="484D028B" w14:textId="77777777" w:rsidR="007A7990" w:rsidRPr="00DC38D5" w:rsidRDefault="007A7990" w:rsidP="007A7990">
      <w:pPr>
        <w:pStyle w:val="Default"/>
        <w:spacing w:after="240" w:line="280" w:lineRule="atLeast"/>
        <w:rPr>
          <w:rFonts w:asciiTheme="minorHAnsi" w:eastAsia="Helvetica" w:hAnsiTheme="minorHAnsi" w:cstheme="minorHAnsi"/>
          <w:sz w:val="24"/>
          <w:szCs w:val="24"/>
        </w:rPr>
      </w:pPr>
      <w:r w:rsidRPr="00DC38D5">
        <w:rPr>
          <w:rFonts w:asciiTheme="minorHAnsi" w:hAnsiTheme="minorHAnsi" w:cstheme="minorHAnsi"/>
          <w:sz w:val="24"/>
          <w:szCs w:val="24"/>
        </w:rPr>
        <w:t>Research highlights various case studies that illustrate the exploitation of vulnerable individuals by SOC gangs. For instance, a study by the National MAPPA Research Institute revealed that individuals under multi-agency public protection arrangements (MAPPA) are often targeted by criminal gangs due to their vulnerable status and previous criminal records (</w:t>
      </w:r>
      <w:proofErr w:type="spellStart"/>
      <w:r w:rsidRPr="00DC38D5">
        <w:rPr>
          <w:rFonts w:asciiTheme="minorHAnsi" w:hAnsiTheme="minorHAnsi" w:cstheme="minorHAnsi"/>
          <w:sz w:val="24"/>
          <w:szCs w:val="24"/>
        </w:rPr>
        <w:t>Kemshall</w:t>
      </w:r>
      <w:proofErr w:type="spellEnd"/>
      <w:r w:rsidRPr="00DC38D5">
        <w:rPr>
          <w:rFonts w:asciiTheme="minorHAnsi" w:hAnsiTheme="minorHAnsi" w:cstheme="minorHAnsi"/>
          <w:sz w:val="24"/>
          <w:szCs w:val="24"/>
        </w:rPr>
        <w:t xml:space="preserve"> et al., 2018). These individuals are coerced into participating in illegal </w:t>
      </w:r>
      <w:r w:rsidRPr="00DC38D5">
        <w:rPr>
          <w:rFonts w:asciiTheme="minorHAnsi" w:hAnsiTheme="minorHAnsi" w:cstheme="minorHAnsi"/>
          <w:sz w:val="24"/>
          <w:szCs w:val="24"/>
        </w:rPr>
        <w:lastRenderedPageBreak/>
        <w:t>activities, such as drug trafficking or fraud, under the threat of violence or further legal repercussions.</w:t>
      </w:r>
    </w:p>
    <w:p w14:paraId="5B7F562B" w14:textId="5123E8C3" w:rsidR="006741B4" w:rsidRPr="00DC38D5" w:rsidRDefault="007A7990" w:rsidP="007A7990">
      <w:pPr>
        <w:pStyle w:val="Default"/>
        <w:spacing w:after="240" w:line="280" w:lineRule="atLeast"/>
        <w:rPr>
          <w:rFonts w:asciiTheme="minorHAnsi" w:hAnsiTheme="minorHAnsi" w:cstheme="minorHAnsi"/>
          <w:sz w:val="24"/>
          <w:szCs w:val="24"/>
        </w:rPr>
      </w:pPr>
      <w:r w:rsidRPr="00DC38D5">
        <w:rPr>
          <w:rFonts w:asciiTheme="minorHAnsi" w:hAnsiTheme="minorHAnsi" w:cstheme="minorHAnsi"/>
          <w:sz w:val="24"/>
          <w:szCs w:val="24"/>
        </w:rPr>
        <w:t>Another study focusing on child exploitation found that children from unstable family backgrounds or those in the foster care system are at heightened risk of being groomed and exploited by criminal gangs (Ward &amp; Patel, 2019). These children are often lured with gifts, attention, and a semblance of familial support, only to be subjected to severe abuse and exploitation (ibid). The findings underscore the importance of robust public protection measures that address the specific needs of these vulnerable populations.</w:t>
      </w:r>
    </w:p>
    <w:p w14:paraId="1940C8F5" w14:textId="77777777" w:rsidR="007A7990" w:rsidRPr="00DC38D5" w:rsidRDefault="007A7990" w:rsidP="007A7990">
      <w:pPr>
        <w:pStyle w:val="Default"/>
        <w:spacing w:after="240" w:line="280" w:lineRule="atLeast"/>
        <w:rPr>
          <w:rFonts w:asciiTheme="minorHAnsi" w:eastAsia="Helvetica" w:hAnsiTheme="minorHAnsi" w:cstheme="minorHAnsi"/>
          <w:sz w:val="24"/>
          <w:szCs w:val="24"/>
        </w:rPr>
      </w:pPr>
      <w:r w:rsidRPr="00DC38D5">
        <w:rPr>
          <w:rFonts w:asciiTheme="minorHAnsi" w:hAnsiTheme="minorHAnsi" w:cstheme="minorHAnsi"/>
          <w:sz w:val="24"/>
          <w:szCs w:val="24"/>
        </w:rPr>
        <w:t>To mitigate the risks posed by serious and organised crime to public protection, it is essential to implement comprehensive preventive measures. Strengthening community resilience through education and awareness programs can empower individuals to recognise and resist exploitation attempts by criminal gangs. Enhancing law enforcement capabilities through advanced training and technological resources is also critical for effectively combating SOC (Allum, 2019).</w:t>
      </w:r>
    </w:p>
    <w:p w14:paraId="656A182C" w14:textId="5BFD7484" w:rsidR="007A7990" w:rsidRPr="00DC38D5" w:rsidRDefault="007A7990" w:rsidP="007A7990">
      <w:pPr>
        <w:pStyle w:val="Default"/>
        <w:spacing w:after="240" w:line="280" w:lineRule="atLeast"/>
        <w:rPr>
          <w:rFonts w:asciiTheme="minorHAnsi" w:eastAsia="Helvetica" w:hAnsiTheme="minorHAnsi" w:cstheme="minorHAnsi"/>
          <w:sz w:val="24"/>
          <w:szCs w:val="24"/>
        </w:rPr>
      </w:pPr>
      <w:r w:rsidRPr="00DC38D5">
        <w:rPr>
          <w:rFonts w:asciiTheme="minorHAnsi" w:hAnsiTheme="minorHAnsi" w:cstheme="minorHAnsi"/>
          <w:sz w:val="24"/>
          <w:szCs w:val="24"/>
        </w:rPr>
        <w:t>Policy initiatives should focus on addressing the root causes of vulnerability, such as poverty, lack of education, and social isolation. Providing support services for individuals with mental health issues and substance abuse problems can reduce their susceptibility to exploitation. Additionally, fostering collaboration and consistent procedures between law enforcement agencies - such as</w:t>
      </w:r>
      <w:r w:rsidRPr="00DC38D5">
        <w:rPr>
          <w:rFonts w:asciiTheme="minorHAnsi" w:hAnsiTheme="minorHAnsi" w:cstheme="minorHAnsi"/>
          <w:sz w:val="24"/>
          <w:szCs w:val="24"/>
          <w:lang w:val="fr-FR"/>
        </w:rPr>
        <w:t xml:space="preserve"> social services</w:t>
      </w:r>
      <w:r w:rsidRPr="00DC38D5">
        <w:rPr>
          <w:rFonts w:asciiTheme="minorHAnsi" w:hAnsiTheme="minorHAnsi" w:cstheme="minorHAnsi"/>
          <w:sz w:val="24"/>
          <w:szCs w:val="24"/>
        </w:rPr>
        <w:t xml:space="preserve">, and community </w:t>
      </w:r>
      <w:proofErr w:type="spellStart"/>
      <w:r w:rsidRPr="00DC38D5">
        <w:rPr>
          <w:rFonts w:asciiTheme="minorHAnsi" w:hAnsiTheme="minorHAnsi" w:cstheme="minorHAnsi"/>
          <w:sz w:val="24"/>
          <w:szCs w:val="24"/>
        </w:rPr>
        <w:t>organisa</w:t>
      </w:r>
      <w:r w:rsidRPr="00DC38D5">
        <w:rPr>
          <w:rFonts w:asciiTheme="minorHAnsi" w:hAnsiTheme="minorHAnsi" w:cstheme="minorHAnsi"/>
          <w:sz w:val="24"/>
          <w:szCs w:val="24"/>
          <w:lang w:val="fr-FR"/>
        </w:rPr>
        <w:t>tions</w:t>
      </w:r>
      <w:proofErr w:type="spellEnd"/>
      <w:r w:rsidRPr="00DC38D5">
        <w:rPr>
          <w:rFonts w:asciiTheme="minorHAnsi" w:hAnsiTheme="minorHAnsi" w:cstheme="minorHAnsi"/>
          <w:sz w:val="24"/>
          <w:szCs w:val="24"/>
        </w:rPr>
        <w:t>, is vital for creating a holistic approach to public protection (Schneider, 2019).</w:t>
      </w:r>
    </w:p>
    <w:p w14:paraId="0F93432B" w14:textId="535BB763" w:rsidR="00B373C2" w:rsidRPr="00DC38D5" w:rsidRDefault="00D81F25" w:rsidP="007A7990">
      <w:pPr>
        <w:pStyle w:val="Default"/>
        <w:spacing w:after="240" w:line="280" w:lineRule="atLeast"/>
        <w:rPr>
          <w:rFonts w:asciiTheme="minorHAnsi" w:hAnsiTheme="minorHAnsi" w:cstheme="minorHAnsi"/>
          <w:sz w:val="24"/>
          <w:szCs w:val="24"/>
        </w:rPr>
      </w:pPr>
      <w:r w:rsidRPr="00DC38D5">
        <w:rPr>
          <w:rFonts w:asciiTheme="minorHAnsi" w:hAnsiTheme="minorHAnsi" w:cstheme="minorHAnsi"/>
          <w:sz w:val="24"/>
          <w:szCs w:val="24"/>
        </w:rPr>
        <w:t>In conclusion, s</w:t>
      </w:r>
      <w:r w:rsidR="007A7990" w:rsidRPr="00DC38D5">
        <w:rPr>
          <w:rFonts w:asciiTheme="minorHAnsi" w:hAnsiTheme="minorHAnsi" w:cstheme="minorHAnsi"/>
          <w:sz w:val="24"/>
          <w:szCs w:val="24"/>
        </w:rPr>
        <w:t>erious and organised crime poses a significant threat to public protection, exploiting vulnerabilities in individuals and communities to further criminal objectives. Socioeconomic deprivation, lack of education, and mental health issues are key factors that make individuals more susceptible to exploitation by SOC gangs. Addressing these vulnerabilities through comprehensive preventive measures and policy initiatives is crucial for safeguarding public safety and combating the pervasive influence of organised crime. As the police service</w:t>
      </w:r>
      <w:r w:rsidR="007A7990" w:rsidRPr="00DC38D5">
        <w:rPr>
          <w:rFonts w:asciiTheme="minorHAnsi" w:hAnsiTheme="minorHAnsi" w:cstheme="minorHAnsi"/>
          <w:sz w:val="24"/>
          <w:szCs w:val="24"/>
          <w:lang w:val="fr-FR"/>
        </w:rPr>
        <w:t xml:space="preserve"> continue</w:t>
      </w:r>
      <w:r w:rsidR="007A7990" w:rsidRPr="00DC38D5">
        <w:rPr>
          <w:rFonts w:asciiTheme="minorHAnsi" w:hAnsiTheme="minorHAnsi" w:cstheme="minorHAnsi"/>
          <w:sz w:val="24"/>
          <w:szCs w:val="24"/>
        </w:rPr>
        <w:t>s to develop strategies to protect vulnerable populations, a collaborative approach that integrates law enforcement, social services, and community support will be essential in mitigating the risks associated with serious and organised crime.</w:t>
      </w:r>
    </w:p>
    <w:p w14:paraId="41214037" w14:textId="04C2D799" w:rsidR="006741B4" w:rsidRPr="00DC38D5" w:rsidRDefault="00B373C2" w:rsidP="00B373C2">
      <w:pPr>
        <w:pStyle w:val="Default"/>
        <w:spacing w:after="240" w:line="280" w:lineRule="atLeast"/>
        <w:rPr>
          <w:rFonts w:asciiTheme="minorHAnsi" w:hAnsiTheme="minorHAnsi" w:cstheme="minorHAnsi"/>
          <w:sz w:val="24"/>
          <w:szCs w:val="24"/>
          <w:lang w:val="en-GB"/>
        </w:rPr>
      </w:pPr>
      <w:r w:rsidRPr="00DC38D5">
        <w:rPr>
          <w:rFonts w:asciiTheme="minorHAnsi" w:hAnsiTheme="minorHAnsi" w:cstheme="minorHAnsi"/>
          <w:b/>
          <w:bCs/>
          <w:sz w:val="24"/>
          <w:szCs w:val="24"/>
        </w:rPr>
        <w:t>R</w:t>
      </w:r>
      <w:r w:rsidR="00D81F25" w:rsidRPr="00DC38D5">
        <w:rPr>
          <w:rFonts w:asciiTheme="minorHAnsi" w:hAnsiTheme="minorHAnsi" w:cstheme="minorHAnsi"/>
          <w:b/>
          <w:bCs/>
          <w:sz w:val="24"/>
          <w:szCs w:val="24"/>
        </w:rPr>
        <w:t>eferences</w:t>
      </w:r>
      <w:r w:rsidR="006741B4" w:rsidRPr="00DC38D5">
        <w:rPr>
          <w:rFonts w:asciiTheme="minorHAnsi" w:hAnsiTheme="minorHAnsi" w:cstheme="minorHAnsi"/>
          <w:b/>
          <w:bCs/>
          <w:sz w:val="24"/>
          <w:szCs w:val="24"/>
        </w:rPr>
        <w:t>:</w:t>
      </w:r>
    </w:p>
    <w:p w14:paraId="4C2A35FB" w14:textId="009722DE" w:rsidR="00B373C2" w:rsidRPr="00DC38D5" w:rsidRDefault="00B373C2" w:rsidP="00B373C2">
      <w:pPr>
        <w:pStyle w:val="Default"/>
        <w:spacing w:after="240" w:line="280" w:lineRule="atLeast"/>
        <w:rPr>
          <w:rFonts w:asciiTheme="minorHAnsi" w:hAnsiTheme="minorHAnsi" w:cstheme="minorHAnsi"/>
          <w:sz w:val="24"/>
          <w:szCs w:val="24"/>
          <w:lang w:val="en-GB"/>
        </w:rPr>
      </w:pPr>
      <w:r w:rsidRPr="00DC38D5">
        <w:rPr>
          <w:rFonts w:asciiTheme="minorHAnsi" w:hAnsiTheme="minorHAnsi" w:cstheme="minorHAnsi"/>
          <w:sz w:val="24"/>
          <w:szCs w:val="24"/>
          <w:lang w:val="en-GB"/>
        </w:rPr>
        <w:t xml:space="preserve">ALLUM, F., 2019. The invisible underworld: Investigating organized crime in the digital era. </w:t>
      </w:r>
      <w:r w:rsidRPr="00DC38D5">
        <w:rPr>
          <w:rFonts w:asciiTheme="minorHAnsi" w:hAnsiTheme="minorHAnsi" w:cstheme="minorHAnsi"/>
          <w:i/>
          <w:iCs/>
          <w:sz w:val="24"/>
          <w:szCs w:val="24"/>
          <w:lang w:val="en-GB"/>
        </w:rPr>
        <w:t>Trends in Organized Crime</w:t>
      </w:r>
      <w:r w:rsidRPr="00DC38D5">
        <w:rPr>
          <w:rFonts w:asciiTheme="minorHAnsi" w:hAnsiTheme="minorHAnsi" w:cstheme="minorHAnsi"/>
          <w:sz w:val="24"/>
          <w:szCs w:val="24"/>
          <w:lang w:val="en-GB"/>
        </w:rPr>
        <w:t xml:space="preserve">, 22(4), pp. 351–368. Available at: </w:t>
      </w:r>
      <w:hyperlink r:id="rId20" w:tgtFrame="_new" w:history="1">
        <w:r w:rsidRPr="00DC38D5">
          <w:rPr>
            <w:rStyle w:val="Hyperlink"/>
            <w:rFonts w:asciiTheme="minorHAnsi" w:hAnsiTheme="minorHAnsi" w:cstheme="minorHAnsi"/>
            <w:sz w:val="24"/>
            <w:szCs w:val="24"/>
            <w:lang w:val="en-GB"/>
          </w:rPr>
          <w:t>https://link.springer.com/article/10.1007/s12117-019-09368-5</w:t>
        </w:r>
      </w:hyperlink>
      <w:r w:rsidRPr="00DC38D5">
        <w:rPr>
          <w:rFonts w:asciiTheme="minorHAnsi" w:hAnsiTheme="minorHAnsi" w:cstheme="minorHAnsi"/>
          <w:sz w:val="24"/>
          <w:szCs w:val="24"/>
          <w:lang w:val="en-GB"/>
        </w:rPr>
        <w:t> [Accessed 03 September 2024].</w:t>
      </w:r>
    </w:p>
    <w:p w14:paraId="0A65C045" w14:textId="77777777" w:rsidR="00B373C2" w:rsidRPr="00DC38D5" w:rsidRDefault="00B373C2" w:rsidP="00B373C2">
      <w:pPr>
        <w:pStyle w:val="Default"/>
        <w:spacing w:after="240" w:line="280" w:lineRule="atLeast"/>
        <w:rPr>
          <w:rFonts w:asciiTheme="minorHAnsi" w:hAnsiTheme="minorHAnsi" w:cstheme="minorHAnsi"/>
          <w:sz w:val="24"/>
          <w:szCs w:val="24"/>
          <w:lang w:val="en-GB"/>
        </w:rPr>
      </w:pPr>
      <w:r w:rsidRPr="00DC38D5">
        <w:rPr>
          <w:rFonts w:asciiTheme="minorHAnsi" w:hAnsiTheme="minorHAnsi" w:cstheme="minorHAnsi"/>
          <w:sz w:val="24"/>
          <w:szCs w:val="24"/>
          <w:lang w:val="en-GB"/>
        </w:rPr>
        <w:t xml:space="preserve">ARONOWITZ, A., 2019. Exploitation in human trafficking: The vulnerability of victims. </w:t>
      </w:r>
      <w:r w:rsidRPr="00DC38D5">
        <w:rPr>
          <w:rFonts w:asciiTheme="minorHAnsi" w:hAnsiTheme="minorHAnsi" w:cstheme="minorHAnsi"/>
          <w:i/>
          <w:iCs/>
          <w:sz w:val="24"/>
          <w:szCs w:val="24"/>
          <w:lang w:val="en-GB"/>
        </w:rPr>
        <w:t>Crime, Law and Social Change</w:t>
      </w:r>
      <w:r w:rsidRPr="00DC38D5">
        <w:rPr>
          <w:rFonts w:asciiTheme="minorHAnsi" w:hAnsiTheme="minorHAnsi" w:cstheme="minorHAnsi"/>
          <w:sz w:val="24"/>
          <w:szCs w:val="24"/>
          <w:lang w:val="en-GB"/>
        </w:rPr>
        <w:t xml:space="preserve">, 72(2), pp. 123–137. Available at: </w:t>
      </w:r>
      <w:hyperlink r:id="rId21" w:tgtFrame="_new" w:history="1">
        <w:r w:rsidRPr="00DC38D5">
          <w:rPr>
            <w:rStyle w:val="Hyperlink"/>
            <w:rFonts w:asciiTheme="minorHAnsi" w:hAnsiTheme="minorHAnsi" w:cstheme="minorHAnsi"/>
            <w:sz w:val="24"/>
            <w:szCs w:val="24"/>
            <w:lang w:val="en-GB"/>
          </w:rPr>
          <w:t>https://onlinelibrary.wiley.com/doi/full/10.1002/car.2704</w:t>
        </w:r>
      </w:hyperlink>
      <w:r w:rsidRPr="00DC38D5">
        <w:rPr>
          <w:rFonts w:asciiTheme="minorHAnsi" w:hAnsiTheme="minorHAnsi" w:cstheme="minorHAnsi"/>
          <w:sz w:val="24"/>
          <w:szCs w:val="24"/>
          <w:lang w:val="en-GB"/>
        </w:rPr>
        <w:t> [Accessed 03 September 2024].</w:t>
      </w:r>
    </w:p>
    <w:p w14:paraId="7C8DC19F" w14:textId="77777777" w:rsidR="00B373C2" w:rsidRPr="00DC38D5" w:rsidRDefault="00B373C2" w:rsidP="00B373C2">
      <w:pPr>
        <w:pStyle w:val="Default"/>
        <w:spacing w:after="240" w:line="280" w:lineRule="atLeast"/>
        <w:rPr>
          <w:rFonts w:asciiTheme="minorHAnsi" w:hAnsiTheme="minorHAnsi" w:cstheme="minorHAnsi"/>
          <w:sz w:val="24"/>
          <w:szCs w:val="24"/>
          <w:lang w:val="en-GB"/>
        </w:rPr>
      </w:pPr>
      <w:r w:rsidRPr="00DC38D5">
        <w:rPr>
          <w:rFonts w:asciiTheme="minorHAnsi" w:hAnsiTheme="minorHAnsi" w:cstheme="minorHAnsi"/>
          <w:sz w:val="24"/>
          <w:szCs w:val="24"/>
          <w:lang w:val="en-GB"/>
        </w:rPr>
        <w:t xml:space="preserve">BROADHURST, R., GRABOSKY, P., ALAZAB, M. and CHON, S., 2014. Cybercrime: The challenge for law enforcement. </w:t>
      </w:r>
      <w:r w:rsidRPr="00DC38D5">
        <w:rPr>
          <w:rFonts w:asciiTheme="minorHAnsi" w:hAnsiTheme="minorHAnsi" w:cstheme="minorHAnsi"/>
          <w:i/>
          <w:iCs/>
          <w:sz w:val="24"/>
          <w:szCs w:val="24"/>
          <w:lang w:val="en-GB"/>
        </w:rPr>
        <w:t>International Journal of Cyber Criminology</w:t>
      </w:r>
      <w:r w:rsidRPr="00DC38D5">
        <w:rPr>
          <w:rFonts w:asciiTheme="minorHAnsi" w:hAnsiTheme="minorHAnsi" w:cstheme="minorHAnsi"/>
          <w:sz w:val="24"/>
          <w:szCs w:val="24"/>
          <w:lang w:val="en-GB"/>
        </w:rPr>
        <w:t xml:space="preserve">, 8(1), pp. 48–61. Available at: </w:t>
      </w:r>
      <w:hyperlink r:id="rId22" w:tgtFrame="_new" w:history="1">
        <w:r w:rsidRPr="00DC38D5">
          <w:rPr>
            <w:rStyle w:val="Hyperlink"/>
            <w:rFonts w:asciiTheme="minorHAnsi" w:hAnsiTheme="minorHAnsi" w:cstheme="minorHAnsi"/>
            <w:sz w:val="24"/>
            <w:szCs w:val="24"/>
            <w:lang w:val="en-GB"/>
          </w:rPr>
          <w:t>https://www.aru.ac.uk/international-policing-and-public-protection-research-institute/research/national-mappa-research</w:t>
        </w:r>
      </w:hyperlink>
      <w:r w:rsidRPr="00DC38D5">
        <w:rPr>
          <w:rFonts w:asciiTheme="minorHAnsi" w:hAnsiTheme="minorHAnsi" w:cstheme="minorHAnsi"/>
          <w:sz w:val="24"/>
          <w:szCs w:val="24"/>
          <w:lang w:val="en-GB"/>
        </w:rPr>
        <w:t> [Accessed 03 September 2024].</w:t>
      </w:r>
    </w:p>
    <w:p w14:paraId="6549F78E" w14:textId="77777777" w:rsidR="00B373C2" w:rsidRPr="00DC38D5" w:rsidRDefault="00B373C2" w:rsidP="00B373C2">
      <w:pPr>
        <w:pStyle w:val="Default"/>
        <w:spacing w:after="240" w:line="280" w:lineRule="atLeast"/>
        <w:rPr>
          <w:rFonts w:asciiTheme="minorHAnsi" w:hAnsiTheme="minorHAnsi" w:cstheme="minorHAnsi"/>
          <w:sz w:val="24"/>
          <w:szCs w:val="24"/>
          <w:lang w:val="en-GB"/>
        </w:rPr>
      </w:pPr>
      <w:r w:rsidRPr="00DC38D5">
        <w:rPr>
          <w:rFonts w:asciiTheme="minorHAnsi" w:hAnsiTheme="minorHAnsi" w:cstheme="minorHAnsi"/>
          <w:sz w:val="24"/>
          <w:szCs w:val="24"/>
          <w:lang w:val="en-GB"/>
        </w:rPr>
        <w:lastRenderedPageBreak/>
        <w:t xml:space="preserve">KEMSHALL, H., WOOD, J. and WESTWOOD, S., 2018. Working with MAPPA: Ethics and pragmatics. </w:t>
      </w:r>
      <w:r w:rsidRPr="00DC38D5">
        <w:rPr>
          <w:rFonts w:asciiTheme="minorHAnsi" w:hAnsiTheme="minorHAnsi" w:cstheme="minorHAnsi"/>
          <w:i/>
          <w:iCs/>
          <w:sz w:val="24"/>
          <w:szCs w:val="24"/>
          <w:lang w:val="en-GB"/>
        </w:rPr>
        <w:t>Journal of Criminal Justice Ethics</w:t>
      </w:r>
      <w:r w:rsidRPr="00DC38D5">
        <w:rPr>
          <w:rFonts w:asciiTheme="minorHAnsi" w:hAnsiTheme="minorHAnsi" w:cstheme="minorHAnsi"/>
          <w:sz w:val="24"/>
          <w:szCs w:val="24"/>
          <w:lang w:val="en-GB"/>
        </w:rPr>
        <w:t xml:space="preserve">, 37(1), pp. 24–41. Available at: </w:t>
      </w:r>
      <w:hyperlink r:id="rId23" w:tgtFrame="_new" w:history="1">
        <w:r w:rsidRPr="00DC38D5">
          <w:rPr>
            <w:rStyle w:val="Hyperlink"/>
            <w:rFonts w:asciiTheme="minorHAnsi" w:hAnsiTheme="minorHAnsi" w:cstheme="minorHAnsi"/>
            <w:sz w:val="24"/>
            <w:szCs w:val="24"/>
            <w:lang w:val="en-GB"/>
          </w:rPr>
          <w:t>https://www.cambridge.org/core/services/aop-cambridge-core/content/view/FA1162204A4CA86802AD50E03B39744E/S2056467818000051a.pdf/div-class-title-working-with-mappa-ethics-and-pragmatics-div.pdf</w:t>
        </w:r>
      </w:hyperlink>
      <w:r w:rsidRPr="00DC38D5">
        <w:rPr>
          <w:rFonts w:asciiTheme="minorHAnsi" w:hAnsiTheme="minorHAnsi" w:cstheme="minorHAnsi"/>
          <w:sz w:val="24"/>
          <w:szCs w:val="24"/>
          <w:lang w:val="en-GB"/>
        </w:rPr>
        <w:t> [Accessed 03 September 2024].</w:t>
      </w:r>
    </w:p>
    <w:p w14:paraId="61AAFA18" w14:textId="77777777" w:rsidR="00B373C2" w:rsidRPr="00DC38D5" w:rsidRDefault="00B373C2" w:rsidP="00B373C2">
      <w:pPr>
        <w:pStyle w:val="Default"/>
        <w:spacing w:after="240" w:line="280" w:lineRule="atLeast"/>
        <w:rPr>
          <w:rFonts w:asciiTheme="minorHAnsi" w:hAnsiTheme="minorHAnsi" w:cstheme="minorHAnsi"/>
          <w:sz w:val="24"/>
          <w:szCs w:val="24"/>
          <w:lang w:val="en-GB"/>
        </w:rPr>
      </w:pPr>
      <w:r w:rsidRPr="00DC38D5">
        <w:rPr>
          <w:rFonts w:asciiTheme="minorHAnsi" w:hAnsiTheme="minorHAnsi" w:cstheme="minorHAnsi"/>
          <w:sz w:val="24"/>
          <w:szCs w:val="24"/>
          <w:lang w:val="en-GB"/>
        </w:rPr>
        <w:t xml:space="preserve">SCHNEIDER, J., 2019. Mental health and organized crime: Implications for public policy. </w:t>
      </w:r>
      <w:r w:rsidRPr="00DC38D5">
        <w:rPr>
          <w:rFonts w:asciiTheme="minorHAnsi" w:hAnsiTheme="minorHAnsi" w:cstheme="minorHAnsi"/>
          <w:i/>
          <w:iCs/>
          <w:sz w:val="24"/>
          <w:szCs w:val="24"/>
          <w:lang w:val="en-GB"/>
        </w:rPr>
        <w:t>Journal of Psychiatric Research</w:t>
      </w:r>
      <w:r w:rsidRPr="00DC38D5">
        <w:rPr>
          <w:rFonts w:asciiTheme="minorHAnsi" w:hAnsiTheme="minorHAnsi" w:cstheme="minorHAnsi"/>
          <w:sz w:val="24"/>
          <w:szCs w:val="24"/>
          <w:lang w:val="en-GB"/>
        </w:rPr>
        <w:t xml:space="preserve">, 112(1), pp. 78–86. Available at: </w:t>
      </w:r>
      <w:hyperlink r:id="rId24" w:tgtFrame="_new" w:history="1">
        <w:r w:rsidRPr="00DC38D5">
          <w:rPr>
            <w:rStyle w:val="Hyperlink"/>
            <w:rFonts w:asciiTheme="minorHAnsi" w:hAnsiTheme="minorHAnsi" w:cstheme="minorHAnsi"/>
            <w:sz w:val="24"/>
            <w:szCs w:val="24"/>
            <w:lang w:val="en-GB"/>
          </w:rPr>
          <w:t>https://www.proquest.com/docview/2465308742?accountid=130472&amp;sourcetype=Scholarly%20Journals</w:t>
        </w:r>
      </w:hyperlink>
      <w:r w:rsidRPr="00DC38D5">
        <w:rPr>
          <w:rFonts w:asciiTheme="minorHAnsi" w:hAnsiTheme="minorHAnsi" w:cstheme="minorHAnsi"/>
          <w:sz w:val="24"/>
          <w:szCs w:val="24"/>
          <w:lang w:val="en-GB"/>
        </w:rPr>
        <w:t> [Accessed 03 September 2024].</w:t>
      </w:r>
    </w:p>
    <w:p w14:paraId="7749600E" w14:textId="77777777" w:rsidR="00B373C2" w:rsidRPr="00DC38D5" w:rsidRDefault="00B373C2" w:rsidP="00B373C2">
      <w:pPr>
        <w:pStyle w:val="Default"/>
        <w:spacing w:after="240" w:line="280" w:lineRule="atLeast"/>
        <w:rPr>
          <w:rFonts w:asciiTheme="minorHAnsi" w:hAnsiTheme="minorHAnsi" w:cstheme="minorHAnsi"/>
          <w:sz w:val="24"/>
          <w:szCs w:val="24"/>
          <w:lang w:val="en-GB"/>
        </w:rPr>
      </w:pPr>
      <w:r w:rsidRPr="00DC38D5">
        <w:rPr>
          <w:rFonts w:asciiTheme="minorHAnsi" w:hAnsiTheme="minorHAnsi" w:cstheme="minorHAnsi"/>
          <w:sz w:val="24"/>
          <w:szCs w:val="24"/>
          <w:lang w:val="en-GB"/>
        </w:rPr>
        <w:t xml:space="preserve">SPICER, J., 2019. The variable and evolving nature of ‘cuckooing’ as a form of criminal exploitation in street level drug markets. </w:t>
      </w:r>
      <w:r w:rsidRPr="00DC38D5">
        <w:rPr>
          <w:rFonts w:asciiTheme="minorHAnsi" w:hAnsiTheme="minorHAnsi" w:cstheme="minorHAnsi"/>
          <w:i/>
          <w:iCs/>
          <w:sz w:val="24"/>
          <w:szCs w:val="24"/>
          <w:lang w:val="en-GB"/>
        </w:rPr>
        <w:t>Trends in Organized Crime</w:t>
      </w:r>
      <w:r w:rsidRPr="00DC38D5">
        <w:rPr>
          <w:rFonts w:asciiTheme="minorHAnsi" w:hAnsiTheme="minorHAnsi" w:cstheme="minorHAnsi"/>
          <w:sz w:val="24"/>
          <w:szCs w:val="24"/>
          <w:lang w:val="en-GB"/>
        </w:rPr>
        <w:t xml:space="preserve">, 22(4), pp. 400–420. Available at: </w:t>
      </w:r>
      <w:hyperlink r:id="rId25" w:tgtFrame="_new" w:history="1">
        <w:r w:rsidRPr="00DC38D5">
          <w:rPr>
            <w:rStyle w:val="Hyperlink"/>
            <w:rFonts w:asciiTheme="minorHAnsi" w:hAnsiTheme="minorHAnsi" w:cstheme="minorHAnsi"/>
            <w:sz w:val="24"/>
            <w:szCs w:val="24"/>
            <w:lang w:val="en-GB"/>
          </w:rPr>
          <w:t>https://link.springer.com/article/10.1007/s12117-019-09368-5</w:t>
        </w:r>
      </w:hyperlink>
      <w:r w:rsidRPr="00DC38D5">
        <w:rPr>
          <w:rFonts w:asciiTheme="minorHAnsi" w:hAnsiTheme="minorHAnsi" w:cstheme="minorHAnsi"/>
          <w:sz w:val="24"/>
          <w:szCs w:val="24"/>
          <w:lang w:val="en-GB"/>
        </w:rPr>
        <w:t> [Accessed 03 September 2024].</w:t>
      </w:r>
    </w:p>
    <w:p w14:paraId="42B24449" w14:textId="4767DBA7" w:rsidR="007A7990" w:rsidRPr="00DC38D5" w:rsidRDefault="00B373C2" w:rsidP="00B373C2">
      <w:pPr>
        <w:pStyle w:val="Default"/>
        <w:spacing w:after="240" w:line="280" w:lineRule="atLeast"/>
        <w:rPr>
          <w:rFonts w:asciiTheme="minorHAnsi" w:hAnsiTheme="minorHAnsi" w:cstheme="minorHAnsi"/>
          <w:sz w:val="24"/>
          <w:szCs w:val="24"/>
          <w:lang w:val="en-GB"/>
        </w:rPr>
      </w:pPr>
      <w:r w:rsidRPr="00DC38D5">
        <w:rPr>
          <w:rFonts w:asciiTheme="minorHAnsi" w:hAnsiTheme="minorHAnsi" w:cstheme="minorHAnsi"/>
          <w:sz w:val="24"/>
          <w:szCs w:val="24"/>
          <w:lang w:val="en-GB"/>
        </w:rPr>
        <w:t xml:space="preserve">WARD, T. and PATEL, N., 2019. Child exploitation: A comprehensive review. </w:t>
      </w:r>
      <w:r w:rsidRPr="00DC38D5">
        <w:rPr>
          <w:rFonts w:asciiTheme="minorHAnsi" w:hAnsiTheme="minorHAnsi" w:cstheme="minorHAnsi"/>
          <w:i/>
          <w:iCs/>
          <w:sz w:val="24"/>
          <w:szCs w:val="24"/>
          <w:lang w:val="en-GB"/>
        </w:rPr>
        <w:t>Child Abuse Review</w:t>
      </w:r>
      <w:r w:rsidRPr="00DC38D5">
        <w:rPr>
          <w:rFonts w:asciiTheme="minorHAnsi" w:hAnsiTheme="minorHAnsi" w:cstheme="minorHAnsi"/>
          <w:sz w:val="24"/>
          <w:szCs w:val="24"/>
          <w:lang w:val="en-GB"/>
        </w:rPr>
        <w:t xml:space="preserve">, 28(3), pp. 181–197. Available at: </w:t>
      </w:r>
      <w:hyperlink r:id="rId26" w:tgtFrame="_new" w:history="1">
        <w:r w:rsidRPr="00DC38D5">
          <w:rPr>
            <w:rStyle w:val="Hyperlink"/>
            <w:rFonts w:asciiTheme="minorHAnsi" w:hAnsiTheme="minorHAnsi" w:cstheme="minorHAnsi"/>
            <w:sz w:val="24"/>
            <w:szCs w:val="24"/>
            <w:lang w:val="en-GB"/>
          </w:rPr>
          <w:t>https://onlinelibrary-wiley-com.ezproxy.uwtsd.ac.uk/doi/full/10.1002/car.2704</w:t>
        </w:r>
      </w:hyperlink>
      <w:r w:rsidRPr="00DC38D5">
        <w:rPr>
          <w:rFonts w:asciiTheme="minorHAnsi" w:hAnsiTheme="minorHAnsi" w:cstheme="minorHAnsi"/>
          <w:sz w:val="24"/>
          <w:szCs w:val="24"/>
          <w:lang w:val="en-GB"/>
        </w:rPr>
        <w:t> [Accessed 03 September 2024].</w:t>
      </w:r>
    </w:p>
    <w:p w14:paraId="699B1435" w14:textId="77777777" w:rsidR="00403FD1" w:rsidRPr="00DC38D5" w:rsidRDefault="00403FD1" w:rsidP="00403FD1">
      <w:pPr>
        <w:rPr>
          <w:rFonts w:cstheme="minorHAnsi"/>
        </w:rPr>
      </w:pPr>
    </w:p>
    <w:p w14:paraId="611AE5C7" w14:textId="77777777" w:rsidR="00403FD1" w:rsidRPr="00DC38D5" w:rsidRDefault="00403FD1" w:rsidP="00403FD1">
      <w:pPr>
        <w:rPr>
          <w:rFonts w:cstheme="minorHAnsi"/>
        </w:rPr>
      </w:pPr>
    </w:p>
    <w:sectPr w:rsidR="00403FD1" w:rsidRPr="00DC38D5">
      <w:head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4080313" w14:textId="77777777" w:rsidR="001D3388" w:rsidRDefault="001D3388" w:rsidP="00403FD1">
      <w:pPr>
        <w:spacing w:after="0" w:line="240" w:lineRule="auto"/>
      </w:pPr>
      <w:r>
        <w:separator/>
      </w:r>
    </w:p>
  </w:endnote>
  <w:endnote w:type="continuationSeparator" w:id="0">
    <w:p w14:paraId="572BDFC9" w14:textId="77777777" w:rsidR="001D3388" w:rsidRDefault="001D3388" w:rsidP="00403F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Neue">
    <w:altName w:val="Arial"/>
    <w:charset w:val="00"/>
    <w:family w:val="roman"/>
    <w:pitch w:val="default"/>
  </w:font>
  <w:font w:name="Arial Unicode MS">
    <w:altName w:val="Arial"/>
    <w:panose1 w:val="020B0604020202020204"/>
    <w:charset w:val="00"/>
    <w:family w:val="roman"/>
    <w:pitch w:val="default"/>
  </w:font>
  <w:font w:name="Times">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933E537" w14:textId="77777777" w:rsidR="001D3388" w:rsidRDefault="001D3388" w:rsidP="00403FD1">
      <w:pPr>
        <w:spacing w:after="0" w:line="240" w:lineRule="auto"/>
      </w:pPr>
      <w:r>
        <w:separator/>
      </w:r>
    </w:p>
  </w:footnote>
  <w:footnote w:type="continuationSeparator" w:id="0">
    <w:p w14:paraId="29938081" w14:textId="77777777" w:rsidR="001D3388" w:rsidRDefault="001D3388" w:rsidP="00403FD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0DE1473" w14:textId="39D61626" w:rsidR="00403FD1" w:rsidRDefault="00403FD1" w:rsidP="006741B4">
    <w:pPr>
      <w:pStyle w:val="Header"/>
      <w:jc w:val="right"/>
    </w:pPr>
    <w:r>
      <w:t xml:space="preserve">DHEP Year 2 Assignment </w:t>
    </w:r>
  </w:p>
  <w:p w14:paraId="562FF371" w14:textId="3DD1B373" w:rsidR="00403FD1" w:rsidRDefault="00403FD1" w:rsidP="00403FD1">
    <w:pPr>
      <w:pStyle w:val="Header"/>
      <w:jc w:val="right"/>
    </w:pPr>
    <w:r>
      <w:t>2236111 M Moares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3FD1"/>
    <w:rsid w:val="000418DA"/>
    <w:rsid w:val="000D6384"/>
    <w:rsid w:val="00117BCA"/>
    <w:rsid w:val="00132EB1"/>
    <w:rsid w:val="00136692"/>
    <w:rsid w:val="00151AC4"/>
    <w:rsid w:val="00170832"/>
    <w:rsid w:val="001B5FAD"/>
    <w:rsid w:val="001D3388"/>
    <w:rsid w:val="002141A6"/>
    <w:rsid w:val="00246E74"/>
    <w:rsid w:val="002955BD"/>
    <w:rsid w:val="002F3F56"/>
    <w:rsid w:val="00322803"/>
    <w:rsid w:val="003C4855"/>
    <w:rsid w:val="003C5F37"/>
    <w:rsid w:val="003F0644"/>
    <w:rsid w:val="0040134D"/>
    <w:rsid w:val="00403FD1"/>
    <w:rsid w:val="00406AE7"/>
    <w:rsid w:val="00411B87"/>
    <w:rsid w:val="00413B07"/>
    <w:rsid w:val="00422B75"/>
    <w:rsid w:val="00454B9B"/>
    <w:rsid w:val="004C22FD"/>
    <w:rsid w:val="004C62D2"/>
    <w:rsid w:val="004F7272"/>
    <w:rsid w:val="00594678"/>
    <w:rsid w:val="00624D83"/>
    <w:rsid w:val="006741B4"/>
    <w:rsid w:val="00684070"/>
    <w:rsid w:val="007337C4"/>
    <w:rsid w:val="00756A91"/>
    <w:rsid w:val="007A7990"/>
    <w:rsid w:val="007B5410"/>
    <w:rsid w:val="007C4A80"/>
    <w:rsid w:val="00822906"/>
    <w:rsid w:val="00830166"/>
    <w:rsid w:val="00845171"/>
    <w:rsid w:val="00857484"/>
    <w:rsid w:val="00913BEF"/>
    <w:rsid w:val="00936389"/>
    <w:rsid w:val="009412A8"/>
    <w:rsid w:val="009A76BB"/>
    <w:rsid w:val="009B4DB8"/>
    <w:rsid w:val="009D4ADE"/>
    <w:rsid w:val="009E6C42"/>
    <w:rsid w:val="00A265B0"/>
    <w:rsid w:val="00A76BF1"/>
    <w:rsid w:val="00A830D3"/>
    <w:rsid w:val="00AE19D0"/>
    <w:rsid w:val="00AE7ECA"/>
    <w:rsid w:val="00B14A7E"/>
    <w:rsid w:val="00B373C2"/>
    <w:rsid w:val="00B407AE"/>
    <w:rsid w:val="00B650B8"/>
    <w:rsid w:val="00B871DE"/>
    <w:rsid w:val="00BB2C65"/>
    <w:rsid w:val="00BC2189"/>
    <w:rsid w:val="00BC4FD4"/>
    <w:rsid w:val="00C07B9A"/>
    <w:rsid w:val="00C2667E"/>
    <w:rsid w:val="00C936EF"/>
    <w:rsid w:val="00CB1224"/>
    <w:rsid w:val="00CF3D1F"/>
    <w:rsid w:val="00CF5D6B"/>
    <w:rsid w:val="00D00877"/>
    <w:rsid w:val="00D50811"/>
    <w:rsid w:val="00D5304E"/>
    <w:rsid w:val="00D65336"/>
    <w:rsid w:val="00D81F25"/>
    <w:rsid w:val="00DA2FCE"/>
    <w:rsid w:val="00DA6D88"/>
    <w:rsid w:val="00DB752F"/>
    <w:rsid w:val="00DC38D5"/>
    <w:rsid w:val="00E0463D"/>
    <w:rsid w:val="00E56622"/>
    <w:rsid w:val="00E627DA"/>
    <w:rsid w:val="00E73A22"/>
    <w:rsid w:val="00F11857"/>
    <w:rsid w:val="00F34E8D"/>
    <w:rsid w:val="00F61CDD"/>
    <w:rsid w:val="00F87D54"/>
    <w:rsid w:val="00F900F7"/>
    <w:rsid w:val="00F9080D"/>
    <w:rsid w:val="00FA6240"/>
    <w:rsid w:val="00FC18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131613"/>
  <w15:chartTrackingRefBased/>
  <w15:docId w15:val="{181467C7-6057-4E81-B878-45A6EE1BE9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03F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3FD1"/>
  </w:style>
  <w:style w:type="paragraph" w:styleId="Footer">
    <w:name w:val="footer"/>
    <w:basedOn w:val="Normal"/>
    <w:link w:val="FooterChar"/>
    <w:uiPriority w:val="99"/>
    <w:unhideWhenUsed/>
    <w:rsid w:val="00403F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3FD1"/>
  </w:style>
  <w:style w:type="paragraph" w:customStyle="1" w:styleId="TableStyle2">
    <w:name w:val="Table Style 2"/>
    <w:rsid w:val="00B871DE"/>
    <w:pPr>
      <w:pBdr>
        <w:top w:val="nil"/>
        <w:left w:val="nil"/>
        <w:bottom w:val="nil"/>
        <w:right w:val="nil"/>
        <w:between w:val="nil"/>
        <w:bar w:val="nil"/>
      </w:pBdr>
      <w:spacing w:after="0" w:line="240" w:lineRule="auto"/>
    </w:pPr>
    <w:rPr>
      <w:rFonts w:ascii="Helvetica Neue" w:eastAsia="Helvetica Neue" w:hAnsi="Helvetica Neue" w:cs="Helvetica Neue"/>
      <w:color w:val="000000"/>
      <w:kern w:val="0"/>
      <w:sz w:val="20"/>
      <w:szCs w:val="20"/>
      <w:bdr w:val="nil"/>
      <w:lang w:eastAsia="en-GB"/>
      <w14:ligatures w14:val="none"/>
    </w:rPr>
  </w:style>
  <w:style w:type="character" w:customStyle="1" w:styleId="Hyperlink0">
    <w:name w:val="Hyperlink.0"/>
    <w:basedOn w:val="Hyperlink"/>
    <w:rsid w:val="003C5F37"/>
    <w:rPr>
      <w:color w:val="0563C1" w:themeColor="hyperlink"/>
      <w:u w:val="single"/>
    </w:rPr>
  </w:style>
  <w:style w:type="character" w:styleId="Hyperlink">
    <w:name w:val="Hyperlink"/>
    <w:basedOn w:val="DefaultParagraphFont"/>
    <w:uiPriority w:val="99"/>
    <w:unhideWhenUsed/>
    <w:rsid w:val="003C5F37"/>
    <w:rPr>
      <w:color w:val="0563C1" w:themeColor="hyperlink"/>
      <w:u w:val="single"/>
    </w:rPr>
  </w:style>
  <w:style w:type="paragraph" w:styleId="PlainText">
    <w:name w:val="Plain Text"/>
    <w:basedOn w:val="Normal"/>
    <w:link w:val="PlainTextChar"/>
    <w:uiPriority w:val="99"/>
    <w:unhideWhenUsed/>
    <w:rsid w:val="000D6384"/>
    <w:pPr>
      <w:spacing w:after="0" w:line="240" w:lineRule="auto"/>
    </w:pPr>
    <w:rPr>
      <w:rFonts w:ascii="Calibri" w:hAnsi="Calibri"/>
      <w:szCs w:val="21"/>
    </w:rPr>
  </w:style>
  <w:style w:type="character" w:customStyle="1" w:styleId="PlainTextChar">
    <w:name w:val="Plain Text Char"/>
    <w:basedOn w:val="DefaultParagraphFont"/>
    <w:link w:val="PlainText"/>
    <w:uiPriority w:val="99"/>
    <w:rsid w:val="000D6384"/>
    <w:rPr>
      <w:rFonts w:ascii="Calibri" w:hAnsi="Calibri"/>
      <w:szCs w:val="21"/>
    </w:rPr>
  </w:style>
  <w:style w:type="paragraph" w:styleId="NormalWeb">
    <w:name w:val="Normal (Web)"/>
    <w:basedOn w:val="Normal"/>
    <w:uiPriority w:val="99"/>
    <w:unhideWhenUsed/>
    <w:rsid w:val="00DB752F"/>
    <w:pPr>
      <w:spacing w:after="0" w:line="240" w:lineRule="auto"/>
    </w:pPr>
    <w:rPr>
      <w:rFonts w:ascii="Calibri" w:hAnsi="Calibri" w:cs="Calibri"/>
      <w:kern w:val="0"/>
      <w:lang w:eastAsia="en-GB"/>
      <w14:ligatures w14:val="none"/>
    </w:rPr>
  </w:style>
  <w:style w:type="paragraph" w:customStyle="1" w:styleId="elementtoproof">
    <w:name w:val="elementtoproof"/>
    <w:basedOn w:val="Normal"/>
    <w:uiPriority w:val="99"/>
    <w:semiHidden/>
    <w:rsid w:val="00DB752F"/>
    <w:pPr>
      <w:spacing w:after="0" w:line="240" w:lineRule="auto"/>
    </w:pPr>
    <w:rPr>
      <w:rFonts w:ascii="Calibri" w:hAnsi="Calibri" w:cs="Calibri"/>
      <w:kern w:val="0"/>
      <w:lang w:eastAsia="en-GB"/>
      <w14:ligatures w14:val="none"/>
    </w:rPr>
  </w:style>
  <w:style w:type="paragraph" w:customStyle="1" w:styleId="pf0">
    <w:name w:val="pf0"/>
    <w:basedOn w:val="Normal"/>
    <w:rsid w:val="00CF3D1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Default">
    <w:name w:val="Default"/>
    <w:rsid w:val="007A7990"/>
    <w:pPr>
      <w:spacing w:after="0" w:line="240" w:lineRule="auto"/>
    </w:pPr>
    <w:rPr>
      <w:rFonts w:ascii="Helvetica Neue" w:eastAsia="Arial Unicode MS" w:hAnsi="Helvetica Neue" w:cs="Arial Unicode MS"/>
      <w:color w:val="000000"/>
      <w:kern w:val="0"/>
      <w:lang w:val="en-US" w:eastAsia="en-GB"/>
      <w14:ligatures w14:val="none"/>
    </w:rPr>
  </w:style>
  <w:style w:type="character" w:styleId="CommentReference">
    <w:name w:val="annotation reference"/>
    <w:basedOn w:val="DefaultParagraphFont"/>
    <w:uiPriority w:val="99"/>
    <w:semiHidden/>
    <w:unhideWhenUsed/>
    <w:rsid w:val="00FA6240"/>
    <w:rPr>
      <w:sz w:val="16"/>
      <w:szCs w:val="16"/>
    </w:rPr>
  </w:style>
  <w:style w:type="paragraph" w:styleId="CommentText">
    <w:name w:val="annotation text"/>
    <w:basedOn w:val="Normal"/>
    <w:link w:val="CommentTextChar"/>
    <w:uiPriority w:val="99"/>
    <w:unhideWhenUsed/>
    <w:rsid w:val="00FA6240"/>
    <w:pPr>
      <w:spacing w:line="240" w:lineRule="auto"/>
    </w:pPr>
    <w:rPr>
      <w:sz w:val="20"/>
      <w:szCs w:val="20"/>
    </w:rPr>
  </w:style>
  <w:style w:type="character" w:customStyle="1" w:styleId="CommentTextChar">
    <w:name w:val="Comment Text Char"/>
    <w:basedOn w:val="DefaultParagraphFont"/>
    <w:link w:val="CommentText"/>
    <w:uiPriority w:val="99"/>
    <w:rsid w:val="00FA6240"/>
    <w:rPr>
      <w:sz w:val="20"/>
      <w:szCs w:val="20"/>
    </w:rPr>
  </w:style>
  <w:style w:type="character" w:styleId="UnresolvedMention">
    <w:name w:val="Unresolved Mention"/>
    <w:basedOn w:val="DefaultParagraphFont"/>
    <w:uiPriority w:val="99"/>
    <w:semiHidden/>
    <w:unhideWhenUsed/>
    <w:rsid w:val="00B373C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5424875">
      <w:bodyDiv w:val="1"/>
      <w:marLeft w:val="0"/>
      <w:marRight w:val="0"/>
      <w:marTop w:val="0"/>
      <w:marBottom w:val="0"/>
      <w:divBdr>
        <w:top w:val="none" w:sz="0" w:space="0" w:color="auto"/>
        <w:left w:val="none" w:sz="0" w:space="0" w:color="auto"/>
        <w:bottom w:val="none" w:sz="0" w:space="0" w:color="auto"/>
        <w:right w:val="none" w:sz="0" w:space="0" w:color="auto"/>
      </w:divBdr>
    </w:div>
    <w:div w:id="235481179">
      <w:bodyDiv w:val="1"/>
      <w:marLeft w:val="0"/>
      <w:marRight w:val="0"/>
      <w:marTop w:val="0"/>
      <w:marBottom w:val="0"/>
      <w:divBdr>
        <w:top w:val="none" w:sz="0" w:space="0" w:color="auto"/>
        <w:left w:val="none" w:sz="0" w:space="0" w:color="auto"/>
        <w:bottom w:val="none" w:sz="0" w:space="0" w:color="auto"/>
        <w:right w:val="none" w:sz="0" w:space="0" w:color="auto"/>
      </w:divBdr>
    </w:div>
    <w:div w:id="325669611">
      <w:bodyDiv w:val="1"/>
      <w:marLeft w:val="0"/>
      <w:marRight w:val="0"/>
      <w:marTop w:val="0"/>
      <w:marBottom w:val="0"/>
      <w:divBdr>
        <w:top w:val="none" w:sz="0" w:space="0" w:color="auto"/>
        <w:left w:val="none" w:sz="0" w:space="0" w:color="auto"/>
        <w:bottom w:val="none" w:sz="0" w:space="0" w:color="auto"/>
        <w:right w:val="none" w:sz="0" w:space="0" w:color="auto"/>
      </w:divBdr>
    </w:div>
    <w:div w:id="371736317">
      <w:bodyDiv w:val="1"/>
      <w:marLeft w:val="0"/>
      <w:marRight w:val="0"/>
      <w:marTop w:val="0"/>
      <w:marBottom w:val="0"/>
      <w:divBdr>
        <w:top w:val="none" w:sz="0" w:space="0" w:color="auto"/>
        <w:left w:val="none" w:sz="0" w:space="0" w:color="auto"/>
        <w:bottom w:val="none" w:sz="0" w:space="0" w:color="auto"/>
        <w:right w:val="none" w:sz="0" w:space="0" w:color="auto"/>
      </w:divBdr>
    </w:div>
    <w:div w:id="1113399518">
      <w:bodyDiv w:val="1"/>
      <w:marLeft w:val="0"/>
      <w:marRight w:val="0"/>
      <w:marTop w:val="0"/>
      <w:marBottom w:val="0"/>
      <w:divBdr>
        <w:top w:val="none" w:sz="0" w:space="0" w:color="auto"/>
        <w:left w:val="none" w:sz="0" w:space="0" w:color="auto"/>
        <w:bottom w:val="none" w:sz="0" w:space="0" w:color="auto"/>
        <w:right w:val="none" w:sz="0" w:space="0" w:color="auto"/>
      </w:divBdr>
    </w:div>
    <w:div w:id="11712609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outh-wales.police.uk/police-forces/south-wales-police/areas/careers/careers/positive-action/" TargetMode="External"/><Relationship Id="rId13" Type="http://schemas.openxmlformats.org/officeDocument/2006/relationships/hyperlink" Target="https://link.springer.com/article/10.1007/s11292-021-09457-y" TargetMode="External"/><Relationship Id="rId18" Type="http://schemas.openxmlformats.org/officeDocument/2006/relationships/hyperlink" Target="https://www.researchgate.net/publication/242511670_British_Crime_Survey_-_Measuring_crime_for_25_years" TargetMode="External"/><Relationship Id="rId26" Type="http://schemas.openxmlformats.org/officeDocument/2006/relationships/hyperlink" Target="https://gbr01.safelinks.protection.outlook.com/?url=https%3A%2F%2Fonlinelibrary-wiley-com.ezproxy.uwtsd.ac.uk%2Fdoi%2Ffull%2F10.1002%2Fcar.2704&amp;data=05%7C02%7CMatthew.Moares%40south-wales.police.uk%7C7f4f201b8d3042a81bbd08dccc599cc1%7C270c2f4dfd0c4f0892a9e5bdd8a87e09%7C0%7C0%7C638609932910634921%7CUnknown%7CTWFpbGZsb3d8eyJWIjoiMC4wLjAwMDAiLCJQIjoiV2luMzIiLCJBTiI6Ik1haWwiLCJXVCI6Mn0%3D%7C0%7C%7C%7C&amp;sdata=Xv%2FxkfgUMrDOmHrr9zIjYOeSCFNelvXVsRPqnwx1ch0%3D&amp;reserved=0" TargetMode="External"/><Relationship Id="rId3" Type="http://schemas.openxmlformats.org/officeDocument/2006/relationships/webSettings" Target="webSettings.xml"/><Relationship Id="rId21" Type="http://schemas.openxmlformats.org/officeDocument/2006/relationships/hyperlink" Target="https://gbr01.safelinks.protection.outlook.com/?url=https%3A%2F%2Fonlinelibrary.wiley.com%2Fdoi%2Ffull%2F10.1002%2Fcar.2704&amp;data=05%7C02%7CMatthew.Moares%40south-wales.police.uk%7C7f4f201b8d3042a81bbd08dccc599cc1%7C270c2f4dfd0c4f0892a9e5bdd8a87e09%7C0%7C0%7C638609932910600082%7CUnknown%7CTWFpbGZsb3d8eyJWIjoiMC4wLjAwMDAiLCJQIjoiV2luMzIiLCJBTiI6Ik1haWwiLCJXVCI6Mn0%3D%7C0%7C%7C%7C&amp;sdata=KGXsz8t7Y%2BfaAuEVsd99u4UnieyiCLS1y4jGwXNZhMY%3D&amp;reserved=0" TargetMode="External"/><Relationship Id="rId7" Type="http://schemas.openxmlformats.org/officeDocument/2006/relationships/hyperlink" Target="https://www.college.police.uk/article/diversity-and-inclusion-cpd-in-focus" TargetMode="External"/><Relationship Id="rId12" Type="http://schemas.openxmlformats.org/officeDocument/2006/relationships/hyperlink" Target="https://openresearch.lsbu.ac.uk/download/d7b786735d04c88b6330f7517a015fe71bbc8a81eb5af1781e932b5de0e16ff8/1988046/Thesis_FullFinalCopy_NelliAIHIO2723948.pdf" TargetMode="External"/><Relationship Id="rId17" Type="http://schemas.openxmlformats.org/officeDocument/2006/relationships/hyperlink" Target="https://kar.kent.ac.uk/95191/1/Heaton_Policing%20styles.pdf" TargetMode="External"/><Relationship Id="rId25" Type="http://schemas.openxmlformats.org/officeDocument/2006/relationships/hyperlink" Target="https://gbr01.safelinks.protection.outlook.com/?url=https%3A%2F%2Flink.springer.com%2Farticle%2F10.1007%2Fs12117-019-09368-5&amp;data=05%7C02%7CMatthew.Moares%40south-wales.police.uk%7C7f4f201b8d3042a81bbd08dccc599cc1%7C270c2f4dfd0c4f0892a9e5bdd8a87e09%7C0%7C0%7C638609932910629097%7CUnknown%7CTWFpbGZsb3d8eyJWIjoiMC4wLjAwMDAiLCJQIjoiV2luMzIiLCJBTiI6Ik1haWwiLCJXVCI6Mn0%3D%7C0%7C%7C%7C&amp;sdata=X0XW9L802FAmsous%2B8qAVQkW3Nb9SJZf1jwrjSUFw%2Bc%3D&amp;reserved=0" TargetMode="External"/><Relationship Id="rId2" Type="http://schemas.openxmlformats.org/officeDocument/2006/relationships/settings" Target="settings.xml"/><Relationship Id="rId16" Type="http://schemas.openxmlformats.org/officeDocument/2006/relationships/hyperlink" Target="https://journals-sagepub-com.ezproxy.uwtsd.ac.uk/doi/full/10.1177/0032258X211000834" TargetMode="External"/><Relationship Id="rId20" Type="http://schemas.openxmlformats.org/officeDocument/2006/relationships/hyperlink" Target="https://gbr01.safelinks.protection.outlook.com/?url=https%3A%2F%2Flink.springer.com%2Farticle%2F10.1007%2Fs12117-019-09368-5&amp;data=05%7C02%7CMatthew.Moares%40south-wales.police.uk%7C7f4f201b8d3042a81bbd08dccc599cc1%7C270c2f4dfd0c4f0892a9e5bdd8a87e09%7C0%7C0%7C638609932910586065%7CUnknown%7CTWFpbGZsb3d8eyJWIjoiMC4wLjAwMDAiLCJQIjoiV2luMzIiLCJBTiI6Ik1haWwiLCJXVCI6Mn0%3D%7C0%7C%7C%7C&amp;sdata=bpaTrAvBl7j0g3MRy9GDdqVus28qn9ccWxr%2FtpJM%2Brw%3D&amp;reserved=0" TargetMode="External"/><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eric.ed.gov/?id=ED481087" TargetMode="External"/><Relationship Id="rId11" Type="http://schemas.openxmlformats.org/officeDocument/2006/relationships/hyperlink" Target="https://www.europarl.europa.eu/thinktank/ga/document/IPOL-LIBE_ET(2012)462503" TargetMode="External"/><Relationship Id="rId24" Type="http://schemas.openxmlformats.org/officeDocument/2006/relationships/hyperlink" Target="https://gbr01.safelinks.protection.outlook.com/?url=https%3A%2F%2Fwww.proquest.com%2Fdocview%2F2465308742%3Faccountid%3D130472%26sourcetype%3DScholarly%2520Journals&amp;data=05%7C02%7CMatthew.Moares%40south-wales.police.uk%7C7f4f201b8d3042a81bbd08dccc599cc1%7C270c2f4dfd0c4f0892a9e5bdd8a87e09%7C0%7C0%7C638609932910623132%7CUnknown%7CTWFpbGZsb3d8eyJWIjoiMC4wLjAwMDAiLCJQIjoiV2luMzIiLCJBTiI6Ik1haWwiLCJXVCI6Mn0%3D%7C0%7C%7C%7C&amp;sdata=UzZ6Pukzid3v6kPaTPXqO4SxInVkiv81tIy%2FU6vmOsI%3D&amp;reserved=0" TargetMode="External"/><Relationship Id="rId5" Type="http://schemas.openxmlformats.org/officeDocument/2006/relationships/endnotes" Target="endnotes.xml"/><Relationship Id="rId15" Type="http://schemas.openxmlformats.org/officeDocument/2006/relationships/hyperlink" Target="https://repository.canterbury.ac.uk/download/40624d6e3c0e5e46d78a83fc52422339f437281e33409cb9124014482e285ef9/1317575/Final%20Thesis%20Joshua%20EdwardsTracked%20changes.pdf" TargetMode="External"/><Relationship Id="rId23" Type="http://schemas.openxmlformats.org/officeDocument/2006/relationships/hyperlink" Target="https://gbr01.safelinks.protection.outlook.com/?url=https%3A%2F%2Fwww.cambridge.org%2Fcore%2Fservices%2Faop-cambridge-core%2Fcontent%2Fview%2FFA1162204A4CA86802AD50E03B39744E%2FS2056467818000051a.pdf%2Fdiv-class-title-working-with-mappa-ethics-and-pragmatics-div.pdf&amp;data=05%7C02%7CMatthew.Moares%40south-wales.police.uk%7C7f4f201b8d3042a81bbd08dccc599cc1%7C270c2f4dfd0c4f0892a9e5bdd8a87e09%7C0%7C0%7C638609932910616614%7CUnknown%7CTWFpbGZsb3d8eyJWIjoiMC4wLjAwMDAiLCJQIjoiV2luMzIiLCJBTiI6Ik1haWwiLCJXVCI6Mn0%3D%7C0%7C%7C%7C&amp;sdata=MwhhwLMi4djArGO6%2BUeMrXX85SLdRXDvHGCBMxqNq8g%3D&amp;reserved=0" TargetMode="External"/><Relationship Id="rId28" Type="http://schemas.openxmlformats.org/officeDocument/2006/relationships/fontTable" Target="fontTable.xml"/><Relationship Id="rId10" Type="http://schemas.openxmlformats.org/officeDocument/2006/relationships/hyperlink" Target="https://www.bbc.co.uk/news/uk-northern-ireland-41407322" TargetMode="External"/><Relationship Id="rId19" Type="http://schemas.openxmlformats.org/officeDocument/2006/relationships/hyperlink" Target="https://www.tandfonline.com/doi/full/10.1080/15614260802381091" TargetMode="External"/><Relationship Id="rId4" Type="http://schemas.openxmlformats.org/officeDocument/2006/relationships/footnotes" Target="footnotes.xml"/><Relationship Id="rId9" Type="http://schemas.openxmlformats.org/officeDocument/2006/relationships/hyperlink" Target="https://www.telegraph.co.uk/news/worldnews/europe/slovakia/1333225/Three-men-held-in-Slovakia-over-IRA-gunrunning.html?msockid=2613ffdefc1f6c41296aeb61fdff6d5a" TargetMode="External"/><Relationship Id="rId14" Type="http://schemas.openxmlformats.org/officeDocument/2006/relationships/hyperlink" Target="https://www.ojp.gov/ncjrs/virtual-library/abstracts/solving-crimes-investigation-burglary-and-robbery" TargetMode="External"/><Relationship Id="rId22" Type="http://schemas.openxmlformats.org/officeDocument/2006/relationships/hyperlink" Target="https://gbr01.safelinks.protection.outlook.com/?url=https%3A%2F%2Fwww.aru.ac.uk%2Finternational-policing-and-public-protection-research-institute%2Fresearch%2Fnational-mappa-research&amp;data=05%7C02%7CMatthew.Moares%40south-wales.police.uk%7C7f4f201b8d3042a81bbd08dccc599cc1%7C270c2f4dfd0c4f0892a9e5bdd8a87e09%7C0%7C0%7C638609932910609444%7CUnknown%7CTWFpbGZsb3d8eyJWIjoiMC4wLjAwMDAiLCJQIjoiV2luMzIiLCJBTiI6Ik1haWwiLCJXVCI6Mn0%3D%7C0%7C%7C%7C&amp;sdata=zn6BxnWgnUh3CqqK%2Fd4vnR7dDkPOFwK%2FBup8rhXxbjE%3D&amp;reserved=0" TargetMode="External"/><Relationship Id="rId2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TotalTime>
  <Pages>13</Pages>
  <Words>6284</Words>
  <Characters>35819</Characters>
  <Application>Microsoft Office Word</Application>
  <DocSecurity>0</DocSecurity>
  <Lines>298</Lines>
  <Paragraphs>84</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42019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Moares,Matthew swp8537</dc:creator>
  <cp:keywords/>
  <dc:description/>
  <cp:lastModifiedBy>Moares,Matthew swp8537</cp:lastModifiedBy>
  <cp:revision>6</cp:revision>
  <dcterms:created xsi:type="dcterms:W3CDTF">2024-10-14T17:26:00Z</dcterms:created>
  <dcterms:modified xsi:type="dcterms:W3CDTF">2024-10-14T21:38:00Z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2024-02-29T01:41:52Z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a99d6b0d-d164-42e4-94a7-5c03042b6bb3</vt:lpwstr>
  </property>
  <property fmtid="{D5CDD505-2E9C-101B-9397-08002B2CF9AE}" pid="8" name="MSIP_Label_66cf8fe5-b7b7-4df7-b38d-1c61ac2f6639_ContentBits">
    <vt:lpwstr>0</vt:lpwstr>
  </property>
</Properties>
</file>