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972F1" w:rsidRPr="00545509" w:rsidRDefault="003972F1" w:rsidP="003972F1">
      <w:pPr>
        <w:jc w:val="center"/>
        <w:rPr>
          <w:rFonts w:cstheme="minorHAnsi"/>
          <w:b/>
          <w:u w:val="single"/>
        </w:rPr>
      </w:pPr>
      <w:r w:rsidRPr="00545509">
        <w:rPr>
          <w:rFonts w:cstheme="minorHAnsi"/>
          <w:b/>
          <w:u w:val="single"/>
        </w:rPr>
        <w:t>Dragon Office Supplies Briefing Note</w:t>
      </w:r>
    </w:p>
    <w:p w:rsidR="00395534" w:rsidRPr="00351B22" w:rsidRDefault="00395534" w:rsidP="003972F1">
      <w:pPr>
        <w:rPr>
          <w:rFonts w:cstheme="minorHAnsi"/>
          <w:b/>
          <w:u w:val="single"/>
        </w:rPr>
      </w:pPr>
      <w:r w:rsidRPr="00351B22">
        <w:rPr>
          <w:rFonts w:cstheme="minorHAnsi"/>
          <w:b/>
          <w:u w:val="single"/>
        </w:rPr>
        <w:t>Introduction</w:t>
      </w:r>
    </w:p>
    <w:p w:rsidR="00395534" w:rsidRPr="00351B22" w:rsidRDefault="00395534" w:rsidP="003972F1">
      <w:pPr>
        <w:rPr>
          <w:rFonts w:cstheme="minorHAnsi"/>
        </w:rPr>
      </w:pPr>
      <w:r w:rsidRPr="00351B22">
        <w:rPr>
          <w:rFonts w:cstheme="minorHAnsi"/>
        </w:rPr>
        <w:t>This is a document reporting and explaining the provisions of General Data Protection Regulations to help dragon offices comply with the requirements and meet the gen</w:t>
      </w:r>
      <w:r w:rsidR="004258AA">
        <w:rPr>
          <w:rFonts w:cstheme="minorHAnsi"/>
        </w:rPr>
        <w:t>eral data protection act under A</w:t>
      </w:r>
      <w:r w:rsidRPr="00351B22">
        <w:rPr>
          <w:rFonts w:cstheme="minorHAnsi"/>
        </w:rPr>
        <w:t xml:space="preserve">rticle </w:t>
      </w:r>
      <w:r w:rsidR="004258AA">
        <w:rPr>
          <w:rFonts w:cstheme="minorHAnsi"/>
        </w:rPr>
        <w:t xml:space="preserve">29, </w:t>
      </w:r>
      <w:r w:rsidRPr="00351B22">
        <w:rPr>
          <w:rFonts w:cstheme="minorHAnsi"/>
        </w:rPr>
        <w:t>working party act</w:t>
      </w:r>
      <w:r w:rsidR="00F925EF" w:rsidRPr="00351B22">
        <w:rPr>
          <w:rFonts w:cstheme="minorHAnsi"/>
        </w:rPr>
        <w:t xml:space="preserve"> 1998</w:t>
      </w:r>
      <w:r w:rsidR="00D750CC" w:rsidRPr="00351B22">
        <w:rPr>
          <w:rFonts w:cstheme="minorHAnsi"/>
        </w:rPr>
        <w:t>-2018</w:t>
      </w:r>
      <w:r w:rsidRPr="00351B22">
        <w:rPr>
          <w:rFonts w:cstheme="minorHAnsi"/>
        </w:rPr>
        <w:t>.</w:t>
      </w:r>
      <w:r w:rsidR="00D750CC" w:rsidRPr="00351B22">
        <w:rPr>
          <w:rFonts w:cstheme="minorHAnsi"/>
          <w:shd w:val="clear" w:color="auto" w:fill="FFFFFF"/>
        </w:rPr>
        <w:t xml:space="preserve"> (Ico.org.uk, 2018)</w:t>
      </w:r>
    </w:p>
    <w:p w:rsidR="00351B22" w:rsidRPr="00351B22" w:rsidRDefault="00351B22" w:rsidP="00351B22">
      <w:pPr>
        <w:rPr>
          <w:rFonts w:cstheme="minorHAnsi"/>
        </w:rPr>
      </w:pPr>
      <w:r w:rsidRPr="00351B22">
        <w:rPr>
          <w:rFonts w:cstheme="minorHAnsi"/>
        </w:rPr>
        <w:t>Due to be enforced from May 25</w:t>
      </w:r>
      <w:r w:rsidRPr="00351B22">
        <w:rPr>
          <w:rFonts w:cstheme="minorHAnsi"/>
          <w:vertAlign w:val="superscript"/>
        </w:rPr>
        <w:t>th</w:t>
      </w:r>
      <w:r w:rsidRPr="00351B22">
        <w:rPr>
          <w:rFonts w:cstheme="minorHAnsi"/>
        </w:rPr>
        <w:t>, 2018</w:t>
      </w:r>
      <w:r w:rsidRPr="00351B22">
        <w:rPr>
          <w:rFonts w:cstheme="minorHAnsi"/>
        </w:rPr>
        <w:t xml:space="preserve"> replacing the 1998 Act which will require Dragon Offices to under the General Data Protection Regulations GDPR that applies to all controllers and processors that handle personal data to implement appropriate and organisational measures to ensure confidentiality, integrity, resilience and availability of processing systems and services </w:t>
      </w:r>
      <w:r w:rsidRPr="00351B22">
        <w:rPr>
          <w:rFonts w:cstheme="minorHAnsi"/>
          <w:shd w:val="clear" w:color="auto" w:fill="FFFFFF"/>
        </w:rPr>
        <w:t>(Ec.europa.eu, 2018).</w:t>
      </w:r>
    </w:p>
    <w:p w:rsidR="00F925EF" w:rsidRPr="00351B22" w:rsidRDefault="00512AAD" w:rsidP="00F9676A">
      <w:pPr>
        <w:rPr>
          <w:rFonts w:cstheme="minorHAnsi"/>
          <w:shd w:val="clear" w:color="auto" w:fill="FFFFFF"/>
        </w:rPr>
      </w:pPr>
      <w:r w:rsidRPr="00351B22">
        <w:rPr>
          <w:rFonts w:cstheme="minorHAnsi"/>
        </w:rPr>
        <w:t>GDPR applies to controllers and processor both have certain restrictions varying from one another assuring the data that they collect</w:t>
      </w:r>
      <w:r w:rsidR="00271254" w:rsidRPr="00351B22">
        <w:rPr>
          <w:rFonts w:cstheme="minorHAnsi"/>
        </w:rPr>
        <w:t xml:space="preserve"> and </w:t>
      </w:r>
      <w:r w:rsidR="002612A7" w:rsidRPr="00351B22">
        <w:rPr>
          <w:rFonts w:cstheme="minorHAnsi"/>
        </w:rPr>
        <w:t>process</w:t>
      </w:r>
      <w:r w:rsidRPr="00351B22">
        <w:rPr>
          <w:rFonts w:cstheme="minorHAnsi"/>
        </w:rPr>
        <w:t xml:space="preserve"> is done so within the legal compliance of GDPR in the EU and any organisation that sells goods or se</w:t>
      </w:r>
      <w:r w:rsidR="0026554E" w:rsidRPr="00351B22">
        <w:rPr>
          <w:rFonts w:cstheme="minorHAnsi"/>
        </w:rPr>
        <w:t xml:space="preserve">rvices to individuals in the EU </w:t>
      </w:r>
      <w:r w:rsidR="0026554E" w:rsidRPr="00351B22">
        <w:rPr>
          <w:rFonts w:cstheme="minorHAnsi"/>
          <w:shd w:val="clear" w:color="auto" w:fill="FFFFFF"/>
        </w:rPr>
        <w:t>(</w:t>
      </w:r>
      <w:proofErr w:type="spellStart"/>
      <w:r w:rsidR="0026554E" w:rsidRPr="00351B22">
        <w:rPr>
          <w:rFonts w:cstheme="minorHAnsi"/>
          <w:shd w:val="clear" w:color="auto" w:fill="FFFFFF"/>
        </w:rPr>
        <w:t>Lodder</w:t>
      </w:r>
      <w:proofErr w:type="spellEnd"/>
      <w:r w:rsidR="0026554E" w:rsidRPr="00351B22">
        <w:rPr>
          <w:rFonts w:cstheme="minorHAnsi"/>
          <w:shd w:val="clear" w:color="auto" w:fill="FFFFFF"/>
        </w:rPr>
        <w:t xml:space="preserve"> and Murray, 2017)</w:t>
      </w:r>
      <w:r w:rsidR="00F925EF" w:rsidRPr="00351B22">
        <w:rPr>
          <w:rFonts w:cstheme="minorHAnsi"/>
          <w:shd w:val="clear" w:color="auto" w:fill="FFFFFF"/>
        </w:rPr>
        <w:t>.</w:t>
      </w:r>
    </w:p>
    <w:p w:rsidR="00F925EF" w:rsidRPr="00351B22" w:rsidRDefault="00F925EF" w:rsidP="003972F1">
      <w:pPr>
        <w:rPr>
          <w:rFonts w:cstheme="minorHAnsi"/>
          <w:b/>
        </w:rPr>
      </w:pPr>
      <w:r w:rsidRPr="00351B22">
        <w:rPr>
          <w:rFonts w:cstheme="minorHAnsi"/>
        </w:rPr>
        <w:t>The GDPR</w:t>
      </w:r>
      <w:r w:rsidR="006B182B" w:rsidRPr="00351B22">
        <w:rPr>
          <w:rFonts w:cstheme="minorHAnsi"/>
        </w:rPr>
        <w:t xml:space="preserve"> </w:t>
      </w:r>
      <w:r w:rsidRPr="00351B22">
        <w:rPr>
          <w:rFonts w:cstheme="minorHAnsi"/>
        </w:rPr>
        <w:t xml:space="preserve">provides </w:t>
      </w:r>
      <w:r w:rsidR="006B182B" w:rsidRPr="00351B22">
        <w:rPr>
          <w:rFonts w:cstheme="minorHAnsi"/>
        </w:rPr>
        <w:t>organisations</w:t>
      </w:r>
      <w:r w:rsidRPr="00351B22">
        <w:rPr>
          <w:rFonts w:cstheme="minorHAnsi"/>
        </w:rPr>
        <w:t xml:space="preserve"> with </w:t>
      </w:r>
      <w:r w:rsidR="006B182B" w:rsidRPr="00351B22">
        <w:rPr>
          <w:rFonts w:cstheme="minorHAnsi"/>
        </w:rPr>
        <w:t xml:space="preserve">a compliance </w:t>
      </w:r>
      <w:r w:rsidR="00227A08" w:rsidRPr="00351B22">
        <w:rPr>
          <w:rFonts w:cstheme="minorHAnsi"/>
        </w:rPr>
        <w:t>surrounding personal information it provides a lawful basis for processing information, accountability and governance, individual rights and security of the perso</w:t>
      </w:r>
      <w:r w:rsidR="00FF2C5D">
        <w:rPr>
          <w:rFonts w:cstheme="minorHAnsi"/>
        </w:rPr>
        <w:t>nal data collected or processed</w:t>
      </w:r>
      <w:r w:rsidR="00FF2C5D" w:rsidRPr="00FF2C5D">
        <w:rPr>
          <w:rFonts w:cstheme="minorHAnsi"/>
          <w:shd w:val="clear" w:color="auto" w:fill="FFFFFF"/>
        </w:rPr>
        <w:t xml:space="preserve"> </w:t>
      </w:r>
      <w:r w:rsidR="00FF2C5D">
        <w:rPr>
          <w:rFonts w:cstheme="minorHAnsi"/>
          <w:shd w:val="clear" w:color="auto" w:fill="FFFFFF"/>
        </w:rPr>
        <w:t>(S</w:t>
      </w:r>
      <w:r w:rsidR="00FF2C5D" w:rsidRPr="00FF2C5D">
        <w:rPr>
          <w:rFonts w:cstheme="minorHAnsi"/>
          <w:shd w:val="clear" w:color="auto" w:fill="FFFFFF"/>
        </w:rPr>
        <w:t>ecurity, 2018)</w:t>
      </w:r>
      <w:r w:rsidR="00FF2C5D">
        <w:rPr>
          <w:rFonts w:cstheme="minorHAnsi"/>
        </w:rPr>
        <w:t>.</w:t>
      </w:r>
    </w:p>
    <w:p w:rsidR="00271254" w:rsidRPr="00351B22" w:rsidRDefault="00271254" w:rsidP="003972F1">
      <w:pPr>
        <w:rPr>
          <w:rFonts w:cstheme="minorHAnsi"/>
        </w:rPr>
      </w:pPr>
      <w:r w:rsidRPr="00351B22">
        <w:rPr>
          <w:rFonts w:cstheme="minorHAnsi"/>
        </w:rPr>
        <w:t xml:space="preserve">Dragon offices must follow </w:t>
      </w:r>
      <w:r w:rsidR="002618DE" w:rsidRPr="00351B22">
        <w:rPr>
          <w:rFonts w:cstheme="minorHAnsi"/>
        </w:rPr>
        <w:t xml:space="preserve">the </w:t>
      </w:r>
      <w:r w:rsidRPr="00351B22">
        <w:rPr>
          <w:rFonts w:cstheme="minorHAnsi"/>
        </w:rPr>
        <w:t xml:space="preserve">principles in which is stated in Article 5 of the GDPR regulations; </w:t>
      </w:r>
    </w:p>
    <w:p w:rsidR="00271254" w:rsidRPr="00351B22" w:rsidRDefault="00C92E63" w:rsidP="00C92E63">
      <w:pPr>
        <w:pStyle w:val="ListParagraph"/>
        <w:numPr>
          <w:ilvl w:val="0"/>
          <w:numId w:val="4"/>
        </w:numPr>
        <w:rPr>
          <w:rFonts w:cstheme="minorHAnsi"/>
        </w:rPr>
      </w:pPr>
      <w:r w:rsidRPr="00351B22">
        <w:rPr>
          <w:rFonts w:cstheme="minorHAnsi"/>
        </w:rPr>
        <w:t>D</w:t>
      </w:r>
      <w:r w:rsidR="00271254" w:rsidRPr="00351B22">
        <w:rPr>
          <w:rFonts w:cstheme="minorHAnsi"/>
        </w:rPr>
        <w:t>ata must be processed lawfully, fairly and must be translucent in relation to all individuals.</w:t>
      </w:r>
    </w:p>
    <w:p w:rsidR="002618DE" w:rsidRPr="00351B22" w:rsidRDefault="00271254" w:rsidP="00C92E63">
      <w:pPr>
        <w:pStyle w:val="ListParagraph"/>
        <w:numPr>
          <w:ilvl w:val="0"/>
          <w:numId w:val="4"/>
        </w:numPr>
        <w:rPr>
          <w:rFonts w:cstheme="minorHAnsi"/>
        </w:rPr>
      </w:pPr>
      <w:r w:rsidRPr="00351B22">
        <w:rPr>
          <w:rFonts w:cstheme="minorHAnsi"/>
        </w:rPr>
        <w:t xml:space="preserve">Obtained for specified, explicit ad legitimate </w:t>
      </w:r>
      <w:r w:rsidR="002618DE" w:rsidRPr="00351B22">
        <w:rPr>
          <w:rFonts w:cstheme="minorHAnsi"/>
        </w:rPr>
        <w:t>purposes</w:t>
      </w:r>
      <w:r w:rsidRPr="00351B22">
        <w:rPr>
          <w:rFonts w:cstheme="minorHAnsi"/>
        </w:rPr>
        <w:t xml:space="preserve"> and not further processed in a way that Is not compatible with those purposes. Such as archiving </w:t>
      </w:r>
      <w:r w:rsidR="002618DE" w:rsidRPr="00351B22">
        <w:rPr>
          <w:rFonts w:cstheme="minorHAnsi"/>
        </w:rPr>
        <w:t>data of the public interest, historical or scientific research purposes or statistical will not be considered incompatible.</w:t>
      </w:r>
    </w:p>
    <w:p w:rsidR="002618DE" w:rsidRPr="00351B22" w:rsidRDefault="002618DE" w:rsidP="00C92E63">
      <w:pPr>
        <w:pStyle w:val="ListParagraph"/>
        <w:numPr>
          <w:ilvl w:val="0"/>
          <w:numId w:val="4"/>
        </w:numPr>
        <w:rPr>
          <w:rFonts w:cstheme="minorHAnsi"/>
        </w:rPr>
      </w:pPr>
      <w:r w:rsidRPr="00351B22">
        <w:rPr>
          <w:rFonts w:cstheme="minorHAnsi"/>
        </w:rPr>
        <w:t>It must be adequate, relevant and limited to what is essential with regards to the purpose in which they are processed.</w:t>
      </w:r>
    </w:p>
    <w:p w:rsidR="002618DE" w:rsidRPr="00351B22" w:rsidRDefault="002618DE" w:rsidP="00C92E63">
      <w:pPr>
        <w:pStyle w:val="ListParagraph"/>
        <w:numPr>
          <w:ilvl w:val="0"/>
          <w:numId w:val="4"/>
        </w:numPr>
        <w:rPr>
          <w:rFonts w:cstheme="minorHAnsi"/>
        </w:rPr>
      </w:pPr>
      <w:r w:rsidRPr="00351B22">
        <w:rPr>
          <w:rFonts w:cstheme="minorHAnsi"/>
        </w:rPr>
        <w:t>Data must be accurate and when necessary, regularly up to date. Steps must be taken to ensure that data that is in accurate must be processed, rectified or deleted.</w:t>
      </w:r>
    </w:p>
    <w:p w:rsidR="002618DE" w:rsidRPr="00351B22" w:rsidRDefault="00C92E63" w:rsidP="00C92E63">
      <w:pPr>
        <w:pStyle w:val="ListParagraph"/>
        <w:numPr>
          <w:ilvl w:val="0"/>
          <w:numId w:val="4"/>
        </w:numPr>
        <w:rPr>
          <w:rFonts w:cstheme="minorHAnsi"/>
        </w:rPr>
      </w:pPr>
      <w:r w:rsidRPr="00351B22">
        <w:rPr>
          <w:rFonts w:cstheme="minorHAnsi"/>
        </w:rPr>
        <w:t>Data must be organised which permits identification of data subjects are kept for a longer period for which the personal data are processed. Data may be stored for a lengthier period but only to the purposes which are subjected to implementation of these organisational and technical measures required by GDPR.</w:t>
      </w:r>
    </w:p>
    <w:p w:rsidR="00D750CC" w:rsidRPr="00FF2C5D" w:rsidRDefault="0081377D" w:rsidP="00FF2C5D">
      <w:pPr>
        <w:pStyle w:val="ListParagraph"/>
        <w:numPr>
          <w:ilvl w:val="0"/>
          <w:numId w:val="4"/>
        </w:numPr>
        <w:rPr>
          <w:rFonts w:cstheme="minorHAnsi"/>
        </w:rPr>
      </w:pPr>
      <w:r w:rsidRPr="00FF2C5D">
        <w:rPr>
          <w:rFonts w:cstheme="minorHAnsi"/>
        </w:rPr>
        <w:t xml:space="preserve">Processed in a manner that guarantees safety and security of the personal data, such as destruction damage, unlawful processing, </w:t>
      </w:r>
      <w:r w:rsidR="00FF2C5D" w:rsidRPr="00FF2C5D">
        <w:rPr>
          <w:rFonts w:cstheme="minorHAnsi"/>
        </w:rPr>
        <w:t xml:space="preserve">accidental loss etc </w:t>
      </w:r>
      <w:r w:rsidR="00FF2C5D" w:rsidRPr="00FF2C5D">
        <w:rPr>
          <w:rFonts w:cstheme="minorHAnsi"/>
          <w:shd w:val="clear" w:color="auto" w:fill="FFFFFF"/>
        </w:rPr>
        <w:t>(Ec.europa.eu, 2018).</w:t>
      </w:r>
    </w:p>
    <w:p w:rsidR="00512AAD" w:rsidRPr="00351B22" w:rsidRDefault="00512AAD" w:rsidP="003972F1">
      <w:pPr>
        <w:rPr>
          <w:rFonts w:cstheme="minorHAnsi"/>
        </w:rPr>
      </w:pPr>
    </w:p>
    <w:p w:rsidR="00512AAD" w:rsidRPr="00351B22" w:rsidRDefault="00016AE5" w:rsidP="003972F1">
      <w:pPr>
        <w:rPr>
          <w:rFonts w:cstheme="minorHAnsi"/>
          <w:b/>
          <w:u w:val="single"/>
        </w:rPr>
      </w:pPr>
      <w:r w:rsidRPr="00351B22">
        <w:rPr>
          <w:rFonts w:cstheme="minorHAnsi"/>
          <w:b/>
          <w:u w:val="single"/>
        </w:rPr>
        <w:t xml:space="preserve">Challenges </w:t>
      </w:r>
    </w:p>
    <w:p w:rsidR="00016AE5" w:rsidRPr="00351B22" w:rsidRDefault="00016AE5" w:rsidP="003972F1">
      <w:pPr>
        <w:rPr>
          <w:rFonts w:cstheme="minorHAnsi"/>
        </w:rPr>
      </w:pPr>
      <w:r w:rsidRPr="00351B22">
        <w:rPr>
          <w:rFonts w:cstheme="minorHAnsi"/>
        </w:rPr>
        <w:t xml:space="preserve">Challenges </w:t>
      </w:r>
      <w:r w:rsidR="000357DB" w:rsidRPr="00351B22">
        <w:rPr>
          <w:rFonts w:cstheme="minorHAnsi"/>
        </w:rPr>
        <w:t>that Dragon O</w:t>
      </w:r>
      <w:r w:rsidRPr="00351B22">
        <w:rPr>
          <w:rFonts w:cstheme="minorHAnsi"/>
        </w:rPr>
        <w:t>ffices face is that the GDPR requirements involving movement or personal data. GDPR will hold the organisation accountable for processing or collecting data regardless of where it is stored in the s</w:t>
      </w:r>
      <w:r w:rsidR="000357DB" w:rsidRPr="00351B22">
        <w:rPr>
          <w:rFonts w:cstheme="minorHAnsi"/>
        </w:rPr>
        <w:t>ystems and will require Dragon O</w:t>
      </w:r>
      <w:r w:rsidRPr="00351B22">
        <w:rPr>
          <w:rFonts w:cstheme="minorHAnsi"/>
        </w:rPr>
        <w:t xml:space="preserve">ffices to be able to report, access and remove the personal data from the system when required by customers and regulations so that Dragon Offices can work within a legal frame work </w:t>
      </w:r>
      <w:r w:rsidR="005719E6" w:rsidRPr="00351B22">
        <w:rPr>
          <w:rFonts w:cstheme="minorHAnsi"/>
          <w:shd w:val="clear" w:color="auto" w:fill="FFFFFF"/>
        </w:rPr>
        <w:t>(Neo4j Graph Database Platform, 2018)</w:t>
      </w:r>
      <w:r w:rsidR="005719E6" w:rsidRPr="00351B22">
        <w:rPr>
          <w:rFonts w:cstheme="minorHAnsi"/>
          <w:shd w:val="clear" w:color="auto" w:fill="FFFFFF"/>
        </w:rPr>
        <w:t>.</w:t>
      </w:r>
    </w:p>
    <w:p w:rsidR="003125D5" w:rsidRPr="00351B22" w:rsidRDefault="003125D5" w:rsidP="003972F1">
      <w:pPr>
        <w:rPr>
          <w:rFonts w:cstheme="minorHAnsi"/>
          <w:shd w:val="clear" w:color="auto" w:fill="FFFFFF"/>
        </w:rPr>
      </w:pPr>
      <w:r w:rsidRPr="00351B22">
        <w:rPr>
          <w:rFonts w:cstheme="minorHAnsi"/>
          <w:shd w:val="clear" w:color="auto" w:fill="FFFFFF"/>
        </w:rPr>
        <w:t xml:space="preserve">The capacity and availability of experts </w:t>
      </w:r>
      <w:r w:rsidR="005D19BD" w:rsidRPr="00351B22">
        <w:rPr>
          <w:rFonts w:cstheme="minorHAnsi"/>
          <w:shd w:val="clear" w:color="auto" w:fill="FFFFFF"/>
        </w:rPr>
        <w:t>within dragon</w:t>
      </w:r>
      <w:r w:rsidRPr="00351B22">
        <w:rPr>
          <w:rFonts w:cstheme="minorHAnsi"/>
          <w:shd w:val="clear" w:color="auto" w:fill="FFFFFF"/>
        </w:rPr>
        <w:t xml:space="preserve"> Offices </w:t>
      </w:r>
      <w:r w:rsidR="000357DB" w:rsidRPr="00351B22">
        <w:rPr>
          <w:rFonts w:cstheme="minorHAnsi"/>
          <w:shd w:val="clear" w:color="auto" w:fill="FFFFFF"/>
        </w:rPr>
        <w:t>m</w:t>
      </w:r>
      <w:r w:rsidRPr="00351B22">
        <w:rPr>
          <w:rFonts w:cstheme="minorHAnsi"/>
          <w:shd w:val="clear" w:color="auto" w:fill="FFFFFF"/>
        </w:rPr>
        <w:t xml:space="preserve">ay be a challenge in case of a shortage in experts as the lack of security and data experts in that field may complicate the process </w:t>
      </w:r>
      <w:r w:rsidRPr="00351B22">
        <w:rPr>
          <w:rFonts w:cstheme="minorHAnsi"/>
          <w:shd w:val="clear" w:color="auto" w:fill="FFFFFF"/>
        </w:rPr>
        <w:lastRenderedPageBreak/>
        <w:t>of creating a compliance framework as they are needed who can utilise complex applications for security and data protection programmes (</w:t>
      </w:r>
      <w:proofErr w:type="spellStart"/>
      <w:r w:rsidRPr="00351B22">
        <w:rPr>
          <w:rFonts w:cstheme="minorHAnsi"/>
          <w:shd w:val="clear" w:color="auto" w:fill="FFFFFF"/>
        </w:rPr>
        <w:t>Jahankhani</w:t>
      </w:r>
      <w:proofErr w:type="spellEnd"/>
      <w:r w:rsidRPr="00351B22">
        <w:rPr>
          <w:rFonts w:cstheme="minorHAnsi"/>
          <w:shd w:val="clear" w:color="auto" w:fill="FFFFFF"/>
        </w:rPr>
        <w:t xml:space="preserve"> et al., 2010</w:t>
      </w:r>
      <w:r w:rsidRPr="00351B22">
        <w:rPr>
          <w:rFonts w:cstheme="minorHAnsi"/>
          <w:shd w:val="clear" w:color="auto" w:fill="FFFFFF"/>
        </w:rPr>
        <w:t>.)</w:t>
      </w:r>
      <w:r w:rsidRPr="00351B22">
        <w:rPr>
          <w:rFonts w:cstheme="minorHAnsi"/>
          <w:shd w:val="clear" w:color="auto" w:fill="FFFFFF"/>
        </w:rPr>
        <w:t>.</w:t>
      </w:r>
    </w:p>
    <w:p w:rsidR="005719E6" w:rsidRPr="00351B22" w:rsidRDefault="00227A08" w:rsidP="003972F1">
      <w:pPr>
        <w:rPr>
          <w:rFonts w:cstheme="minorHAnsi"/>
          <w:shd w:val="clear" w:color="auto" w:fill="FFFFFF"/>
        </w:rPr>
      </w:pPr>
      <w:r w:rsidRPr="00351B22">
        <w:rPr>
          <w:rFonts w:cstheme="minorHAnsi"/>
          <w:shd w:val="clear" w:color="auto" w:fill="FFFFFF"/>
        </w:rPr>
        <w:t xml:space="preserve">The </w:t>
      </w:r>
      <w:r w:rsidR="003125D5" w:rsidRPr="00351B22">
        <w:rPr>
          <w:rFonts w:cstheme="minorHAnsi"/>
          <w:shd w:val="clear" w:color="auto" w:fill="FFFFFF"/>
        </w:rPr>
        <w:t xml:space="preserve">Complexity  </w:t>
      </w:r>
      <w:r w:rsidRPr="00351B22">
        <w:rPr>
          <w:rFonts w:cstheme="minorHAnsi"/>
          <w:shd w:val="clear" w:color="auto" w:fill="FFFFFF"/>
        </w:rPr>
        <w:t xml:space="preserve">in the number of regulations has gained momentum laws and </w:t>
      </w:r>
      <w:r w:rsidR="00913658" w:rsidRPr="00351B22">
        <w:rPr>
          <w:rFonts w:cstheme="minorHAnsi"/>
          <w:shd w:val="clear" w:color="auto" w:fill="FFFFFF"/>
        </w:rPr>
        <w:t>regulations</w:t>
      </w:r>
      <w:r w:rsidRPr="00351B22">
        <w:rPr>
          <w:rFonts w:cstheme="minorHAnsi"/>
          <w:shd w:val="clear" w:color="auto" w:fill="FFFFFF"/>
        </w:rPr>
        <w:t xml:space="preserve"> change constantly and the time it takes new software based products to reach the markets is shrinking, compliance with occurring changes must bring consistency to compliance </w:t>
      </w:r>
      <w:r w:rsidR="00913658" w:rsidRPr="00351B22">
        <w:rPr>
          <w:rFonts w:cstheme="minorHAnsi"/>
          <w:shd w:val="clear" w:color="auto" w:fill="FFFFFF"/>
        </w:rPr>
        <w:t>structures, but should be implemented within real time but also accurately reflect changes in rules and the new regulations; complying with updated regulations means making sure multiple systems and processes are implemented and delivered via software (</w:t>
      </w:r>
      <w:proofErr w:type="spellStart"/>
      <w:r w:rsidR="00913658" w:rsidRPr="00351B22">
        <w:rPr>
          <w:rFonts w:cstheme="minorHAnsi"/>
          <w:shd w:val="clear" w:color="auto" w:fill="FFFFFF"/>
        </w:rPr>
        <w:t>Jahankhani</w:t>
      </w:r>
      <w:proofErr w:type="spellEnd"/>
      <w:r w:rsidR="00913658" w:rsidRPr="00351B22">
        <w:rPr>
          <w:rFonts w:cstheme="minorHAnsi"/>
          <w:shd w:val="clear" w:color="auto" w:fill="FFFFFF"/>
        </w:rPr>
        <w:t xml:space="preserve"> et al, 2010</w:t>
      </w:r>
      <w:r w:rsidR="00913658" w:rsidRPr="00351B22">
        <w:rPr>
          <w:rFonts w:cstheme="minorHAnsi"/>
          <w:shd w:val="clear" w:color="auto" w:fill="FFFFFF"/>
        </w:rPr>
        <w:t>.)</w:t>
      </w:r>
    </w:p>
    <w:p w:rsidR="00351B22" w:rsidRPr="00351B22" w:rsidRDefault="00351B22" w:rsidP="003972F1">
      <w:pPr>
        <w:rPr>
          <w:rFonts w:cstheme="minorHAnsi"/>
          <w:b/>
          <w:u w:val="single"/>
        </w:rPr>
      </w:pPr>
    </w:p>
    <w:p w:rsidR="00D750CC" w:rsidRPr="00351B22" w:rsidRDefault="002A487D" w:rsidP="003972F1">
      <w:pPr>
        <w:rPr>
          <w:rFonts w:cstheme="minorHAnsi"/>
          <w:b/>
          <w:u w:val="single"/>
        </w:rPr>
      </w:pPr>
      <w:r w:rsidRPr="00351B22">
        <w:rPr>
          <w:rFonts w:cstheme="minorHAnsi"/>
          <w:b/>
          <w:u w:val="single"/>
        </w:rPr>
        <w:t>R</w:t>
      </w:r>
      <w:r w:rsidR="00D5729A" w:rsidRPr="00351B22">
        <w:rPr>
          <w:rFonts w:cstheme="minorHAnsi"/>
          <w:b/>
          <w:u w:val="single"/>
        </w:rPr>
        <w:t>ecommendations</w:t>
      </w:r>
    </w:p>
    <w:p w:rsidR="00913658" w:rsidRPr="00351B22" w:rsidRDefault="00913658" w:rsidP="003972F1">
      <w:pPr>
        <w:rPr>
          <w:rFonts w:cstheme="minorHAnsi"/>
        </w:rPr>
      </w:pPr>
      <w:r w:rsidRPr="00351B22">
        <w:rPr>
          <w:rFonts w:cstheme="minorHAnsi"/>
        </w:rPr>
        <w:t>Usually any sort of compliance comes at a detriment, Dragon Offices can successfully design and deploy responsive software regarding data privacy and compliance programs to help expand customer relations and satisfaction which in turn can add generate revenue growth to Dragon Offices using three objectives to comply with data protection</w:t>
      </w:r>
      <w:r w:rsidR="00FF2C5D">
        <w:rPr>
          <w:rFonts w:cstheme="minorHAnsi"/>
        </w:rPr>
        <w:t xml:space="preserve"> </w:t>
      </w:r>
      <w:r w:rsidR="004258AA" w:rsidRPr="00FF2C5D">
        <w:rPr>
          <w:rFonts w:cstheme="minorHAnsi"/>
          <w:szCs w:val="20"/>
          <w:shd w:val="clear" w:color="auto" w:fill="FFFFFF"/>
        </w:rPr>
        <w:t xml:space="preserve">(Voigt and </w:t>
      </w:r>
      <w:proofErr w:type="spellStart"/>
      <w:r w:rsidR="004258AA" w:rsidRPr="00FF2C5D">
        <w:rPr>
          <w:rFonts w:cstheme="minorHAnsi"/>
          <w:szCs w:val="20"/>
          <w:shd w:val="clear" w:color="auto" w:fill="FFFFFF"/>
        </w:rPr>
        <w:t>Bussche</w:t>
      </w:r>
      <w:proofErr w:type="spellEnd"/>
      <w:r w:rsidR="004258AA" w:rsidRPr="00FF2C5D">
        <w:rPr>
          <w:rFonts w:cstheme="minorHAnsi"/>
          <w:szCs w:val="20"/>
          <w:shd w:val="clear" w:color="auto" w:fill="FFFFFF"/>
        </w:rPr>
        <w:t>, 2017).</w:t>
      </w:r>
    </w:p>
    <w:p w:rsidR="00913658" w:rsidRPr="00351B22" w:rsidRDefault="00913658" w:rsidP="00913658">
      <w:pPr>
        <w:pStyle w:val="ListParagraph"/>
        <w:numPr>
          <w:ilvl w:val="0"/>
          <w:numId w:val="5"/>
        </w:numPr>
        <w:rPr>
          <w:rFonts w:cstheme="minorHAnsi"/>
        </w:rPr>
      </w:pPr>
      <w:r w:rsidRPr="00351B22">
        <w:rPr>
          <w:rFonts w:cstheme="minorHAnsi"/>
        </w:rPr>
        <w:t xml:space="preserve">Reduce risk of breaching personal data protection regulations by operating under the regulations implemented by the EU to ensure </w:t>
      </w:r>
      <w:r w:rsidR="002A487D" w:rsidRPr="00351B22">
        <w:rPr>
          <w:rFonts w:cstheme="minorHAnsi"/>
        </w:rPr>
        <w:t>risk is reduced.</w:t>
      </w:r>
    </w:p>
    <w:p w:rsidR="002A487D" w:rsidRPr="00351B22" w:rsidRDefault="002A487D" w:rsidP="00913658">
      <w:pPr>
        <w:pStyle w:val="ListParagraph"/>
        <w:numPr>
          <w:ilvl w:val="0"/>
          <w:numId w:val="5"/>
        </w:numPr>
        <w:rPr>
          <w:rFonts w:cstheme="minorHAnsi"/>
        </w:rPr>
      </w:pPr>
      <w:r w:rsidRPr="00351B22">
        <w:rPr>
          <w:rFonts w:cstheme="minorHAnsi"/>
        </w:rPr>
        <w:t>Allow support and growth of rich customer experiences.</w:t>
      </w:r>
    </w:p>
    <w:p w:rsidR="002A487D" w:rsidRPr="00351B22" w:rsidRDefault="002A487D" w:rsidP="00913658">
      <w:pPr>
        <w:pStyle w:val="ListParagraph"/>
        <w:numPr>
          <w:ilvl w:val="0"/>
          <w:numId w:val="5"/>
        </w:numPr>
        <w:rPr>
          <w:rFonts w:cstheme="minorHAnsi"/>
        </w:rPr>
      </w:pPr>
      <w:r w:rsidRPr="00351B22">
        <w:rPr>
          <w:rFonts w:cstheme="minorHAnsi"/>
        </w:rPr>
        <w:t>Achieve the reduction of its costs of compliance with Personal Data Protection Legislation following binding cooperate rules through the application of different compliance methods.</w:t>
      </w:r>
    </w:p>
    <w:p w:rsidR="00351B22" w:rsidRPr="00351B22" w:rsidRDefault="002A487D" w:rsidP="00351B22">
      <w:pPr>
        <w:rPr>
          <w:rFonts w:cstheme="minorHAnsi"/>
          <w:shd w:val="clear" w:color="auto" w:fill="FFFFFF"/>
        </w:rPr>
      </w:pPr>
      <w:r w:rsidRPr="00351B22">
        <w:rPr>
          <w:rFonts w:cstheme="minorHAnsi"/>
        </w:rPr>
        <w:t xml:space="preserve">In </w:t>
      </w:r>
      <w:r w:rsidR="00D46121" w:rsidRPr="00351B22">
        <w:rPr>
          <w:rFonts w:cstheme="minorHAnsi"/>
        </w:rPr>
        <w:t>addition,</w:t>
      </w:r>
      <w:r w:rsidRPr="00351B22">
        <w:rPr>
          <w:rFonts w:cstheme="minorHAnsi"/>
        </w:rPr>
        <w:t xml:space="preserve"> dragon offices can truly identify its responsibility by having good principles of conducting business ethically, sustainably and responsibly around the globe as responsibility is the key objective a</w:t>
      </w:r>
      <w:r w:rsidR="00351B22" w:rsidRPr="00351B22">
        <w:rPr>
          <w:rFonts w:cstheme="minorHAnsi"/>
        </w:rPr>
        <w:t>t the</w:t>
      </w:r>
      <w:r w:rsidR="00FF2C5D">
        <w:rPr>
          <w:rFonts w:cstheme="minorHAnsi"/>
        </w:rPr>
        <w:t xml:space="preserve"> heart of any organisation </w:t>
      </w:r>
      <w:r w:rsidR="004258AA">
        <w:rPr>
          <w:rFonts w:cstheme="minorHAnsi"/>
          <w:shd w:val="clear" w:color="auto" w:fill="FFFFFF"/>
        </w:rPr>
        <w:t>(S</w:t>
      </w:r>
      <w:r w:rsidR="004258AA" w:rsidRPr="00FF2C5D">
        <w:rPr>
          <w:rFonts w:cstheme="minorHAnsi"/>
          <w:shd w:val="clear" w:color="auto" w:fill="FFFFFF"/>
        </w:rPr>
        <w:t>ecurity, 2018)</w:t>
      </w:r>
      <w:r w:rsidR="004258AA" w:rsidRPr="00FF2C5D">
        <w:rPr>
          <w:rFonts w:cstheme="minorHAnsi"/>
        </w:rPr>
        <w:t>.</w:t>
      </w:r>
    </w:p>
    <w:p w:rsidR="006161E7" w:rsidRDefault="006161E7" w:rsidP="003972F1">
      <w:pPr>
        <w:rPr>
          <w:rFonts w:cstheme="minorHAnsi"/>
          <w:b/>
        </w:rPr>
      </w:pPr>
    </w:p>
    <w:p w:rsidR="00D750CC" w:rsidRPr="00351B22" w:rsidRDefault="00D750CC" w:rsidP="003972F1">
      <w:pPr>
        <w:rPr>
          <w:rFonts w:cstheme="minorHAnsi"/>
          <w:b/>
        </w:rPr>
      </w:pPr>
      <w:r w:rsidRPr="00351B22">
        <w:rPr>
          <w:rFonts w:cstheme="minorHAnsi"/>
          <w:b/>
        </w:rPr>
        <w:t xml:space="preserve">Conclusion </w:t>
      </w:r>
    </w:p>
    <w:p w:rsidR="006161E7" w:rsidRPr="00351B22" w:rsidRDefault="006161E7" w:rsidP="003972F1">
      <w:pPr>
        <w:rPr>
          <w:rFonts w:cstheme="minorHAnsi"/>
        </w:rPr>
      </w:pPr>
      <w:r>
        <w:rPr>
          <w:rFonts w:cstheme="minorHAnsi"/>
        </w:rPr>
        <w:t xml:space="preserve">To conclude with regards to Dragon Offices with the use and  implementation of the regulations it will ensure that all data collected and processed will be easier and more manageable in order creating a better understanding and knowledge of GDPR and the values its possess, within the new legislation it will help Dragon Offices to build a larger insight to its surrounding environments regarding its customer relations and the ability to identify where improvement are needed and where they are not yet met to create a more informed and accurate decisions using the information available to increase the organisations overall performance. Even </w:t>
      </w:r>
      <w:r w:rsidR="00BC18EA">
        <w:rPr>
          <w:rFonts w:cstheme="minorHAnsi"/>
        </w:rPr>
        <w:t>though GDPR is</w:t>
      </w:r>
      <w:r>
        <w:rPr>
          <w:rFonts w:cstheme="minorHAnsi"/>
        </w:rPr>
        <w:t xml:space="preserve"> not a </w:t>
      </w:r>
      <w:r>
        <w:rPr>
          <w:rFonts w:cstheme="minorHAnsi"/>
        </w:rPr>
        <w:t>regulatory</w:t>
      </w:r>
      <w:r>
        <w:rPr>
          <w:rFonts w:cstheme="minorHAnsi"/>
        </w:rPr>
        <w:t xml:space="preserve"> obligation, Drago</w:t>
      </w:r>
      <w:r w:rsidR="00BC18EA">
        <w:rPr>
          <w:rFonts w:cstheme="minorHAnsi"/>
        </w:rPr>
        <w:t xml:space="preserve">n Offices must consider this when handling information must take a cautious approach when processing and collecting data to meet the requirements of the polices in </w:t>
      </w:r>
      <w:r w:rsidR="008E0BFD">
        <w:rPr>
          <w:rFonts w:cstheme="minorHAnsi"/>
        </w:rPr>
        <w:t>place within this</w:t>
      </w:r>
      <w:r w:rsidR="00BC18EA">
        <w:rPr>
          <w:rFonts w:cstheme="minorHAnsi"/>
        </w:rPr>
        <w:t xml:space="preserve"> new regulatory framework.</w:t>
      </w:r>
      <w:bookmarkStart w:id="0" w:name="_GoBack"/>
      <w:bookmarkEnd w:id="0"/>
    </w:p>
    <w:p w:rsidR="00B6522F" w:rsidRPr="00351B22" w:rsidRDefault="00B6522F" w:rsidP="003972F1">
      <w:pPr>
        <w:rPr>
          <w:rFonts w:cstheme="minorHAnsi"/>
        </w:rPr>
      </w:pPr>
    </w:p>
    <w:p w:rsidR="00512AAD" w:rsidRPr="00351B22" w:rsidRDefault="00512AAD" w:rsidP="003972F1">
      <w:pPr>
        <w:rPr>
          <w:rFonts w:cstheme="minorHAnsi"/>
        </w:rPr>
      </w:pPr>
    </w:p>
    <w:p w:rsidR="00512AAD" w:rsidRPr="00351B22" w:rsidRDefault="00512AAD" w:rsidP="003972F1">
      <w:pPr>
        <w:rPr>
          <w:rFonts w:cstheme="minorHAnsi"/>
        </w:rPr>
      </w:pPr>
    </w:p>
    <w:p w:rsidR="00512AAD" w:rsidRPr="00351B22" w:rsidRDefault="00512AAD" w:rsidP="003972F1">
      <w:pPr>
        <w:rPr>
          <w:rFonts w:cstheme="minorHAnsi"/>
        </w:rPr>
      </w:pPr>
    </w:p>
    <w:p w:rsidR="005D19BD" w:rsidRPr="00351B22" w:rsidRDefault="005D19BD" w:rsidP="003972F1">
      <w:pPr>
        <w:rPr>
          <w:rFonts w:cstheme="minorHAnsi"/>
        </w:rPr>
      </w:pPr>
    </w:p>
    <w:p w:rsidR="00512AAD" w:rsidRPr="00FF2C5D" w:rsidRDefault="00512AAD" w:rsidP="003972F1">
      <w:pPr>
        <w:rPr>
          <w:rFonts w:cstheme="minorHAnsi"/>
          <w:b/>
          <w:u w:val="single"/>
        </w:rPr>
      </w:pPr>
      <w:r w:rsidRPr="00FF2C5D">
        <w:rPr>
          <w:rFonts w:cstheme="minorHAnsi"/>
          <w:b/>
          <w:u w:val="single"/>
        </w:rPr>
        <w:lastRenderedPageBreak/>
        <w:t>References</w:t>
      </w:r>
    </w:p>
    <w:p w:rsidR="0026554E" w:rsidRPr="00351B22" w:rsidRDefault="00506969" w:rsidP="0026554E">
      <w:pPr>
        <w:rPr>
          <w:rFonts w:cstheme="minorHAnsi"/>
          <w:shd w:val="clear" w:color="auto" w:fill="FFFFFF"/>
        </w:rPr>
      </w:pPr>
      <w:r w:rsidRPr="00351B22">
        <w:rPr>
          <w:rFonts w:cstheme="minorHAnsi"/>
          <w:shd w:val="clear" w:color="auto" w:fill="FFFFFF"/>
        </w:rPr>
        <w:t>Ec.europa.eu. (2018). </w:t>
      </w:r>
      <w:r w:rsidRPr="00351B22">
        <w:rPr>
          <w:rFonts w:cstheme="minorHAnsi"/>
          <w:i/>
          <w:iCs/>
          <w:shd w:val="clear" w:color="auto" w:fill="FFFFFF"/>
        </w:rPr>
        <w:t>ARTICLE29 Newsroom - News overview - European Commission</w:t>
      </w:r>
      <w:r w:rsidRPr="00351B22">
        <w:rPr>
          <w:rFonts w:cstheme="minorHAnsi"/>
          <w:shd w:val="clear" w:color="auto" w:fill="FFFFFF"/>
        </w:rPr>
        <w:t>. [online] Available at: http://ec.europa.eu/newsroom/article29/news-overview.cfm [Accessed 11 May 2018].</w:t>
      </w:r>
    </w:p>
    <w:p w:rsidR="003125D5" w:rsidRPr="00FF2C5D" w:rsidRDefault="003125D5" w:rsidP="003125D5">
      <w:pPr>
        <w:rPr>
          <w:rFonts w:cstheme="minorHAnsi"/>
          <w:shd w:val="clear" w:color="auto" w:fill="FFFFFF"/>
        </w:rPr>
      </w:pPr>
      <w:r w:rsidRPr="00351B22">
        <w:rPr>
          <w:rFonts w:cstheme="minorHAnsi"/>
          <w:shd w:val="clear" w:color="auto" w:fill="FFFFFF"/>
        </w:rPr>
        <w:t>Ico.org.uk. (2018). </w:t>
      </w:r>
      <w:r w:rsidRPr="00351B22">
        <w:rPr>
          <w:rFonts w:cstheme="minorHAnsi"/>
          <w:i/>
          <w:iCs/>
          <w:shd w:val="clear" w:color="auto" w:fill="FFFFFF"/>
        </w:rPr>
        <w:t>Principles</w:t>
      </w:r>
      <w:r w:rsidRPr="00351B22">
        <w:rPr>
          <w:rFonts w:cstheme="minorHAnsi"/>
          <w:shd w:val="clear" w:color="auto" w:fill="FFFFFF"/>
        </w:rPr>
        <w:t>. [online] Available at: https://ico.org.uk/for-organisations/guide-to-the-</w:t>
      </w:r>
      <w:r w:rsidRPr="00FF2C5D">
        <w:rPr>
          <w:rFonts w:cstheme="minorHAnsi"/>
          <w:shd w:val="clear" w:color="auto" w:fill="FFFFFF"/>
        </w:rPr>
        <w:t>general-data-protection-regulation-gdpr/principles/ [Accessed 12 May 2018].</w:t>
      </w:r>
    </w:p>
    <w:p w:rsidR="003125D5" w:rsidRPr="00351B22" w:rsidRDefault="003125D5" w:rsidP="003125D5">
      <w:pPr>
        <w:rPr>
          <w:rFonts w:cstheme="minorHAnsi"/>
        </w:rPr>
      </w:pPr>
      <w:proofErr w:type="spellStart"/>
      <w:r w:rsidRPr="00351B22">
        <w:rPr>
          <w:rFonts w:cstheme="minorHAnsi"/>
          <w:shd w:val="clear" w:color="auto" w:fill="FFFFFF"/>
        </w:rPr>
        <w:t>Jahankhani</w:t>
      </w:r>
      <w:proofErr w:type="spellEnd"/>
      <w:r w:rsidRPr="00351B22">
        <w:rPr>
          <w:rFonts w:cstheme="minorHAnsi"/>
          <w:shd w:val="clear" w:color="auto" w:fill="FFFFFF"/>
        </w:rPr>
        <w:t xml:space="preserve">, H., </w:t>
      </w:r>
      <w:proofErr w:type="spellStart"/>
      <w:r w:rsidRPr="00351B22">
        <w:rPr>
          <w:rFonts w:cstheme="minorHAnsi"/>
          <w:shd w:val="clear" w:color="auto" w:fill="FFFFFF"/>
        </w:rPr>
        <w:t>Carlile</w:t>
      </w:r>
      <w:proofErr w:type="spellEnd"/>
      <w:r w:rsidRPr="00351B22">
        <w:rPr>
          <w:rFonts w:cstheme="minorHAnsi"/>
          <w:shd w:val="clear" w:color="auto" w:fill="FFFFFF"/>
        </w:rPr>
        <w:t xml:space="preserve"> of </w:t>
      </w:r>
      <w:proofErr w:type="spellStart"/>
      <w:r w:rsidRPr="00351B22">
        <w:rPr>
          <w:rFonts w:cstheme="minorHAnsi"/>
          <w:shd w:val="clear" w:color="auto" w:fill="FFFFFF"/>
        </w:rPr>
        <w:t>Berriew</w:t>
      </w:r>
      <w:proofErr w:type="spellEnd"/>
      <w:r w:rsidRPr="00351B22">
        <w:rPr>
          <w:rFonts w:cstheme="minorHAnsi"/>
          <w:shd w:val="clear" w:color="auto" w:fill="FFFFFF"/>
        </w:rPr>
        <w:t xml:space="preserve">, </w:t>
      </w:r>
      <w:proofErr w:type="spellStart"/>
      <w:r w:rsidRPr="00351B22">
        <w:rPr>
          <w:rFonts w:cstheme="minorHAnsi"/>
          <w:shd w:val="clear" w:color="auto" w:fill="FFFFFF"/>
        </w:rPr>
        <w:t>Akhgar</w:t>
      </w:r>
      <w:proofErr w:type="spellEnd"/>
      <w:r w:rsidRPr="00351B22">
        <w:rPr>
          <w:rFonts w:cstheme="minorHAnsi"/>
          <w:shd w:val="clear" w:color="auto" w:fill="FFFFFF"/>
        </w:rPr>
        <w:t xml:space="preserve">, B., </w:t>
      </w:r>
      <w:proofErr w:type="spellStart"/>
      <w:r w:rsidRPr="00351B22">
        <w:rPr>
          <w:rFonts w:cstheme="minorHAnsi"/>
          <w:shd w:val="clear" w:color="auto" w:fill="FFFFFF"/>
        </w:rPr>
        <w:t>Taal</w:t>
      </w:r>
      <w:proofErr w:type="spellEnd"/>
      <w:r w:rsidRPr="00351B22">
        <w:rPr>
          <w:rFonts w:cstheme="minorHAnsi"/>
          <w:shd w:val="clear" w:color="auto" w:fill="FFFFFF"/>
        </w:rPr>
        <w:t xml:space="preserve">, A., </w:t>
      </w:r>
      <w:proofErr w:type="spellStart"/>
      <w:r w:rsidRPr="00351B22">
        <w:rPr>
          <w:rFonts w:cstheme="minorHAnsi"/>
          <w:shd w:val="clear" w:color="auto" w:fill="FFFFFF"/>
        </w:rPr>
        <w:t>Hessami</w:t>
      </w:r>
      <w:proofErr w:type="spellEnd"/>
      <w:r w:rsidRPr="00351B22">
        <w:rPr>
          <w:rFonts w:cstheme="minorHAnsi"/>
          <w:shd w:val="clear" w:color="auto" w:fill="FFFFFF"/>
        </w:rPr>
        <w:t>,</w:t>
      </w:r>
      <w:r w:rsidRPr="00351B22">
        <w:rPr>
          <w:rFonts w:cstheme="minorHAnsi"/>
          <w:shd w:val="clear" w:color="auto" w:fill="FFFFFF"/>
        </w:rPr>
        <w:t xml:space="preserve"> A. and </w:t>
      </w:r>
      <w:proofErr w:type="spellStart"/>
      <w:r w:rsidRPr="00351B22">
        <w:rPr>
          <w:rFonts w:cstheme="minorHAnsi"/>
          <w:shd w:val="clear" w:color="auto" w:fill="FFFFFF"/>
        </w:rPr>
        <w:t>Hosseinian</w:t>
      </w:r>
      <w:proofErr w:type="spellEnd"/>
      <w:r w:rsidRPr="00351B22">
        <w:rPr>
          <w:rFonts w:cstheme="minorHAnsi"/>
          <w:shd w:val="clear" w:color="auto" w:fill="FFFFFF"/>
        </w:rPr>
        <w:t>-Far, A. (2010</w:t>
      </w:r>
      <w:r w:rsidRPr="00351B22">
        <w:rPr>
          <w:rFonts w:cstheme="minorHAnsi"/>
          <w:shd w:val="clear" w:color="auto" w:fill="FFFFFF"/>
        </w:rPr>
        <w:t>). </w:t>
      </w:r>
      <w:r w:rsidRPr="00351B22">
        <w:rPr>
          <w:rFonts w:cstheme="minorHAnsi"/>
          <w:i/>
          <w:iCs/>
          <w:shd w:val="clear" w:color="auto" w:fill="FFFFFF"/>
        </w:rPr>
        <w:t>Global security, safety and sustainability</w:t>
      </w:r>
      <w:r w:rsidRPr="00351B22">
        <w:rPr>
          <w:rFonts w:cstheme="minorHAnsi"/>
          <w:shd w:val="clear" w:color="auto" w:fill="FFFFFF"/>
        </w:rPr>
        <w:t>.</w:t>
      </w:r>
    </w:p>
    <w:p w:rsidR="003125D5" w:rsidRPr="00351B22" w:rsidRDefault="003125D5" w:rsidP="003125D5">
      <w:pPr>
        <w:rPr>
          <w:rFonts w:cstheme="minorHAnsi"/>
          <w:shd w:val="clear" w:color="auto" w:fill="FFFFFF"/>
        </w:rPr>
      </w:pPr>
      <w:proofErr w:type="spellStart"/>
      <w:r w:rsidRPr="00351B22">
        <w:rPr>
          <w:rFonts w:cstheme="minorHAnsi"/>
          <w:shd w:val="clear" w:color="auto" w:fill="FFFFFF"/>
        </w:rPr>
        <w:t>Lodder</w:t>
      </w:r>
      <w:proofErr w:type="spellEnd"/>
      <w:r w:rsidRPr="00351B22">
        <w:rPr>
          <w:rFonts w:cstheme="minorHAnsi"/>
          <w:shd w:val="clear" w:color="auto" w:fill="FFFFFF"/>
        </w:rPr>
        <w:t>, A. and Murray, A. (2017). </w:t>
      </w:r>
      <w:r w:rsidRPr="00351B22">
        <w:rPr>
          <w:rFonts w:cstheme="minorHAnsi"/>
          <w:i/>
          <w:iCs/>
          <w:shd w:val="clear" w:color="auto" w:fill="FFFFFF"/>
        </w:rPr>
        <w:t>EU regulation of e-commerce</w:t>
      </w:r>
      <w:r w:rsidRPr="00351B22">
        <w:rPr>
          <w:rFonts w:cstheme="minorHAnsi"/>
          <w:shd w:val="clear" w:color="auto" w:fill="FFFFFF"/>
        </w:rPr>
        <w:t>. Northampton, MA: Edward Elgar Pub.</w:t>
      </w:r>
    </w:p>
    <w:p w:rsidR="00016AE5" w:rsidRPr="00351B22" w:rsidRDefault="00016AE5" w:rsidP="0026554E">
      <w:pPr>
        <w:rPr>
          <w:rFonts w:cstheme="minorHAnsi"/>
          <w:shd w:val="clear" w:color="auto" w:fill="FFF5AA"/>
        </w:rPr>
      </w:pPr>
      <w:r w:rsidRPr="00351B22">
        <w:rPr>
          <w:rFonts w:cstheme="minorHAnsi"/>
          <w:shd w:val="clear" w:color="auto" w:fill="FFFFFF"/>
        </w:rPr>
        <w:t>Neo4j Graph Database Platform. (2018). </w:t>
      </w:r>
      <w:r w:rsidRPr="00351B22">
        <w:rPr>
          <w:rFonts w:cstheme="minorHAnsi"/>
          <w:i/>
          <w:iCs/>
          <w:shd w:val="clear" w:color="auto" w:fill="FFFFFF"/>
        </w:rPr>
        <w:t>GDPR Compliance: The Challenges and Problems with Personal Data</w:t>
      </w:r>
      <w:r w:rsidRPr="00351B22">
        <w:rPr>
          <w:rFonts w:cstheme="minorHAnsi"/>
          <w:shd w:val="clear" w:color="auto" w:fill="FFFFFF"/>
        </w:rPr>
        <w:t>. [online] Available at: https://neo4j.com/blog/gdpr-compliance-challenges-personal-data/ [Accessed 12 May 2018].</w:t>
      </w:r>
    </w:p>
    <w:p w:rsidR="00FF2C5D" w:rsidRDefault="00FF2C5D" w:rsidP="00FF2C5D">
      <w:pPr>
        <w:rPr>
          <w:rFonts w:cstheme="minorHAnsi"/>
          <w:shd w:val="clear" w:color="auto" w:fill="FFFFFF"/>
        </w:rPr>
      </w:pPr>
      <w:r>
        <w:rPr>
          <w:rFonts w:cstheme="minorHAnsi"/>
          <w:shd w:val="clear" w:color="auto" w:fill="FFFFFF"/>
        </w:rPr>
        <w:t>S</w:t>
      </w:r>
      <w:r w:rsidRPr="00FF2C5D">
        <w:rPr>
          <w:rFonts w:cstheme="minorHAnsi"/>
          <w:shd w:val="clear" w:color="auto" w:fill="FFFFFF"/>
        </w:rPr>
        <w:t>ecurity, D. (2018). </w:t>
      </w:r>
      <w:r w:rsidRPr="00FF2C5D">
        <w:rPr>
          <w:rFonts w:cstheme="minorHAnsi"/>
          <w:i/>
          <w:iCs/>
          <w:shd w:val="clear" w:color="auto" w:fill="FFFFFF"/>
        </w:rPr>
        <w:t>General Data Protection Regulation (GDPR) | IBM Security</w:t>
      </w:r>
      <w:r w:rsidRPr="00FF2C5D">
        <w:rPr>
          <w:rFonts w:cstheme="minorHAnsi"/>
          <w:shd w:val="clear" w:color="auto" w:fill="FFFFFF"/>
        </w:rPr>
        <w:t>. [online] Ibm.com. Available at: https://www.ibm.com/security/data-security/gdpr?S_PKG=-&amp;cm_mmc=Search_Google-_-Security_CISO-_-WW_IUK-_-+gdpr_Broad_-&amp;cm_mmca1=000026XZ&amp;cm_mmca2=10006807&amp;cm_mmca7=9045405&amp;cm_mmca8=aud-384354108630:kwd-296675451589&amp;cm_mmca9=0c3a8378-4590-458b-b992-f2359a67f1d8&amp;cm_mmca10=267522626854&amp;cm_mmca11=b&amp;mkwid=0c3a8378-4590-458b-b992-f2359a67f1d8|467|945655&amp;cvosrc=ppc.google.%2Bgdpr&amp;cvo_campaign=000026XZ&amp;cvo_crid=267522626854&amp;Matchtype=b&amp;gclid=Cj0KCQjw5-TXBRCHARIsANLixNz5YL-HhhG_XbCpvnvdDB2731C_ZD2YZU-hdPXfr--AQq64sPvCRHkaAhaJEALw_wcB [Accessed 12 May 2018].</w:t>
      </w:r>
    </w:p>
    <w:p w:rsidR="00FF2C5D" w:rsidRPr="00FF2C5D" w:rsidRDefault="00FF2C5D" w:rsidP="00FF2C5D">
      <w:pPr>
        <w:rPr>
          <w:rFonts w:cstheme="minorHAnsi"/>
          <w:shd w:val="clear" w:color="auto" w:fill="FFFFFF"/>
        </w:rPr>
      </w:pPr>
      <w:r w:rsidRPr="00FF2C5D">
        <w:rPr>
          <w:rFonts w:cstheme="minorHAnsi"/>
          <w:shd w:val="clear" w:color="auto" w:fill="FFFFFF"/>
        </w:rPr>
        <w:t xml:space="preserve">Voigt, P. and </w:t>
      </w:r>
      <w:proofErr w:type="spellStart"/>
      <w:r w:rsidRPr="00FF2C5D">
        <w:rPr>
          <w:rFonts w:cstheme="minorHAnsi"/>
          <w:shd w:val="clear" w:color="auto" w:fill="FFFFFF"/>
        </w:rPr>
        <w:t>Bussche</w:t>
      </w:r>
      <w:proofErr w:type="spellEnd"/>
      <w:r w:rsidRPr="00FF2C5D">
        <w:rPr>
          <w:rFonts w:cstheme="minorHAnsi"/>
          <w:shd w:val="clear" w:color="auto" w:fill="FFFFFF"/>
        </w:rPr>
        <w:t>, A. (2017). </w:t>
      </w:r>
      <w:r w:rsidRPr="00FF2C5D">
        <w:rPr>
          <w:rFonts w:cstheme="minorHAnsi"/>
          <w:i/>
          <w:iCs/>
          <w:shd w:val="clear" w:color="auto" w:fill="FFFFFF"/>
        </w:rPr>
        <w:t>The EU general data protection regulation (GDPR)</w:t>
      </w:r>
      <w:r w:rsidRPr="00FF2C5D">
        <w:rPr>
          <w:rFonts w:cstheme="minorHAnsi"/>
          <w:shd w:val="clear" w:color="auto" w:fill="FFFFFF"/>
        </w:rPr>
        <w:t>. Cham: Springer International Publishing.</w:t>
      </w:r>
    </w:p>
    <w:p w:rsidR="003125D5" w:rsidRPr="00351B22" w:rsidRDefault="003125D5">
      <w:pPr>
        <w:rPr>
          <w:rFonts w:cstheme="minorHAnsi"/>
        </w:rPr>
      </w:pPr>
    </w:p>
    <w:sectPr w:rsidR="003125D5" w:rsidRPr="00351B2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001C" w:rsidRDefault="0085001C" w:rsidP="00545509">
      <w:pPr>
        <w:spacing w:after="0" w:line="240" w:lineRule="auto"/>
      </w:pPr>
      <w:r>
        <w:separator/>
      </w:r>
    </w:p>
  </w:endnote>
  <w:endnote w:type="continuationSeparator" w:id="0">
    <w:p w:rsidR="0085001C" w:rsidRDefault="0085001C" w:rsidP="00545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001C" w:rsidRDefault="0085001C" w:rsidP="00545509">
      <w:pPr>
        <w:spacing w:after="0" w:line="240" w:lineRule="auto"/>
      </w:pPr>
      <w:r>
        <w:separator/>
      </w:r>
    </w:p>
  </w:footnote>
  <w:footnote w:type="continuationSeparator" w:id="0">
    <w:p w:rsidR="0085001C" w:rsidRDefault="0085001C" w:rsidP="005455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45509" w:rsidRDefault="00545509">
    <w:pPr>
      <w:pStyle w:val="Header"/>
    </w:pPr>
    <w:r>
      <w:t>P151976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D06D80"/>
    <w:multiLevelType w:val="hybridMultilevel"/>
    <w:tmpl w:val="2152B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F57A50"/>
    <w:multiLevelType w:val="hybridMultilevel"/>
    <w:tmpl w:val="3A46D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7D46F0"/>
    <w:multiLevelType w:val="hybridMultilevel"/>
    <w:tmpl w:val="59125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924B6E"/>
    <w:multiLevelType w:val="hybridMultilevel"/>
    <w:tmpl w:val="DFB47C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847ED9"/>
    <w:multiLevelType w:val="hybridMultilevel"/>
    <w:tmpl w:val="46DE09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72F1"/>
    <w:rsid w:val="00016AE5"/>
    <w:rsid w:val="000357DB"/>
    <w:rsid w:val="00106640"/>
    <w:rsid w:val="001E5291"/>
    <w:rsid w:val="00227A08"/>
    <w:rsid w:val="002612A7"/>
    <w:rsid w:val="002618DE"/>
    <w:rsid w:val="0026554E"/>
    <w:rsid w:val="00271254"/>
    <w:rsid w:val="002A487D"/>
    <w:rsid w:val="003125D5"/>
    <w:rsid w:val="00351B22"/>
    <w:rsid w:val="00395534"/>
    <w:rsid w:val="003972F1"/>
    <w:rsid w:val="004258AA"/>
    <w:rsid w:val="00506969"/>
    <w:rsid w:val="00512AAD"/>
    <w:rsid w:val="00545509"/>
    <w:rsid w:val="005719E6"/>
    <w:rsid w:val="005D19BD"/>
    <w:rsid w:val="006161E7"/>
    <w:rsid w:val="006359D3"/>
    <w:rsid w:val="006B182B"/>
    <w:rsid w:val="00766C5A"/>
    <w:rsid w:val="0081377D"/>
    <w:rsid w:val="0085001C"/>
    <w:rsid w:val="008E0BFD"/>
    <w:rsid w:val="008F164C"/>
    <w:rsid w:val="00913658"/>
    <w:rsid w:val="009A6053"/>
    <w:rsid w:val="00AF7DE1"/>
    <w:rsid w:val="00B6522F"/>
    <w:rsid w:val="00BC18EA"/>
    <w:rsid w:val="00C92E63"/>
    <w:rsid w:val="00D46121"/>
    <w:rsid w:val="00D5729A"/>
    <w:rsid w:val="00D750CC"/>
    <w:rsid w:val="00E746E1"/>
    <w:rsid w:val="00F165FF"/>
    <w:rsid w:val="00F925EF"/>
    <w:rsid w:val="00F9676A"/>
    <w:rsid w:val="00FA6AB2"/>
    <w:rsid w:val="00FF2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F34AF"/>
  <w15:chartTrackingRefBased/>
  <w15:docId w15:val="{0D4CC154-576C-4344-8537-A3B63F919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12AA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71254"/>
    <w:pPr>
      <w:ind w:left="720"/>
      <w:contextualSpacing/>
    </w:pPr>
  </w:style>
  <w:style w:type="character" w:styleId="Hyperlink">
    <w:name w:val="Hyperlink"/>
    <w:basedOn w:val="DefaultParagraphFont"/>
    <w:uiPriority w:val="99"/>
    <w:semiHidden/>
    <w:unhideWhenUsed/>
    <w:rsid w:val="00016AE5"/>
    <w:rPr>
      <w:color w:val="0000FF"/>
      <w:u w:val="single"/>
    </w:rPr>
  </w:style>
  <w:style w:type="character" w:styleId="Emphasis">
    <w:name w:val="Emphasis"/>
    <w:basedOn w:val="DefaultParagraphFont"/>
    <w:uiPriority w:val="20"/>
    <w:qFormat/>
    <w:rsid w:val="00016AE5"/>
    <w:rPr>
      <w:i/>
      <w:iCs/>
    </w:rPr>
  </w:style>
  <w:style w:type="paragraph" w:styleId="Header">
    <w:name w:val="header"/>
    <w:basedOn w:val="Normal"/>
    <w:link w:val="HeaderChar"/>
    <w:uiPriority w:val="99"/>
    <w:unhideWhenUsed/>
    <w:rsid w:val="005455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509"/>
  </w:style>
  <w:style w:type="paragraph" w:styleId="Footer">
    <w:name w:val="footer"/>
    <w:basedOn w:val="Normal"/>
    <w:link w:val="FooterChar"/>
    <w:uiPriority w:val="99"/>
    <w:unhideWhenUsed/>
    <w:rsid w:val="005455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5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1023063">
      <w:bodyDiv w:val="1"/>
      <w:marLeft w:val="0"/>
      <w:marRight w:val="0"/>
      <w:marTop w:val="0"/>
      <w:marBottom w:val="0"/>
      <w:divBdr>
        <w:top w:val="none" w:sz="0" w:space="0" w:color="auto"/>
        <w:left w:val="none" w:sz="0" w:space="0" w:color="auto"/>
        <w:bottom w:val="none" w:sz="0" w:space="0" w:color="auto"/>
        <w:right w:val="none" w:sz="0" w:space="0" w:color="auto"/>
      </w:divBdr>
      <w:divsChild>
        <w:div w:id="1420171689">
          <w:blockQuote w:val="1"/>
          <w:marLeft w:val="0"/>
          <w:marRight w:val="0"/>
          <w:marTop w:val="100"/>
          <w:marBottom w:val="100"/>
          <w:divBdr>
            <w:top w:val="none" w:sz="0" w:space="0" w:color="auto"/>
            <w:left w:val="none" w:sz="0" w:space="0" w:color="auto"/>
            <w:bottom w:val="none" w:sz="0" w:space="0" w:color="auto"/>
            <w:right w:val="none" w:sz="0" w:space="0" w:color="auto"/>
          </w:divBdr>
        </w:div>
        <w:div w:id="1890414761">
          <w:blockQuote w:val="1"/>
          <w:marLeft w:val="0"/>
          <w:marRight w:val="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1115</Words>
  <Characters>6357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PENELOPE JANE HARROW</dc:creator>
  <cp:keywords/>
  <dc:description/>
  <cp:lastModifiedBy>PENELOPE JANE HARROW</cp:lastModifiedBy>
  <cp:revision>2</cp:revision>
  <dcterms:created xsi:type="dcterms:W3CDTF">2018-05-14T12:03:00Z</dcterms:created>
  <dcterms:modified xsi:type="dcterms:W3CDTF">2018-05-14T12:03:00Z</dcterms:modified>
</cp:coreProperties>
</file>