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AE5" w:rsidRPr="007B3C04" w:rsidRDefault="00180AE5" w:rsidP="00BB02CD">
      <w:pPr>
        <w:spacing w:line="360" w:lineRule="auto"/>
        <w:jc w:val="both"/>
        <w:rPr>
          <w:rFonts w:ascii="Arial" w:hAnsi="Arial" w:cs="Arial"/>
          <w:b/>
          <w:bCs/>
          <w:color w:val="000000" w:themeColor="text1"/>
          <w:sz w:val="32"/>
          <w:szCs w:val="32"/>
        </w:rPr>
      </w:pPr>
    </w:p>
    <w:p w:rsidR="00180AE5" w:rsidRPr="007B3C04" w:rsidRDefault="00E44FAE" w:rsidP="00BB02CD">
      <w:pPr>
        <w:spacing w:line="360" w:lineRule="auto"/>
        <w:jc w:val="both"/>
        <w:rPr>
          <w:rFonts w:ascii="Arial" w:hAnsi="Arial" w:cs="Arial"/>
          <w:b/>
          <w:bCs/>
          <w:color w:val="000000" w:themeColor="text1"/>
          <w:sz w:val="32"/>
          <w:szCs w:val="32"/>
        </w:rPr>
      </w:pPr>
      <w:r>
        <w:rPr>
          <w:rFonts w:ascii="Arial" w:hAnsi="Arial" w:cs="Arial"/>
          <w:b/>
          <w:bCs/>
          <w:noProof/>
          <w:color w:val="000000" w:themeColor="text1"/>
          <w:sz w:val="32"/>
          <w:szCs w:val="32"/>
          <w:lang w:val="en-US" w:bidi="gu-IN"/>
        </w:rPr>
        <w:drawing>
          <wp:inline distT="0" distB="0" distL="0" distR="0">
            <wp:extent cx="3197116" cy="1765738"/>
            <wp:effectExtent l="19050" t="0" r="3284" b="0"/>
            <wp:docPr id="1" name="Picture 0" descr="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go-black.png"/>
                    <pic:cNvPicPr/>
                  </pic:nvPicPr>
                  <pic:blipFill>
                    <a:blip r:embed="rId8"/>
                    <a:stretch>
                      <a:fillRect/>
                    </a:stretch>
                  </pic:blipFill>
                  <pic:spPr>
                    <a:xfrm>
                      <a:off x="0" y="0"/>
                      <a:ext cx="3223983" cy="1780576"/>
                    </a:xfrm>
                    <a:prstGeom prst="rect">
                      <a:avLst/>
                    </a:prstGeom>
                  </pic:spPr>
                </pic:pic>
              </a:graphicData>
            </a:graphic>
          </wp:inline>
        </w:drawing>
      </w:r>
    </w:p>
    <w:p w:rsidR="00180AE5" w:rsidRPr="007B3C04" w:rsidRDefault="00180AE5" w:rsidP="00BB02CD">
      <w:pPr>
        <w:spacing w:line="360" w:lineRule="auto"/>
        <w:jc w:val="both"/>
        <w:rPr>
          <w:rFonts w:ascii="Arial" w:hAnsi="Arial" w:cs="Arial"/>
          <w:b/>
          <w:bCs/>
          <w:color w:val="000000" w:themeColor="text1"/>
          <w:sz w:val="32"/>
          <w:szCs w:val="32"/>
        </w:rPr>
      </w:pPr>
    </w:p>
    <w:p w:rsidR="009927B2" w:rsidRPr="00E44FAE" w:rsidRDefault="00E44FAE" w:rsidP="00E44FAE">
      <w:pPr>
        <w:spacing w:line="360" w:lineRule="auto"/>
        <w:rPr>
          <w:rFonts w:ascii="Arial" w:hAnsi="Arial" w:cs="Arial"/>
          <w:b/>
          <w:bCs/>
          <w:color w:val="000000" w:themeColor="text1"/>
          <w:sz w:val="44"/>
          <w:szCs w:val="44"/>
        </w:rPr>
      </w:pPr>
      <w:r w:rsidRPr="00E44FAE">
        <w:rPr>
          <w:rFonts w:ascii="Arial" w:hAnsi="Arial" w:cs="Arial"/>
          <w:b/>
          <w:bCs/>
          <w:color w:val="000000" w:themeColor="text1"/>
          <w:sz w:val="44"/>
          <w:szCs w:val="44"/>
        </w:rPr>
        <w:t>ASSIGNMENT 1</w:t>
      </w:r>
    </w:p>
    <w:p w:rsidR="00E44FAE" w:rsidRDefault="00E44FAE" w:rsidP="00E44FAE">
      <w:pPr>
        <w:spacing w:line="360" w:lineRule="auto"/>
        <w:rPr>
          <w:rFonts w:ascii="Arial" w:hAnsi="Arial" w:cs="Arial"/>
          <w:b/>
          <w:bCs/>
          <w:color w:val="000000" w:themeColor="text1"/>
          <w:sz w:val="44"/>
          <w:szCs w:val="44"/>
        </w:rPr>
      </w:pPr>
      <w:r w:rsidRPr="00E44FAE">
        <w:rPr>
          <w:rFonts w:ascii="Arial" w:hAnsi="Arial" w:cs="Arial"/>
          <w:b/>
          <w:bCs/>
          <w:color w:val="000000" w:themeColor="text1"/>
          <w:sz w:val="44"/>
          <w:szCs w:val="44"/>
        </w:rPr>
        <w:t>( BLOG 1 AND 2 , POSTER )</w:t>
      </w:r>
    </w:p>
    <w:p w:rsidR="00E44FAE" w:rsidRPr="00E44FAE" w:rsidRDefault="00E44FAE" w:rsidP="00E44FAE">
      <w:pPr>
        <w:spacing w:line="360" w:lineRule="auto"/>
        <w:rPr>
          <w:rFonts w:ascii="Arial" w:hAnsi="Arial" w:cs="Arial"/>
          <w:b/>
          <w:bCs/>
          <w:color w:val="000000" w:themeColor="text1"/>
          <w:sz w:val="44"/>
          <w:szCs w:val="44"/>
        </w:rPr>
      </w:pPr>
    </w:p>
    <w:p w:rsidR="00E44FAE" w:rsidRPr="00E44FAE" w:rsidRDefault="00E44FAE" w:rsidP="00E44FAE">
      <w:pPr>
        <w:spacing w:line="360" w:lineRule="auto"/>
        <w:rPr>
          <w:rFonts w:ascii="Arial" w:hAnsi="Arial" w:cs="Arial"/>
          <w:b/>
          <w:bCs/>
          <w:color w:val="000000" w:themeColor="text1"/>
          <w:sz w:val="40"/>
          <w:szCs w:val="40"/>
        </w:rPr>
      </w:pPr>
      <w:r w:rsidRPr="00E44FAE">
        <w:rPr>
          <w:rFonts w:ascii="Arial" w:hAnsi="Arial" w:cs="Arial"/>
          <w:b/>
          <w:bCs/>
          <w:color w:val="000000" w:themeColor="text1"/>
          <w:sz w:val="40"/>
          <w:szCs w:val="40"/>
        </w:rPr>
        <w:t>MODULE: POPULATION HEALTH AND DIGITLE HEALTH PROMOTION</w:t>
      </w:r>
    </w:p>
    <w:p w:rsidR="00E44FAE" w:rsidRPr="00E44FAE" w:rsidRDefault="00E44FAE" w:rsidP="00E44FAE">
      <w:pPr>
        <w:spacing w:line="360" w:lineRule="auto"/>
        <w:rPr>
          <w:rFonts w:ascii="Arial" w:hAnsi="Arial" w:cs="Arial"/>
          <w:b/>
          <w:bCs/>
          <w:color w:val="000000" w:themeColor="text1"/>
          <w:sz w:val="40"/>
          <w:szCs w:val="40"/>
        </w:rPr>
      </w:pPr>
      <w:r w:rsidRPr="00E44FAE">
        <w:rPr>
          <w:rFonts w:ascii="Arial" w:hAnsi="Arial" w:cs="Arial"/>
          <w:b/>
          <w:bCs/>
          <w:color w:val="000000" w:themeColor="text1"/>
          <w:sz w:val="40"/>
          <w:szCs w:val="40"/>
        </w:rPr>
        <w:t>CODE: LCHS7007</w:t>
      </w:r>
    </w:p>
    <w:p w:rsidR="00E44FAE" w:rsidRPr="00E44FAE" w:rsidRDefault="00E44FAE" w:rsidP="00E44FAE">
      <w:pPr>
        <w:spacing w:line="360" w:lineRule="auto"/>
        <w:rPr>
          <w:rFonts w:ascii="Arial" w:hAnsi="Arial" w:cs="Arial"/>
          <w:b/>
          <w:bCs/>
          <w:color w:val="000000" w:themeColor="text1"/>
          <w:sz w:val="40"/>
          <w:szCs w:val="40"/>
        </w:rPr>
      </w:pPr>
      <w:r w:rsidRPr="00E44FAE">
        <w:rPr>
          <w:rFonts w:ascii="Arial" w:hAnsi="Arial" w:cs="Arial"/>
          <w:b/>
          <w:bCs/>
          <w:color w:val="000000" w:themeColor="text1"/>
          <w:sz w:val="40"/>
          <w:szCs w:val="40"/>
        </w:rPr>
        <w:t>NAME: SUNAND RAJENDRABHAI PATEL</w:t>
      </w:r>
    </w:p>
    <w:p w:rsidR="00E44FAE" w:rsidRPr="00E44FAE" w:rsidRDefault="00E44FAE" w:rsidP="00E44FAE">
      <w:pPr>
        <w:spacing w:line="360" w:lineRule="auto"/>
        <w:rPr>
          <w:rFonts w:ascii="Arial" w:hAnsi="Arial" w:cs="Arial"/>
          <w:b/>
          <w:bCs/>
          <w:color w:val="000000" w:themeColor="text1"/>
          <w:sz w:val="40"/>
          <w:szCs w:val="40"/>
        </w:rPr>
      </w:pPr>
      <w:r w:rsidRPr="00E44FAE">
        <w:rPr>
          <w:rFonts w:ascii="Arial" w:hAnsi="Arial" w:cs="Arial"/>
          <w:b/>
          <w:bCs/>
          <w:color w:val="000000" w:themeColor="text1"/>
          <w:sz w:val="40"/>
          <w:szCs w:val="40"/>
        </w:rPr>
        <w:t>ID: 2221525</w:t>
      </w:r>
    </w:p>
    <w:p w:rsidR="00E44FAE" w:rsidRPr="00E44FAE" w:rsidRDefault="00E44FAE" w:rsidP="00E44FAE">
      <w:pPr>
        <w:spacing w:line="360" w:lineRule="auto"/>
        <w:rPr>
          <w:rFonts w:ascii="Arial" w:hAnsi="Arial" w:cs="Arial"/>
          <w:b/>
          <w:bCs/>
          <w:color w:val="000000" w:themeColor="text1"/>
          <w:sz w:val="40"/>
          <w:szCs w:val="40"/>
        </w:rPr>
      </w:pPr>
      <w:r w:rsidRPr="00E44FAE">
        <w:rPr>
          <w:rFonts w:ascii="Arial" w:hAnsi="Arial" w:cs="Arial"/>
          <w:b/>
          <w:bCs/>
          <w:color w:val="000000" w:themeColor="text1"/>
          <w:sz w:val="40"/>
          <w:szCs w:val="40"/>
        </w:rPr>
        <w:t>LECTURER: DR. DIOLA BIJLHOUT</w:t>
      </w:r>
    </w:p>
    <w:p w:rsidR="00E44FAE" w:rsidRPr="00E44FAE" w:rsidRDefault="00E44FAE" w:rsidP="009927B2">
      <w:pPr>
        <w:spacing w:line="360" w:lineRule="auto"/>
        <w:jc w:val="center"/>
        <w:rPr>
          <w:rFonts w:ascii="Arial" w:hAnsi="Arial" w:cs="Arial"/>
          <w:b/>
          <w:bCs/>
          <w:color w:val="000000" w:themeColor="text1"/>
          <w:sz w:val="40"/>
          <w:szCs w:val="40"/>
        </w:rPr>
      </w:pPr>
    </w:p>
    <w:p w:rsidR="009927B2" w:rsidRDefault="009927B2">
      <w:pPr>
        <w:rPr>
          <w:rFonts w:ascii="Arial" w:hAnsi="Arial" w:cs="Arial"/>
          <w:b/>
          <w:bCs/>
          <w:color w:val="000000" w:themeColor="text1"/>
          <w:sz w:val="32"/>
          <w:szCs w:val="32"/>
        </w:rPr>
      </w:pPr>
      <w:r>
        <w:rPr>
          <w:rFonts w:ascii="Arial" w:hAnsi="Arial" w:cs="Arial"/>
          <w:b/>
          <w:bCs/>
          <w:color w:val="000000" w:themeColor="text1"/>
          <w:sz w:val="32"/>
          <w:szCs w:val="32"/>
        </w:rPr>
        <w:br w:type="page"/>
      </w:r>
    </w:p>
    <w:sdt>
      <w:sdtPr>
        <w:rPr>
          <w:rFonts w:asciiTheme="minorHAnsi" w:eastAsiaTheme="minorHAnsi" w:hAnsiTheme="minorHAnsi" w:cstheme="minorBidi"/>
          <w:color w:val="auto"/>
          <w:kern w:val="2"/>
          <w:sz w:val="22"/>
          <w:szCs w:val="22"/>
          <w:lang w:val="en-IN"/>
        </w:rPr>
        <w:id w:val="-1442141118"/>
        <w:docPartObj>
          <w:docPartGallery w:val="Table of Contents"/>
          <w:docPartUnique/>
        </w:docPartObj>
      </w:sdtPr>
      <w:sdtEndPr>
        <w:rPr>
          <w:b/>
          <w:bCs/>
          <w:noProof/>
        </w:rPr>
      </w:sdtEndPr>
      <w:sdtContent>
        <w:p w:rsidR="009927B2" w:rsidRPr="009927B2" w:rsidRDefault="009927B2" w:rsidP="009927B2">
          <w:pPr>
            <w:pStyle w:val="TOCHeading"/>
            <w:jc w:val="center"/>
            <w:rPr>
              <w:rFonts w:ascii="Arial" w:hAnsi="Arial" w:cs="Arial"/>
              <w:b/>
              <w:bCs/>
              <w:color w:val="000000" w:themeColor="text1"/>
              <w:sz w:val="28"/>
              <w:szCs w:val="28"/>
            </w:rPr>
          </w:pPr>
          <w:r w:rsidRPr="009927B2">
            <w:rPr>
              <w:rFonts w:ascii="Arial" w:hAnsi="Arial" w:cs="Arial"/>
              <w:b/>
              <w:bCs/>
              <w:color w:val="000000" w:themeColor="text1"/>
              <w:sz w:val="28"/>
              <w:szCs w:val="28"/>
            </w:rPr>
            <w:t>Table of Contents</w:t>
          </w:r>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r w:rsidRPr="00A26AB9">
            <w:fldChar w:fldCharType="begin"/>
          </w:r>
          <w:r w:rsidR="009927B2">
            <w:instrText xml:space="preserve"> TOC \o "1-3" \h \z \u </w:instrText>
          </w:r>
          <w:r w:rsidRPr="00A26AB9">
            <w:fldChar w:fldCharType="separate"/>
          </w:r>
          <w:hyperlink w:anchor="_Toc141214220" w:history="1">
            <w:r w:rsidR="009927B2" w:rsidRPr="009927B2">
              <w:rPr>
                <w:rStyle w:val="Hyperlink"/>
                <w:rFonts w:ascii="Arial" w:hAnsi="Arial" w:cs="Arial"/>
                <w:noProof/>
                <w:sz w:val="24"/>
                <w:szCs w:val="24"/>
              </w:rPr>
              <w:t>Part A: Blog</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_Toc141214220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3</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1" w:history="1">
            <w:r w:rsidR="009927B2" w:rsidRPr="009927B2">
              <w:rPr>
                <w:rStyle w:val="Hyperlink"/>
                <w:rFonts w:ascii="Arial" w:hAnsi="Arial" w:cs="Arial"/>
                <w:noProof/>
                <w:sz w:val="24"/>
                <w:szCs w:val="24"/>
              </w:rPr>
              <w:t>Blog 1: The Impact of Fitness Watches in Health Promotion: Advantages, Disadvantages, and Ways Forward</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_Toc141214221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3</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2" w:history="1">
            <w:r w:rsidR="009927B2" w:rsidRPr="009927B2">
              <w:rPr>
                <w:rStyle w:val="Hyperlink"/>
                <w:rFonts w:ascii="Arial" w:hAnsi="Arial" w:cs="Arial"/>
                <w:noProof/>
                <w:sz w:val="24"/>
                <w:szCs w:val="24"/>
              </w:rPr>
              <w:t>Introduction</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_Toc141214222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3</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3" w:history="1">
            <w:r w:rsidR="009927B2" w:rsidRPr="009927B2">
              <w:rPr>
                <w:rStyle w:val="Hyperlink"/>
                <w:rFonts w:ascii="Arial" w:hAnsi="Arial" w:cs="Arial"/>
                <w:noProof/>
                <w:sz w:val="24"/>
                <w:szCs w:val="24"/>
              </w:rPr>
              <w:t>Addressing the Public Health Problem</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_Toc141214223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4</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4" w:history="1">
            <w:r w:rsidR="009927B2" w:rsidRPr="009927B2">
              <w:rPr>
                <w:rStyle w:val="Hyperlink"/>
                <w:rFonts w:ascii="Arial" w:hAnsi="Arial" w:cs="Arial"/>
                <w:noProof/>
                <w:sz w:val="24"/>
                <w:szCs w:val="24"/>
              </w:rPr>
              <w:t>Fitness Watches in Health Promotion</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_Toc141214224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4</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5" w:history="1">
            <w:r w:rsidR="009927B2" w:rsidRPr="009927B2">
              <w:rPr>
                <w:rStyle w:val="Hyperlink"/>
                <w:rFonts w:ascii="Arial" w:hAnsi="Arial" w:cs="Arial"/>
                <w:noProof/>
                <w:sz w:val="24"/>
                <w:szCs w:val="24"/>
              </w:rPr>
              <w:t>Evidence of Health Promotion Impact</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_Toc141214225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4</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6" w:history="1">
            <w:r w:rsidR="009927B2" w:rsidRPr="009927B2">
              <w:rPr>
                <w:rStyle w:val="Hyperlink"/>
                <w:rFonts w:ascii="Arial" w:hAnsi="Arial" w:cs="Arial"/>
                <w:noProof/>
                <w:sz w:val="24"/>
                <w:szCs w:val="24"/>
              </w:rPr>
              <w:t>Advantages and Disadvantages</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_Toc141214226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5</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7" w:history="1">
            <w:r w:rsidR="009927B2" w:rsidRPr="009927B2">
              <w:rPr>
                <w:rStyle w:val="Hyperlink"/>
                <w:rFonts w:ascii="Arial" w:hAnsi="Arial" w:cs="Arial"/>
                <w:noProof/>
                <w:sz w:val="24"/>
                <w:szCs w:val="24"/>
              </w:rPr>
              <w:t>Addressing Challenges</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_Toc141214227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5</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8" w:history="1">
            <w:r w:rsidR="009927B2" w:rsidRPr="009927B2">
              <w:rPr>
                <w:rStyle w:val="Hyperlink"/>
                <w:rFonts w:ascii="Arial" w:hAnsi="Arial" w:cs="Arial"/>
                <w:noProof/>
                <w:sz w:val="24"/>
                <w:szCs w:val="24"/>
              </w:rPr>
              <w:t>Conclusion</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_Toc141214228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6</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29" w:history="1">
            <w:r w:rsidR="009927B2" w:rsidRPr="009927B2">
              <w:rPr>
                <w:rStyle w:val="Hyperlink"/>
                <w:rFonts w:ascii="Arial" w:hAnsi="Arial" w:cs="Arial"/>
                <w:noProof/>
                <w:sz w:val="24"/>
                <w:szCs w:val="24"/>
              </w:rPr>
              <w:t>Blog 2: Transforming Health Promotion: The Innovative Impact of Our Designed Digital Glucose Meter</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_Toc141214229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7</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30" w:history="1">
            <w:r w:rsidR="009927B2" w:rsidRPr="009927B2">
              <w:rPr>
                <w:rStyle w:val="Hyperlink"/>
                <w:rFonts w:ascii="Arial" w:hAnsi="Arial" w:cs="Arial"/>
                <w:noProof/>
                <w:sz w:val="24"/>
                <w:szCs w:val="24"/>
              </w:rPr>
              <w:t>Introduction</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_Toc141214230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7</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31" w:history="1">
            <w:r w:rsidR="009927B2" w:rsidRPr="009927B2">
              <w:rPr>
                <w:rStyle w:val="Hyperlink"/>
                <w:rFonts w:ascii="Arial" w:hAnsi="Arial" w:cs="Arial"/>
                <w:noProof/>
                <w:sz w:val="24"/>
                <w:szCs w:val="24"/>
              </w:rPr>
              <w:t>Diabetes as a Public Health Concern</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_Toc141214231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7</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32" w:history="1">
            <w:r w:rsidR="009927B2" w:rsidRPr="009927B2">
              <w:rPr>
                <w:rStyle w:val="Hyperlink"/>
                <w:rFonts w:ascii="Arial" w:hAnsi="Arial" w:cs="Arial"/>
                <w:noProof/>
                <w:sz w:val="24"/>
                <w:szCs w:val="24"/>
              </w:rPr>
              <w:t>SmartGlucoAssist as a Breakthrough Technology</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_Toc141214232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8</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33" w:history="1">
            <w:r w:rsidR="009927B2" w:rsidRPr="009927B2">
              <w:rPr>
                <w:rStyle w:val="Hyperlink"/>
                <w:rFonts w:ascii="Arial" w:hAnsi="Arial" w:cs="Arial"/>
                <w:noProof/>
                <w:sz w:val="24"/>
                <w:szCs w:val="24"/>
              </w:rPr>
              <w:t>SmartGlucoAssist as an Empowering Health Promotion Tool</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_Toc141214233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9</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34" w:history="1">
            <w:r w:rsidR="009927B2" w:rsidRPr="009927B2">
              <w:rPr>
                <w:rStyle w:val="Hyperlink"/>
                <w:rFonts w:ascii="Arial" w:hAnsi="Arial" w:cs="Arial"/>
                <w:noProof/>
                <w:sz w:val="24"/>
                <w:szCs w:val="24"/>
              </w:rPr>
              <w:t>Advantages and Disadvantages</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_Toc141214234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9</w:t>
            </w:r>
            <w:r w:rsidRPr="009927B2">
              <w:rPr>
                <w:rFonts w:ascii="Arial" w:hAnsi="Arial" w:cs="Arial"/>
                <w:noProof/>
                <w:webHidden/>
                <w:sz w:val="24"/>
                <w:szCs w:val="24"/>
              </w:rPr>
              <w:fldChar w:fldCharType="end"/>
            </w:r>
          </w:hyperlink>
        </w:p>
        <w:p w:rsidR="009927B2" w:rsidRPr="009927B2" w:rsidRDefault="00A26AB9" w:rsidP="009927B2">
          <w:pPr>
            <w:pStyle w:val="TOC2"/>
            <w:tabs>
              <w:tab w:val="right" w:leader="dot" w:pos="9016"/>
            </w:tabs>
            <w:spacing w:line="360" w:lineRule="auto"/>
            <w:jc w:val="both"/>
            <w:rPr>
              <w:rFonts w:ascii="Arial" w:eastAsiaTheme="minorEastAsia" w:hAnsi="Arial" w:cs="Arial"/>
              <w:noProof/>
              <w:sz w:val="24"/>
              <w:szCs w:val="24"/>
              <w:lang w:eastAsia="en-IN"/>
            </w:rPr>
          </w:pPr>
          <w:hyperlink w:anchor="_Toc141214235" w:history="1">
            <w:r w:rsidR="009927B2" w:rsidRPr="009927B2">
              <w:rPr>
                <w:rStyle w:val="Hyperlink"/>
                <w:rFonts w:ascii="Arial" w:hAnsi="Arial" w:cs="Arial"/>
                <w:i/>
                <w:iCs/>
                <w:noProof/>
                <w:sz w:val="24"/>
                <w:szCs w:val="24"/>
              </w:rPr>
              <w:t>Advantages</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_Toc141214235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9</w:t>
            </w:r>
            <w:r w:rsidRPr="009927B2">
              <w:rPr>
                <w:rFonts w:ascii="Arial" w:hAnsi="Arial" w:cs="Arial"/>
                <w:noProof/>
                <w:webHidden/>
                <w:sz w:val="24"/>
                <w:szCs w:val="24"/>
              </w:rPr>
              <w:fldChar w:fldCharType="end"/>
            </w:r>
          </w:hyperlink>
        </w:p>
        <w:p w:rsidR="009927B2" w:rsidRPr="009927B2" w:rsidRDefault="00A26AB9" w:rsidP="009927B2">
          <w:pPr>
            <w:pStyle w:val="TOC2"/>
            <w:tabs>
              <w:tab w:val="right" w:leader="dot" w:pos="9016"/>
            </w:tabs>
            <w:spacing w:line="360" w:lineRule="auto"/>
            <w:jc w:val="both"/>
            <w:rPr>
              <w:rFonts w:ascii="Arial" w:eastAsiaTheme="minorEastAsia" w:hAnsi="Arial" w:cs="Arial"/>
              <w:noProof/>
              <w:sz w:val="24"/>
              <w:szCs w:val="24"/>
              <w:lang w:eastAsia="en-IN"/>
            </w:rPr>
          </w:pPr>
          <w:hyperlink w:anchor="_Toc141214236" w:history="1">
            <w:r w:rsidR="009927B2" w:rsidRPr="009927B2">
              <w:rPr>
                <w:rStyle w:val="Hyperlink"/>
                <w:rFonts w:ascii="Arial" w:hAnsi="Arial" w:cs="Arial"/>
                <w:i/>
                <w:iCs/>
                <w:noProof/>
                <w:sz w:val="24"/>
                <w:szCs w:val="24"/>
              </w:rPr>
              <w:t>Disadvantages</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_Toc141214236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9</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37" w:history="1">
            <w:r w:rsidR="009927B2" w:rsidRPr="009927B2">
              <w:rPr>
                <w:rStyle w:val="Hyperlink"/>
                <w:rFonts w:ascii="Arial" w:hAnsi="Arial" w:cs="Arial"/>
                <w:noProof/>
                <w:sz w:val="24"/>
                <w:szCs w:val="24"/>
              </w:rPr>
              <w:t>Addressing Shortfalls</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_Toc141214237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9</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38" w:history="1">
            <w:r w:rsidR="009927B2" w:rsidRPr="009927B2">
              <w:rPr>
                <w:rStyle w:val="Hyperlink"/>
                <w:rFonts w:ascii="Arial" w:hAnsi="Arial" w:cs="Arial"/>
                <w:noProof/>
                <w:sz w:val="24"/>
                <w:szCs w:val="24"/>
              </w:rPr>
              <w:t>Conclusion</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_Toc141214238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10</w:t>
            </w:r>
            <w:r w:rsidRPr="009927B2">
              <w:rPr>
                <w:rFonts w:ascii="Arial" w:hAnsi="Arial" w:cs="Arial"/>
                <w:noProof/>
                <w:webHidden/>
                <w:sz w:val="24"/>
                <w:szCs w:val="24"/>
              </w:rPr>
              <w:fldChar w:fldCharType="end"/>
            </w:r>
          </w:hyperlink>
        </w:p>
        <w:p w:rsidR="009927B2" w:rsidRPr="009927B2" w:rsidRDefault="00A26AB9" w:rsidP="009927B2">
          <w:pPr>
            <w:pStyle w:val="TOC1"/>
            <w:tabs>
              <w:tab w:val="right" w:leader="dot" w:pos="9016"/>
            </w:tabs>
            <w:spacing w:line="360" w:lineRule="auto"/>
            <w:jc w:val="both"/>
            <w:rPr>
              <w:rFonts w:ascii="Arial" w:eastAsiaTheme="minorEastAsia" w:hAnsi="Arial" w:cs="Arial"/>
              <w:noProof/>
              <w:sz w:val="24"/>
              <w:szCs w:val="24"/>
              <w:lang w:eastAsia="en-IN"/>
            </w:rPr>
          </w:pPr>
          <w:hyperlink w:anchor="_Toc141214239" w:history="1">
            <w:r w:rsidR="009927B2" w:rsidRPr="009927B2">
              <w:rPr>
                <w:rStyle w:val="Hyperlink"/>
                <w:rFonts w:ascii="Arial" w:hAnsi="Arial" w:cs="Arial"/>
                <w:noProof/>
                <w:sz w:val="24"/>
                <w:szCs w:val="24"/>
              </w:rPr>
              <w:t>Part B: Poster Design</w:t>
            </w:r>
            <w:r w:rsidR="009927B2" w:rsidRPr="009927B2">
              <w:rPr>
                <w:rFonts w:ascii="Arial" w:hAnsi="Arial" w:cs="Arial"/>
                <w:noProof/>
                <w:webHidden/>
                <w:sz w:val="24"/>
                <w:szCs w:val="24"/>
              </w:rPr>
              <w:tab/>
            </w:r>
            <w:r w:rsidRPr="009927B2">
              <w:rPr>
                <w:rFonts w:ascii="Arial" w:hAnsi="Arial" w:cs="Arial"/>
                <w:noProof/>
                <w:webHidden/>
                <w:sz w:val="24"/>
                <w:szCs w:val="24"/>
              </w:rPr>
              <w:fldChar w:fldCharType="begin"/>
            </w:r>
            <w:r w:rsidR="009927B2" w:rsidRPr="009927B2">
              <w:rPr>
                <w:rFonts w:ascii="Arial" w:hAnsi="Arial" w:cs="Arial"/>
                <w:noProof/>
                <w:webHidden/>
                <w:sz w:val="24"/>
                <w:szCs w:val="24"/>
              </w:rPr>
              <w:instrText xml:space="preserve"> PAGEREF _Toc141214239 \h </w:instrText>
            </w:r>
            <w:r w:rsidRPr="009927B2">
              <w:rPr>
                <w:rFonts w:ascii="Arial" w:hAnsi="Arial" w:cs="Arial"/>
                <w:noProof/>
                <w:webHidden/>
                <w:sz w:val="24"/>
                <w:szCs w:val="24"/>
              </w:rPr>
            </w:r>
            <w:r w:rsidRPr="009927B2">
              <w:rPr>
                <w:rFonts w:ascii="Arial" w:hAnsi="Arial" w:cs="Arial"/>
                <w:noProof/>
                <w:webHidden/>
                <w:sz w:val="24"/>
                <w:szCs w:val="24"/>
              </w:rPr>
              <w:fldChar w:fldCharType="separate"/>
            </w:r>
            <w:r w:rsidR="009927B2" w:rsidRPr="009927B2">
              <w:rPr>
                <w:rFonts w:ascii="Arial" w:hAnsi="Arial" w:cs="Arial"/>
                <w:noProof/>
                <w:webHidden/>
                <w:sz w:val="24"/>
                <w:szCs w:val="24"/>
              </w:rPr>
              <w:t>11</w:t>
            </w:r>
            <w:r w:rsidRPr="009927B2">
              <w:rPr>
                <w:rFonts w:ascii="Arial" w:hAnsi="Arial" w:cs="Arial"/>
                <w:noProof/>
                <w:webHidden/>
                <w:sz w:val="24"/>
                <w:szCs w:val="24"/>
              </w:rPr>
              <w:fldChar w:fldCharType="end"/>
            </w:r>
          </w:hyperlink>
        </w:p>
        <w:p w:rsidR="009927B2" w:rsidRDefault="00A26AB9" w:rsidP="00E44FAE">
          <w:pPr>
            <w:pStyle w:val="TOC1"/>
            <w:tabs>
              <w:tab w:val="right" w:leader="dot" w:pos="9016"/>
            </w:tabs>
            <w:spacing w:line="360" w:lineRule="auto"/>
            <w:jc w:val="both"/>
          </w:pPr>
          <w:hyperlink w:anchor="_Toc141214251" w:history="1">
            <w:r w:rsidR="009927B2" w:rsidRPr="009927B2">
              <w:rPr>
                <w:rStyle w:val="Hyperlink"/>
                <w:rFonts w:ascii="Arial" w:hAnsi="Arial" w:cs="Arial"/>
                <w:noProof/>
                <w:sz w:val="24"/>
                <w:szCs w:val="24"/>
              </w:rPr>
              <w:t>References</w:t>
            </w:r>
            <w:r w:rsidR="009927B2" w:rsidRPr="009927B2">
              <w:rPr>
                <w:rFonts w:ascii="Arial" w:hAnsi="Arial" w:cs="Arial"/>
                <w:noProof/>
                <w:webHidden/>
                <w:sz w:val="24"/>
                <w:szCs w:val="24"/>
              </w:rPr>
              <w:tab/>
            </w:r>
          </w:hyperlink>
          <w:r>
            <w:rPr>
              <w:b/>
              <w:bCs/>
              <w:noProof/>
            </w:rPr>
            <w:fldChar w:fldCharType="end"/>
          </w:r>
          <w:r w:rsidR="00E44FAE">
            <w:rPr>
              <w:b/>
              <w:bCs/>
              <w:noProof/>
            </w:rPr>
            <w:t>12</w:t>
          </w:r>
        </w:p>
      </w:sdtContent>
    </w:sdt>
    <w:p w:rsidR="00180AE5" w:rsidRPr="007B3C04" w:rsidRDefault="00180AE5" w:rsidP="009927B2">
      <w:pPr>
        <w:spacing w:line="360" w:lineRule="auto"/>
        <w:jc w:val="center"/>
        <w:rPr>
          <w:rFonts w:ascii="Arial" w:hAnsi="Arial" w:cs="Arial"/>
          <w:b/>
          <w:bCs/>
          <w:color w:val="000000" w:themeColor="text1"/>
          <w:sz w:val="32"/>
          <w:szCs w:val="32"/>
        </w:rPr>
      </w:pPr>
    </w:p>
    <w:p w:rsidR="00180AE5" w:rsidRPr="007B3C04" w:rsidRDefault="00180AE5" w:rsidP="00BB02CD">
      <w:pPr>
        <w:spacing w:line="360" w:lineRule="auto"/>
        <w:jc w:val="both"/>
        <w:rPr>
          <w:rFonts w:ascii="Arial" w:hAnsi="Arial" w:cs="Arial"/>
          <w:b/>
          <w:bCs/>
          <w:color w:val="000000" w:themeColor="text1"/>
          <w:sz w:val="32"/>
          <w:szCs w:val="32"/>
        </w:rPr>
      </w:pPr>
      <w:r w:rsidRPr="007B3C04">
        <w:rPr>
          <w:rFonts w:ascii="Arial" w:hAnsi="Arial" w:cs="Arial"/>
          <w:b/>
          <w:bCs/>
          <w:color w:val="000000" w:themeColor="text1"/>
          <w:sz w:val="32"/>
          <w:szCs w:val="32"/>
        </w:rPr>
        <w:br w:type="page"/>
      </w:r>
    </w:p>
    <w:p w:rsidR="0049678D" w:rsidRPr="007B3C04" w:rsidRDefault="00180AE5" w:rsidP="009927B2">
      <w:pPr>
        <w:pStyle w:val="Heading1"/>
      </w:pPr>
      <w:bookmarkStart w:id="0" w:name="_Toc141214220"/>
      <w:r w:rsidRPr="007B3C04">
        <w:lastRenderedPageBreak/>
        <w:t>Part A: Blog</w:t>
      </w:r>
      <w:bookmarkEnd w:id="0"/>
    </w:p>
    <w:p w:rsidR="00180AE5" w:rsidRPr="007B3C04" w:rsidRDefault="00180AE5" w:rsidP="009927B2">
      <w:pPr>
        <w:pStyle w:val="Heading1"/>
      </w:pPr>
      <w:bookmarkStart w:id="1" w:name="_Toc141214221"/>
      <w:r w:rsidRPr="007B3C04">
        <w:t>Blog 1: The Impact of Fitness Watches in Health Promotion: Advantages, Disadvantages, and Ways Forward</w:t>
      </w:r>
      <w:bookmarkEnd w:id="1"/>
    </w:p>
    <w:p w:rsidR="00180AE5" w:rsidRPr="007B3C04" w:rsidRDefault="00180AE5" w:rsidP="00BB02CD">
      <w:pPr>
        <w:pStyle w:val="Heading1"/>
        <w:rPr>
          <w:rFonts w:cs="Arial"/>
          <w:color w:val="000000" w:themeColor="text1"/>
        </w:rPr>
      </w:pPr>
      <w:bookmarkStart w:id="2" w:name="_Toc141210039"/>
      <w:bookmarkStart w:id="3" w:name="_Toc141214222"/>
      <w:r w:rsidRPr="007B3C04">
        <w:rPr>
          <w:rFonts w:cs="Arial"/>
          <w:color w:val="000000" w:themeColor="text1"/>
        </w:rPr>
        <w:t>Introduction</w:t>
      </w:r>
      <w:bookmarkEnd w:id="2"/>
      <w:bookmarkEnd w:id="3"/>
    </w:p>
    <w:p w:rsidR="00180AE5" w:rsidRPr="007B3C04" w:rsidRDefault="00180AE5" w:rsidP="00BB02CD">
      <w:pPr>
        <w:spacing w:line="360" w:lineRule="auto"/>
        <w:jc w:val="both"/>
        <w:rPr>
          <w:rFonts w:ascii="Arial" w:hAnsi="Arial" w:cs="Arial"/>
          <w:color w:val="000000" w:themeColor="text1"/>
          <w:sz w:val="24"/>
          <w:szCs w:val="24"/>
        </w:rPr>
      </w:pPr>
      <w:r w:rsidRPr="007B3C04">
        <w:rPr>
          <w:rFonts w:ascii="Arial" w:hAnsi="Arial" w:cs="Arial"/>
          <w:color w:val="000000" w:themeColor="text1"/>
          <w:sz w:val="24"/>
          <w:szCs w:val="24"/>
        </w:rPr>
        <w:t xml:space="preserve">Physical inactivity and its accompanying health disorders have been recognized as serious threats to public health worldwide. The modern sedentary lifestyle has led to a surge in chronic diseases, influencing individuals' general health and burdening healthcare systems (Fontana et al., 2021). As an outcome of such issues, digital health technologies, including fitness watches, are growing as feasible tools for health promotion interventions. This blog reviews the significance of fitness watches in health promotion, involving advantages, drawbacks, and potential remedies to any deficiencies. </w:t>
      </w:r>
    </w:p>
    <w:p w:rsidR="00180AE5" w:rsidRPr="007B3C04" w:rsidRDefault="00180AE5" w:rsidP="00BB02CD">
      <w:pPr>
        <w:spacing w:line="360" w:lineRule="auto"/>
        <w:jc w:val="center"/>
        <w:rPr>
          <w:rFonts w:ascii="Arial" w:hAnsi="Arial" w:cs="Arial"/>
          <w:color w:val="000000" w:themeColor="text1"/>
          <w:sz w:val="24"/>
          <w:szCs w:val="24"/>
        </w:rPr>
      </w:pPr>
      <w:r w:rsidRPr="007B3C04">
        <w:rPr>
          <w:rFonts w:ascii="Arial" w:hAnsi="Arial" w:cs="Arial"/>
          <w:noProof/>
          <w:color w:val="000000" w:themeColor="text1"/>
          <w:sz w:val="24"/>
          <w:szCs w:val="24"/>
          <w:lang w:val="en-US" w:bidi="gu-IN"/>
        </w:rPr>
        <w:drawing>
          <wp:inline distT="0" distB="0" distL="0" distR="0">
            <wp:extent cx="4141928" cy="4141928"/>
            <wp:effectExtent l="19050" t="0" r="0" b="0"/>
            <wp:docPr id="10" name="Picture 10" descr="The 10 best fitness trackers in 2023 - The Ve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10 best fitness trackers in 2023 - The Verge"/>
                    <pic:cNvPicPr>
                      <a:picLocks noChangeAspect="1" noChangeArrowheads="1"/>
                    </pic:cNvPicPr>
                  </pic:nvPicPr>
                  <pic:blipFill>
                    <a:blip r:embed="rId9" cstate="print"/>
                    <a:srcRect/>
                    <a:stretch>
                      <a:fillRect/>
                    </a:stretch>
                  </pic:blipFill>
                  <pic:spPr bwMode="auto">
                    <a:xfrm>
                      <a:off x="0" y="0"/>
                      <a:ext cx="4144054" cy="4144054"/>
                    </a:xfrm>
                    <a:prstGeom prst="rect">
                      <a:avLst/>
                    </a:prstGeom>
                    <a:noFill/>
                    <a:ln w="9525">
                      <a:noFill/>
                      <a:miter lim="800000"/>
                      <a:headEnd/>
                      <a:tailEnd/>
                    </a:ln>
                  </pic:spPr>
                </pic:pic>
              </a:graphicData>
            </a:graphic>
          </wp:inline>
        </w:drawing>
      </w:r>
    </w:p>
    <w:p w:rsidR="00180AE5" w:rsidRPr="007B3C04" w:rsidRDefault="00180AE5" w:rsidP="00BB02CD">
      <w:pPr>
        <w:spacing w:line="360" w:lineRule="auto"/>
        <w:jc w:val="center"/>
        <w:rPr>
          <w:rFonts w:ascii="Arial" w:hAnsi="Arial" w:cs="Arial"/>
          <w:b/>
          <w:color w:val="000000" w:themeColor="text1"/>
          <w:sz w:val="24"/>
          <w:szCs w:val="24"/>
        </w:rPr>
      </w:pPr>
      <w:r w:rsidRPr="007B3C04">
        <w:rPr>
          <w:rFonts w:ascii="Arial" w:hAnsi="Arial" w:cs="Arial"/>
          <w:b/>
          <w:color w:val="000000" w:themeColor="text1"/>
          <w:sz w:val="24"/>
          <w:szCs w:val="24"/>
        </w:rPr>
        <w:t>Figure 1: Fitness Watch</w:t>
      </w:r>
    </w:p>
    <w:p w:rsidR="00180AE5" w:rsidRPr="007B3C04" w:rsidRDefault="00180AE5" w:rsidP="00BB02CD">
      <w:pPr>
        <w:spacing w:line="360" w:lineRule="auto"/>
        <w:jc w:val="center"/>
        <w:rPr>
          <w:rFonts w:ascii="Arial" w:hAnsi="Arial" w:cs="Arial"/>
          <w:color w:val="000000" w:themeColor="text1"/>
          <w:sz w:val="24"/>
          <w:szCs w:val="24"/>
        </w:rPr>
      </w:pPr>
      <w:r w:rsidRPr="007B3C04">
        <w:rPr>
          <w:rFonts w:ascii="Arial" w:hAnsi="Arial" w:cs="Arial"/>
          <w:color w:val="000000" w:themeColor="text1"/>
          <w:sz w:val="24"/>
          <w:szCs w:val="24"/>
        </w:rPr>
        <w:lastRenderedPageBreak/>
        <w:t>(Source: The Verge, 2023)</w:t>
      </w:r>
    </w:p>
    <w:p w:rsidR="00180AE5" w:rsidRPr="007B3C04" w:rsidRDefault="00180AE5" w:rsidP="00BB02CD">
      <w:pPr>
        <w:pStyle w:val="Heading1"/>
        <w:rPr>
          <w:rFonts w:cs="Arial"/>
          <w:color w:val="000000" w:themeColor="text1"/>
        </w:rPr>
      </w:pPr>
      <w:bookmarkStart w:id="4" w:name="_Toc141210040"/>
      <w:bookmarkStart w:id="5" w:name="_Toc141214223"/>
      <w:r w:rsidRPr="007B3C04">
        <w:rPr>
          <w:rFonts w:cs="Arial"/>
          <w:color w:val="000000" w:themeColor="text1"/>
        </w:rPr>
        <w:t>Addressing the Public Health Problem</w:t>
      </w:r>
      <w:bookmarkEnd w:id="4"/>
      <w:bookmarkEnd w:id="5"/>
    </w:p>
    <w:p w:rsidR="00180AE5" w:rsidRPr="007B3C04" w:rsidRDefault="00180AE5" w:rsidP="00BB02CD">
      <w:pPr>
        <w:spacing w:line="360" w:lineRule="auto"/>
        <w:jc w:val="both"/>
        <w:rPr>
          <w:rFonts w:ascii="Arial" w:hAnsi="Arial" w:cs="Arial"/>
          <w:color w:val="000000" w:themeColor="text1"/>
          <w:sz w:val="24"/>
          <w:szCs w:val="24"/>
        </w:rPr>
      </w:pPr>
      <w:r w:rsidRPr="007B3C04">
        <w:rPr>
          <w:rFonts w:ascii="Arial" w:hAnsi="Arial" w:cs="Arial"/>
          <w:color w:val="000000" w:themeColor="text1"/>
          <w:sz w:val="24"/>
          <w:szCs w:val="24"/>
        </w:rPr>
        <w:t xml:space="preserve">Physical inactivity is an important threat to public health, and it appears to be connected to higher rates of cardiovascular disease, diabetes, obesity, and psychological disorders. The World Health Organization (WHO) believes that practically 1.4 billion individuals globally are insufficiently active, leading to 3.2 million premature deaths each year (WHO, 2023). In order to tackle the problem, successful programs which encourage physical activity and more accurate behaviors are needed. </w:t>
      </w:r>
    </w:p>
    <w:p w:rsidR="00180AE5" w:rsidRPr="007B3C04" w:rsidRDefault="00180AE5" w:rsidP="00BB02CD">
      <w:pPr>
        <w:pStyle w:val="Heading1"/>
        <w:rPr>
          <w:rFonts w:cs="Arial"/>
          <w:color w:val="000000" w:themeColor="text1"/>
        </w:rPr>
      </w:pPr>
      <w:bookmarkStart w:id="6" w:name="_Toc141210041"/>
      <w:bookmarkStart w:id="7" w:name="_Toc141214224"/>
      <w:r w:rsidRPr="007B3C04">
        <w:rPr>
          <w:rFonts w:cs="Arial"/>
          <w:color w:val="000000" w:themeColor="text1"/>
        </w:rPr>
        <w:t>Fitness Watches in Health Promotion</w:t>
      </w:r>
      <w:bookmarkEnd w:id="6"/>
      <w:bookmarkEnd w:id="7"/>
    </w:p>
    <w:p w:rsidR="00180AE5" w:rsidRPr="007B3C04" w:rsidRDefault="00180AE5" w:rsidP="00BB02CD">
      <w:pPr>
        <w:spacing w:line="360" w:lineRule="auto"/>
        <w:jc w:val="both"/>
        <w:rPr>
          <w:rFonts w:ascii="Arial" w:hAnsi="Arial" w:cs="Arial"/>
          <w:color w:val="000000" w:themeColor="text1"/>
          <w:sz w:val="24"/>
          <w:szCs w:val="24"/>
        </w:rPr>
      </w:pPr>
      <w:r w:rsidRPr="007B3C04">
        <w:rPr>
          <w:rFonts w:ascii="Arial" w:hAnsi="Arial" w:cs="Arial"/>
          <w:color w:val="000000" w:themeColor="text1"/>
          <w:sz w:val="24"/>
          <w:szCs w:val="24"/>
        </w:rPr>
        <w:t xml:space="preserve">Fitness watches and wearable digital devices with sensors play a vital role in health promotion programs. They inform users to track various health parameters, like steps captured, heart rate, and sleep habits. Fitness watches offer real-time data, helping customers to track their advancement while making informed lifestyle and health decisions (Jerath et al., 2023). Users get motivated to improve their physical activity while creating healthy habits by receiving reminders, establishing activity goals, and collecting prizes. </w:t>
      </w:r>
    </w:p>
    <w:p w:rsidR="00180AE5" w:rsidRPr="007B3C04" w:rsidRDefault="00180AE5" w:rsidP="00BB02CD">
      <w:pPr>
        <w:pStyle w:val="Heading1"/>
        <w:rPr>
          <w:rFonts w:cs="Arial"/>
          <w:color w:val="000000" w:themeColor="text1"/>
        </w:rPr>
      </w:pPr>
      <w:bookmarkStart w:id="8" w:name="_Toc141210042"/>
      <w:bookmarkStart w:id="9" w:name="_Toc141214225"/>
      <w:r w:rsidRPr="007B3C04">
        <w:rPr>
          <w:rFonts w:cs="Arial"/>
          <w:color w:val="000000" w:themeColor="text1"/>
        </w:rPr>
        <w:t>Evidence of Health Promotion Impact</w:t>
      </w:r>
      <w:bookmarkEnd w:id="8"/>
      <w:bookmarkEnd w:id="9"/>
    </w:p>
    <w:p w:rsidR="00180AE5" w:rsidRPr="007B3C04" w:rsidRDefault="00180AE5" w:rsidP="00BB02CD">
      <w:pPr>
        <w:spacing w:line="360" w:lineRule="auto"/>
        <w:jc w:val="both"/>
        <w:rPr>
          <w:rFonts w:ascii="Arial" w:hAnsi="Arial" w:cs="Arial"/>
          <w:color w:val="000000" w:themeColor="text1"/>
          <w:sz w:val="24"/>
          <w:szCs w:val="24"/>
        </w:rPr>
      </w:pPr>
      <w:r w:rsidRPr="007B3C04">
        <w:rPr>
          <w:rFonts w:ascii="Arial" w:hAnsi="Arial" w:cs="Arial"/>
          <w:color w:val="000000" w:themeColor="text1"/>
          <w:sz w:val="24"/>
          <w:szCs w:val="24"/>
        </w:rPr>
        <w:t>Numerous research support fitness watches' effectiveness in encouraging health and behavior change. Based on the research released by the Journal of Medical Internet Research (JMIR), fitness tracker users had greater physical activity (Zahrt et al., 2023). They were more knowledgeable of their health behaviors. Additionally, according to a thorough investigation released by the International Journal of Behavioural Nutrition and Physical Activity, active wearable trackers, including fitness watches, positively influenced daily physical activity and sedentary behavior (Danković et al., 2023).</w:t>
      </w:r>
    </w:p>
    <w:p w:rsidR="00180AE5" w:rsidRPr="007B3C04" w:rsidRDefault="00180AE5" w:rsidP="00BB02CD">
      <w:pPr>
        <w:spacing w:line="360" w:lineRule="auto"/>
        <w:jc w:val="center"/>
        <w:rPr>
          <w:rFonts w:ascii="Arial" w:hAnsi="Arial" w:cs="Arial"/>
          <w:color w:val="000000" w:themeColor="text1"/>
        </w:rPr>
      </w:pPr>
      <w:r w:rsidRPr="007B3C04">
        <w:rPr>
          <w:rFonts w:ascii="Arial" w:hAnsi="Arial" w:cs="Arial"/>
          <w:noProof/>
          <w:color w:val="000000" w:themeColor="text1"/>
          <w:lang w:val="en-US" w:bidi="gu-IN"/>
        </w:rPr>
        <w:lastRenderedPageBreak/>
        <w:drawing>
          <wp:inline distT="0" distB="0" distL="0" distR="0">
            <wp:extent cx="4966259" cy="2339518"/>
            <wp:effectExtent l="19050" t="0" r="5791" b="0"/>
            <wp:docPr id="13" name="Picture 13" descr="https://www.nwpc.com/wp-content/uploads/2020/04/smartwatch-health-tracking-1024x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nwpc.com/wp-content/uploads/2020/04/smartwatch-health-tracking-1024x482.jpg"/>
                    <pic:cNvPicPr>
                      <a:picLocks noChangeAspect="1" noChangeArrowheads="1"/>
                    </pic:cNvPicPr>
                  </pic:nvPicPr>
                  <pic:blipFill>
                    <a:blip r:embed="rId10" cstate="print"/>
                    <a:srcRect/>
                    <a:stretch>
                      <a:fillRect/>
                    </a:stretch>
                  </pic:blipFill>
                  <pic:spPr bwMode="auto">
                    <a:xfrm>
                      <a:off x="0" y="0"/>
                      <a:ext cx="4972587" cy="2342499"/>
                    </a:xfrm>
                    <a:prstGeom prst="rect">
                      <a:avLst/>
                    </a:prstGeom>
                    <a:noFill/>
                    <a:ln w="9525">
                      <a:noFill/>
                      <a:miter lim="800000"/>
                      <a:headEnd/>
                      <a:tailEnd/>
                    </a:ln>
                  </pic:spPr>
                </pic:pic>
              </a:graphicData>
            </a:graphic>
          </wp:inline>
        </w:drawing>
      </w:r>
    </w:p>
    <w:p w:rsidR="00180AE5" w:rsidRPr="007B3C04" w:rsidRDefault="00180AE5" w:rsidP="00BB02CD">
      <w:pPr>
        <w:spacing w:line="360" w:lineRule="auto"/>
        <w:jc w:val="center"/>
        <w:rPr>
          <w:rFonts w:ascii="Arial" w:hAnsi="Arial" w:cs="Arial"/>
          <w:b/>
          <w:color w:val="000000" w:themeColor="text1"/>
        </w:rPr>
      </w:pPr>
      <w:r w:rsidRPr="007B3C04">
        <w:rPr>
          <w:rFonts w:ascii="Arial" w:hAnsi="Arial" w:cs="Arial"/>
          <w:b/>
          <w:color w:val="000000" w:themeColor="text1"/>
        </w:rPr>
        <w:t>Figure 2: Health Monitoring through Fitness Watch</w:t>
      </w:r>
    </w:p>
    <w:p w:rsidR="00180AE5" w:rsidRPr="007B3C04" w:rsidRDefault="00180AE5" w:rsidP="00BB02CD">
      <w:pPr>
        <w:spacing w:line="360" w:lineRule="auto"/>
        <w:jc w:val="center"/>
        <w:rPr>
          <w:rFonts w:ascii="Arial" w:hAnsi="Arial" w:cs="Arial"/>
          <w:color w:val="000000" w:themeColor="text1"/>
        </w:rPr>
      </w:pPr>
      <w:r w:rsidRPr="007B3C04">
        <w:rPr>
          <w:rFonts w:ascii="Arial" w:hAnsi="Arial" w:cs="Arial"/>
          <w:color w:val="000000" w:themeColor="text1"/>
        </w:rPr>
        <w:t>(Source: Northwest Primary Care, 2023)</w:t>
      </w:r>
    </w:p>
    <w:p w:rsidR="00180AE5" w:rsidRPr="007B3C04" w:rsidRDefault="00180AE5" w:rsidP="00BB02CD">
      <w:pPr>
        <w:pStyle w:val="Heading1"/>
        <w:rPr>
          <w:rFonts w:cs="Arial"/>
          <w:color w:val="000000" w:themeColor="text1"/>
        </w:rPr>
      </w:pPr>
      <w:bookmarkStart w:id="10" w:name="_Toc141210043"/>
      <w:bookmarkStart w:id="11" w:name="_Toc141214226"/>
      <w:r w:rsidRPr="007B3C04">
        <w:rPr>
          <w:rFonts w:cs="Arial"/>
          <w:color w:val="000000" w:themeColor="text1"/>
        </w:rPr>
        <w:t>Advantages and Disadvantages</w:t>
      </w:r>
      <w:bookmarkEnd w:id="10"/>
      <w:bookmarkEnd w:id="11"/>
    </w:p>
    <w:p w:rsidR="00180AE5" w:rsidRPr="007B3C04" w:rsidRDefault="00180AE5" w:rsidP="00BB02CD">
      <w:pPr>
        <w:spacing w:line="360" w:lineRule="auto"/>
        <w:jc w:val="both"/>
        <w:rPr>
          <w:rFonts w:ascii="Arial" w:hAnsi="Arial" w:cs="Arial"/>
          <w:color w:val="000000" w:themeColor="text1"/>
          <w:sz w:val="24"/>
          <w:szCs w:val="24"/>
        </w:rPr>
      </w:pPr>
      <w:r w:rsidRPr="007B3C04">
        <w:rPr>
          <w:rFonts w:ascii="Arial" w:hAnsi="Arial" w:cs="Arial"/>
          <w:color w:val="000000" w:themeColor="text1"/>
          <w:sz w:val="24"/>
          <w:szCs w:val="24"/>
        </w:rPr>
        <w:t>Fitness watches offer many benefits in health promotion plans, notably customized feedback and goal-setting tools (Nuijten et al., 2022). They boost motivation and involvement via real-time reminders, statistics, and prizes, which stimulate users to participate in healthier behaviors. Also, fitness trackers enable continuous tracking, helping users to be aware of their health behaviors across the day. Nevertheless, additional limitations entail questions concerning data reliability since accuracy varies amongst devices. User retention may be challenging since some individuals lose interest or quit utilization over time. Additionally, given pricing and accessibility challenges, digital health disparity may limit access for certain groups of people (Hensel et al., 2019).</w:t>
      </w:r>
    </w:p>
    <w:p w:rsidR="00180AE5" w:rsidRPr="007B3C04" w:rsidRDefault="00180AE5" w:rsidP="00BB02CD">
      <w:pPr>
        <w:pStyle w:val="Heading1"/>
        <w:rPr>
          <w:rFonts w:cs="Arial"/>
          <w:color w:val="000000" w:themeColor="text1"/>
        </w:rPr>
      </w:pPr>
      <w:bookmarkStart w:id="12" w:name="_Toc141210044"/>
      <w:bookmarkStart w:id="13" w:name="_Toc141214227"/>
      <w:r w:rsidRPr="007B3C04">
        <w:rPr>
          <w:rFonts w:cs="Arial"/>
          <w:color w:val="000000" w:themeColor="text1"/>
        </w:rPr>
        <w:t>Addressing Challenges</w:t>
      </w:r>
      <w:bookmarkEnd w:id="12"/>
      <w:bookmarkEnd w:id="13"/>
    </w:p>
    <w:p w:rsidR="00180AE5" w:rsidRPr="007B3C04" w:rsidRDefault="00180AE5" w:rsidP="00BB02CD">
      <w:pPr>
        <w:spacing w:line="360" w:lineRule="auto"/>
        <w:jc w:val="both"/>
        <w:rPr>
          <w:rFonts w:ascii="Arial" w:hAnsi="Arial" w:cs="Arial"/>
          <w:color w:val="000000" w:themeColor="text1"/>
          <w:sz w:val="24"/>
          <w:szCs w:val="24"/>
        </w:rPr>
      </w:pPr>
      <w:r w:rsidRPr="007B3C04">
        <w:rPr>
          <w:rFonts w:ascii="Arial" w:hAnsi="Arial" w:cs="Arial"/>
          <w:color w:val="000000" w:themeColor="text1"/>
          <w:sz w:val="24"/>
          <w:szCs w:val="24"/>
        </w:rPr>
        <w:t>Continuous developments in sensor technology and data validation procedures are needed to deal with data reliability. Manufacturers need to invest in studies for enhanced accuracy as well as precision. Interventions may integrate gamification components and supportive social components to improve user retention, enabling sustained motivation and engagement (Mustafa et al., 2023).</w:t>
      </w:r>
    </w:p>
    <w:p w:rsidR="00180AE5" w:rsidRPr="007B3C04" w:rsidRDefault="00180AE5" w:rsidP="00BB02CD">
      <w:pPr>
        <w:pStyle w:val="Heading1"/>
        <w:rPr>
          <w:rFonts w:cs="Arial"/>
          <w:color w:val="000000" w:themeColor="text1"/>
        </w:rPr>
      </w:pPr>
      <w:bookmarkStart w:id="14" w:name="_Toc141210045"/>
      <w:bookmarkStart w:id="15" w:name="_Toc141214228"/>
      <w:r w:rsidRPr="007B3C04">
        <w:rPr>
          <w:rFonts w:cs="Arial"/>
          <w:color w:val="000000" w:themeColor="text1"/>
        </w:rPr>
        <w:lastRenderedPageBreak/>
        <w:t>Conclusion</w:t>
      </w:r>
      <w:bookmarkEnd w:id="14"/>
      <w:bookmarkEnd w:id="15"/>
    </w:p>
    <w:p w:rsidR="00180AE5" w:rsidRPr="007B3C04" w:rsidRDefault="00180AE5" w:rsidP="00BB02CD">
      <w:pPr>
        <w:spacing w:line="360" w:lineRule="auto"/>
        <w:jc w:val="both"/>
        <w:rPr>
          <w:rFonts w:ascii="Arial" w:hAnsi="Arial" w:cs="Arial"/>
          <w:color w:val="000000" w:themeColor="text1"/>
          <w:sz w:val="24"/>
          <w:szCs w:val="24"/>
        </w:rPr>
      </w:pPr>
      <w:r w:rsidRPr="007B3C04">
        <w:rPr>
          <w:rFonts w:ascii="Arial" w:hAnsi="Arial" w:cs="Arial"/>
          <w:color w:val="000000" w:themeColor="text1"/>
          <w:sz w:val="24"/>
          <w:szCs w:val="24"/>
        </w:rPr>
        <w:t>Fitness watches have been demonstrated to be beneficial tools in health promotion initiatives, encouraging individuals to track their physical activity and learn healthier habits. While the advantages surpass the downsides, addressing issues like user retention, data dependability, and digital health inequalities would increase the importance of fitness watches in enhancing public well-being and wellness even further.</w:t>
      </w:r>
    </w:p>
    <w:p w:rsidR="00180AE5" w:rsidRPr="007B3C04" w:rsidRDefault="00180AE5" w:rsidP="00BB02CD">
      <w:pPr>
        <w:spacing w:line="360" w:lineRule="auto"/>
        <w:jc w:val="both"/>
        <w:rPr>
          <w:rFonts w:ascii="Arial" w:hAnsi="Arial" w:cs="Arial"/>
          <w:color w:val="000000" w:themeColor="text1"/>
        </w:rPr>
      </w:pPr>
      <w:r w:rsidRPr="007B3C04">
        <w:rPr>
          <w:rFonts w:ascii="Arial" w:hAnsi="Arial" w:cs="Arial"/>
          <w:color w:val="000000" w:themeColor="text1"/>
        </w:rPr>
        <w:br w:type="page"/>
      </w:r>
    </w:p>
    <w:p w:rsidR="00953223" w:rsidRPr="007B3C04" w:rsidRDefault="00180AE5" w:rsidP="009927B2">
      <w:pPr>
        <w:pStyle w:val="Heading1"/>
      </w:pPr>
      <w:bookmarkStart w:id="16" w:name="_Toc141214229"/>
      <w:r w:rsidRPr="007B3C04">
        <w:lastRenderedPageBreak/>
        <w:t xml:space="preserve">Blog 2: </w:t>
      </w:r>
      <w:r w:rsidR="00953223" w:rsidRPr="007B3C04">
        <w:t>Transforming Health Promoti</w:t>
      </w:r>
      <w:r w:rsidR="003E4785">
        <w:t>on: The Innovative Impact of</w:t>
      </w:r>
      <w:r w:rsidR="00953223" w:rsidRPr="007B3C04">
        <w:t xml:space="preserve"> Designed Digital Glucose Meter</w:t>
      </w:r>
      <w:bookmarkEnd w:id="16"/>
    </w:p>
    <w:p w:rsidR="00953223" w:rsidRPr="007B3C04" w:rsidRDefault="00953223" w:rsidP="00BB02CD">
      <w:pPr>
        <w:pStyle w:val="Heading1"/>
        <w:rPr>
          <w:rFonts w:cs="Arial"/>
          <w:color w:val="000000" w:themeColor="text1"/>
        </w:rPr>
      </w:pPr>
      <w:bookmarkStart w:id="17" w:name="_Toc141212661"/>
      <w:bookmarkStart w:id="18" w:name="_Toc141214230"/>
      <w:r w:rsidRPr="007B3C04">
        <w:rPr>
          <w:rFonts w:cs="Arial"/>
          <w:color w:val="000000" w:themeColor="text1"/>
        </w:rPr>
        <w:t>Introduction</w:t>
      </w:r>
      <w:bookmarkEnd w:id="17"/>
      <w:bookmarkEnd w:id="18"/>
    </w:p>
    <w:p w:rsidR="00953223" w:rsidRPr="00E4272B" w:rsidRDefault="00953223" w:rsidP="00BB02CD">
      <w:pPr>
        <w:spacing w:line="360" w:lineRule="auto"/>
        <w:jc w:val="both"/>
        <w:rPr>
          <w:rFonts w:ascii="Arial" w:hAnsi="Arial" w:cs="Arial"/>
          <w:color w:val="000000" w:themeColor="text1"/>
          <w:sz w:val="24"/>
          <w:szCs w:val="24"/>
        </w:rPr>
      </w:pPr>
      <w:r w:rsidRPr="00E4272B">
        <w:rPr>
          <w:rFonts w:ascii="Arial" w:hAnsi="Arial" w:cs="Arial"/>
          <w:color w:val="000000" w:themeColor="text1"/>
          <w:sz w:val="24"/>
          <w:szCs w:val="24"/>
        </w:rPr>
        <w:t xml:space="preserve">As we enter the field of digital health promotion, it is vital to deal with a major public health issue </w:t>
      </w:r>
      <w:r w:rsidR="007B3C04" w:rsidRPr="00E4272B">
        <w:rPr>
          <w:rFonts w:ascii="Arial" w:hAnsi="Arial" w:cs="Arial"/>
          <w:color w:val="000000" w:themeColor="text1"/>
          <w:sz w:val="24"/>
          <w:szCs w:val="24"/>
        </w:rPr>
        <w:t>that</w:t>
      </w:r>
      <w:r w:rsidRPr="00E4272B">
        <w:rPr>
          <w:rFonts w:ascii="Arial" w:hAnsi="Arial" w:cs="Arial"/>
          <w:color w:val="000000" w:themeColor="text1"/>
          <w:sz w:val="24"/>
          <w:szCs w:val="24"/>
        </w:rPr>
        <w:t xml:space="preserve"> impacts millions of individuals worldwide - diabetes. With the growing incidence of diabetes as well as the complications of successful glucose monitoring, we create a game-changing digital tool that will change diabetic health promotion (Klonoff et al., </w:t>
      </w:r>
      <w:r w:rsidR="003E4785">
        <w:rPr>
          <w:rFonts w:ascii="Arial" w:hAnsi="Arial" w:cs="Arial"/>
          <w:color w:val="000000" w:themeColor="text1"/>
          <w:sz w:val="24"/>
          <w:szCs w:val="24"/>
        </w:rPr>
        <w:t>2023). The SmartGlucoAssist, accordingly</w:t>
      </w:r>
      <w:r w:rsidRPr="00E4272B">
        <w:rPr>
          <w:rFonts w:ascii="Arial" w:hAnsi="Arial" w:cs="Arial"/>
          <w:color w:val="000000" w:themeColor="text1"/>
          <w:sz w:val="24"/>
          <w:szCs w:val="24"/>
        </w:rPr>
        <w:t xml:space="preserve"> breakthrough solution, is a modified glucose meter with advanced features that enable consumers to take control of their health like never before. </w:t>
      </w:r>
    </w:p>
    <w:p w:rsidR="00953223" w:rsidRPr="00E4272B" w:rsidRDefault="00953223" w:rsidP="00BB02CD">
      <w:pPr>
        <w:spacing w:line="360" w:lineRule="auto"/>
        <w:jc w:val="center"/>
        <w:rPr>
          <w:rFonts w:ascii="Arial" w:hAnsi="Arial" w:cs="Arial"/>
          <w:color w:val="000000" w:themeColor="text1"/>
          <w:sz w:val="24"/>
          <w:szCs w:val="24"/>
        </w:rPr>
      </w:pPr>
      <w:r w:rsidRPr="00E4272B">
        <w:rPr>
          <w:rFonts w:ascii="Arial" w:hAnsi="Arial" w:cs="Arial"/>
          <w:noProof/>
          <w:color w:val="000000" w:themeColor="text1"/>
          <w:sz w:val="24"/>
          <w:szCs w:val="24"/>
          <w:lang w:val="en-US" w:bidi="gu-IN"/>
        </w:rPr>
        <w:drawing>
          <wp:inline distT="0" distB="0" distL="0" distR="0">
            <wp:extent cx="5337544" cy="2996170"/>
            <wp:effectExtent l="19050" t="0" r="0" b="0"/>
            <wp:docPr id="16" name="Picture 16" descr="13 Factors to Consider When Choosing a Glucose 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3 Factors to Consider When Choosing a Glucose Meter"/>
                    <pic:cNvPicPr>
                      <a:picLocks noChangeAspect="1" noChangeArrowheads="1"/>
                    </pic:cNvPicPr>
                  </pic:nvPicPr>
                  <pic:blipFill>
                    <a:blip r:embed="rId11" cstate="print"/>
                    <a:srcRect/>
                    <a:stretch>
                      <a:fillRect/>
                    </a:stretch>
                  </pic:blipFill>
                  <pic:spPr bwMode="auto">
                    <a:xfrm>
                      <a:off x="0" y="0"/>
                      <a:ext cx="5335556" cy="2995054"/>
                    </a:xfrm>
                    <a:prstGeom prst="rect">
                      <a:avLst/>
                    </a:prstGeom>
                    <a:noFill/>
                    <a:ln w="9525">
                      <a:noFill/>
                      <a:miter lim="800000"/>
                      <a:headEnd/>
                      <a:tailEnd/>
                    </a:ln>
                  </pic:spPr>
                </pic:pic>
              </a:graphicData>
            </a:graphic>
          </wp:inline>
        </w:drawing>
      </w:r>
    </w:p>
    <w:p w:rsidR="00953223" w:rsidRPr="00E4272B" w:rsidRDefault="00953223" w:rsidP="00BB02CD">
      <w:pPr>
        <w:spacing w:line="360" w:lineRule="auto"/>
        <w:jc w:val="center"/>
        <w:rPr>
          <w:rFonts w:ascii="Arial" w:hAnsi="Arial" w:cs="Arial"/>
          <w:b/>
          <w:color w:val="000000" w:themeColor="text1"/>
          <w:sz w:val="24"/>
          <w:szCs w:val="24"/>
        </w:rPr>
      </w:pPr>
      <w:r w:rsidRPr="00E4272B">
        <w:rPr>
          <w:rFonts w:ascii="Arial" w:hAnsi="Arial" w:cs="Arial"/>
          <w:b/>
          <w:color w:val="000000" w:themeColor="text1"/>
          <w:sz w:val="24"/>
          <w:szCs w:val="24"/>
        </w:rPr>
        <w:t>Figure 1: Glucose Meter</w:t>
      </w:r>
    </w:p>
    <w:p w:rsidR="00953223" w:rsidRPr="00E4272B" w:rsidRDefault="00953223" w:rsidP="00BB02CD">
      <w:pPr>
        <w:spacing w:line="360" w:lineRule="auto"/>
        <w:jc w:val="center"/>
        <w:rPr>
          <w:rFonts w:ascii="Arial" w:hAnsi="Arial" w:cs="Arial"/>
          <w:color w:val="000000" w:themeColor="text1"/>
          <w:sz w:val="24"/>
          <w:szCs w:val="24"/>
        </w:rPr>
      </w:pPr>
      <w:r w:rsidRPr="00E4272B">
        <w:rPr>
          <w:rFonts w:ascii="Arial" w:hAnsi="Arial" w:cs="Arial"/>
          <w:color w:val="000000" w:themeColor="text1"/>
          <w:sz w:val="24"/>
          <w:szCs w:val="24"/>
        </w:rPr>
        <w:t>(Source: Healthline, 2018)</w:t>
      </w:r>
    </w:p>
    <w:p w:rsidR="00953223" w:rsidRPr="007B3C04" w:rsidRDefault="00953223" w:rsidP="00BB02CD">
      <w:pPr>
        <w:pStyle w:val="Heading1"/>
        <w:rPr>
          <w:rFonts w:cs="Arial"/>
          <w:color w:val="000000" w:themeColor="text1"/>
        </w:rPr>
      </w:pPr>
      <w:bookmarkStart w:id="19" w:name="_Toc141212662"/>
      <w:bookmarkStart w:id="20" w:name="_Toc141214231"/>
      <w:r w:rsidRPr="007B3C04">
        <w:rPr>
          <w:rFonts w:cs="Arial"/>
          <w:color w:val="000000" w:themeColor="text1"/>
        </w:rPr>
        <w:t>Diabetes as a Public Health Concern</w:t>
      </w:r>
      <w:bookmarkEnd w:id="19"/>
      <w:bookmarkEnd w:id="20"/>
    </w:p>
    <w:p w:rsidR="00953223" w:rsidRPr="007B3C04" w:rsidRDefault="00953223" w:rsidP="00BB02CD">
      <w:pPr>
        <w:spacing w:line="360" w:lineRule="auto"/>
        <w:jc w:val="both"/>
        <w:rPr>
          <w:rFonts w:ascii="Arial" w:hAnsi="Arial" w:cs="Arial"/>
          <w:color w:val="000000" w:themeColor="text1"/>
        </w:rPr>
      </w:pPr>
      <w:r w:rsidRPr="007B3C04">
        <w:rPr>
          <w:rFonts w:ascii="Arial" w:hAnsi="Arial" w:cs="Arial"/>
          <w:color w:val="000000" w:themeColor="text1"/>
        </w:rPr>
        <w:t xml:space="preserve">Diabetes has become known as a worldwide epidemic influencing nearly 463 million people as of 2019, and this statistic is continuously growing (Sun et al., 2022). Cardiovascular disease, kidney failure, and nerve damage are among the implications of diabetes that are poorly controlled. Comprehensive diabetes care is clearly vital to decreasing the risks and boosting the quality of life for those diagnosed. </w:t>
      </w:r>
    </w:p>
    <w:p w:rsidR="00953223" w:rsidRPr="007B3C04" w:rsidRDefault="00953223" w:rsidP="00BB02CD">
      <w:pPr>
        <w:pStyle w:val="Heading1"/>
        <w:rPr>
          <w:rFonts w:cs="Arial"/>
          <w:color w:val="000000" w:themeColor="text1"/>
        </w:rPr>
      </w:pPr>
      <w:bookmarkStart w:id="21" w:name="_Toc141212663"/>
      <w:bookmarkStart w:id="22" w:name="_Toc141214232"/>
      <w:r w:rsidRPr="007B3C04">
        <w:rPr>
          <w:rFonts w:cs="Arial"/>
          <w:color w:val="000000" w:themeColor="text1"/>
        </w:rPr>
        <w:lastRenderedPageBreak/>
        <w:t>SmartGlucoAssist as a Breakthrough Technology</w:t>
      </w:r>
      <w:bookmarkEnd w:id="21"/>
      <w:bookmarkEnd w:id="22"/>
    </w:p>
    <w:p w:rsidR="00953223" w:rsidRPr="007B3C04" w:rsidRDefault="00953223" w:rsidP="00BB02CD">
      <w:pPr>
        <w:spacing w:line="360" w:lineRule="auto"/>
        <w:jc w:val="both"/>
        <w:rPr>
          <w:rFonts w:ascii="Arial" w:hAnsi="Arial" w:cs="Arial"/>
          <w:color w:val="000000" w:themeColor="text1"/>
        </w:rPr>
      </w:pPr>
      <w:r w:rsidRPr="007B3C04">
        <w:rPr>
          <w:rFonts w:ascii="Arial" w:hAnsi="Arial" w:cs="Arial"/>
          <w:color w:val="000000" w:themeColor="text1"/>
        </w:rPr>
        <w:t xml:space="preserve">The SmartGlucoAssist is a digital glucose meter that aims to alleviate the shortcomings associated with traditional meters while additionally empowering those to manage their diabetes more successfully. Several attributes distinguish this cutting-edge device: </w:t>
      </w:r>
    </w:p>
    <w:p w:rsidR="00953223" w:rsidRPr="007B3C04" w:rsidRDefault="00953223" w:rsidP="00BB02CD">
      <w:pPr>
        <w:spacing w:line="360" w:lineRule="auto"/>
        <w:jc w:val="both"/>
        <w:rPr>
          <w:rFonts w:ascii="Arial" w:hAnsi="Arial" w:cs="Arial"/>
          <w:color w:val="000000" w:themeColor="text1"/>
        </w:rPr>
      </w:pPr>
      <w:r w:rsidRPr="007B3C04">
        <w:rPr>
          <w:rFonts w:ascii="Arial" w:hAnsi="Arial" w:cs="Arial"/>
          <w:color w:val="000000" w:themeColor="text1"/>
        </w:rPr>
        <w:t xml:space="preserve">a) </w:t>
      </w:r>
      <w:r w:rsidRPr="007B3C04">
        <w:rPr>
          <w:rFonts w:ascii="Arial" w:hAnsi="Arial" w:cs="Arial"/>
          <w:b/>
          <w:color w:val="000000" w:themeColor="text1"/>
        </w:rPr>
        <w:t>Continuous Glucose Monitoring (CGM):</w:t>
      </w:r>
      <w:r w:rsidRPr="007B3C04">
        <w:rPr>
          <w:rFonts w:ascii="Arial" w:hAnsi="Arial" w:cs="Arial"/>
          <w:color w:val="000000" w:themeColor="text1"/>
        </w:rPr>
        <w:t xml:space="preserve"> The SmartGlucoAssist presents buyers with real-time glucose data across the day. This increased information precision enables more accurate observations of glucose changes and facilitates more informed decision-making (Rehman and Farrakh, 2023). </w:t>
      </w:r>
    </w:p>
    <w:p w:rsidR="00953223" w:rsidRPr="007B3C04" w:rsidRDefault="00953223" w:rsidP="00BB02CD">
      <w:pPr>
        <w:spacing w:line="360" w:lineRule="auto"/>
        <w:jc w:val="both"/>
        <w:rPr>
          <w:rFonts w:ascii="Arial" w:hAnsi="Arial" w:cs="Arial"/>
          <w:color w:val="000000" w:themeColor="text1"/>
        </w:rPr>
      </w:pPr>
      <w:r w:rsidRPr="007B3C04">
        <w:rPr>
          <w:rFonts w:ascii="Arial" w:hAnsi="Arial" w:cs="Arial"/>
          <w:color w:val="000000" w:themeColor="text1"/>
        </w:rPr>
        <w:t xml:space="preserve">b) </w:t>
      </w:r>
      <w:r w:rsidRPr="007B3C04">
        <w:rPr>
          <w:rFonts w:ascii="Arial" w:hAnsi="Arial" w:cs="Arial"/>
          <w:b/>
          <w:color w:val="000000" w:themeColor="text1"/>
        </w:rPr>
        <w:t>Integration of Artificial Intelligence (AI):</w:t>
      </w:r>
      <w:r w:rsidR="003E4785">
        <w:rPr>
          <w:rFonts w:ascii="Arial" w:hAnsi="Arial" w:cs="Arial"/>
          <w:color w:val="000000" w:themeColor="text1"/>
        </w:rPr>
        <w:t xml:space="preserve"> Accordengly</w:t>
      </w:r>
      <w:r w:rsidRPr="007B3C04">
        <w:rPr>
          <w:rFonts w:ascii="Arial" w:hAnsi="Arial" w:cs="Arial"/>
          <w:color w:val="000000" w:themeColor="text1"/>
        </w:rPr>
        <w:t xml:space="preserve"> glucose meter employs AI to analyze customer data and deliver personalized recommendations. SmartGlucoAssist recommends adjustments to lifestyles, workout routines, and dietary recommendations tailored to each user's specific requirements by learning from specific patterns.</w:t>
      </w:r>
    </w:p>
    <w:p w:rsidR="00953223" w:rsidRPr="007B3C04" w:rsidRDefault="00953223" w:rsidP="00BB02CD">
      <w:pPr>
        <w:spacing w:line="360" w:lineRule="auto"/>
        <w:jc w:val="center"/>
        <w:rPr>
          <w:rFonts w:ascii="Arial" w:hAnsi="Arial" w:cs="Arial"/>
          <w:color w:val="000000" w:themeColor="text1"/>
        </w:rPr>
      </w:pPr>
      <w:r w:rsidRPr="007B3C04">
        <w:rPr>
          <w:rFonts w:ascii="Arial" w:hAnsi="Arial" w:cs="Arial"/>
          <w:noProof/>
          <w:color w:val="000000" w:themeColor="text1"/>
          <w:lang w:val="en-US" w:bidi="gu-IN"/>
        </w:rPr>
        <w:drawing>
          <wp:inline distT="0" distB="0" distL="0" distR="0">
            <wp:extent cx="5286839" cy="3786866"/>
            <wp:effectExtent l="19050" t="0" r="9061" b="0"/>
            <wp:docPr id="19" name="Picture 19" descr="Sensors | Free Full-Text | Advanced Diabetes Management Using Artificial  Intelligence and Continuous Glucose Monitoring Se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nsors | Free Full-Text | Advanced Diabetes Management Using Artificial  Intelligence and Continuous Glucose Monitoring Sensors"/>
                    <pic:cNvPicPr>
                      <a:picLocks noChangeAspect="1" noChangeArrowheads="1"/>
                    </pic:cNvPicPr>
                  </pic:nvPicPr>
                  <pic:blipFill>
                    <a:blip r:embed="rId12" cstate="print"/>
                    <a:srcRect/>
                    <a:stretch>
                      <a:fillRect/>
                    </a:stretch>
                  </pic:blipFill>
                  <pic:spPr bwMode="auto">
                    <a:xfrm>
                      <a:off x="0" y="0"/>
                      <a:ext cx="5292146" cy="3790667"/>
                    </a:xfrm>
                    <a:prstGeom prst="rect">
                      <a:avLst/>
                    </a:prstGeom>
                    <a:noFill/>
                    <a:ln w="9525">
                      <a:noFill/>
                      <a:miter lim="800000"/>
                      <a:headEnd/>
                      <a:tailEnd/>
                    </a:ln>
                  </pic:spPr>
                </pic:pic>
              </a:graphicData>
            </a:graphic>
          </wp:inline>
        </w:drawing>
      </w:r>
    </w:p>
    <w:p w:rsidR="00953223" w:rsidRPr="007B3C04" w:rsidRDefault="00953223" w:rsidP="00BB02CD">
      <w:pPr>
        <w:spacing w:line="360" w:lineRule="auto"/>
        <w:jc w:val="center"/>
        <w:rPr>
          <w:rFonts w:ascii="Arial" w:hAnsi="Arial" w:cs="Arial"/>
          <w:b/>
          <w:color w:val="000000" w:themeColor="text1"/>
        </w:rPr>
      </w:pPr>
      <w:r w:rsidRPr="007B3C04">
        <w:rPr>
          <w:rFonts w:ascii="Arial" w:hAnsi="Arial" w:cs="Arial"/>
          <w:b/>
          <w:color w:val="000000" w:themeColor="text1"/>
        </w:rPr>
        <w:t>Figure 2: Use of AI in Glucose Meter</w:t>
      </w:r>
    </w:p>
    <w:p w:rsidR="00953223" w:rsidRPr="007B3C04" w:rsidRDefault="00953223" w:rsidP="00BB02CD">
      <w:pPr>
        <w:spacing w:line="360" w:lineRule="auto"/>
        <w:jc w:val="center"/>
        <w:rPr>
          <w:rFonts w:ascii="Arial" w:hAnsi="Arial" w:cs="Arial"/>
          <w:color w:val="000000" w:themeColor="text1"/>
        </w:rPr>
      </w:pPr>
      <w:r w:rsidRPr="007B3C04">
        <w:rPr>
          <w:rFonts w:ascii="Arial" w:hAnsi="Arial" w:cs="Arial"/>
          <w:color w:val="000000" w:themeColor="text1"/>
        </w:rPr>
        <w:t>(Source: Vettoretti et al., 2020)</w:t>
      </w:r>
    </w:p>
    <w:p w:rsidR="00953223" w:rsidRPr="007B3C04" w:rsidRDefault="00953223" w:rsidP="00BB02CD">
      <w:pPr>
        <w:spacing w:line="360" w:lineRule="auto"/>
        <w:jc w:val="both"/>
        <w:rPr>
          <w:rFonts w:ascii="Arial" w:hAnsi="Arial" w:cs="Arial"/>
          <w:color w:val="000000" w:themeColor="text1"/>
        </w:rPr>
      </w:pPr>
      <w:r w:rsidRPr="007B3C04">
        <w:rPr>
          <w:rFonts w:ascii="Arial" w:hAnsi="Arial" w:cs="Arial"/>
          <w:b/>
          <w:color w:val="000000" w:themeColor="text1"/>
        </w:rPr>
        <w:t>c)</w:t>
      </w:r>
      <w:r w:rsidR="003E4785">
        <w:rPr>
          <w:rFonts w:ascii="Arial" w:hAnsi="Arial" w:cs="Arial"/>
          <w:b/>
          <w:color w:val="000000" w:themeColor="text1"/>
        </w:rPr>
        <w:t xml:space="preserve"> </w:t>
      </w:r>
      <w:r w:rsidRPr="007B3C04">
        <w:rPr>
          <w:rFonts w:ascii="Arial" w:hAnsi="Arial" w:cs="Arial"/>
          <w:b/>
          <w:color w:val="000000" w:themeColor="text1"/>
        </w:rPr>
        <w:t>Gamification for Enhanced Engagement:</w:t>
      </w:r>
      <w:r w:rsidRPr="007B3C04">
        <w:rPr>
          <w:rFonts w:ascii="Arial" w:hAnsi="Arial" w:cs="Arial"/>
          <w:color w:val="000000" w:themeColor="text1"/>
        </w:rPr>
        <w:t xml:space="preserve"> We've integrated gaming components in the SmartGlucoAssist to boost long-term adherence to glucose management. Users obtain awards and bonuses for successfully satisfying glycemic targets and health targets.</w:t>
      </w:r>
    </w:p>
    <w:p w:rsidR="00953223" w:rsidRPr="007B3C04" w:rsidRDefault="00953223" w:rsidP="00BB02CD">
      <w:pPr>
        <w:pStyle w:val="Heading1"/>
        <w:rPr>
          <w:rFonts w:cs="Arial"/>
          <w:color w:val="000000" w:themeColor="text1"/>
        </w:rPr>
      </w:pPr>
      <w:bookmarkStart w:id="23" w:name="_Toc141212664"/>
      <w:bookmarkStart w:id="24" w:name="_Toc141214233"/>
      <w:r w:rsidRPr="007B3C04">
        <w:rPr>
          <w:rFonts w:cs="Arial"/>
          <w:color w:val="000000" w:themeColor="text1"/>
        </w:rPr>
        <w:lastRenderedPageBreak/>
        <w:t>SmartGlucoAssist as an Empowering Health Promotion Tool</w:t>
      </w:r>
      <w:bookmarkEnd w:id="23"/>
      <w:bookmarkEnd w:id="24"/>
    </w:p>
    <w:p w:rsidR="00953223" w:rsidRPr="00E4272B" w:rsidRDefault="00953223" w:rsidP="00BB02CD">
      <w:pPr>
        <w:spacing w:line="360" w:lineRule="auto"/>
        <w:jc w:val="both"/>
        <w:rPr>
          <w:rFonts w:ascii="Arial" w:hAnsi="Arial" w:cs="Arial"/>
          <w:color w:val="000000" w:themeColor="text1"/>
          <w:sz w:val="24"/>
          <w:szCs w:val="24"/>
        </w:rPr>
      </w:pPr>
      <w:r w:rsidRPr="00E4272B">
        <w:rPr>
          <w:rFonts w:ascii="Arial" w:hAnsi="Arial" w:cs="Arial"/>
          <w:color w:val="000000" w:themeColor="text1"/>
          <w:sz w:val="24"/>
          <w:szCs w:val="24"/>
        </w:rPr>
        <w:t xml:space="preserve">The SmartGlucoAssist is much more than a simple glucose meter; it's a health promotion tool. It endorses </w:t>
      </w:r>
      <w:r w:rsidR="00E4272B" w:rsidRPr="00E4272B">
        <w:rPr>
          <w:rFonts w:ascii="Arial" w:hAnsi="Arial" w:cs="Arial"/>
          <w:color w:val="000000" w:themeColor="text1"/>
          <w:sz w:val="24"/>
          <w:szCs w:val="24"/>
        </w:rPr>
        <w:t>behavioural</w:t>
      </w:r>
      <w:r w:rsidRPr="00E4272B">
        <w:rPr>
          <w:rFonts w:ascii="Arial" w:hAnsi="Arial" w:cs="Arial"/>
          <w:color w:val="000000" w:themeColor="text1"/>
          <w:sz w:val="24"/>
          <w:szCs w:val="24"/>
        </w:rPr>
        <w:t xml:space="preserve"> change while fostering a proactive approach to diabetes care by offering users real-time data, personalized insights, as well as gamified motivation (Orte et al., 2023).</w:t>
      </w:r>
    </w:p>
    <w:p w:rsidR="00953223" w:rsidRPr="007B3C04" w:rsidRDefault="00953223" w:rsidP="00BB02CD">
      <w:pPr>
        <w:pStyle w:val="Heading1"/>
        <w:rPr>
          <w:rFonts w:cs="Arial"/>
          <w:color w:val="000000" w:themeColor="text1"/>
        </w:rPr>
      </w:pPr>
      <w:bookmarkStart w:id="25" w:name="_Toc141212665"/>
      <w:bookmarkStart w:id="26" w:name="_Toc141214234"/>
      <w:r w:rsidRPr="007B3C04">
        <w:rPr>
          <w:rFonts w:cs="Arial"/>
          <w:color w:val="000000" w:themeColor="text1"/>
        </w:rPr>
        <w:t>Advantages and Disadvantages</w:t>
      </w:r>
      <w:bookmarkEnd w:id="25"/>
      <w:bookmarkEnd w:id="26"/>
    </w:p>
    <w:p w:rsidR="00953223" w:rsidRPr="007B3C04" w:rsidRDefault="00953223" w:rsidP="00BB02CD">
      <w:pPr>
        <w:pStyle w:val="Heading2"/>
        <w:rPr>
          <w:rFonts w:cs="Arial"/>
          <w:i/>
          <w:iCs/>
        </w:rPr>
      </w:pPr>
      <w:bookmarkStart w:id="27" w:name="_Toc141212666"/>
      <w:bookmarkStart w:id="28" w:name="_Toc141214235"/>
      <w:r w:rsidRPr="007B3C04">
        <w:rPr>
          <w:rFonts w:cs="Arial"/>
          <w:i/>
          <w:iCs/>
        </w:rPr>
        <w:t>Advantages</w:t>
      </w:r>
      <w:bookmarkEnd w:id="27"/>
      <w:bookmarkEnd w:id="28"/>
    </w:p>
    <w:p w:rsidR="00953223" w:rsidRPr="007B3C04" w:rsidRDefault="00953223" w:rsidP="00BB02CD">
      <w:pPr>
        <w:pStyle w:val="ListParagraph"/>
        <w:numPr>
          <w:ilvl w:val="0"/>
          <w:numId w:val="1"/>
        </w:numPr>
        <w:rPr>
          <w:rFonts w:cs="Arial"/>
          <w:color w:val="000000" w:themeColor="text1"/>
        </w:rPr>
      </w:pPr>
      <w:r w:rsidRPr="007B3C04">
        <w:rPr>
          <w:rFonts w:cs="Arial"/>
          <w:b/>
          <w:bCs/>
          <w:color w:val="000000" w:themeColor="text1"/>
        </w:rPr>
        <w:t>Improved Glucose Management:</w:t>
      </w:r>
      <w:r w:rsidRPr="007B3C04">
        <w:rPr>
          <w:rFonts w:cs="Arial"/>
          <w:color w:val="000000" w:themeColor="text1"/>
        </w:rPr>
        <w:t xml:space="preserve"> Regular surveillance and AI-powered insights enable users to recognize their glucose patterns better and make smarter choices while attaining better glycemic control (Chmayssem et al., 2023). </w:t>
      </w:r>
    </w:p>
    <w:p w:rsidR="00953223" w:rsidRPr="007B3C04" w:rsidRDefault="00953223" w:rsidP="00BB02CD">
      <w:pPr>
        <w:pStyle w:val="ListParagraph"/>
        <w:numPr>
          <w:ilvl w:val="0"/>
          <w:numId w:val="1"/>
        </w:numPr>
        <w:rPr>
          <w:rFonts w:cs="Arial"/>
          <w:color w:val="000000" w:themeColor="text1"/>
        </w:rPr>
      </w:pPr>
      <w:r w:rsidRPr="007B3C04">
        <w:rPr>
          <w:rFonts w:cs="Arial"/>
          <w:b/>
          <w:color w:val="000000" w:themeColor="text1"/>
        </w:rPr>
        <w:t>Personalized Approach:</w:t>
      </w:r>
      <w:r w:rsidRPr="007B3C04">
        <w:rPr>
          <w:rFonts w:cs="Arial"/>
          <w:color w:val="000000" w:themeColor="text1"/>
        </w:rPr>
        <w:t xml:space="preserve"> Employing individual data, personalized suggestions enable consumers to make lifestyle adjustments that are personalized to their </w:t>
      </w:r>
      <w:r w:rsidR="007B3C04" w:rsidRPr="007B3C04">
        <w:rPr>
          <w:rFonts w:cs="Arial"/>
          <w:color w:val="000000" w:themeColor="text1"/>
        </w:rPr>
        <w:t>requirements</w:t>
      </w:r>
      <w:r w:rsidRPr="007B3C04">
        <w:rPr>
          <w:rFonts w:cs="Arial"/>
          <w:color w:val="000000" w:themeColor="text1"/>
        </w:rPr>
        <w:t xml:space="preserve">, thereby boosting long-term adherence. </w:t>
      </w:r>
    </w:p>
    <w:p w:rsidR="00953223" w:rsidRPr="007B3C04" w:rsidRDefault="00953223" w:rsidP="00BB02CD">
      <w:pPr>
        <w:pStyle w:val="ListParagraph"/>
        <w:numPr>
          <w:ilvl w:val="0"/>
          <w:numId w:val="1"/>
        </w:numPr>
        <w:rPr>
          <w:rFonts w:cs="Arial"/>
          <w:color w:val="000000" w:themeColor="text1"/>
        </w:rPr>
      </w:pPr>
      <w:r w:rsidRPr="007B3C04">
        <w:rPr>
          <w:rFonts w:cs="Arial"/>
          <w:b/>
          <w:color w:val="000000" w:themeColor="text1"/>
        </w:rPr>
        <w:t>Gamification for Motivation</w:t>
      </w:r>
      <w:r w:rsidRPr="007B3C04">
        <w:rPr>
          <w:rFonts w:cs="Arial"/>
          <w:color w:val="000000" w:themeColor="text1"/>
        </w:rPr>
        <w:t xml:space="preserve">: The gamification feature fosters user involvement and accountability, enabling diabetes management to be a rewarding and enjoyable experience (Arora and Razavian, 2021).  </w:t>
      </w:r>
    </w:p>
    <w:p w:rsidR="00953223" w:rsidRPr="007B3C04" w:rsidRDefault="00953223" w:rsidP="00BB02CD">
      <w:pPr>
        <w:pStyle w:val="Heading2"/>
        <w:rPr>
          <w:rFonts w:cs="Arial"/>
          <w:i/>
          <w:iCs/>
        </w:rPr>
      </w:pPr>
      <w:bookmarkStart w:id="29" w:name="_Toc141212667"/>
      <w:bookmarkStart w:id="30" w:name="_Toc141214236"/>
      <w:r w:rsidRPr="007B3C04">
        <w:rPr>
          <w:rFonts w:cs="Arial"/>
          <w:i/>
          <w:iCs/>
        </w:rPr>
        <w:t>Disadvantages</w:t>
      </w:r>
      <w:bookmarkEnd w:id="29"/>
      <w:bookmarkEnd w:id="30"/>
    </w:p>
    <w:p w:rsidR="00953223" w:rsidRPr="007B3C04" w:rsidRDefault="00953223" w:rsidP="00BB02CD">
      <w:pPr>
        <w:pStyle w:val="ListParagraph"/>
        <w:numPr>
          <w:ilvl w:val="0"/>
          <w:numId w:val="2"/>
        </w:numPr>
        <w:rPr>
          <w:rFonts w:cs="Arial"/>
          <w:color w:val="000000" w:themeColor="text1"/>
        </w:rPr>
      </w:pPr>
      <w:r w:rsidRPr="007B3C04">
        <w:rPr>
          <w:rFonts w:cs="Arial"/>
          <w:b/>
          <w:bCs/>
          <w:color w:val="000000" w:themeColor="text1"/>
        </w:rPr>
        <w:t>Cost and Accessibility:</w:t>
      </w:r>
      <w:r w:rsidRPr="007B3C04">
        <w:rPr>
          <w:rFonts w:cs="Arial"/>
          <w:color w:val="000000" w:themeColor="text1"/>
        </w:rPr>
        <w:t> In light of the cutting-edge technology involved, the initial cost may be higher, preventing access for certain people with budgetary limitations. </w:t>
      </w:r>
    </w:p>
    <w:p w:rsidR="00953223" w:rsidRPr="007B3C04" w:rsidRDefault="00953223" w:rsidP="00BB02CD">
      <w:pPr>
        <w:pStyle w:val="ListParagraph"/>
        <w:numPr>
          <w:ilvl w:val="0"/>
          <w:numId w:val="2"/>
        </w:numPr>
        <w:rPr>
          <w:rFonts w:cs="Arial"/>
          <w:color w:val="000000" w:themeColor="text1"/>
        </w:rPr>
      </w:pPr>
      <w:r w:rsidRPr="007B3C04">
        <w:rPr>
          <w:rFonts w:cs="Arial"/>
          <w:b/>
          <w:bCs/>
          <w:color w:val="000000" w:themeColor="text1"/>
        </w:rPr>
        <w:t>Technical Dependencies:</w:t>
      </w:r>
      <w:r w:rsidRPr="007B3C04">
        <w:rPr>
          <w:rFonts w:cs="Arial"/>
          <w:color w:val="000000" w:themeColor="text1"/>
        </w:rPr>
        <w:t> Users who rely considerably on technology may experience challenges if the equipment malfunctions or demands regular upgrades and servicing. </w:t>
      </w:r>
    </w:p>
    <w:p w:rsidR="00953223" w:rsidRPr="007B3C04" w:rsidRDefault="00953223" w:rsidP="00BB02CD">
      <w:pPr>
        <w:pStyle w:val="Heading1"/>
        <w:rPr>
          <w:rFonts w:cs="Arial"/>
          <w:color w:val="000000" w:themeColor="text1"/>
        </w:rPr>
      </w:pPr>
      <w:bookmarkStart w:id="31" w:name="_Toc141212668"/>
      <w:bookmarkStart w:id="32" w:name="_Toc141214237"/>
      <w:r w:rsidRPr="007B3C04">
        <w:rPr>
          <w:rFonts w:cs="Arial"/>
          <w:color w:val="000000" w:themeColor="text1"/>
        </w:rPr>
        <w:t>Addressing Shortfalls</w:t>
      </w:r>
      <w:bookmarkEnd w:id="31"/>
      <w:bookmarkEnd w:id="32"/>
    </w:p>
    <w:p w:rsidR="00953223" w:rsidRPr="007B3C04" w:rsidRDefault="00953223" w:rsidP="00BB02CD">
      <w:pPr>
        <w:pStyle w:val="ListParagraph"/>
        <w:numPr>
          <w:ilvl w:val="0"/>
          <w:numId w:val="3"/>
        </w:numPr>
        <w:rPr>
          <w:rFonts w:cs="Arial"/>
          <w:color w:val="000000" w:themeColor="text1"/>
        </w:rPr>
      </w:pPr>
      <w:r w:rsidRPr="007B3C04">
        <w:rPr>
          <w:rFonts w:cs="Arial"/>
          <w:color w:val="000000" w:themeColor="text1"/>
        </w:rPr>
        <w:t>Collaborating with healthcare organizations along with governments for facilitating financial aid or subsidies for economically challenged users.</w:t>
      </w:r>
    </w:p>
    <w:p w:rsidR="00953223" w:rsidRPr="007B3C04" w:rsidRDefault="00953223" w:rsidP="00BB02CD">
      <w:pPr>
        <w:pStyle w:val="ListParagraph"/>
        <w:numPr>
          <w:ilvl w:val="0"/>
          <w:numId w:val="3"/>
        </w:numPr>
        <w:rPr>
          <w:rFonts w:cs="Arial"/>
          <w:color w:val="000000" w:themeColor="text1"/>
        </w:rPr>
      </w:pPr>
      <w:r w:rsidRPr="007B3C04">
        <w:rPr>
          <w:rFonts w:cs="Arial"/>
          <w:color w:val="000000" w:themeColor="text1"/>
        </w:rPr>
        <w:t xml:space="preserve">Ensuring the technology retains manual functionality while enabling users to persist </w:t>
      </w:r>
      <w:r w:rsidR="00E4272B">
        <w:rPr>
          <w:rFonts w:cs="Arial"/>
          <w:color w:val="000000" w:themeColor="text1"/>
        </w:rPr>
        <w:t xml:space="preserve">in </w:t>
      </w:r>
      <w:r w:rsidRPr="007B3C04">
        <w:rPr>
          <w:rFonts w:cs="Arial"/>
          <w:color w:val="000000" w:themeColor="text1"/>
        </w:rPr>
        <w:t xml:space="preserve">monitoring even in the case of unusual </w:t>
      </w:r>
      <w:r w:rsidR="00E4272B">
        <w:rPr>
          <w:rFonts w:cs="Arial"/>
          <w:color w:val="000000" w:themeColor="text1"/>
        </w:rPr>
        <w:t>cases</w:t>
      </w:r>
      <w:r w:rsidRPr="007B3C04">
        <w:rPr>
          <w:rFonts w:cs="Arial"/>
          <w:color w:val="000000" w:themeColor="text1"/>
        </w:rPr>
        <w:t xml:space="preserve"> of technical malfunctions. </w:t>
      </w:r>
    </w:p>
    <w:p w:rsidR="00953223" w:rsidRPr="007B3C04" w:rsidRDefault="00953223" w:rsidP="00BB02CD">
      <w:pPr>
        <w:pStyle w:val="Heading1"/>
        <w:rPr>
          <w:rFonts w:cs="Arial"/>
          <w:color w:val="000000" w:themeColor="text1"/>
        </w:rPr>
      </w:pPr>
      <w:bookmarkStart w:id="33" w:name="_Toc141212669"/>
      <w:bookmarkStart w:id="34" w:name="_Toc141214238"/>
      <w:r w:rsidRPr="007B3C04">
        <w:rPr>
          <w:rFonts w:cs="Arial"/>
          <w:color w:val="000000" w:themeColor="text1"/>
        </w:rPr>
        <w:lastRenderedPageBreak/>
        <w:t>Conclusion</w:t>
      </w:r>
      <w:bookmarkEnd w:id="33"/>
      <w:bookmarkEnd w:id="34"/>
    </w:p>
    <w:p w:rsidR="00563CC4" w:rsidRDefault="00953223" w:rsidP="00BB02CD">
      <w:pPr>
        <w:spacing w:line="360" w:lineRule="auto"/>
        <w:jc w:val="both"/>
        <w:rPr>
          <w:rFonts w:ascii="Arial" w:hAnsi="Arial" w:cs="Arial"/>
          <w:color w:val="000000" w:themeColor="text1"/>
          <w:sz w:val="24"/>
          <w:szCs w:val="24"/>
        </w:rPr>
      </w:pPr>
      <w:r w:rsidRPr="00E4272B">
        <w:rPr>
          <w:rFonts w:ascii="Arial" w:hAnsi="Arial" w:cs="Arial"/>
          <w:color w:val="000000" w:themeColor="text1"/>
          <w:sz w:val="24"/>
          <w:szCs w:val="24"/>
        </w:rPr>
        <w:t>The SmartGlucoAssist is a revolutionary digital technology changing diabetes manag</w:t>
      </w:r>
      <w:r w:rsidR="003E4785">
        <w:rPr>
          <w:rFonts w:ascii="Arial" w:hAnsi="Arial" w:cs="Arial"/>
          <w:color w:val="000000" w:themeColor="text1"/>
          <w:sz w:val="24"/>
          <w:szCs w:val="24"/>
        </w:rPr>
        <w:t>ement and health promotion. D</w:t>
      </w:r>
      <w:r w:rsidRPr="00E4272B">
        <w:rPr>
          <w:rFonts w:ascii="Arial" w:hAnsi="Arial" w:cs="Arial"/>
          <w:color w:val="000000" w:themeColor="text1"/>
          <w:sz w:val="24"/>
          <w:szCs w:val="24"/>
        </w:rPr>
        <w:t xml:space="preserve">istinct glucose meter supports individuals to properly </w:t>
      </w:r>
      <w:r w:rsidR="00E4272B" w:rsidRPr="00E4272B">
        <w:rPr>
          <w:rFonts w:ascii="Arial" w:hAnsi="Arial" w:cs="Arial"/>
          <w:color w:val="000000" w:themeColor="text1"/>
          <w:sz w:val="24"/>
          <w:szCs w:val="24"/>
        </w:rPr>
        <w:t>care</w:t>
      </w:r>
      <w:r w:rsidRPr="00E4272B">
        <w:rPr>
          <w:rFonts w:ascii="Arial" w:hAnsi="Arial" w:cs="Arial"/>
          <w:color w:val="000000" w:themeColor="text1"/>
          <w:sz w:val="24"/>
          <w:szCs w:val="24"/>
        </w:rPr>
        <w:t xml:space="preserve"> for their health while making educated choices via continuous tracking, AI-driven details, and gamification. While dealing with particular obstacles is essential, the SmartGlucoAssist's potential effect on diabetes treatment and comprehensive health promotion is beneficial.</w:t>
      </w:r>
    </w:p>
    <w:p w:rsidR="00563CC4" w:rsidRDefault="00563CC4" w:rsidP="00BB02CD">
      <w:pPr>
        <w:spacing w:line="360" w:lineRule="auto"/>
        <w:rPr>
          <w:rFonts w:ascii="Arial" w:hAnsi="Arial" w:cs="Arial"/>
          <w:color w:val="000000" w:themeColor="text1"/>
          <w:sz w:val="24"/>
          <w:szCs w:val="24"/>
        </w:rPr>
      </w:pPr>
      <w:r>
        <w:rPr>
          <w:rFonts w:ascii="Arial" w:hAnsi="Arial" w:cs="Arial"/>
          <w:color w:val="000000" w:themeColor="text1"/>
          <w:sz w:val="24"/>
          <w:szCs w:val="24"/>
        </w:rPr>
        <w:br w:type="page"/>
      </w:r>
    </w:p>
    <w:p w:rsidR="00953223" w:rsidRDefault="00563CC4" w:rsidP="009927B2">
      <w:pPr>
        <w:pStyle w:val="Heading1"/>
      </w:pPr>
      <w:bookmarkStart w:id="35" w:name="_Toc141214239"/>
      <w:r>
        <w:lastRenderedPageBreak/>
        <w:t xml:space="preserve">Part </w:t>
      </w:r>
      <w:r w:rsidR="002A00B4">
        <w:t>B</w:t>
      </w:r>
      <w:r>
        <w:t xml:space="preserve">: Poster </w:t>
      </w:r>
      <w:r w:rsidR="00461378">
        <w:t>Design</w:t>
      </w:r>
      <w:bookmarkEnd w:id="35"/>
    </w:p>
    <w:bookmarkStart w:id="36" w:name="_Toc141214251"/>
    <w:p w:rsidR="00E246DE" w:rsidRDefault="00E246DE" w:rsidP="00BB02CD">
      <w:pPr>
        <w:pStyle w:val="Heading1"/>
      </w:pPr>
      <w:r w:rsidRPr="00E246DE">
        <w:rPr>
          <w:lang w:val="en-IN"/>
        </w:rPr>
        <w:object w:dxaOrig="9603"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25pt;height:253.6pt" o:ole="">
            <v:imagedata r:id="rId13" o:title=""/>
          </v:shape>
          <o:OLEObject Type="Embed" ProgID="PowerPoint.Slide.12" ShapeID="_x0000_i1025" DrawAspect="Content" ObjectID="_1752274032" r:id="rId14"/>
        </w:object>
      </w:r>
    </w:p>
    <w:p w:rsidR="00E246DE" w:rsidRDefault="00E246DE" w:rsidP="00BB02CD">
      <w:pPr>
        <w:pStyle w:val="Heading1"/>
      </w:pPr>
    </w:p>
    <w:p w:rsidR="00E246DE" w:rsidRDefault="00E246DE" w:rsidP="00BB02CD">
      <w:pPr>
        <w:pStyle w:val="Heading1"/>
      </w:pPr>
    </w:p>
    <w:p w:rsidR="00E246DE" w:rsidRDefault="00E246DE" w:rsidP="00BB02CD">
      <w:pPr>
        <w:pStyle w:val="Heading1"/>
      </w:pPr>
    </w:p>
    <w:p w:rsidR="00E246DE" w:rsidRDefault="00E246DE" w:rsidP="00BB02CD">
      <w:pPr>
        <w:pStyle w:val="Heading1"/>
      </w:pPr>
    </w:p>
    <w:p w:rsidR="00E246DE" w:rsidRDefault="00E246DE" w:rsidP="00BB02CD">
      <w:pPr>
        <w:pStyle w:val="Heading1"/>
      </w:pPr>
    </w:p>
    <w:p w:rsidR="00E246DE" w:rsidRDefault="00E246DE" w:rsidP="00BB02CD">
      <w:pPr>
        <w:pStyle w:val="Heading1"/>
      </w:pPr>
    </w:p>
    <w:p w:rsidR="00E246DE" w:rsidRDefault="00E246DE" w:rsidP="00BB02CD">
      <w:pPr>
        <w:pStyle w:val="Heading1"/>
      </w:pPr>
    </w:p>
    <w:p w:rsidR="00E246DE" w:rsidRDefault="00E246DE" w:rsidP="00BB02CD">
      <w:pPr>
        <w:pStyle w:val="Heading1"/>
      </w:pPr>
    </w:p>
    <w:p w:rsidR="00953223" w:rsidRPr="007B3C04" w:rsidRDefault="00953223" w:rsidP="00BB02CD">
      <w:pPr>
        <w:pStyle w:val="Heading1"/>
      </w:pPr>
      <w:r w:rsidRPr="007B3C04">
        <w:lastRenderedPageBreak/>
        <w:t>References</w:t>
      </w:r>
      <w:bookmarkEnd w:id="36"/>
    </w:p>
    <w:p w:rsidR="006A4BE5" w:rsidRPr="003476A1" w:rsidRDefault="00953223" w:rsidP="00BB02CD">
      <w:pPr>
        <w:spacing w:line="360" w:lineRule="auto"/>
        <w:jc w:val="both"/>
        <w:rPr>
          <w:rFonts w:ascii="Arial" w:hAnsi="Arial" w:cs="Arial"/>
          <w:b/>
          <w:bCs/>
          <w:i/>
          <w:iCs/>
          <w:color w:val="000000" w:themeColor="text1"/>
          <w:sz w:val="24"/>
          <w:szCs w:val="24"/>
        </w:rPr>
      </w:pPr>
      <w:r w:rsidRPr="003476A1">
        <w:rPr>
          <w:rFonts w:ascii="Arial" w:hAnsi="Arial" w:cs="Arial"/>
          <w:b/>
          <w:bCs/>
          <w:i/>
          <w:iCs/>
          <w:color w:val="000000" w:themeColor="text1"/>
          <w:sz w:val="24"/>
          <w:szCs w:val="24"/>
        </w:rPr>
        <w:t xml:space="preserve">Blog 1 </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Danković, G., Stantić, T., Herodek, R., Stamenković, S., Stojiljković, N., Jelenković, B. and Sporiš, G., 2023. Effects of Commercially Available Wearable Devices on Physical Activity Promotion and Health in Children and Adolescents: Systematic Review. </w:t>
      </w:r>
      <w:r w:rsidRPr="003476A1">
        <w:rPr>
          <w:rFonts w:ascii="Arial" w:hAnsi="Arial" w:cs="Arial"/>
          <w:i/>
          <w:iCs/>
          <w:color w:val="000000" w:themeColor="text1"/>
          <w:sz w:val="24"/>
          <w:szCs w:val="24"/>
        </w:rPr>
        <w:t>Applied Sciences</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13</w:t>
      </w:r>
      <w:r w:rsidRPr="003476A1">
        <w:rPr>
          <w:rFonts w:ascii="Arial" w:hAnsi="Arial" w:cs="Arial"/>
          <w:color w:val="000000" w:themeColor="text1"/>
          <w:sz w:val="24"/>
          <w:szCs w:val="24"/>
        </w:rPr>
        <w:t>(12), p.7194.</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Fontana, L., Fasano, A., Chong, Y.S., Vineis, P. and Willett, W.C., 2021. Transdisciplinary research and clinical priorities for better health. </w:t>
      </w:r>
      <w:r w:rsidRPr="003476A1">
        <w:rPr>
          <w:rFonts w:ascii="Arial" w:hAnsi="Arial" w:cs="Arial"/>
          <w:i/>
          <w:iCs/>
          <w:color w:val="000000" w:themeColor="text1"/>
          <w:sz w:val="24"/>
          <w:szCs w:val="24"/>
        </w:rPr>
        <w:t>PLoS Medicine</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18</w:t>
      </w:r>
      <w:r w:rsidRPr="003476A1">
        <w:rPr>
          <w:rFonts w:ascii="Arial" w:hAnsi="Arial" w:cs="Arial"/>
          <w:color w:val="000000" w:themeColor="text1"/>
          <w:sz w:val="24"/>
          <w:szCs w:val="24"/>
        </w:rPr>
        <w:t>(7), p.e1003699.</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Hensel, J.M., Ellard, K., Koltek, M., Wilson, G. and Sareen, J., 2019. Digital health solutions for indigenous mental well-being. </w:t>
      </w:r>
      <w:r w:rsidRPr="003476A1">
        <w:rPr>
          <w:rFonts w:ascii="Arial" w:hAnsi="Arial" w:cs="Arial"/>
          <w:i/>
          <w:iCs/>
          <w:color w:val="000000" w:themeColor="text1"/>
          <w:sz w:val="24"/>
          <w:szCs w:val="24"/>
        </w:rPr>
        <w:t>Current psychiatry reports</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21</w:t>
      </w:r>
      <w:r w:rsidRPr="003476A1">
        <w:rPr>
          <w:rFonts w:ascii="Arial" w:hAnsi="Arial" w:cs="Arial"/>
          <w:color w:val="000000" w:themeColor="text1"/>
          <w:sz w:val="24"/>
          <w:szCs w:val="24"/>
        </w:rPr>
        <w:t>, pp.1-9.</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Jerath, R., Syam, M. and Ahmed, S., 2023. The Future of Stress Management: Integration Smartwatches and HRV Technology.</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Mustafa, A.S., Ali, N.A., Dhillon, J.S. and Sedera, D., 2023, April. An Integrated Model for Evaluating the Sustainability of Gamified Mobile Health Apps: An Instrument Development and Validation. In </w:t>
      </w:r>
      <w:r w:rsidRPr="003476A1">
        <w:rPr>
          <w:rFonts w:ascii="Arial" w:hAnsi="Arial" w:cs="Arial"/>
          <w:i/>
          <w:iCs/>
          <w:color w:val="000000" w:themeColor="text1"/>
          <w:sz w:val="24"/>
          <w:szCs w:val="24"/>
        </w:rPr>
        <w:t>Healthcare</w:t>
      </w:r>
      <w:r w:rsidRPr="003476A1">
        <w:rPr>
          <w:rFonts w:ascii="Arial" w:hAnsi="Arial" w:cs="Arial"/>
          <w:color w:val="000000" w:themeColor="text1"/>
          <w:sz w:val="24"/>
          <w:szCs w:val="24"/>
        </w:rPr>
        <w:t> (Vol. 11, No. 7, p. 1051). MDPI.</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 xml:space="preserve">Northwest Primary Care, 2023. 5 Ways Smartwatches Could Improve Your Health. </w:t>
      </w:r>
      <w:r w:rsidRPr="003476A1">
        <w:rPr>
          <w:rFonts w:ascii="Arial" w:hAnsi="Arial" w:cs="Arial"/>
          <w:i/>
          <w:color w:val="000000" w:themeColor="text1"/>
          <w:sz w:val="24"/>
          <w:szCs w:val="24"/>
        </w:rPr>
        <w:t xml:space="preserve">Health and technology. </w:t>
      </w:r>
      <w:r w:rsidRPr="003476A1">
        <w:rPr>
          <w:rFonts w:ascii="Arial" w:hAnsi="Arial" w:cs="Arial"/>
          <w:color w:val="000000" w:themeColor="text1"/>
          <w:sz w:val="24"/>
          <w:szCs w:val="24"/>
        </w:rPr>
        <w:t xml:space="preserve">[Online] Available at: </w:t>
      </w:r>
      <w:hyperlink r:id="rId15" w:history="1">
        <w:r w:rsidRPr="003476A1">
          <w:rPr>
            <w:rStyle w:val="Hyperlink"/>
            <w:rFonts w:ascii="Arial" w:hAnsi="Arial" w:cs="Arial"/>
            <w:color w:val="000000" w:themeColor="text1"/>
            <w:sz w:val="24"/>
            <w:szCs w:val="24"/>
          </w:rPr>
          <w:t>https://www.nwpc.com/how-smartwatches-could-improve-your-health/</w:t>
        </w:r>
      </w:hyperlink>
      <w:r w:rsidRPr="003476A1">
        <w:rPr>
          <w:rFonts w:ascii="Arial" w:hAnsi="Arial" w:cs="Arial"/>
          <w:color w:val="000000" w:themeColor="text1"/>
          <w:sz w:val="24"/>
          <w:szCs w:val="24"/>
        </w:rPr>
        <w:t xml:space="preserve">. Accessed on: 25.07.2023. </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Nuijten, R., Van Gorp, P., Khanshan, A., Le Blanc, P., van den Berg, P., Kemperman, A. and Simons, M., 2022. Evaluating the impact of adaptive personalized goal setting on engagement levels of government staff with a gamified mHealth tool: results from a 2-month randomized controlled trial. </w:t>
      </w:r>
      <w:r w:rsidRPr="003476A1">
        <w:rPr>
          <w:rFonts w:ascii="Arial" w:hAnsi="Arial" w:cs="Arial"/>
          <w:i/>
          <w:iCs/>
          <w:color w:val="000000" w:themeColor="text1"/>
          <w:sz w:val="24"/>
          <w:szCs w:val="24"/>
        </w:rPr>
        <w:t>JMIR mHealth and uHealth</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10</w:t>
      </w:r>
      <w:r w:rsidRPr="003476A1">
        <w:rPr>
          <w:rFonts w:ascii="Arial" w:hAnsi="Arial" w:cs="Arial"/>
          <w:color w:val="000000" w:themeColor="text1"/>
          <w:sz w:val="24"/>
          <w:szCs w:val="24"/>
        </w:rPr>
        <w:t>(3), p.e28801.</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 xml:space="preserve">The Verge, 2023. The best fitness trackers to buy right now. </w:t>
      </w:r>
      <w:r w:rsidRPr="003476A1">
        <w:rPr>
          <w:rFonts w:ascii="Arial" w:hAnsi="Arial" w:cs="Arial"/>
          <w:i/>
          <w:color w:val="000000" w:themeColor="text1"/>
          <w:sz w:val="24"/>
          <w:szCs w:val="24"/>
        </w:rPr>
        <w:t xml:space="preserve">From simple fitness bands to rugged sports watches to rings, these are the best trackers you can get. </w:t>
      </w:r>
      <w:r w:rsidRPr="003476A1">
        <w:rPr>
          <w:rFonts w:ascii="Arial" w:hAnsi="Arial" w:cs="Arial"/>
          <w:color w:val="000000" w:themeColor="text1"/>
          <w:sz w:val="24"/>
          <w:szCs w:val="24"/>
        </w:rPr>
        <w:t xml:space="preserve">[Online] Available at: </w:t>
      </w:r>
      <w:hyperlink r:id="rId16" w:history="1">
        <w:r w:rsidRPr="003476A1">
          <w:rPr>
            <w:rStyle w:val="Hyperlink"/>
            <w:rFonts w:ascii="Arial" w:hAnsi="Arial" w:cs="Arial"/>
            <w:color w:val="000000" w:themeColor="text1"/>
            <w:sz w:val="24"/>
            <w:szCs w:val="24"/>
          </w:rPr>
          <w:t>https://www.theverge.com/22985108/best-fitness-tracker</w:t>
        </w:r>
      </w:hyperlink>
      <w:r w:rsidRPr="003476A1">
        <w:rPr>
          <w:rFonts w:ascii="Arial" w:hAnsi="Arial" w:cs="Arial"/>
          <w:color w:val="000000" w:themeColor="text1"/>
          <w:sz w:val="24"/>
          <w:szCs w:val="24"/>
        </w:rPr>
        <w:t xml:space="preserve">. Accessed on: 25.07.2023. </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lastRenderedPageBreak/>
        <w:t xml:space="preserve">WHO, 2023. The Global Health Observatory. </w:t>
      </w:r>
      <w:r w:rsidRPr="003476A1">
        <w:rPr>
          <w:rFonts w:ascii="Arial" w:hAnsi="Arial" w:cs="Arial"/>
          <w:i/>
          <w:color w:val="000000" w:themeColor="text1"/>
          <w:sz w:val="24"/>
          <w:szCs w:val="24"/>
        </w:rPr>
        <w:t>Explore a World of Health Data.</w:t>
      </w:r>
      <w:r w:rsidRPr="003476A1">
        <w:rPr>
          <w:rFonts w:ascii="Arial" w:hAnsi="Arial" w:cs="Arial"/>
          <w:color w:val="000000" w:themeColor="text1"/>
          <w:sz w:val="24"/>
          <w:szCs w:val="24"/>
        </w:rPr>
        <w:t xml:space="preserve"> [Online] Available at: </w:t>
      </w:r>
      <w:hyperlink r:id="rId17" w:history="1">
        <w:r w:rsidRPr="003476A1">
          <w:rPr>
            <w:rStyle w:val="Hyperlink"/>
            <w:rFonts w:ascii="Arial" w:hAnsi="Arial" w:cs="Arial"/>
            <w:color w:val="000000" w:themeColor="text1"/>
            <w:sz w:val="24"/>
            <w:szCs w:val="24"/>
          </w:rPr>
          <w:t>https://www.who.int/data/gho/indicator-metadata-registry/imr-details/3416</w:t>
        </w:r>
      </w:hyperlink>
      <w:r w:rsidRPr="003476A1">
        <w:rPr>
          <w:rFonts w:ascii="Arial" w:hAnsi="Arial" w:cs="Arial"/>
          <w:color w:val="000000" w:themeColor="text1"/>
          <w:sz w:val="24"/>
          <w:szCs w:val="24"/>
        </w:rPr>
        <w:t xml:space="preserve">. Accessed on: 25.07.2023. </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Zahrt, O.H., Evans, K., Murnane, E., Santoro, E., Baiocchi, M., Landay, J., Delp, S. and Crum, A., 2023. Effects of wearable fitness trackers and activity adequacy mindsets on affect, behavior, and health: longitudinal randomized controlled trial. </w:t>
      </w:r>
      <w:r w:rsidRPr="003476A1">
        <w:rPr>
          <w:rFonts w:ascii="Arial" w:hAnsi="Arial" w:cs="Arial"/>
          <w:i/>
          <w:iCs/>
          <w:color w:val="000000" w:themeColor="text1"/>
          <w:sz w:val="24"/>
          <w:szCs w:val="24"/>
        </w:rPr>
        <w:t>Journal of Medical Internet Research</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25</w:t>
      </w:r>
      <w:r w:rsidRPr="003476A1">
        <w:rPr>
          <w:rFonts w:ascii="Arial" w:hAnsi="Arial" w:cs="Arial"/>
          <w:color w:val="000000" w:themeColor="text1"/>
          <w:sz w:val="24"/>
          <w:szCs w:val="24"/>
        </w:rPr>
        <w:t>, p.e40529.</w:t>
      </w:r>
    </w:p>
    <w:p w:rsidR="006A4BE5" w:rsidRPr="003476A1" w:rsidRDefault="006A4BE5" w:rsidP="00BB02CD">
      <w:pPr>
        <w:spacing w:line="360" w:lineRule="auto"/>
        <w:jc w:val="both"/>
        <w:rPr>
          <w:rFonts w:ascii="Arial" w:hAnsi="Arial" w:cs="Arial"/>
          <w:b/>
          <w:bCs/>
          <w:i/>
          <w:iCs/>
          <w:color w:val="000000" w:themeColor="text1"/>
          <w:sz w:val="24"/>
          <w:szCs w:val="24"/>
        </w:rPr>
      </w:pPr>
      <w:r w:rsidRPr="003476A1">
        <w:rPr>
          <w:rFonts w:ascii="Arial" w:hAnsi="Arial" w:cs="Arial"/>
          <w:b/>
          <w:bCs/>
          <w:i/>
          <w:iCs/>
          <w:color w:val="000000" w:themeColor="text1"/>
          <w:sz w:val="24"/>
          <w:szCs w:val="24"/>
        </w:rPr>
        <w:t xml:space="preserve">Blog 2 </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Arora, C. and Razavian, M., 2021. Ethics of gamification in health and fitness-tracking. </w:t>
      </w:r>
      <w:r w:rsidRPr="003476A1">
        <w:rPr>
          <w:rFonts w:ascii="Arial" w:hAnsi="Arial" w:cs="Arial"/>
          <w:i/>
          <w:iCs/>
          <w:color w:val="000000" w:themeColor="text1"/>
          <w:sz w:val="24"/>
          <w:szCs w:val="24"/>
        </w:rPr>
        <w:t>International Journal of Environmental Research and Public Health</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18</w:t>
      </w:r>
      <w:r w:rsidRPr="003476A1">
        <w:rPr>
          <w:rFonts w:ascii="Arial" w:hAnsi="Arial" w:cs="Arial"/>
          <w:color w:val="000000" w:themeColor="text1"/>
          <w:sz w:val="24"/>
          <w:szCs w:val="24"/>
        </w:rPr>
        <w:t>(21), p.11052.</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Chmayssem, A., Nadolska, M., Tubbs, E., Sadowska, K., Vadgma, P., Shitanda, I., Tsujimura, S., Lattach, Y., Peacock, M., Tingry, S. and Marinesco, S., 2023. Insight into continuous glucose monitoring: from medical basics to commercialized devices. </w:t>
      </w:r>
      <w:r w:rsidRPr="003476A1">
        <w:rPr>
          <w:rFonts w:ascii="Arial" w:hAnsi="Arial" w:cs="Arial"/>
          <w:i/>
          <w:iCs/>
          <w:color w:val="000000" w:themeColor="text1"/>
          <w:sz w:val="24"/>
          <w:szCs w:val="24"/>
        </w:rPr>
        <w:t>Microchimica Acta</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190</w:t>
      </w:r>
      <w:r w:rsidRPr="003476A1">
        <w:rPr>
          <w:rFonts w:ascii="Arial" w:hAnsi="Arial" w:cs="Arial"/>
          <w:color w:val="000000" w:themeColor="text1"/>
          <w:sz w:val="24"/>
          <w:szCs w:val="24"/>
        </w:rPr>
        <w:t>(5), p.177.</w:t>
      </w:r>
    </w:p>
    <w:p w:rsidR="006A4BE5" w:rsidRPr="003476A1" w:rsidRDefault="006A4BE5" w:rsidP="00BB02CD">
      <w:pPr>
        <w:spacing w:line="360" w:lineRule="auto"/>
        <w:jc w:val="both"/>
        <w:rPr>
          <w:rFonts w:ascii="Arial" w:hAnsi="Arial" w:cs="Arial"/>
          <w:b/>
          <w:bCs/>
          <w:color w:val="000000" w:themeColor="text1"/>
          <w:sz w:val="24"/>
          <w:szCs w:val="24"/>
        </w:rPr>
      </w:pPr>
      <w:r w:rsidRPr="003476A1">
        <w:rPr>
          <w:rFonts w:ascii="Arial" w:hAnsi="Arial" w:cs="Arial"/>
          <w:color w:val="000000" w:themeColor="text1"/>
          <w:sz w:val="24"/>
          <w:szCs w:val="24"/>
        </w:rPr>
        <w:t xml:space="preserve">Healthline, 2018. </w:t>
      </w:r>
      <w:r w:rsidRPr="003476A1">
        <w:rPr>
          <w:rFonts w:ascii="Arial" w:hAnsi="Arial" w:cs="Arial"/>
          <w:bCs/>
          <w:color w:val="000000" w:themeColor="text1"/>
          <w:sz w:val="24"/>
          <w:szCs w:val="24"/>
        </w:rPr>
        <w:t xml:space="preserve">Choosing a Glucose Meter. </w:t>
      </w:r>
      <w:r w:rsidRPr="003476A1">
        <w:rPr>
          <w:rFonts w:ascii="Arial" w:hAnsi="Arial" w:cs="Arial"/>
          <w:bCs/>
          <w:i/>
          <w:color w:val="000000" w:themeColor="text1"/>
          <w:sz w:val="24"/>
          <w:szCs w:val="24"/>
        </w:rPr>
        <w:t>Choosing a Glucose Meter.</w:t>
      </w:r>
      <w:r w:rsidRPr="003476A1">
        <w:rPr>
          <w:rFonts w:ascii="Arial" w:hAnsi="Arial" w:cs="Arial"/>
          <w:bCs/>
          <w:color w:val="000000" w:themeColor="text1"/>
          <w:sz w:val="24"/>
          <w:szCs w:val="24"/>
        </w:rPr>
        <w:t xml:space="preserve"> [Online] Available at: </w:t>
      </w:r>
      <w:hyperlink r:id="rId18" w:history="1">
        <w:r w:rsidRPr="003476A1">
          <w:rPr>
            <w:rStyle w:val="Hyperlink"/>
            <w:rFonts w:ascii="Arial" w:hAnsi="Arial" w:cs="Arial"/>
            <w:bCs/>
            <w:color w:val="000000" w:themeColor="text1"/>
            <w:sz w:val="24"/>
            <w:szCs w:val="24"/>
          </w:rPr>
          <w:t>https://www.healthline.com/health/type-2-diabetes/choosing-glucose-meter</w:t>
        </w:r>
      </w:hyperlink>
      <w:r w:rsidRPr="003476A1">
        <w:rPr>
          <w:rFonts w:ascii="Arial" w:hAnsi="Arial" w:cs="Arial"/>
          <w:bCs/>
          <w:color w:val="000000" w:themeColor="text1"/>
          <w:sz w:val="24"/>
          <w:szCs w:val="24"/>
        </w:rPr>
        <w:t xml:space="preserve">. Accessed on: </w:t>
      </w:r>
      <w:hyperlink r:id="rId19" w:history="1">
        <w:r w:rsidRPr="003476A1">
          <w:rPr>
            <w:rStyle w:val="Hyperlink"/>
            <w:rFonts w:ascii="Arial" w:hAnsi="Arial" w:cs="Arial"/>
            <w:bCs/>
            <w:color w:val="000000" w:themeColor="text1"/>
            <w:sz w:val="24"/>
            <w:szCs w:val="24"/>
          </w:rPr>
          <w:t>https://www.healthline.com/health/type-2-diabetes/choosing-glucose-meter</w:t>
        </w:r>
      </w:hyperlink>
      <w:r w:rsidRPr="003476A1">
        <w:rPr>
          <w:rFonts w:ascii="Arial" w:hAnsi="Arial" w:cs="Arial"/>
          <w:bCs/>
          <w:color w:val="000000" w:themeColor="text1"/>
          <w:sz w:val="24"/>
          <w:szCs w:val="24"/>
        </w:rPr>
        <w:t xml:space="preserve">. Accessed on: 25.07.2023. </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Klonoff, A.N., Lee, W.A., Xu, N.Y., Nguyen, K.T., DuBord, A. and Kerr, D., 2023. Six digital health technologies that will transform diabetes. </w:t>
      </w:r>
      <w:r w:rsidRPr="003476A1">
        <w:rPr>
          <w:rFonts w:ascii="Arial" w:hAnsi="Arial" w:cs="Arial"/>
          <w:i/>
          <w:iCs/>
          <w:color w:val="000000" w:themeColor="text1"/>
          <w:sz w:val="24"/>
          <w:szCs w:val="24"/>
        </w:rPr>
        <w:t>Journal of diabetes science and technology</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17</w:t>
      </w:r>
      <w:r w:rsidRPr="003476A1">
        <w:rPr>
          <w:rFonts w:ascii="Arial" w:hAnsi="Arial" w:cs="Arial"/>
          <w:color w:val="000000" w:themeColor="text1"/>
          <w:sz w:val="24"/>
          <w:szCs w:val="24"/>
        </w:rPr>
        <w:t>(1), pp.239-249.</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Orte, S., Migliorelli, C., Sistach-Bosch, L., Gómez-Martínez, M. and Boqué, N., 2023. A Tailored and Engaging mHealth Gamified Framework for Nutritional Behaviour Change. </w:t>
      </w:r>
      <w:r w:rsidRPr="003476A1">
        <w:rPr>
          <w:rFonts w:ascii="Arial" w:hAnsi="Arial" w:cs="Arial"/>
          <w:i/>
          <w:iCs/>
          <w:color w:val="000000" w:themeColor="text1"/>
          <w:sz w:val="24"/>
          <w:szCs w:val="24"/>
        </w:rPr>
        <w:t>Nutrients</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15</w:t>
      </w:r>
      <w:r w:rsidRPr="003476A1">
        <w:rPr>
          <w:rFonts w:ascii="Arial" w:hAnsi="Arial" w:cs="Arial"/>
          <w:color w:val="000000" w:themeColor="text1"/>
          <w:sz w:val="24"/>
          <w:szCs w:val="24"/>
        </w:rPr>
        <w:t>(8), p.1950.</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Rehman, A. and Farrakh, A., 2023. Improving Clinical Decision Support Systems: Explainable AI for Enhanced Disease Prediction in Healthcare. </w:t>
      </w:r>
      <w:r w:rsidRPr="003476A1">
        <w:rPr>
          <w:rFonts w:ascii="Arial" w:hAnsi="Arial" w:cs="Arial"/>
          <w:i/>
          <w:iCs/>
          <w:color w:val="000000" w:themeColor="text1"/>
          <w:sz w:val="24"/>
          <w:szCs w:val="24"/>
        </w:rPr>
        <w:t>International Journal of Computational and Innovative Sciences</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2</w:t>
      </w:r>
      <w:r w:rsidRPr="003476A1">
        <w:rPr>
          <w:rFonts w:ascii="Arial" w:hAnsi="Arial" w:cs="Arial"/>
          <w:color w:val="000000" w:themeColor="text1"/>
          <w:sz w:val="24"/>
          <w:szCs w:val="24"/>
        </w:rPr>
        <w:t>(2), pp.9-23.</w:t>
      </w:r>
    </w:p>
    <w:p w:rsidR="006A4BE5" w:rsidRPr="003476A1"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 xml:space="preserve">Sun, H., Saeedi, P., Karuranga, S., Pinkepank, M., Ogurtsova, K., Duncan, B.B., Stein, C., Basit, A., Chan, J.C., Mbanya, J.C. and Pavkov, M.E., 2022. IDF Diabetes </w:t>
      </w:r>
      <w:r w:rsidRPr="003476A1">
        <w:rPr>
          <w:rFonts w:ascii="Arial" w:hAnsi="Arial" w:cs="Arial"/>
          <w:color w:val="000000" w:themeColor="text1"/>
          <w:sz w:val="24"/>
          <w:szCs w:val="24"/>
        </w:rPr>
        <w:lastRenderedPageBreak/>
        <w:t>Atlas: Global, regional and country-level diabetes prevalence estimates for 2021 and projections for 2045. </w:t>
      </w:r>
      <w:r w:rsidRPr="003476A1">
        <w:rPr>
          <w:rFonts w:ascii="Arial" w:hAnsi="Arial" w:cs="Arial"/>
          <w:i/>
          <w:iCs/>
          <w:color w:val="000000" w:themeColor="text1"/>
          <w:sz w:val="24"/>
          <w:szCs w:val="24"/>
        </w:rPr>
        <w:t>Diabetes research and clinical practice</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183</w:t>
      </w:r>
      <w:r w:rsidRPr="003476A1">
        <w:rPr>
          <w:rFonts w:ascii="Arial" w:hAnsi="Arial" w:cs="Arial"/>
          <w:color w:val="000000" w:themeColor="text1"/>
          <w:sz w:val="24"/>
          <w:szCs w:val="24"/>
        </w:rPr>
        <w:t>, p.109119.</w:t>
      </w:r>
    </w:p>
    <w:p w:rsidR="006A4BE5" w:rsidRDefault="006A4BE5" w:rsidP="00BB02CD">
      <w:pPr>
        <w:spacing w:line="360" w:lineRule="auto"/>
        <w:jc w:val="both"/>
        <w:rPr>
          <w:rFonts w:ascii="Arial" w:hAnsi="Arial" w:cs="Arial"/>
          <w:color w:val="000000" w:themeColor="text1"/>
          <w:sz w:val="24"/>
          <w:szCs w:val="24"/>
        </w:rPr>
      </w:pPr>
      <w:r w:rsidRPr="003476A1">
        <w:rPr>
          <w:rFonts w:ascii="Arial" w:hAnsi="Arial" w:cs="Arial"/>
          <w:color w:val="000000" w:themeColor="text1"/>
          <w:sz w:val="24"/>
          <w:szCs w:val="24"/>
        </w:rPr>
        <w:t>Vettoretti, M., Cappon, G., Facchinetti, A. and Sparacino, G., 2020. Advanced diabetes management using artificial intelligence and continuous glucose monitoring sensors. </w:t>
      </w:r>
      <w:r w:rsidRPr="003476A1">
        <w:rPr>
          <w:rFonts w:ascii="Arial" w:hAnsi="Arial" w:cs="Arial"/>
          <w:i/>
          <w:iCs/>
          <w:color w:val="000000" w:themeColor="text1"/>
          <w:sz w:val="24"/>
          <w:szCs w:val="24"/>
        </w:rPr>
        <w:t>Sensors</w:t>
      </w:r>
      <w:r w:rsidRPr="003476A1">
        <w:rPr>
          <w:rFonts w:ascii="Arial" w:hAnsi="Arial" w:cs="Arial"/>
          <w:color w:val="000000" w:themeColor="text1"/>
          <w:sz w:val="24"/>
          <w:szCs w:val="24"/>
        </w:rPr>
        <w:t>, </w:t>
      </w:r>
      <w:r w:rsidRPr="003476A1">
        <w:rPr>
          <w:rFonts w:ascii="Arial" w:hAnsi="Arial" w:cs="Arial"/>
          <w:i/>
          <w:iCs/>
          <w:color w:val="000000" w:themeColor="text1"/>
          <w:sz w:val="24"/>
          <w:szCs w:val="24"/>
        </w:rPr>
        <w:t>20</w:t>
      </w:r>
      <w:r w:rsidRPr="003476A1">
        <w:rPr>
          <w:rFonts w:ascii="Arial" w:hAnsi="Arial" w:cs="Arial"/>
          <w:color w:val="000000" w:themeColor="text1"/>
          <w:sz w:val="24"/>
          <w:szCs w:val="24"/>
        </w:rPr>
        <w:t>(14), p.3870.</w:t>
      </w:r>
    </w:p>
    <w:p w:rsidR="00817FA2" w:rsidRPr="00BB02CD" w:rsidRDefault="00817FA2" w:rsidP="00BB02CD">
      <w:pPr>
        <w:spacing w:line="360" w:lineRule="auto"/>
        <w:jc w:val="both"/>
        <w:rPr>
          <w:rFonts w:ascii="Arial" w:hAnsi="Arial" w:cs="Arial"/>
          <w:b/>
          <w:bCs/>
          <w:color w:val="000000" w:themeColor="text1"/>
          <w:sz w:val="24"/>
          <w:szCs w:val="24"/>
        </w:rPr>
      </w:pPr>
      <w:r w:rsidRPr="00BB02CD">
        <w:rPr>
          <w:rFonts w:ascii="Arial" w:hAnsi="Arial" w:cs="Arial"/>
          <w:b/>
          <w:bCs/>
          <w:color w:val="000000" w:themeColor="text1"/>
          <w:sz w:val="24"/>
          <w:szCs w:val="24"/>
        </w:rPr>
        <w:t>Poster</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Alderwick, H. and Gottlieb, L.M., 2019. Meanings and misunderstandings: a social determinants of health lexicon for health care systems. </w:t>
      </w:r>
      <w:r w:rsidRPr="00BB02CD">
        <w:rPr>
          <w:rFonts w:ascii="Arial" w:hAnsi="Arial" w:cs="Arial"/>
          <w:i/>
          <w:iCs/>
          <w:sz w:val="24"/>
          <w:szCs w:val="24"/>
        </w:rPr>
        <w:t>The Milbank Quarterly</w:t>
      </w:r>
      <w:r w:rsidRPr="00BB02CD">
        <w:rPr>
          <w:rFonts w:ascii="Arial" w:hAnsi="Arial" w:cs="Arial"/>
          <w:sz w:val="24"/>
          <w:szCs w:val="24"/>
        </w:rPr>
        <w:t>, </w:t>
      </w:r>
      <w:r w:rsidRPr="00BB02CD">
        <w:rPr>
          <w:rFonts w:ascii="Arial" w:hAnsi="Arial" w:cs="Arial"/>
          <w:i/>
          <w:iCs/>
          <w:sz w:val="24"/>
          <w:szCs w:val="24"/>
        </w:rPr>
        <w:t>97</w:t>
      </w:r>
      <w:r w:rsidRPr="00BB02CD">
        <w:rPr>
          <w:rFonts w:ascii="Arial" w:hAnsi="Arial" w:cs="Arial"/>
          <w:sz w:val="24"/>
          <w:szCs w:val="24"/>
        </w:rPr>
        <w:t>(2), p.407.</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AlSlaity, A., Suruliraj, B., Oyebode, O., Fowles, J., steeves, D. and Orji, R., 2022. Mobile applications for health and wellness: a systematic review. </w:t>
      </w:r>
      <w:r w:rsidRPr="00BB02CD">
        <w:rPr>
          <w:rFonts w:ascii="Arial" w:hAnsi="Arial" w:cs="Arial"/>
          <w:i/>
          <w:iCs/>
          <w:sz w:val="24"/>
          <w:szCs w:val="24"/>
        </w:rPr>
        <w:t>Proceedings of the ACM on Human-Computer Interaction</w:t>
      </w:r>
      <w:r w:rsidRPr="00BB02CD">
        <w:rPr>
          <w:rFonts w:ascii="Arial" w:hAnsi="Arial" w:cs="Arial"/>
          <w:sz w:val="24"/>
          <w:szCs w:val="24"/>
        </w:rPr>
        <w:t>, </w:t>
      </w:r>
      <w:r w:rsidRPr="00BB02CD">
        <w:rPr>
          <w:rFonts w:ascii="Arial" w:hAnsi="Arial" w:cs="Arial"/>
          <w:i/>
          <w:iCs/>
          <w:sz w:val="24"/>
          <w:szCs w:val="24"/>
        </w:rPr>
        <w:t>6</w:t>
      </w:r>
      <w:r w:rsidRPr="00BB02CD">
        <w:rPr>
          <w:rFonts w:ascii="Arial" w:hAnsi="Arial" w:cs="Arial"/>
          <w:sz w:val="24"/>
          <w:szCs w:val="24"/>
        </w:rPr>
        <w:t>(EICS), pp.1-29.</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Bannell, D.J., France-Ratcliffe, M., Buckley, B.J.R., Crozier, A., Davies, A.P., Hesketh, K.L., Jones, H., Cocks, M., Sprung, V.S. and MOTIVATE Team, 2023. Adherence to unsupervised exercise in sedentary individuals: A randomised feasibility trial of two mobile health interventions. </w:t>
      </w:r>
      <w:r w:rsidRPr="00BB02CD">
        <w:rPr>
          <w:rFonts w:ascii="Arial" w:hAnsi="Arial" w:cs="Arial"/>
          <w:i/>
          <w:iCs/>
          <w:sz w:val="24"/>
          <w:szCs w:val="24"/>
        </w:rPr>
        <w:t>Digital health</w:t>
      </w:r>
      <w:r w:rsidRPr="00BB02CD">
        <w:rPr>
          <w:rFonts w:ascii="Arial" w:hAnsi="Arial" w:cs="Arial"/>
          <w:sz w:val="24"/>
          <w:szCs w:val="24"/>
        </w:rPr>
        <w:t>, </w:t>
      </w:r>
      <w:r w:rsidRPr="00BB02CD">
        <w:rPr>
          <w:rFonts w:ascii="Arial" w:hAnsi="Arial" w:cs="Arial"/>
          <w:i/>
          <w:iCs/>
          <w:sz w:val="24"/>
          <w:szCs w:val="24"/>
        </w:rPr>
        <w:t>9</w:t>
      </w:r>
      <w:r w:rsidRPr="00BB02CD">
        <w:rPr>
          <w:rFonts w:ascii="Arial" w:hAnsi="Arial" w:cs="Arial"/>
          <w:sz w:val="24"/>
          <w:szCs w:val="24"/>
        </w:rPr>
        <w:t>, p.20552076231183552.</w:t>
      </w:r>
    </w:p>
    <w:p w:rsidR="00BB02CD" w:rsidRPr="00BB02CD" w:rsidRDefault="00BB02CD" w:rsidP="00BB02CD">
      <w:pPr>
        <w:spacing w:line="360" w:lineRule="auto"/>
        <w:jc w:val="both"/>
        <w:rPr>
          <w:rFonts w:ascii="Arial" w:hAnsi="Arial" w:cs="Arial"/>
          <w:bCs/>
          <w:sz w:val="24"/>
          <w:szCs w:val="24"/>
        </w:rPr>
      </w:pPr>
      <w:r w:rsidRPr="00BB02CD">
        <w:rPr>
          <w:rFonts w:ascii="Arial" w:hAnsi="Arial" w:cs="Arial"/>
          <w:sz w:val="24"/>
          <w:szCs w:val="24"/>
        </w:rPr>
        <w:t xml:space="preserve">Behavioral Change Models, 2023. </w:t>
      </w:r>
      <w:r w:rsidRPr="00BB02CD">
        <w:rPr>
          <w:rFonts w:ascii="Arial" w:hAnsi="Arial" w:cs="Arial"/>
          <w:bCs/>
          <w:sz w:val="24"/>
          <w:szCs w:val="24"/>
        </w:rPr>
        <w:t xml:space="preserve">The Transtheoretical Model (Stages of Change). [Online] Available at: </w:t>
      </w:r>
      <w:hyperlink r:id="rId20" w:history="1">
        <w:r w:rsidRPr="00BB02CD">
          <w:rPr>
            <w:rStyle w:val="Hyperlink"/>
            <w:rFonts w:ascii="Arial" w:hAnsi="Arial" w:cs="Arial"/>
            <w:bCs/>
            <w:sz w:val="24"/>
            <w:szCs w:val="24"/>
          </w:rPr>
          <w:t>https://sphweb.bumc.bu.edu/otlt/mph-modules/sb/behavioralchangetheories/behavioralchangetheories6.html</w:t>
        </w:r>
      </w:hyperlink>
      <w:r w:rsidRPr="00BB02CD">
        <w:rPr>
          <w:rFonts w:ascii="Arial" w:hAnsi="Arial" w:cs="Arial"/>
          <w:bCs/>
          <w:sz w:val="24"/>
          <w:szCs w:val="24"/>
        </w:rPr>
        <w:t xml:space="preserve">. Accessed on: 25.07.2023. </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de Freitas, P.P., de Menezes, M.C., Dos Santos, L.C., Pimenta, A.M., Ferreira, A.V.M. and Lopes, A.C.S., 2020. The transtheoretical model is an effective weight management intervention: a randomized controlled trial. </w:t>
      </w:r>
      <w:r w:rsidRPr="00BB02CD">
        <w:rPr>
          <w:rFonts w:ascii="Arial" w:hAnsi="Arial" w:cs="Arial"/>
          <w:i/>
          <w:iCs/>
          <w:sz w:val="24"/>
          <w:szCs w:val="24"/>
        </w:rPr>
        <w:t>BMC Public Health</w:t>
      </w:r>
      <w:r w:rsidRPr="00BB02CD">
        <w:rPr>
          <w:rFonts w:ascii="Arial" w:hAnsi="Arial" w:cs="Arial"/>
          <w:sz w:val="24"/>
          <w:szCs w:val="24"/>
        </w:rPr>
        <w:t>, </w:t>
      </w:r>
      <w:r w:rsidRPr="00BB02CD">
        <w:rPr>
          <w:rFonts w:ascii="Arial" w:hAnsi="Arial" w:cs="Arial"/>
          <w:i/>
          <w:iCs/>
          <w:sz w:val="24"/>
          <w:szCs w:val="24"/>
        </w:rPr>
        <w:t>20</w:t>
      </w:r>
      <w:r w:rsidRPr="00BB02CD">
        <w:rPr>
          <w:rFonts w:ascii="Arial" w:hAnsi="Arial" w:cs="Arial"/>
          <w:sz w:val="24"/>
          <w:szCs w:val="24"/>
        </w:rPr>
        <w:t>(1), pp.1-12.</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Dunton, G.F., Rothman, A.J., Leventhal, A.M. and Intille, S.S., 2021. How intensive longitudinal data can stimulate advances in health behavior maintenance theories and interventions. </w:t>
      </w:r>
      <w:r w:rsidRPr="00BB02CD">
        <w:rPr>
          <w:rFonts w:ascii="Arial" w:hAnsi="Arial" w:cs="Arial"/>
          <w:i/>
          <w:iCs/>
          <w:sz w:val="24"/>
          <w:szCs w:val="24"/>
        </w:rPr>
        <w:t>Translational Behavioral Medicine</w:t>
      </w:r>
      <w:r w:rsidRPr="00BB02CD">
        <w:rPr>
          <w:rFonts w:ascii="Arial" w:hAnsi="Arial" w:cs="Arial"/>
          <w:sz w:val="24"/>
          <w:szCs w:val="24"/>
        </w:rPr>
        <w:t>, </w:t>
      </w:r>
      <w:r w:rsidRPr="00BB02CD">
        <w:rPr>
          <w:rFonts w:ascii="Arial" w:hAnsi="Arial" w:cs="Arial"/>
          <w:i/>
          <w:iCs/>
          <w:sz w:val="24"/>
          <w:szCs w:val="24"/>
        </w:rPr>
        <w:t>11</w:t>
      </w:r>
      <w:r w:rsidRPr="00BB02CD">
        <w:rPr>
          <w:rFonts w:ascii="Arial" w:hAnsi="Arial" w:cs="Arial"/>
          <w:sz w:val="24"/>
          <w:szCs w:val="24"/>
        </w:rPr>
        <w:t>(1), pp.281-286.</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Esmonde, K., 2023. exercising caution: a case for ethics analysis in Physical activity Promotion. </w:t>
      </w:r>
      <w:r w:rsidRPr="00BB02CD">
        <w:rPr>
          <w:rFonts w:ascii="Arial" w:hAnsi="Arial" w:cs="Arial"/>
          <w:i/>
          <w:iCs/>
          <w:sz w:val="24"/>
          <w:szCs w:val="24"/>
        </w:rPr>
        <w:t>Public Health Ethics</w:t>
      </w:r>
      <w:r w:rsidRPr="00BB02CD">
        <w:rPr>
          <w:rFonts w:ascii="Arial" w:hAnsi="Arial" w:cs="Arial"/>
          <w:sz w:val="24"/>
          <w:szCs w:val="24"/>
        </w:rPr>
        <w:t>, </w:t>
      </w:r>
      <w:r w:rsidRPr="00BB02CD">
        <w:rPr>
          <w:rFonts w:ascii="Arial" w:hAnsi="Arial" w:cs="Arial"/>
          <w:i/>
          <w:iCs/>
          <w:sz w:val="24"/>
          <w:szCs w:val="24"/>
        </w:rPr>
        <w:t>16</w:t>
      </w:r>
      <w:r w:rsidRPr="00BB02CD">
        <w:rPr>
          <w:rFonts w:ascii="Arial" w:hAnsi="Arial" w:cs="Arial"/>
          <w:sz w:val="24"/>
          <w:szCs w:val="24"/>
        </w:rPr>
        <w:t>(1), pp.77-85.</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lastRenderedPageBreak/>
        <w:t>Forberger, S., Reisch, L., Kampfmann, T. and Zeeb, H., 2019. Nudging to move: a scoping review of the use of choice architecture interventions to promote physical activity in the general population. </w:t>
      </w:r>
      <w:r w:rsidRPr="00BB02CD">
        <w:rPr>
          <w:rFonts w:ascii="Arial" w:hAnsi="Arial" w:cs="Arial"/>
          <w:i/>
          <w:iCs/>
          <w:sz w:val="24"/>
          <w:szCs w:val="24"/>
        </w:rPr>
        <w:t>International Journal of Behavioral Nutrition and Physical Activity</w:t>
      </w:r>
      <w:r w:rsidRPr="00BB02CD">
        <w:rPr>
          <w:rFonts w:ascii="Arial" w:hAnsi="Arial" w:cs="Arial"/>
          <w:sz w:val="24"/>
          <w:szCs w:val="24"/>
        </w:rPr>
        <w:t>, </w:t>
      </w:r>
      <w:r w:rsidRPr="00BB02CD">
        <w:rPr>
          <w:rFonts w:ascii="Arial" w:hAnsi="Arial" w:cs="Arial"/>
          <w:i/>
          <w:iCs/>
          <w:sz w:val="24"/>
          <w:szCs w:val="24"/>
        </w:rPr>
        <w:t>16</w:t>
      </w:r>
      <w:r w:rsidRPr="00BB02CD">
        <w:rPr>
          <w:rFonts w:ascii="Arial" w:hAnsi="Arial" w:cs="Arial"/>
          <w:sz w:val="24"/>
          <w:szCs w:val="24"/>
        </w:rPr>
        <w:t>, pp.1-14.</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Holko, M., Litwin, T.R., Munoz, F., Theisz, K.I., Salgin, L., Jenks, N.P., Holmes, B.W., Watson-McGee, P., Winford, E. and Sharma, Y., 2022. Wearable fitness tracker use in federally qualified health center patients: strategies to improve the health of all of us using digital health devices. </w:t>
      </w:r>
      <w:r w:rsidRPr="00BB02CD">
        <w:rPr>
          <w:rFonts w:ascii="Arial" w:hAnsi="Arial" w:cs="Arial"/>
          <w:i/>
          <w:iCs/>
          <w:sz w:val="24"/>
          <w:szCs w:val="24"/>
        </w:rPr>
        <w:t>NPJ Digital Medicine</w:t>
      </w:r>
      <w:r w:rsidRPr="00BB02CD">
        <w:rPr>
          <w:rFonts w:ascii="Arial" w:hAnsi="Arial" w:cs="Arial"/>
          <w:sz w:val="24"/>
          <w:szCs w:val="24"/>
        </w:rPr>
        <w:t>, </w:t>
      </w:r>
      <w:r w:rsidRPr="00BB02CD">
        <w:rPr>
          <w:rFonts w:ascii="Arial" w:hAnsi="Arial" w:cs="Arial"/>
          <w:i/>
          <w:iCs/>
          <w:sz w:val="24"/>
          <w:szCs w:val="24"/>
        </w:rPr>
        <w:t>5</w:t>
      </w:r>
      <w:r w:rsidRPr="00BB02CD">
        <w:rPr>
          <w:rFonts w:ascii="Arial" w:hAnsi="Arial" w:cs="Arial"/>
          <w:sz w:val="24"/>
          <w:szCs w:val="24"/>
        </w:rPr>
        <w:t>(1), p.53.</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Imeri, H., Toth, J., Arnold, A. and Barnard, M., 2022. Use of the transtheoretical model in medication adherence: A systematic review. </w:t>
      </w:r>
      <w:r w:rsidRPr="00BB02CD">
        <w:rPr>
          <w:rFonts w:ascii="Arial" w:hAnsi="Arial" w:cs="Arial"/>
          <w:i/>
          <w:iCs/>
          <w:sz w:val="24"/>
          <w:szCs w:val="24"/>
        </w:rPr>
        <w:t>Research in Social and Administrative Pharmacy</w:t>
      </w:r>
      <w:r w:rsidRPr="00BB02CD">
        <w:rPr>
          <w:rFonts w:ascii="Arial" w:hAnsi="Arial" w:cs="Arial"/>
          <w:sz w:val="24"/>
          <w:szCs w:val="24"/>
        </w:rPr>
        <w:t>, </w:t>
      </w:r>
      <w:r w:rsidRPr="00BB02CD">
        <w:rPr>
          <w:rFonts w:ascii="Arial" w:hAnsi="Arial" w:cs="Arial"/>
          <w:i/>
          <w:iCs/>
          <w:sz w:val="24"/>
          <w:szCs w:val="24"/>
        </w:rPr>
        <w:t>18</w:t>
      </w:r>
      <w:r w:rsidRPr="00BB02CD">
        <w:rPr>
          <w:rFonts w:ascii="Arial" w:hAnsi="Arial" w:cs="Arial"/>
          <w:sz w:val="24"/>
          <w:szCs w:val="24"/>
        </w:rPr>
        <w:t>(5), pp.2778-2785.</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Islam, F.M.A., Islam, M.A., Hosen, M.A., Lambert, E.A., Maddison, R., Lambert, G.W. and Thompson, B.R., 2023. Associations of physical activity levels, and attitudes towards physical activity with blood pressure among adults with high blood pressure in Bangladesh. </w:t>
      </w:r>
      <w:r w:rsidRPr="00BB02CD">
        <w:rPr>
          <w:rFonts w:ascii="Arial" w:hAnsi="Arial" w:cs="Arial"/>
          <w:i/>
          <w:iCs/>
          <w:sz w:val="24"/>
          <w:szCs w:val="24"/>
        </w:rPr>
        <w:t>PloS one</w:t>
      </w:r>
      <w:r w:rsidRPr="00BB02CD">
        <w:rPr>
          <w:rFonts w:ascii="Arial" w:hAnsi="Arial" w:cs="Arial"/>
          <w:sz w:val="24"/>
          <w:szCs w:val="24"/>
        </w:rPr>
        <w:t>, </w:t>
      </w:r>
      <w:r w:rsidRPr="00BB02CD">
        <w:rPr>
          <w:rFonts w:ascii="Arial" w:hAnsi="Arial" w:cs="Arial"/>
          <w:i/>
          <w:iCs/>
          <w:sz w:val="24"/>
          <w:szCs w:val="24"/>
        </w:rPr>
        <w:t>18</w:t>
      </w:r>
      <w:r w:rsidRPr="00BB02CD">
        <w:rPr>
          <w:rFonts w:ascii="Arial" w:hAnsi="Arial" w:cs="Arial"/>
          <w:sz w:val="24"/>
          <w:szCs w:val="24"/>
        </w:rPr>
        <w:t>(2), p.e0280879.</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Jiménez-Zazo, F., Romero-Blanco, C., Castro-Lemus, N., Dorado-Suárez, A. and Aznar, S., 2020. Transtheoretical model for physical activity in older adults: Systematic review. </w:t>
      </w:r>
      <w:r w:rsidRPr="00BB02CD">
        <w:rPr>
          <w:rFonts w:ascii="Arial" w:hAnsi="Arial" w:cs="Arial"/>
          <w:i/>
          <w:iCs/>
          <w:sz w:val="24"/>
          <w:szCs w:val="24"/>
        </w:rPr>
        <w:t>International journal of environmental research and public health</w:t>
      </w:r>
      <w:r w:rsidRPr="00BB02CD">
        <w:rPr>
          <w:rFonts w:ascii="Arial" w:hAnsi="Arial" w:cs="Arial"/>
          <w:sz w:val="24"/>
          <w:szCs w:val="24"/>
        </w:rPr>
        <w:t>, </w:t>
      </w:r>
      <w:r w:rsidRPr="00BB02CD">
        <w:rPr>
          <w:rFonts w:ascii="Arial" w:hAnsi="Arial" w:cs="Arial"/>
          <w:i/>
          <w:iCs/>
          <w:sz w:val="24"/>
          <w:szCs w:val="24"/>
        </w:rPr>
        <w:t>17</w:t>
      </w:r>
      <w:r w:rsidRPr="00BB02CD">
        <w:rPr>
          <w:rFonts w:ascii="Arial" w:hAnsi="Arial" w:cs="Arial"/>
          <w:sz w:val="24"/>
          <w:szCs w:val="24"/>
        </w:rPr>
        <w:t>(24), p.9262.</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Ketelhut, S., Martin-Niedecken, A.L., Zimmermann, P. and Nigg, C.R., 2021. Physical activity and health promotion in esports and gaming–discussing unique opportunities for an unprecedented cultural phenomenon. </w:t>
      </w:r>
      <w:r w:rsidRPr="00BB02CD">
        <w:rPr>
          <w:rFonts w:ascii="Arial" w:hAnsi="Arial" w:cs="Arial"/>
          <w:i/>
          <w:iCs/>
          <w:sz w:val="24"/>
          <w:szCs w:val="24"/>
        </w:rPr>
        <w:t>Frontiers in sports and active living</w:t>
      </w:r>
      <w:r w:rsidRPr="00BB02CD">
        <w:rPr>
          <w:rFonts w:ascii="Arial" w:hAnsi="Arial" w:cs="Arial"/>
          <w:sz w:val="24"/>
          <w:szCs w:val="24"/>
        </w:rPr>
        <w:t>, </w:t>
      </w:r>
      <w:r w:rsidRPr="00BB02CD">
        <w:rPr>
          <w:rFonts w:ascii="Arial" w:hAnsi="Arial" w:cs="Arial"/>
          <w:i/>
          <w:iCs/>
          <w:sz w:val="24"/>
          <w:szCs w:val="24"/>
        </w:rPr>
        <w:t>3</w:t>
      </w:r>
      <w:r w:rsidRPr="00BB02CD">
        <w:rPr>
          <w:rFonts w:ascii="Arial" w:hAnsi="Arial" w:cs="Arial"/>
          <w:sz w:val="24"/>
          <w:szCs w:val="24"/>
        </w:rPr>
        <w:t>, p.693700.</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Kleis, R.R., Hoch, M.C., Hogg-Graham, R. and Hoch, J.M., 2020. The effectiveness of the transtheoretical model to improve physical activity in healthy adults: a systematic review. </w:t>
      </w:r>
      <w:r w:rsidRPr="00BB02CD">
        <w:rPr>
          <w:rFonts w:ascii="Arial" w:hAnsi="Arial" w:cs="Arial"/>
          <w:i/>
          <w:iCs/>
          <w:sz w:val="24"/>
          <w:szCs w:val="24"/>
        </w:rPr>
        <w:t>Journal of Physical Activity and Health</w:t>
      </w:r>
      <w:r w:rsidRPr="00BB02CD">
        <w:rPr>
          <w:rFonts w:ascii="Arial" w:hAnsi="Arial" w:cs="Arial"/>
          <w:sz w:val="24"/>
          <w:szCs w:val="24"/>
        </w:rPr>
        <w:t>, </w:t>
      </w:r>
      <w:r w:rsidRPr="00BB02CD">
        <w:rPr>
          <w:rFonts w:ascii="Arial" w:hAnsi="Arial" w:cs="Arial"/>
          <w:i/>
          <w:iCs/>
          <w:sz w:val="24"/>
          <w:szCs w:val="24"/>
        </w:rPr>
        <w:t>18</w:t>
      </w:r>
      <w:r w:rsidRPr="00BB02CD">
        <w:rPr>
          <w:rFonts w:ascii="Arial" w:hAnsi="Arial" w:cs="Arial"/>
          <w:sz w:val="24"/>
          <w:szCs w:val="24"/>
        </w:rPr>
        <w:t>(1), pp.94-108.</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Nakabayashi, J., Melo, G.R.I. and Toral, N., 2020. Transtheoretical model-based nutritional interventions in adolescents: a systematic review. </w:t>
      </w:r>
      <w:r w:rsidRPr="00BB02CD">
        <w:rPr>
          <w:rFonts w:ascii="Arial" w:hAnsi="Arial" w:cs="Arial"/>
          <w:i/>
          <w:iCs/>
          <w:sz w:val="24"/>
          <w:szCs w:val="24"/>
        </w:rPr>
        <w:t>BMC Public Health</w:t>
      </w:r>
      <w:r w:rsidRPr="00BB02CD">
        <w:rPr>
          <w:rFonts w:ascii="Arial" w:hAnsi="Arial" w:cs="Arial"/>
          <w:sz w:val="24"/>
          <w:szCs w:val="24"/>
        </w:rPr>
        <w:t>, </w:t>
      </w:r>
      <w:r w:rsidRPr="00BB02CD">
        <w:rPr>
          <w:rFonts w:ascii="Arial" w:hAnsi="Arial" w:cs="Arial"/>
          <w:i/>
          <w:iCs/>
          <w:sz w:val="24"/>
          <w:szCs w:val="24"/>
        </w:rPr>
        <w:t>20</w:t>
      </w:r>
      <w:r w:rsidRPr="00BB02CD">
        <w:rPr>
          <w:rFonts w:ascii="Arial" w:hAnsi="Arial" w:cs="Arial"/>
          <w:sz w:val="24"/>
          <w:szCs w:val="24"/>
        </w:rPr>
        <w:t>(1), pp.1-14.</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lastRenderedPageBreak/>
        <w:t>Peng, S., Othman, A.T., Khairani, A.Z., zeng, G., Xiaogang, Z. and Fang, Y., 2023. Effectiveness of pedometer-and accelerometer-based interventions in improving physical activity and health-related outcomes among college students: A systematic review and meta-analysis. </w:t>
      </w:r>
      <w:r w:rsidRPr="00BB02CD">
        <w:rPr>
          <w:rFonts w:ascii="Arial" w:hAnsi="Arial" w:cs="Arial"/>
          <w:i/>
          <w:iCs/>
          <w:sz w:val="24"/>
          <w:szCs w:val="24"/>
        </w:rPr>
        <w:t>Digital Health</w:t>
      </w:r>
      <w:r w:rsidRPr="00BB02CD">
        <w:rPr>
          <w:rFonts w:ascii="Arial" w:hAnsi="Arial" w:cs="Arial"/>
          <w:sz w:val="24"/>
          <w:szCs w:val="24"/>
        </w:rPr>
        <w:t>, </w:t>
      </w:r>
      <w:r w:rsidRPr="00BB02CD">
        <w:rPr>
          <w:rFonts w:ascii="Arial" w:hAnsi="Arial" w:cs="Arial"/>
          <w:i/>
          <w:iCs/>
          <w:sz w:val="24"/>
          <w:szCs w:val="24"/>
        </w:rPr>
        <w:t>9</w:t>
      </w:r>
      <w:r w:rsidRPr="00BB02CD">
        <w:rPr>
          <w:rFonts w:ascii="Arial" w:hAnsi="Arial" w:cs="Arial"/>
          <w:sz w:val="24"/>
          <w:szCs w:val="24"/>
        </w:rPr>
        <w:t>, p.20552076231188213.</w:t>
      </w:r>
    </w:p>
    <w:p w:rsidR="00BB02CD" w:rsidRPr="00BB02CD" w:rsidRDefault="00BB02CD" w:rsidP="00BB02CD">
      <w:pPr>
        <w:spacing w:line="360" w:lineRule="auto"/>
        <w:jc w:val="both"/>
        <w:rPr>
          <w:rFonts w:ascii="Arial" w:hAnsi="Arial" w:cs="Arial"/>
          <w:sz w:val="24"/>
          <w:szCs w:val="24"/>
        </w:rPr>
      </w:pPr>
      <w:r w:rsidRPr="00BB02CD">
        <w:rPr>
          <w:rFonts w:ascii="Arial" w:hAnsi="Arial" w:cs="Arial"/>
          <w:sz w:val="24"/>
          <w:szCs w:val="24"/>
        </w:rPr>
        <w:t>World Health Organization, 2022. </w:t>
      </w:r>
      <w:r w:rsidRPr="00BB02CD">
        <w:rPr>
          <w:rFonts w:ascii="Arial" w:hAnsi="Arial" w:cs="Arial"/>
          <w:i/>
          <w:iCs/>
          <w:sz w:val="24"/>
          <w:szCs w:val="24"/>
        </w:rPr>
        <w:t>Bending the trends to promote health and well-being: a strategic foresight on the future of health promotion</w:t>
      </w:r>
      <w:r w:rsidRPr="00BB02CD">
        <w:rPr>
          <w:rFonts w:ascii="Arial" w:hAnsi="Arial" w:cs="Arial"/>
          <w:sz w:val="24"/>
          <w:szCs w:val="24"/>
        </w:rPr>
        <w:t xml:space="preserve">. World Health Organization. </w:t>
      </w:r>
    </w:p>
    <w:p w:rsidR="00BB02CD" w:rsidRPr="002A1767" w:rsidRDefault="00BB02CD" w:rsidP="00BB02CD">
      <w:pPr>
        <w:spacing w:line="360" w:lineRule="auto"/>
      </w:pPr>
    </w:p>
    <w:p w:rsidR="00817FA2" w:rsidRPr="003476A1" w:rsidRDefault="00817FA2" w:rsidP="00BB02CD">
      <w:pPr>
        <w:spacing w:line="360" w:lineRule="auto"/>
        <w:jc w:val="both"/>
        <w:rPr>
          <w:rFonts w:ascii="Arial" w:hAnsi="Arial" w:cs="Arial"/>
          <w:color w:val="000000" w:themeColor="text1"/>
          <w:sz w:val="24"/>
          <w:szCs w:val="24"/>
        </w:rPr>
      </w:pPr>
    </w:p>
    <w:p w:rsidR="00180AE5" w:rsidRPr="007B3C04" w:rsidRDefault="00180AE5" w:rsidP="00E44FAE">
      <w:pPr>
        <w:spacing w:line="360" w:lineRule="auto"/>
        <w:jc w:val="both"/>
        <w:rPr>
          <w:rFonts w:ascii="Arial" w:hAnsi="Arial" w:cs="Arial"/>
          <w:color w:val="000000" w:themeColor="text1"/>
        </w:rPr>
      </w:pPr>
    </w:p>
    <w:sectPr w:rsidR="00180AE5" w:rsidRPr="007B3C04" w:rsidSect="00965C24">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C1C" w:rsidRDefault="00E23C1C" w:rsidP="00965C24">
      <w:pPr>
        <w:spacing w:after="0" w:line="240" w:lineRule="auto"/>
      </w:pPr>
      <w:r>
        <w:separator/>
      </w:r>
    </w:p>
  </w:endnote>
  <w:endnote w:type="continuationSeparator" w:id="1">
    <w:p w:rsidR="00E23C1C" w:rsidRDefault="00E23C1C" w:rsidP="00965C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785" w:rsidRDefault="003E478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801846846"/>
      <w:docPartObj>
        <w:docPartGallery w:val="Page Numbers (Bottom of Page)"/>
        <w:docPartUnique/>
      </w:docPartObj>
    </w:sdtPr>
    <w:sdtContent>
      <w:sdt>
        <w:sdtPr>
          <w:rPr>
            <w:rFonts w:ascii="Arial" w:hAnsi="Arial" w:cs="Arial"/>
          </w:rPr>
          <w:id w:val="-1769616900"/>
          <w:docPartObj>
            <w:docPartGallery w:val="Page Numbers (Top of Page)"/>
            <w:docPartUnique/>
          </w:docPartObj>
        </w:sdtPr>
        <w:sdtContent>
          <w:p w:rsidR="00965C24" w:rsidRPr="00965C24" w:rsidRDefault="00965C24">
            <w:pPr>
              <w:pStyle w:val="Footer"/>
              <w:jc w:val="right"/>
              <w:rPr>
                <w:rFonts w:ascii="Arial" w:hAnsi="Arial" w:cs="Arial"/>
              </w:rPr>
            </w:pPr>
            <w:r w:rsidRPr="00965C24">
              <w:rPr>
                <w:rFonts w:ascii="Arial" w:hAnsi="Arial" w:cs="Arial"/>
              </w:rPr>
              <w:t xml:space="preserve">Page </w:t>
            </w:r>
            <w:r w:rsidR="00A26AB9" w:rsidRPr="00965C24">
              <w:rPr>
                <w:rFonts w:ascii="Arial" w:hAnsi="Arial" w:cs="Arial"/>
                <w:b/>
                <w:bCs/>
              </w:rPr>
              <w:fldChar w:fldCharType="begin"/>
            </w:r>
            <w:r w:rsidRPr="00965C24">
              <w:rPr>
                <w:rFonts w:ascii="Arial" w:hAnsi="Arial" w:cs="Arial"/>
                <w:b/>
                <w:bCs/>
              </w:rPr>
              <w:instrText xml:space="preserve"> PAGE </w:instrText>
            </w:r>
            <w:r w:rsidR="00A26AB9" w:rsidRPr="00965C24">
              <w:rPr>
                <w:rFonts w:ascii="Arial" w:hAnsi="Arial" w:cs="Arial"/>
                <w:b/>
                <w:bCs/>
              </w:rPr>
              <w:fldChar w:fldCharType="separate"/>
            </w:r>
            <w:r w:rsidR="009C5EF3">
              <w:rPr>
                <w:rFonts w:ascii="Arial" w:hAnsi="Arial" w:cs="Arial"/>
                <w:b/>
                <w:bCs/>
                <w:noProof/>
              </w:rPr>
              <w:t>10</w:t>
            </w:r>
            <w:r w:rsidR="00A26AB9" w:rsidRPr="00965C24">
              <w:rPr>
                <w:rFonts w:ascii="Arial" w:hAnsi="Arial" w:cs="Arial"/>
                <w:b/>
                <w:bCs/>
              </w:rPr>
              <w:fldChar w:fldCharType="end"/>
            </w:r>
            <w:r w:rsidRPr="00965C24">
              <w:rPr>
                <w:rFonts w:ascii="Arial" w:hAnsi="Arial" w:cs="Arial"/>
              </w:rPr>
              <w:t xml:space="preserve"> of </w:t>
            </w:r>
            <w:r w:rsidR="00A26AB9" w:rsidRPr="00965C24">
              <w:rPr>
                <w:rFonts w:ascii="Arial" w:hAnsi="Arial" w:cs="Arial"/>
                <w:b/>
                <w:bCs/>
              </w:rPr>
              <w:fldChar w:fldCharType="begin"/>
            </w:r>
            <w:r w:rsidRPr="00965C24">
              <w:rPr>
                <w:rFonts w:ascii="Arial" w:hAnsi="Arial" w:cs="Arial"/>
                <w:b/>
                <w:bCs/>
              </w:rPr>
              <w:instrText xml:space="preserve"> NUMPAGES  </w:instrText>
            </w:r>
            <w:r w:rsidR="00A26AB9" w:rsidRPr="00965C24">
              <w:rPr>
                <w:rFonts w:ascii="Arial" w:hAnsi="Arial" w:cs="Arial"/>
                <w:b/>
                <w:bCs/>
              </w:rPr>
              <w:fldChar w:fldCharType="separate"/>
            </w:r>
            <w:r w:rsidR="009C5EF3">
              <w:rPr>
                <w:rFonts w:ascii="Arial" w:hAnsi="Arial" w:cs="Arial"/>
                <w:b/>
                <w:bCs/>
                <w:noProof/>
              </w:rPr>
              <w:t>16</w:t>
            </w:r>
            <w:r w:rsidR="00A26AB9" w:rsidRPr="00965C24">
              <w:rPr>
                <w:rFonts w:ascii="Arial" w:hAnsi="Arial" w:cs="Arial"/>
                <w:b/>
                <w:bCs/>
              </w:rPr>
              <w:fldChar w:fldCharType="end"/>
            </w:r>
          </w:p>
        </w:sdtContent>
      </w:sdt>
    </w:sdtContent>
  </w:sdt>
  <w:p w:rsidR="00965C24" w:rsidRDefault="00965C2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785" w:rsidRDefault="003E47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C1C" w:rsidRDefault="00E23C1C" w:rsidP="00965C24">
      <w:pPr>
        <w:spacing w:after="0" w:line="240" w:lineRule="auto"/>
      </w:pPr>
      <w:r>
        <w:separator/>
      </w:r>
    </w:p>
  </w:footnote>
  <w:footnote w:type="continuationSeparator" w:id="1">
    <w:p w:rsidR="00E23C1C" w:rsidRDefault="00E23C1C" w:rsidP="00965C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785" w:rsidRDefault="003E478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785" w:rsidRPr="003E4785" w:rsidRDefault="003E4785" w:rsidP="003E478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785" w:rsidRDefault="003E47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04592E"/>
    <w:multiLevelType w:val="hybridMultilevel"/>
    <w:tmpl w:val="4B486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B44C70"/>
    <w:multiLevelType w:val="hybridMultilevel"/>
    <w:tmpl w:val="753C1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C66FE8"/>
    <w:multiLevelType w:val="hybridMultilevel"/>
    <w:tmpl w:val="F2DC6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6C1004"/>
    <w:multiLevelType w:val="hybridMultilevel"/>
    <w:tmpl w:val="4C06F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1F5E75"/>
    <w:rsid w:val="00040403"/>
    <w:rsid w:val="000E7AB5"/>
    <w:rsid w:val="00180AE5"/>
    <w:rsid w:val="001F5E75"/>
    <w:rsid w:val="00216C61"/>
    <w:rsid w:val="002A00B4"/>
    <w:rsid w:val="003009E1"/>
    <w:rsid w:val="003155BB"/>
    <w:rsid w:val="003476A1"/>
    <w:rsid w:val="003E4785"/>
    <w:rsid w:val="00461378"/>
    <w:rsid w:val="004633D0"/>
    <w:rsid w:val="0049678D"/>
    <w:rsid w:val="00563CC4"/>
    <w:rsid w:val="006A4BE5"/>
    <w:rsid w:val="007B3C04"/>
    <w:rsid w:val="00817FA2"/>
    <w:rsid w:val="00953223"/>
    <w:rsid w:val="00965C24"/>
    <w:rsid w:val="009927B2"/>
    <w:rsid w:val="009C5EF3"/>
    <w:rsid w:val="009F57E3"/>
    <w:rsid w:val="00A26AB9"/>
    <w:rsid w:val="00A53B1B"/>
    <w:rsid w:val="00BB02CD"/>
    <w:rsid w:val="00C016AA"/>
    <w:rsid w:val="00D6059B"/>
    <w:rsid w:val="00E23C1C"/>
    <w:rsid w:val="00E246DE"/>
    <w:rsid w:val="00E4272B"/>
    <w:rsid w:val="00E44FAE"/>
    <w:rsid w:val="00E460F5"/>
    <w:rsid w:val="00EA22CB"/>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CB"/>
  </w:style>
  <w:style w:type="paragraph" w:styleId="Heading1">
    <w:name w:val="heading 1"/>
    <w:basedOn w:val="Normal"/>
    <w:next w:val="Normal"/>
    <w:link w:val="Heading1Char"/>
    <w:uiPriority w:val="9"/>
    <w:qFormat/>
    <w:rsid w:val="00180AE5"/>
    <w:pPr>
      <w:keepNext/>
      <w:keepLines/>
      <w:spacing w:before="480" w:after="0" w:line="360" w:lineRule="auto"/>
      <w:jc w:val="both"/>
      <w:outlineLvl w:val="0"/>
    </w:pPr>
    <w:rPr>
      <w:rFonts w:ascii="Arial" w:eastAsiaTheme="majorEastAsia" w:hAnsi="Arial" w:cstheme="majorBidi"/>
      <w:b/>
      <w:bCs/>
      <w:kern w:val="0"/>
      <w:sz w:val="28"/>
      <w:szCs w:val="28"/>
      <w:lang w:val="en-US"/>
    </w:rPr>
  </w:style>
  <w:style w:type="paragraph" w:styleId="Heading2">
    <w:name w:val="heading 2"/>
    <w:basedOn w:val="Normal"/>
    <w:next w:val="Normal"/>
    <w:link w:val="Heading2Char"/>
    <w:uiPriority w:val="9"/>
    <w:unhideWhenUsed/>
    <w:qFormat/>
    <w:rsid w:val="007B3C04"/>
    <w:pPr>
      <w:keepNext/>
      <w:keepLines/>
      <w:spacing w:before="40" w:after="0" w:line="36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AE5"/>
    <w:rPr>
      <w:rFonts w:ascii="Arial" w:eastAsiaTheme="majorEastAsia" w:hAnsi="Arial" w:cstheme="majorBidi"/>
      <w:b/>
      <w:bCs/>
      <w:kern w:val="0"/>
      <w:sz w:val="28"/>
      <w:szCs w:val="28"/>
      <w:lang w:val="en-US"/>
    </w:rPr>
  </w:style>
  <w:style w:type="character" w:customStyle="1" w:styleId="Heading2Char">
    <w:name w:val="Heading 2 Char"/>
    <w:basedOn w:val="DefaultParagraphFont"/>
    <w:link w:val="Heading2"/>
    <w:uiPriority w:val="9"/>
    <w:rsid w:val="007B3C04"/>
    <w:rPr>
      <w:rFonts w:ascii="Arial" w:eastAsiaTheme="majorEastAsia" w:hAnsi="Arial" w:cstheme="majorBidi"/>
      <w:b/>
      <w:color w:val="000000" w:themeColor="text1"/>
      <w:sz w:val="26"/>
      <w:szCs w:val="26"/>
    </w:rPr>
  </w:style>
  <w:style w:type="paragraph" w:styleId="ListParagraph">
    <w:name w:val="List Paragraph"/>
    <w:basedOn w:val="Normal"/>
    <w:uiPriority w:val="34"/>
    <w:qFormat/>
    <w:rsid w:val="00953223"/>
    <w:pPr>
      <w:spacing w:after="200" w:line="360" w:lineRule="auto"/>
      <w:ind w:left="720"/>
      <w:contextualSpacing/>
      <w:jc w:val="both"/>
    </w:pPr>
    <w:rPr>
      <w:rFonts w:ascii="Arial" w:hAnsi="Arial"/>
      <w:kern w:val="0"/>
      <w:sz w:val="24"/>
      <w:lang w:val="en-US"/>
    </w:rPr>
  </w:style>
  <w:style w:type="character" w:styleId="Hyperlink">
    <w:name w:val="Hyperlink"/>
    <w:basedOn w:val="DefaultParagraphFont"/>
    <w:uiPriority w:val="99"/>
    <w:unhideWhenUsed/>
    <w:rsid w:val="006A4BE5"/>
    <w:rPr>
      <w:color w:val="0563C1" w:themeColor="hyperlink"/>
      <w:u w:val="single"/>
    </w:rPr>
  </w:style>
  <w:style w:type="paragraph" w:styleId="Header">
    <w:name w:val="header"/>
    <w:basedOn w:val="Normal"/>
    <w:link w:val="HeaderChar"/>
    <w:uiPriority w:val="99"/>
    <w:unhideWhenUsed/>
    <w:rsid w:val="00965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C24"/>
  </w:style>
  <w:style w:type="paragraph" w:styleId="Footer">
    <w:name w:val="footer"/>
    <w:basedOn w:val="Normal"/>
    <w:link w:val="FooterChar"/>
    <w:uiPriority w:val="99"/>
    <w:unhideWhenUsed/>
    <w:rsid w:val="00965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C24"/>
  </w:style>
  <w:style w:type="paragraph" w:styleId="TOCHeading">
    <w:name w:val="TOC Heading"/>
    <w:basedOn w:val="Heading1"/>
    <w:next w:val="Normal"/>
    <w:uiPriority w:val="39"/>
    <w:unhideWhenUsed/>
    <w:qFormat/>
    <w:rsid w:val="009927B2"/>
    <w:pPr>
      <w:spacing w:before="240" w:line="259" w:lineRule="auto"/>
      <w:jc w:val="left"/>
      <w:outlineLvl w:val="9"/>
    </w:pPr>
    <w:rPr>
      <w:rFonts w:asciiTheme="majorHAnsi" w:hAnsiTheme="majorHAnsi"/>
      <w:b w:val="0"/>
      <w:bCs w:val="0"/>
      <w:color w:val="2F5496" w:themeColor="accent1" w:themeShade="BF"/>
      <w:sz w:val="32"/>
      <w:szCs w:val="32"/>
    </w:rPr>
  </w:style>
  <w:style w:type="paragraph" w:styleId="TOC2">
    <w:name w:val="toc 2"/>
    <w:basedOn w:val="Normal"/>
    <w:next w:val="Normal"/>
    <w:autoRedefine/>
    <w:uiPriority w:val="39"/>
    <w:unhideWhenUsed/>
    <w:rsid w:val="009927B2"/>
    <w:pPr>
      <w:spacing w:after="100"/>
      <w:ind w:left="220"/>
    </w:pPr>
  </w:style>
  <w:style w:type="paragraph" w:styleId="TOC1">
    <w:name w:val="toc 1"/>
    <w:basedOn w:val="Normal"/>
    <w:next w:val="Normal"/>
    <w:autoRedefine/>
    <w:uiPriority w:val="39"/>
    <w:unhideWhenUsed/>
    <w:rsid w:val="009927B2"/>
    <w:pPr>
      <w:spacing w:after="100"/>
    </w:pPr>
  </w:style>
  <w:style w:type="paragraph" w:styleId="BalloonText">
    <w:name w:val="Balloon Text"/>
    <w:basedOn w:val="Normal"/>
    <w:link w:val="BalloonTextChar"/>
    <w:uiPriority w:val="99"/>
    <w:semiHidden/>
    <w:unhideWhenUsed/>
    <w:rsid w:val="00E246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6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https://www.healthline.com/health/type-2-diabetes/choosing-glucose-mete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ho.int/data/gho/indicator-metadata-registry/imr-details/3416"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theverge.com/22985108/best-fitness-tracker" TargetMode="External"/><Relationship Id="rId20" Type="http://schemas.openxmlformats.org/officeDocument/2006/relationships/hyperlink" Target="https://sphweb.bumc.bu.edu/otlt/mph-modules/sb/behavioralchangetheories/behavioralchangetheories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nwpc.com/how-smartwatches-could-improve-your-health/"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healthline.com/health/type-2-diabetes/choosing-glucose-mete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Office_PowerPoint_Slide1.sldx"/><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A0399-54D7-46DB-8CCC-46B74950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2977</Words>
  <Characters>16973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Ishita Mitra Roy</dc:creator>
  <cp:lastModifiedBy>Admin</cp:lastModifiedBy>
  <cp:revision>2</cp:revision>
  <dcterms:created xsi:type="dcterms:W3CDTF">2023-07-31T01:01:00Z</dcterms:created>
  <dcterms:modified xsi:type="dcterms:W3CDTF">2023-07-31T01:01:00Z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45a50b69-3d9b-4483-a31b-54f196db4c80</vt:lpwstr>
  </property>
</Properties>
</file>