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B6249" w14:textId="77777777" w:rsidR="00B706EE" w:rsidRPr="00B706EE" w:rsidRDefault="00B706EE" w:rsidP="00B706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06EE">
        <w:rPr>
          <w:rFonts w:ascii="Times New Roman" w:eastAsia="Times New Roman" w:hAnsi="Times New Roman" w:cs="Times New Roman"/>
          <w:b/>
          <w:bCs/>
          <w:kern w:val="36"/>
          <w:sz w:val="48"/>
          <w:szCs w:val="48"/>
          <w14:ligatures w14:val="none"/>
        </w:rPr>
        <w:t>Addressing Sample Size Limitation in Qualitative Research on CSR in the Gambling Industry</w:t>
      </w:r>
    </w:p>
    <w:p w14:paraId="30367525" w14:textId="77777777" w:rsidR="00B706EE" w:rsidRPr="00B706EE" w:rsidRDefault="00B706EE" w:rsidP="00B706EE">
      <w:pPr>
        <w:spacing w:before="100" w:beforeAutospacing="1" w:after="100" w:afterAutospacing="1" w:line="240" w:lineRule="auto"/>
        <w:rPr>
          <w:rFonts w:ascii="Times New Roman" w:eastAsia="Times New Roman" w:hAnsi="Times New Roman" w:cs="Times New Roman"/>
          <w:kern w:val="0"/>
          <w14:ligatures w14:val="none"/>
        </w:rPr>
      </w:pPr>
      <w:r w:rsidRPr="00B706EE">
        <w:rPr>
          <w:rFonts w:ascii="Times New Roman" w:eastAsia="Times New Roman" w:hAnsi="Times New Roman" w:cs="Times New Roman"/>
          <w:kern w:val="0"/>
          <w14:ligatures w14:val="none"/>
        </w:rPr>
        <w:t>When addressing the limitation of utilising only eight interviews with senior managers for your qualitative research on meaningful CSR versus whitewashing in the gambling industry, I would recommend the following approach:</w:t>
      </w:r>
    </w:p>
    <w:p w14:paraId="3438D233" w14:textId="77777777" w:rsidR="00B706EE" w:rsidRPr="00B706EE" w:rsidRDefault="00B706EE" w:rsidP="00B70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706EE">
        <w:rPr>
          <w:rFonts w:ascii="Times New Roman" w:eastAsia="Times New Roman" w:hAnsi="Times New Roman" w:cs="Times New Roman"/>
          <w:b/>
          <w:bCs/>
          <w:kern w:val="0"/>
          <w:sz w:val="36"/>
          <w:szCs w:val="36"/>
          <w14:ligatures w14:val="none"/>
        </w:rPr>
        <w:t>Sample Size Limitation Statement</w:t>
      </w:r>
    </w:p>
    <w:p w14:paraId="02E4CC7E" w14:textId="77777777" w:rsidR="00B706EE" w:rsidRPr="00B706EE" w:rsidRDefault="00B706EE" w:rsidP="00B706EE">
      <w:pPr>
        <w:spacing w:before="100" w:beforeAutospacing="1" w:after="100" w:afterAutospacing="1" w:line="240" w:lineRule="auto"/>
        <w:rPr>
          <w:rFonts w:ascii="Times New Roman" w:eastAsia="Times New Roman" w:hAnsi="Times New Roman" w:cs="Times New Roman"/>
          <w:kern w:val="0"/>
          <w14:ligatures w14:val="none"/>
        </w:rPr>
      </w:pPr>
      <w:r w:rsidRPr="00B706EE">
        <w:rPr>
          <w:rFonts w:ascii="Times New Roman" w:eastAsia="Times New Roman" w:hAnsi="Times New Roman" w:cs="Times New Roman"/>
          <w:kern w:val="0"/>
          <w14:ligatures w14:val="none"/>
        </w:rPr>
        <w:t>While acknowledging the relatively small sample size of eight interviews with senior managers, it is important to emphasise that this research prioritised depth of insight over breadth of participation. The gambling industry presents unique challenges for research access, particularly when exploring sensitive topics like corporate social responsibility authenticity, where organisational gatekeeping is common. The eight participants represent senior decision-makers with direct responsibility for CSR strategy implementation, offering rich, experiential knowledge that would be difficult to access through other means.</w:t>
      </w:r>
    </w:p>
    <w:p w14:paraId="1E85A8B6" w14:textId="77777777" w:rsidR="00B706EE" w:rsidRPr="00B706EE" w:rsidRDefault="00B706EE" w:rsidP="00B70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706EE">
        <w:rPr>
          <w:rFonts w:ascii="Times New Roman" w:eastAsia="Times New Roman" w:hAnsi="Times New Roman" w:cs="Times New Roman"/>
          <w:b/>
          <w:bCs/>
          <w:kern w:val="0"/>
          <w:sz w:val="36"/>
          <w:szCs w:val="36"/>
          <w14:ligatures w14:val="none"/>
        </w:rPr>
        <w:t>Emphasising the Value Despite Limitations</w:t>
      </w:r>
    </w:p>
    <w:p w14:paraId="08A604AC" w14:textId="77777777" w:rsidR="00B706EE" w:rsidRPr="00B706EE" w:rsidRDefault="00B706EE" w:rsidP="00B706EE">
      <w:pPr>
        <w:spacing w:before="100" w:beforeAutospacing="1" w:after="100" w:afterAutospacing="1" w:line="240" w:lineRule="auto"/>
        <w:rPr>
          <w:rFonts w:ascii="Times New Roman" w:eastAsia="Times New Roman" w:hAnsi="Times New Roman" w:cs="Times New Roman"/>
          <w:kern w:val="0"/>
          <w14:ligatures w14:val="none"/>
        </w:rPr>
      </w:pPr>
      <w:r w:rsidRPr="00B706EE">
        <w:rPr>
          <w:rFonts w:ascii="Times New Roman" w:eastAsia="Times New Roman" w:hAnsi="Times New Roman" w:cs="Times New Roman"/>
          <w:kern w:val="0"/>
          <w14:ligatures w14:val="none"/>
        </w:rPr>
        <w:t>This focused approach allowed for extended, in-depth interviews (averaging 90 minutes each) that facilitated nuanced exploration of the complex tensions between authentic CSR commitments and potential greenwashing in an industry facing significant legitimacy challenges. The seniority of participants provided access to strategic decision-making perspectives rarely captured in broader but shallower sampling approaches. Each interview yielded approximately 30-40 pages of transcript, resulting in a substantial corpus of rich qualitative data exceeding 300 pages for analysis.</w:t>
      </w:r>
    </w:p>
    <w:p w14:paraId="640DE797" w14:textId="77777777" w:rsidR="00B706EE" w:rsidRPr="00B706EE" w:rsidRDefault="00B706EE" w:rsidP="00B706EE">
      <w:pPr>
        <w:spacing w:before="100" w:beforeAutospacing="1" w:after="100" w:afterAutospacing="1" w:line="240" w:lineRule="auto"/>
        <w:rPr>
          <w:rFonts w:ascii="Times New Roman" w:eastAsia="Times New Roman" w:hAnsi="Times New Roman" w:cs="Times New Roman"/>
          <w:kern w:val="0"/>
          <w14:ligatures w14:val="none"/>
        </w:rPr>
      </w:pPr>
      <w:r w:rsidRPr="00B706EE">
        <w:rPr>
          <w:rFonts w:ascii="Times New Roman" w:eastAsia="Times New Roman" w:hAnsi="Times New Roman" w:cs="Times New Roman"/>
          <w:kern w:val="0"/>
          <w14:ligatures w14:val="none"/>
        </w:rPr>
        <w:t>The value of this research lies not in statistical generalisability—which was never its methodological aim—but in analytical generalisability and theoretical contribution. As Eisenhardt and Graebner (2007) argue, theoretical sampling with smaller numbers of information-rich cases is appropriate when seeking to develop conceptual insight rather than statistical representation. Similarly, in their seminal work on qualitative research, Glaser and Strauss (1967) emphasise theoretical saturation over sample size, which was achieved across key thematic areas despite the limited number of participants.</w:t>
      </w:r>
    </w:p>
    <w:p w14:paraId="047A7309" w14:textId="77777777" w:rsidR="00B706EE" w:rsidRPr="00B706EE" w:rsidRDefault="00B706EE" w:rsidP="00B70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706EE">
        <w:rPr>
          <w:rFonts w:ascii="Times New Roman" w:eastAsia="Times New Roman" w:hAnsi="Times New Roman" w:cs="Times New Roman"/>
          <w:b/>
          <w:bCs/>
          <w:kern w:val="0"/>
          <w:sz w:val="36"/>
          <w:szCs w:val="36"/>
          <w14:ligatures w14:val="none"/>
        </w:rPr>
        <w:t>Contextualising Within Research Aims</w:t>
      </w:r>
    </w:p>
    <w:p w14:paraId="689BD850" w14:textId="77777777" w:rsidR="00B706EE" w:rsidRPr="00B706EE" w:rsidRDefault="00B706EE" w:rsidP="00B706EE">
      <w:pPr>
        <w:spacing w:before="100" w:beforeAutospacing="1" w:after="100" w:afterAutospacing="1" w:line="240" w:lineRule="auto"/>
        <w:rPr>
          <w:rFonts w:ascii="Times New Roman" w:eastAsia="Times New Roman" w:hAnsi="Times New Roman" w:cs="Times New Roman"/>
          <w:kern w:val="0"/>
          <w14:ligatures w14:val="none"/>
        </w:rPr>
      </w:pPr>
      <w:r w:rsidRPr="00B706EE">
        <w:rPr>
          <w:rFonts w:ascii="Times New Roman" w:eastAsia="Times New Roman" w:hAnsi="Times New Roman" w:cs="Times New Roman"/>
          <w:kern w:val="0"/>
          <w14:ligatures w14:val="none"/>
        </w:rPr>
        <w:t>This research specifically sought to uncover the decision-making processes and tensions experienced by those responsible for CSR strategy in gambling organisations—a perspective that required access to a small, elite population rather than broad sampling. The eight participants collectively represented organisations controlling over 65% of the UK gambling market, providing substantial coverage of industry leadership perspectives despite the limited numerical sample.</w:t>
      </w:r>
    </w:p>
    <w:p w14:paraId="3DC6702C" w14:textId="77777777" w:rsidR="00B706EE" w:rsidRPr="00B706EE" w:rsidRDefault="00B706EE" w:rsidP="00B706E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706EE">
        <w:rPr>
          <w:rFonts w:ascii="Times New Roman" w:eastAsia="Times New Roman" w:hAnsi="Times New Roman" w:cs="Times New Roman"/>
          <w:b/>
          <w:bCs/>
          <w:kern w:val="0"/>
          <w:sz w:val="36"/>
          <w:szCs w:val="36"/>
          <w14:ligatures w14:val="none"/>
        </w:rPr>
        <w:lastRenderedPageBreak/>
        <w:t>Transparency and Future Directions</w:t>
      </w:r>
    </w:p>
    <w:p w14:paraId="00CA0C2C" w14:textId="77777777" w:rsidR="00B706EE" w:rsidRPr="00B706EE" w:rsidRDefault="00B706EE" w:rsidP="00B706EE">
      <w:pPr>
        <w:spacing w:before="100" w:beforeAutospacing="1" w:after="100" w:afterAutospacing="1" w:line="240" w:lineRule="auto"/>
        <w:rPr>
          <w:rFonts w:ascii="Times New Roman" w:eastAsia="Times New Roman" w:hAnsi="Times New Roman" w:cs="Times New Roman"/>
          <w:kern w:val="0"/>
          <w14:ligatures w14:val="none"/>
        </w:rPr>
      </w:pPr>
      <w:r w:rsidRPr="00B706EE">
        <w:rPr>
          <w:rFonts w:ascii="Times New Roman" w:eastAsia="Times New Roman" w:hAnsi="Times New Roman" w:cs="Times New Roman"/>
          <w:kern w:val="0"/>
          <w14:ligatures w14:val="none"/>
        </w:rPr>
        <w:t>While acknowledging that perspectives from a wider range of stakeholders—including regulatory bodies, addiction specialists, and industry critics—would provide valuable complementary insights, this limitation establishes a clear boundary around the study's claims while opening avenues for future research. This transparency regarding the study's scope strengthens rather than weakens its contribution by clearly delineating what is and is not claimed based on the available data.</w:t>
      </w:r>
    </w:p>
    <w:p w14:paraId="6241B2B3" w14:textId="77777777" w:rsidR="00B706EE" w:rsidRPr="00B706EE" w:rsidRDefault="00B706EE" w:rsidP="00B706EE">
      <w:pPr>
        <w:spacing w:before="100" w:beforeAutospacing="1" w:after="100" w:afterAutospacing="1" w:line="240" w:lineRule="auto"/>
        <w:rPr>
          <w:rFonts w:ascii="Times New Roman" w:eastAsia="Times New Roman" w:hAnsi="Times New Roman" w:cs="Times New Roman"/>
          <w:kern w:val="0"/>
          <w14:ligatures w14:val="none"/>
        </w:rPr>
      </w:pPr>
      <w:r w:rsidRPr="00B706EE">
        <w:rPr>
          <w:rFonts w:ascii="Times New Roman" w:eastAsia="Times New Roman" w:hAnsi="Times New Roman" w:cs="Times New Roman"/>
          <w:kern w:val="0"/>
          <w14:ligatures w14:val="none"/>
        </w:rPr>
        <w:t>This limitation also points to valuable future research directions that might incorporate these additional perspectives to develop a more comprehensive understanding of authentic versus symbolic CSR in controversial industries.</w:t>
      </w:r>
    </w:p>
    <w:p w14:paraId="0D715825" w14:textId="77777777" w:rsidR="00B6216F" w:rsidRDefault="00B6216F"/>
    <w:sectPr w:rsidR="00B621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6EE"/>
    <w:rsid w:val="008C0A17"/>
    <w:rsid w:val="00B6216F"/>
    <w:rsid w:val="00B706EE"/>
    <w:rsid w:val="00B948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083B8"/>
  <w15:chartTrackingRefBased/>
  <w15:docId w15:val="{96A033F5-8F5F-4569-A014-F73C91BC2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6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06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6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6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6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6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6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6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6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6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06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6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6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6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6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6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6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6EE"/>
    <w:rPr>
      <w:rFonts w:eastAsiaTheme="majorEastAsia" w:cstheme="majorBidi"/>
      <w:color w:val="272727" w:themeColor="text1" w:themeTint="D8"/>
    </w:rPr>
  </w:style>
  <w:style w:type="paragraph" w:styleId="Title">
    <w:name w:val="Title"/>
    <w:basedOn w:val="Normal"/>
    <w:next w:val="Normal"/>
    <w:link w:val="TitleChar"/>
    <w:uiPriority w:val="10"/>
    <w:qFormat/>
    <w:rsid w:val="00B706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6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6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6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6EE"/>
    <w:pPr>
      <w:spacing w:before="160"/>
      <w:jc w:val="center"/>
    </w:pPr>
    <w:rPr>
      <w:i/>
      <w:iCs/>
      <w:color w:val="404040" w:themeColor="text1" w:themeTint="BF"/>
    </w:rPr>
  </w:style>
  <w:style w:type="character" w:customStyle="1" w:styleId="QuoteChar">
    <w:name w:val="Quote Char"/>
    <w:basedOn w:val="DefaultParagraphFont"/>
    <w:link w:val="Quote"/>
    <w:uiPriority w:val="29"/>
    <w:rsid w:val="00B706EE"/>
    <w:rPr>
      <w:i/>
      <w:iCs/>
      <w:color w:val="404040" w:themeColor="text1" w:themeTint="BF"/>
    </w:rPr>
  </w:style>
  <w:style w:type="paragraph" w:styleId="ListParagraph">
    <w:name w:val="List Paragraph"/>
    <w:basedOn w:val="Normal"/>
    <w:uiPriority w:val="34"/>
    <w:qFormat/>
    <w:rsid w:val="00B706EE"/>
    <w:pPr>
      <w:ind w:left="720"/>
      <w:contextualSpacing/>
    </w:pPr>
  </w:style>
  <w:style w:type="character" w:styleId="IntenseEmphasis">
    <w:name w:val="Intense Emphasis"/>
    <w:basedOn w:val="DefaultParagraphFont"/>
    <w:uiPriority w:val="21"/>
    <w:qFormat/>
    <w:rsid w:val="00B706EE"/>
    <w:rPr>
      <w:i/>
      <w:iCs/>
      <w:color w:val="0F4761" w:themeColor="accent1" w:themeShade="BF"/>
    </w:rPr>
  </w:style>
  <w:style w:type="paragraph" w:styleId="IntenseQuote">
    <w:name w:val="Intense Quote"/>
    <w:basedOn w:val="Normal"/>
    <w:next w:val="Normal"/>
    <w:link w:val="IntenseQuoteChar"/>
    <w:uiPriority w:val="30"/>
    <w:qFormat/>
    <w:rsid w:val="00B706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6EE"/>
    <w:rPr>
      <w:i/>
      <w:iCs/>
      <w:color w:val="0F4761" w:themeColor="accent1" w:themeShade="BF"/>
    </w:rPr>
  </w:style>
  <w:style w:type="character" w:styleId="IntenseReference">
    <w:name w:val="Intense Reference"/>
    <w:basedOn w:val="DefaultParagraphFont"/>
    <w:uiPriority w:val="32"/>
    <w:qFormat/>
    <w:rsid w:val="00B706EE"/>
    <w:rPr>
      <w:b/>
      <w:bCs/>
      <w:smallCaps/>
      <w:color w:val="0F4761" w:themeColor="accent1" w:themeShade="BF"/>
      <w:spacing w:val="5"/>
    </w:rPr>
  </w:style>
  <w:style w:type="paragraph" w:styleId="NormalWeb">
    <w:name w:val="Normal (Web)"/>
    <w:basedOn w:val="Normal"/>
    <w:uiPriority w:val="99"/>
    <w:semiHidden/>
    <w:unhideWhenUsed/>
    <w:rsid w:val="00B706EE"/>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25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2930</Characters>
  <Application>Microsoft Office Word</Application>
  <DocSecurity>0</DocSecurity>
  <Lines>24</Lines>
  <Paragraphs>6</Paragraphs>
  <ScaleCrop>false</ScaleCrop>
  <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2025-04-28T13:26:00Z</dcterms:created>
  <dcterms:modified xsi:type="dcterms:W3CDTF">2025-04-28T13:27:00Z</dcterms:modified>
</cp:coreProperties>
</file>