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C63A74" w14:textId="77777777" w:rsidR="002A1DFC" w:rsidRPr="002A1DFC" w:rsidRDefault="002A1DFC" w:rsidP="002A1DFC">
      <w:pPr>
        <w:pStyle w:val="IntenseQuote"/>
        <w:rPr>
          <w:sz w:val="28"/>
          <w:szCs w:val="28"/>
        </w:rPr>
      </w:pPr>
      <w:r w:rsidRPr="002A1DFC">
        <w:rPr>
          <w:b/>
          <w:sz w:val="28"/>
          <w:szCs w:val="28"/>
        </w:rPr>
        <w:t xml:space="preserve">Herodotus: </w:t>
      </w:r>
      <w:r w:rsidRPr="002A1DFC">
        <w:rPr>
          <w:sz w:val="28"/>
          <w:szCs w:val="28"/>
        </w:rPr>
        <w:t>An exploration into the strengths and weaknesses of Herodotus’ Histories</w:t>
      </w:r>
    </w:p>
    <w:p w14:paraId="49BD5F5D" w14:textId="77777777" w:rsidR="002A1DFC" w:rsidRDefault="002A1DFC" w:rsidP="00DA6770">
      <w:pPr>
        <w:spacing w:line="360" w:lineRule="auto"/>
        <w:rPr>
          <w:sz w:val="24"/>
        </w:rPr>
      </w:pPr>
      <w:r>
        <w:rPr>
          <w:sz w:val="24"/>
        </w:rPr>
        <w:t xml:space="preserve">The purpose of this essay is to discuss the strengths and weaknesses of Herodotus, focusing on his portrayal of multiple viewpoints as a strength of the Histories and his inclusion of the intervention of the divine or the ‘supernatural’ as a weakness of his historical recordings. </w:t>
      </w:r>
    </w:p>
    <w:p w14:paraId="031E0C96" w14:textId="173A3EFA" w:rsidR="002A1DFC" w:rsidRPr="00FF0814" w:rsidRDefault="002A1DFC" w:rsidP="00DA6770">
      <w:pPr>
        <w:spacing w:line="360" w:lineRule="auto"/>
        <w:rPr>
          <w:sz w:val="24"/>
        </w:rPr>
      </w:pPr>
      <w:r>
        <w:rPr>
          <w:sz w:val="24"/>
        </w:rPr>
        <w:t xml:space="preserve">Firstly, </w:t>
      </w:r>
      <w:r w:rsidR="0047635C">
        <w:rPr>
          <w:sz w:val="24"/>
        </w:rPr>
        <w:t xml:space="preserve">the primary strength of </w:t>
      </w:r>
      <w:r>
        <w:rPr>
          <w:sz w:val="24"/>
        </w:rPr>
        <w:t>Herodotus</w:t>
      </w:r>
      <w:r w:rsidR="0047635C">
        <w:rPr>
          <w:sz w:val="24"/>
        </w:rPr>
        <w:t xml:space="preserve">’s </w:t>
      </w:r>
      <w:r w:rsidR="00FF0814">
        <w:rPr>
          <w:sz w:val="24"/>
        </w:rPr>
        <w:t>work is his inclusion of</w:t>
      </w:r>
      <w:r>
        <w:rPr>
          <w:sz w:val="24"/>
        </w:rPr>
        <w:t xml:space="preserve"> multiple viewpoints regarding the same event. </w:t>
      </w:r>
      <w:r w:rsidR="0047635C">
        <w:rPr>
          <w:sz w:val="24"/>
        </w:rPr>
        <w:t>By focusing on the Persian wars this essay will explore the events Herodotus records for both the Greek and the Persian sides, including councils Xerxes holds with the Persian nobility about his plans for the war, something a Greek historian is unlikely to have had access to personally</w:t>
      </w:r>
      <w:r w:rsidR="00122753">
        <w:rPr>
          <w:rStyle w:val="FootnoteReference"/>
          <w:sz w:val="24"/>
        </w:rPr>
        <w:footnoteReference w:id="1"/>
      </w:r>
      <w:r w:rsidR="0047635C">
        <w:rPr>
          <w:sz w:val="24"/>
        </w:rPr>
        <w:t xml:space="preserve">, </w:t>
      </w:r>
      <w:r w:rsidR="00122753">
        <w:rPr>
          <w:sz w:val="24"/>
        </w:rPr>
        <w:t>. He includes what is presented as a quote from Xerxes on multiple occasions</w:t>
      </w:r>
      <w:r w:rsidR="00122753">
        <w:rPr>
          <w:rStyle w:val="FootnoteReference"/>
          <w:sz w:val="24"/>
        </w:rPr>
        <w:footnoteReference w:id="2"/>
      </w:r>
      <w:r w:rsidR="00122753">
        <w:rPr>
          <w:sz w:val="24"/>
        </w:rPr>
        <w:t xml:space="preserve"> as well as detailed locations from Xerxes</w:t>
      </w:r>
      <w:r w:rsidR="0047635C">
        <w:rPr>
          <w:sz w:val="24"/>
        </w:rPr>
        <w:t>’</w:t>
      </w:r>
      <w:r w:rsidR="00122753">
        <w:rPr>
          <w:sz w:val="24"/>
        </w:rPr>
        <w:t xml:space="preserve"> travels</w:t>
      </w:r>
      <w:r w:rsidR="00122753">
        <w:rPr>
          <w:rStyle w:val="FootnoteReference"/>
          <w:sz w:val="24"/>
        </w:rPr>
        <w:footnoteReference w:id="3"/>
      </w:r>
      <w:r w:rsidR="00122753">
        <w:rPr>
          <w:sz w:val="24"/>
        </w:rPr>
        <w:t xml:space="preserve">. </w:t>
      </w:r>
      <w:r w:rsidR="00A8058D">
        <w:rPr>
          <w:sz w:val="24"/>
        </w:rPr>
        <w:t xml:space="preserve">Herodotus </w:t>
      </w:r>
      <w:r w:rsidR="00FF0814">
        <w:rPr>
          <w:sz w:val="24"/>
        </w:rPr>
        <w:t xml:space="preserve">records multiple views on the same events on </w:t>
      </w:r>
      <w:r w:rsidR="00A8058D">
        <w:rPr>
          <w:sz w:val="24"/>
        </w:rPr>
        <w:t>behalf of the people he heard the stories from not based on his own opinions of the event especially when discussing events that took place in distant lands that he had</w:t>
      </w:r>
      <w:r w:rsidR="0047635C">
        <w:rPr>
          <w:sz w:val="24"/>
        </w:rPr>
        <w:t xml:space="preserve"> </w:t>
      </w:r>
      <w:r w:rsidR="00A8058D">
        <w:rPr>
          <w:sz w:val="24"/>
        </w:rPr>
        <w:t>n</w:t>
      </w:r>
      <w:r w:rsidR="0047635C">
        <w:rPr>
          <w:sz w:val="24"/>
        </w:rPr>
        <w:t>o</w:t>
      </w:r>
      <w:r w:rsidR="00A8058D">
        <w:rPr>
          <w:sz w:val="24"/>
        </w:rPr>
        <w:t>t visited himself</w:t>
      </w:r>
      <w:r w:rsidR="00A8058D">
        <w:rPr>
          <w:rStyle w:val="FootnoteReference"/>
          <w:sz w:val="24"/>
        </w:rPr>
        <w:footnoteReference w:id="4"/>
      </w:r>
      <w:r w:rsidR="00A8058D">
        <w:rPr>
          <w:sz w:val="24"/>
        </w:rPr>
        <w:t xml:space="preserve">, Hart </w:t>
      </w:r>
      <w:r w:rsidR="00FF0814">
        <w:rPr>
          <w:sz w:val="24"/>
        </w:rPr>
        <w:t>views</w:t>
      </w:r>
      <w:r w:rsidR="00A8058D">
        <w:rPr>
          <w:sz w:val="24"/>
        </w:rPr>
        <w:t xml:space="preserve"> Herodotus’ desire to record the multiple versions of events without ‘committing himself to one’</w:t>
      </w:r>
      <w:r w:rsidR="00A8058D">
        <w:rPr>
          <w:rStyle w:val="FootnoteReference"/>
          <w:sz w:val="24"/>
        </w:rPr>
        <w:footnoteReference w:id="5"/>
      </w:r>
      <w:r w:rsidR="00FF0814">
        <w:rPr>
          <w:sz w:val="24"/>
        </w:rPr>
        <w:t xml:space="preserve"> in order to</w:t>
      </w:r>
      <w:r w:rsidR="00A8058D">
        <w:rPr>
          <w:sz w:val="24"/>
        </w:rPr>
        <w:t xml:space="preserve"> allow the </w:t>
      </w:r>
      <w:r w:rsidR="00FF0814">
        <w:rPr>
          <w:sz w:val="24"/>
        </w:rPr>
        <w:t>classical audience</w:t>
      </w:r>
      <w:r w:rsidR="00A8058D">
        <w:rPr>
          <w:sz w:val="24"/>
        </w:rPr>
        <w:t xml:space="preserve"> to determine the sequence of events for themselves. </w:t>
      </w:r>
      <w:r w:rsidR="00FF0814">
        <w:rPr>
          <w:sz w:val="24"/>
        </w:rPr>
        <w:t>This work is</w:t>
      </w:r>
      <w:r w:rsidR="00E559FF">
        <w:rPr>
          <w:sz w:val="24"/>
        </w:rPr>
        <w:t xml:space="preserve"> a</w:t>
      </w:r>
      <w:r w:rsidR="00FF0814">
        <w:rPr>
          <w:sz w:val="24"/>
        </w:rPr>
        <w:t xml:space="preserve"> useful source for a modern</w:t>
      </w:r>
      <w:r w:rsidR="00E559FF">
        <w:rPr>
          <w:sz w:val="24"/>
        </w:rPr>
        <w:t xml:space="preserve"> reader who wished to understand how the forces of the classical world maneuverer around each other</w:t>
      </w:r>
      <w:r w:rsidR="00FF0814">
        <w:rPr>
          <w:sz w:val="24"/>
        </w:rPr>
        <w:t xml:space="preserve"> during times of war</w:t>
      </w:r>
      <w:r w:rsidR="00E559FF">
        <w:rPr>
          <w:sz w:val="24"/>
        </w:rPr>
        <w:t xml:space="preserve"> but the </w:t>
      </w:r>
      <w:r w:rsidR="00FF0814">
        <w:rPr>
          <w:sz w:val="24"/>
        </w:rPr>
        <w:t xml:space="preserve">modern </w:t>
      </w:r>
      <w:r w:rsidR="00E559FF">
        <w:rPr>
          <w:sz w:val="24"/>
        </w:rPr>
        <w:t>reader must be aware of the effect of artistic licence and the way in which the in</w:t>
      </w:r>
      <w:r w:rsidR="00FF0814">
        <w:rPr>
          <w:sz w:val="24"/>
        </w:rPr>
        <w:t>formation is presented in the s</w:t>
      </w:r>
      <w:r w:rsidR="00E559FF">
        <w:rPr>
          <w:sz w:val="24"/>
        </w:rPr>
        <w:t>tories suggest a large story telling element, which will be discussed further shortly.</w:t>
      </w:r>
    </w:p>
    <w:p w14:paraId="32D5888C" w14:textId="09661916" w:rsidR="00122753" w:rsidRDefault="008347BE" w:rsidP="00DA6770">
      <w:pPr>
        <w:spacing w:line="360" w:lineRule="auto"/>
        <w:rPr>
          <w:sz w:val="24"/>
        </w:rPr>
      </w:pPr>
      <w:r>
        <w:rPr>
          <w:sz w:val="24"/>
        </w:rPr>
        <w:t xml:space="preserve">Secondly, </w:t>
      </w:r>
      <w:r w:rsidR="00FF0814">
        <w:rPr>
          <w:sz w:val="24"/>
        </w:rPr>
        <w:t>this essay will identify a weakness in Herodotus’ work that arises from his inclusion of</w:t>
      </w:r>
      <w:r>
        <w:rPr>
          <w:sz w:val="24"/>
        </w:rPr>
        <w:t xml:space="preserve"> themes of divine intervention and the supernatural. Inclusion of the divine adds an aspect of storytelling to the work, </w:t>
      </w:r>
      <w:r w:rsidR="00FF0814">
        <w:rPr>
          <w:sz w:val="24"/>
        </w:rPr>
        <w:t>which for the classical audience would add to the imagery of the oral retelling but causes the modern audience to question how these events unfolded if you remove the idea of divine intervention.</w:t>
      </w:r>
    </w:p>
    <w:p w14:paraId="7EF5A643" w14:textId="77777777" w:rsidR="00FF0814" w:rsidRDefault="008347BE" w:rsidP="00DA6770">
      <w:pPr>
        <w:spacing w:line="360" w:lineRule="auto"/>
        <w:rPr>
          <w:sz w:val="24"/>
        </w:rPr>
      </w:pPr>
      <w:r>
        <w:rPr>
          <w:sz w:val="24"/>
        </w:rPr>
        <w:lastRenderedPageBreak/>
        <w:t>It is due to this flaw in the historical recordings of Herodotus that the works of Thucydides, who is f</w:t>
      </w:r>
      <w:r w:rsidR="00FF0814">
        <w:rPr>
          <w:sz w:val="24"/>
        </w:rPr>
        <w:t>or all intents and purposes an a</w:t>
      </w:r>
      <w:r>
        <w:rPr>
          <w:sz w:val="24"/>
        </w:rPr>
        <w:t>theist h</w:t>
      </w:r>
      <w:r w:rsidR="00A8058D">
        <w:rPr>
          <w:sz w:val="24"/>
        </w:rPr>
        <w:t xml:space="preserve">istorian, </w:t>
      </w:r>
      <w:r w:rsidR="00FF0814">
        <w:rPr>
          <w:sz w:val="24"/>
        </w:rPr>
        <w:t>focusses on</w:t>
      </w:r>
      <w:r>
        <w:rPr>
          <w:sz w:val="24"/>
        </w:rPr>
        <w:t xml:space="preserve"> the acts of men and heavily reliant on numerical figures to support his recordings</w:t>
      </w:r>
      <w:r w:rsidR="00122753">
        <w:rPr>
          <w:rStyle w:val="FootnoteReference"/>
          <w:sz w:val="24"/>
        </w:rPr>
        <w:footnoteReference w:id="6"/>
      </w:r>
      <w:r>
        <w:rPr>
          <w:sz w:val="24"/>
        </w:rPr>
        <w:t>. However, it can be argued that Herodotu</w:t>
      </w:r>
      <w:r w:rsidR="00FF0814">
        <w:rPr>
          <w:sz w:val="24"/>
        </w:rPr>
        <w:t>s is simply writing in the mind-set</w:t>
      </w:r>
      <w:r>
        <w:rPr>
          <w:sz w:val="24"/>
        </w:rPr>
        <w:t xml:space="preserve"> of an author in the fifth century BC, where belief in the divine and fear of divine retribution was a very real concept</w:t>
      </w:r>
      <w:r w:rsidR="00FF0814">
        <w:rPr>
          <w:rStyle w:val="FootnoteReference"/>
          <w:sz w:val="24"/>
        </w:rPr>
        <w:footnoteReference w:id="7"/>
      </w:r>
      <w:r w:rsidR="00FF0814">
        <w:rPr>
          <w:sz w:val="24"/>
        </w:rPr>
        <w:t>.</w:t>
      </w:r>
    </w:p>
    <w:p w14:paraId="44E42EB9" w14:textId="7A3DB75A" w:rsidR="008347BE" w:rsidRPr="00D36049" w:rsidRDefault="00FF0814" w:rsidP="00D36049">
      <w:pPr>
        <w:spacing w:line="360" w:lineRule="auto"/>
        <w:rPr>
          <w:rFonts w:cstheme="minorHAnsi"/>
          <w:sz w:val="24"/>
          <w:szCs w:val="24"/>
        </w:rPr>
      </w:pPr>
      <w:r>
        <w:rPr>
          <w:sz w:val="24"/>
        </w:rPr>
        <w:t>I</w:t>
      </w:r>
      <w:r w:rsidR="00973F39">
        <w:rPr>
          <w:sz w:val="24"/>
        </w:rPr>
        <w:t>n addition, his inclusion of supernatural elements suggest an imagery device as it is highly unlikely phantoms really influenced the characters of the stories Herodotus records</w:t>
      </w:r>
      <w:r w:rsidR="00122753">
        <w:rPr>
          <w:rStyle w:val="FootnoteReference"/>
          <w:sz w:val="24"/>
        </w:rPr>
        <w:footnoteReference w:id="8"/>
      </w:r>
      <w:r>
        <w:rPr>
          <w:sz w:val="24"/>
        </w:rPr>
        <w:t xml:space="preserve">. </w:t>
      </w:r>
      <w:r w:rsidR="00122753">
        <w:rPr>
          <w:sz w:val="24"/>
        </w:rPr>
        <w:t>Momigliano however discusses the idea that his inclusion of the divine</w:t>
      </w:r>
      <w:r w:rsidR="00973F39">
        <w:rPr>
          <w:sz w:val="24"/>
        </w:rPr>
        <w:t xml:space="preserve"> and supernatural elements</w:t>
      </w:r>
      <w:r w:rsidR="00122753">
        <w:rPr>
          <w:sz w:val="24"/>
        </w:rPr>
        <w:t xml:space="preserve"> was an exploitation of Greek thought rather than from</w:t>
      </w:r>
      <w:r w:rsidR="00F66425">
        <w:rPr>
          <w:sz w:val="24"/>
        </w:rPr>
        <w:t xml:space="preserve"> personal</w:t>
      </w:r>
      <w:r w:rsidR="00122753">
        <w:rPr>
          <w:sz w:val="24"/>
        </w:rPr>
        <w:t xml:space="preserve"> belief</w:t>
      </w:r>
      <w:r w:rsidR="00122753">
        <w:rPr>
          <w:rStyle w:val="FootnoteReference"/>
          <w:sz w:val="24"/>
        </w:rPr>
        <w:footnoteReference w:id="9"/>
      </w:r>
      <w:r w:rsidR="008347BE">
        <w:rPr>
          <w:sz w:val="24"/>
        </w:rPr>
        <w:t xml:space="preserve">. Powell discusses a distinction between different categories of what is considered divine in the classical world, from the </w:t>
      </w:r>
      <w:r w:rsidR="00F66425">
        <w:rPr>
          <w:sz w:val="24"/>
        </w:rPr>
        <w:t>Gods to</w:t>
      </w:r>
      <w:r w:rsidR="008347BE">
        <w:rPr>
          <w:sz w:val="24"/>
        </w:rPr>
        <w:t xml:space="preserve"> daemons and heroes</w:t>
      </w:r>
      <w:r w:rsidR="008347BE">
        <w:rPr>
          <w:rStyle w:val="FootnoteReference"/>
          <w:sz w:val="24"/>
        </w:rPr>
        <w:footnoteReference w:id="10"/>
      </w:r>
      <w:r w:rsidR="008347BE">
        <w:rPr>
          <w:sz w:val="24"/>
        </w:rPr>
        <w:t>, with heroes being split into those who lived in the ‘heroic age’ such as the Argonauts</w:t>
      </w:r>
      <w:r w:rsidR="00122753">
        <w:rPr>
          <w:rStyle w:val="FootnoteReference"/>
          <w:sz w:val="24"/>
        </w:rPr>
        <w:footnoteReference w:id="11"/>
      </w:r>
      <w:r w:rsidR="008347BE">
        <w:rPr>
          <w:sz w:val="24"/>
        </w:rPr>
        <w:t xml:space="preserve"> and those who were worshipped after their death as divine such as Heracles</w:t>
      </w:r>
      <w:r w:rsidR="00122753">
        <w:rPr>
          <w:rStyle w:val="FootnoteReference"/>
          <w:sz w:val="24"/>
        </w:rPr>
        <w:footnoteReference w:id="12"/>
      </w:r>
      <w:r w:rsidR="00E559FF">
        <w:rPr>
          <w:sz w:val="24"/>
        </w:rPr>
        <w:t xml:space="preserve"> for example</w:t>
      </w:r>
      <w:r w:rsidR="008347BE">
        <w:rPr>
          <w:sz w:val="24"/>
        </w:rPr>
        <w:t xml:space="preserve">. </w:t>
      </w:r>
      <w:r w:rsidR="00F66425">
        <w:rPr>
          <w:sz w:val="24"/>
        </w:rPr>
        <w:t xml:space="preserve">While I agree these distinctions are useful in modern understanding of the work, </w:t>
      </w:r>
      <w:r w:rsidR="008347BE">
        <w:rPr>
          <w:sz w:val="24"/>
        </w:rPr>
        <w:t>Rudhardt discusses the idea that the modern views of this categories do not mirror those seen by ancient historians</w:t>
      </w:r>
      <w:r w:rsidR="008347BE">
        <w:rPr>
          <w:rStyle w:val="FootnoteReference"/>
          <w:sz w:val="24"/>
        </w:rPr>
        <w:footnoteReference w:id="13"/>
      </w:r>
      <w:r w:rsidR="008347BE">
        <w:rPr>
          <w:sz w:val="24"/>
        </w:rPr>
        <w:t xml:space="preserve"> suggesting that these distinctions are a modern idea and Herodotus would not </w:t>
      </w:r>
      <w:r w:rsidR="00122753">
        <w:rPr>
          <w:sz w:val="24"/>
        </w:rPr>
        <w:t>categorise</w:t>
      </w:r>
      <w:r w:rsidR="008347BE">
        <w:rPr>
          <w:sz w:val="24"/>
        </w:rPr>
        <w:t xml:space="preserve"> the aspects of his supernatural elements in the same way a modern historian would</w:t>
      </w:r>
      <w:r w:rsidR="00F66425">
        <w:rPr>
          <w:sz w:val="24"/>
        </w:rPr>
        <w:t xml:space="preserve">, the latter I would agree with. It is unlikely the historians of the classical period would foresee a </w:t>
      </w:r>
      <w:r w:rsidR="00F66425" w:rsidRPr="00D36049">
        <w:rPr>
          <w:rFonts w:cstheme="minorHAnsi"/>
          <w:sz w:val="24"/>
          <w:szCs w:val="24"/>
        </w:rPr>
        <w:t>time where their gods were not seen as absolute and the idea of divine intervention a novel concept</w:t>
      </w:r>
      <w:r w:rsidR="008347BE" w:rsidRPr="00D36049">
        <w:rPr>
          <w:rFonts w:cstheme="minorHAnsi"/>
          <w:sz w:val="24"/>
          <w:szCs w:val="24"/>
        </w:rPr>
        <w:t xml:space="preserve">. </w:t>
      </w:r>
      <w:r w:rsidR="00122753" w:rsidRPr="00D36049">
        <w:rPr>
          <w:rFonts w:cstheme="minorHAnsi"/>
          <w:sz w:val="24"/>
          <w:szCs w:val="24"/>
        </w:rPr>
        <w:t xml:space="preserve">However, </w:t>
      </w:r>
      <w:r w:rsidR="00F66425" w:rsidRPr="00D36049">
        <w:rPr>
          <w:rFonts w:cstheme="minorHAnsi"/>
          <w:sz w:val="24"/>
          <w:szCs w:val="24"/>
        </w:rPr>
        <w:t xml:space="preserve">Harrison discusses how </w:t>
      </w:r>
      <w:r w:rsidR="00122753" w:rsidRPr="00D36049">
        <w:rPr>
          <w:rFonts w:cstheme="minorHAnsi"/>
          <w:sz w:val="24"/>
          <w:szCs w:val="24"/>
        </w:rPr>
        <w:t>Herodotus draw</w:t>
      </w:r>
      <w:r w:rsidR="00F66425" w:rsidRPr="00D36049">
        <w:rPr>
          <w:rFonts w:cstheme="minorHAnsi"/>
          <w:sz w:val="24"/>
          <w:szCs w:val="24"/>
        </w:rPr>
        <w:t>s</w:t>
      </w:r>
      <w:r w:rsidR="00122753" w:rsidRPr="00D36049">
        <w:rPr>
          <w:rFonts w:cstheme="minorHAnsi"/>
          <w:sz w:val="24"/>
          <w:szCs w:val="24"/>
        </w:rPr>
        <w:t xml:space="preserve"> distinction between mortal</w:t>
      </w:r>
      <w:r w:rsidR="00F66425" w:rsidRPr="00D36049">
        <w:rPr>
          <w:rFonts w:cstheme="minorHAnsi"/>
          <w:sz w:val="24"/>
          <w:szCs w:val="24"/>
        </w:rPr>
        <w:t>s</w:t>
      </w:r>
      <w:r w:rsidR="00122753" w:rsidRPr="00D36049">
        <w:rPr>
          <w:rFonts w:cstheme="minorHAnsi"/>
          <w:sz w:val="24"/>
          <w:szCs w:val="24"/>
        </w:rPr>
        <w:t xml:space="preserve"> and the divine</w:t>
      </w:r>
      <w:r w:rsidR="00122753" w:rsidRPr="00D36049">
        <w:rPr>
          <w:rStyle w:val="FootnoteReference"/>
          <w:rFonts w:cstheme="minorHAnsi"/>
          <w:sz w:val="24"/>
          <w:szCs w:val="24"/>
        </w:rPr>
        <w:footnoteReference w:id="14"/>
      </w:r>
      <w:r w:rsidR="00122753" w:rsidRPr="00D36049">
        <w:rPr>
          <w:rFonts w:cstheme="minorHAnsi"/>
          <w:sz w:val="24"/>
          <w:szCs w:val="24"/>
        </w:rPr>
        <w:t>, commenting on the Egyptians</w:t>
      </w:r>
      <w:r w:rsidR="00F66425" w:rsidRPr="00D36049">
        <w:rPr>
          <w:rFonts w:cstheme="minorHAnsi"/>
          <w:sz w:val="24"/>
          <w:szCs w:val="24"/>
        </w:rPr>
        <w:t>’</w:t>
      </w:r>
      <w:r w:rsidR="00122753" w:rsidRPr="00D36049">
        <w:rPr>
          <w:rFonts w:cstheme="minorHAnsi"/>
          <w:sz w:val="24"/>
          <w:szCs w:val="24"/>
        </w:rPr>
        <w:t xml:space="preserve"> refusal to worship heroes </w:t>
      </w:r>
      <w:r w:rsidR="00F66425" w:rsidRPr="00D36049">
        <w:rPr>
          <w:rFonts w:cstheme="minorHAnsi"/>
          <w:sz w:val="24"/>
          <w:szCs w:val="24"/>
        </w:rPr>
        <w:t>in the same way as they would those considered divine</w:t>
      </w:r>
      <w:r w:rsidR="00122753" w:rsidRPr="00D36049">
        <w:rPr>
          <w:rStyle w:val="FootnoteReference"/>
          <w:rFonts w:cstheme="minorHAnsi"/>
          <w:sz w:val="24"/>
          <w:szCs w:val="24"/>
        </w:rPr>
        <w:footnoteReference w:id="15"/>
      </w:r>
      <w:r w:rsidR="00122753" w:rsidRPr="00D36049">
        <w:rPr>
          <w:rFonts w:cstheme="minorHAnsi"/>
          <w:sz w:val="24"/>
          <w:szCs w:val="24"/>
        </w:rPr>
        <w:t>.</w:t>
      </w:r>
      <w:r w:rsidR="00E559FF" w:rsidRPr="00D36049">
        <w:rPr>
          <w:rFonts w:cstheme="minorHAnsi"/>
          <w:sz w:val="24"/>
          <w:szCs w:val="24"/>
        </w:rPr>
        <w:t xml:space="preserve"> The inclusion of the divine means that there are areas of the events he records which are difficult to determine what actually happened if anything </w:t>
      </w:r>
      <w:r w:rsidR="00E559FF" w:rsidRPr="00D36049">
        <w:rPr>
          <w:rFonts w:cstheme="minorHAnsi"/>
          <w:sz w:val="24"/>
          <w:szCs w:val="24"/>
        </w:rPr>
        <w:lastRenderedPageBreak/>
        <w:t xml:space="preserve">happened at all, begging the issue of artistic license in which Herodotus was able to write what he wished in his work including the so called intervention of the divine. </w:t>
      </w:r>
    </w:p>
    <w:p w14:paraId="00E141D2" w14:textId="77777777" w:rsidR="002F03AB" w:rsidRPr="00D36049" w:rsidRDefault="002F03AB" w:rsidP="00D36049">
      <w:pPr>
        <w:spacing w:line="360" w:lineRule="auto"/>
        <w:rPr>
          <w:rFonts w:cstheme="minorHAnsi"/>
          <w:sz w:val="24"/>
          <w:szCs w:val="24"/>
        </w:rPr>
      </w:pPr>
      <w:r w:rsidRPr="00D36049">
        <w:rPr>
          <w:rFonts w:cstheme="minorHAnsi"/>
          <w:sz w:val="24"/>
          <w:szCs w:val="24"/>
        </w:rPr>
        <w:t xml:space="preserve">This essay has discussed the work of Herodotus in the attempt to identify what is believed to be the key strength and prominent weakness of his recordings in the </w:t>
      </w:r>
      <w:r w:rsidRPr="00D36049">
        <w:rPr>
          <w:rFonts w:cstheme="minorHAnsi"/>
          <w:i/>
          <w:sz w:val="24"/>
          <w:szCs w:val="24"/>
        </w:rPr>
        <w:t xml:space="preserve">Histories. </w:t>
      </w:r>
      <w:r w:rsidRPr="00D36049">
        <w:rPr>
          <w:rFonts w:cstheme="minorHAnsi"/>
          <w:sz w:val="24"/>
          <w:szCs w:val="24"/>
        </w:rPr>
        <w:t xml:space="preserve">Focusing on the multiple viewpoints he records on the events discussed to provide a more well-rounded view of the event and the inclusion of the supernatural element as key evidence in supporting his tendency to be more of a story teller than a historian. </w:t>
      </w:r>
    </w:p>
    <w:p w14:paraId="5CA6BF8C" w14:textId="77777777" w:rsidR="002F03AB" w:rsidRPr="00D36049" w:rsidRDefault="002F03AB" w:rsidP="00D36049">
      <w:pPr>
        <w:spacing w:line="30" w:lineRule="atLeast"/>
        <w:rPr>
          <w:rFonts w:cstheme="minorHAnsi"/>
          <w:sz w:val="24"/>
          <w:szCs w:val="24"/>
        </w:rPr>
      </w:pPr>
    </w:p>
    <w:p w14:paraId="07F13216" w14:textId="29F48BB4" w:rsidR="00973F39" w:rsidRDefault="00973F39" w:rsidP="00D36049">
      <w:pPr>
        <w:spacing w:line="30" w:lineRule="atLeast"/>
        <w:rPr>
          <w:rFonts w:cstheme="minorHAnsi"/>
          <w:b/>
          <w:sz w:val="24"/>
          <w:szCs w:val="24"/>
          <w:u w:val="single"/>
        </w:rPr>
      </w:pPr>
    </w:p>
    <w:p w14:paraId="25A046FE" w14:textId="10D04682" w:rsidR="00D36049" w:rsidRDefault="00D36049" w:rsidP="00D36049">
      <w:pPr>
        <w:spacing w:line="30" w:lineRule="atLeast"/>
        <w:rPr>
          <w:rFonts w:cstheme="minorHAnsi"/>
          <w:b/>
          <w:sz w:val="24"/>
          <w:szCs w:val="24"/>
          <w:u w:val="single"/>
        </w:rPr>
      </w:pPr>
    </w:p>
    <w:p w14:paraId="212DA09A" w14:textId="6E76F056" w:rsidR="00D36049" w:rsidRDefault="00D36049" w:rsidP="00D36049">
      <w:pPr>
        <w:spacing w:line="30" w:lineRule="atLeast"/>
        <w:rPr>
          <w:rFonts w:cstheme="minorHAnsi"/>
          <w:b/>
          <w:sz w:val="24"/>
          <w:szCs w:val="24"/>
          <w:u w:val="single"/>
        </w:rPr>
      </w:pPr>
    </w:p>
    <w:p w14:paraId="63EEFC84" w14:textId="625A35BC" w:rsidR="00D36049" w:rsidRDefault="00D36049" w:rsidP="00D36049">
      <w:pPr>
        <w:spacing w:line="30" w:lineRule="atLeast"/>
        <w:rPr>
          <w:rFonts w:cstheme="minorHAnsi"/>
          <w:b/>
          <w:sz w:val="24"/>
          <w:szCs w:val="24"/>
          <w:u w:val="single"/>
        </w:rPr>
      </w:pPr>
    </w:p>
    <w:p w14:paraId="39CC48B6" w14:textId="6D0E38AB" w:rsidR="00D36049" w:rsidRDefault="00D36049" w:rsidP="00D36049">
      <w:pPr>
        <w:spacing w:line="30" w:lineRule="atLeast"/>
        <w:rPr>
          <w:rFonts w:cstheme="minorHAnsi"/>
          <w:b/>
          <w:sz w:val="24"/>
          <w:szCs w:val="24"/>
          <w:u w:val="single"/>
        </w:rPr>
      </w:pPr>
    </w:p>
    <w:p w14:paraId="55A0EE0F" w14:textId="19D98BB2" w:rsidR="00D36049" w:rsidRDefault="00D36049" w:rsidP="00D36049">
      <w:pPr>
        <w:spacing w:line="30" w:lineRule="atLeast"/>
        <w:rPr>
          <w:rFonts w:cstheme="minorHAnsi"/>
          <w:b/>
          <w:sz w:val="24"/>
          <w:szCs w:val="24"/>
          <w:u w:val="single"/>
        </w:rPr>
      </w:pPr>
    </w:p>
    <w:p w14:paraId="49D0E1C3" w14:textId="6D71D539" w:rsidR="00D36049" w:rsidRDefault="00D36049" w:rsidP="00D36049">
      <w:pPr>
        <w:spacing w:line="30" w:lineRule="atLeast"/>
        <w:rPr>
          <w:rFonts w:cstheme="minorHAnsi"/>
          <w:b/>
          <w:sz w:val="24"/>
          <w:szCs w:val="24"/>
          <w:u w:val="single"/>
        </w:rPr>
      </w:pPr>
    </w:p>
    <w:p w14:paraId="430DCE50" w14:textId="03B0AE67" w:rsidR="00D36049" w:rsidRDefault="00D36049" w:rsidP="00D36049">
      <w:pPr>
        <w:spacing w:line="30" w:lineRule="atLeast"/>
        <w:rPr>
          <w:rFonts w:cstheme="minorHAnsi"/>
          <w:b/>
          <w:sz w:val="24"/>
          <w:szCs w:val="24"/>
          <w:u w:val="single"/>
        </w:rPr>
      </w:pPr>
    </w:p>
    <w:p w14:paraId="2C1F6901" w14:textId="4C0C1F0F" w:rsidR="00D36049" w:rsidRDefault="00D36049" w:rsidP="00D36049">
      <w:pPr>
        <w:spacing w:line="30" w:lineRule="atLeast"/>
        <w:rPr>
          <w:rFonts w:cstheme="minorHAnsi"/>
          <w:b/>
          <w:sz w:val="24"/>
          <w:szCs w:val="24"/>
          <w:u w:val="single"/>
        </w:rPr>
      </w:pPr>
    </w:p>
    <w:p w14:paraId="0810582C" w14:textId="76133BAA" w:rsidR="00D36049" w:rsidRDefault="00D36049" w:rsidP="00D36049">
      <w:pPr>
        <w:spacing w:line="30" w:lineRule="atLeast"/>
        <w:rPr>
          <w:rFonts w:cstheme="minorHAnsi"/>
          <w:b/>
          <w:sz w:val="24"/>
          <w:szCs w:val="24"/>
          <w:u w:val="single"/>
        </w:rPr>
      </w:pPr>
    </w:p>
    <w:p w14:paraId="5AE4E4FD" w14:textId="1A319E0C" w:rsidR="00D36049" w:rsidRDefault="00D36049" w:rsidP="00D36049">
      <w:pPr>
        <w:spacing w:line="30" w:lineRule="atLeast"/>
        <w:rPr>
          <w:rFonts w:cstheme="minorHAnsi"/>
          <w:b/>
          <w:sz w:val="24"/>
          <w:szCs w:val="24"/>
          <w:u w:val="single"/>
        </w:rPr>
      </w:pPr>
    </w:p>
    <w:p w14:paraId="7C88E78E" w14:textId="2B283171" w:rsidR="00D36049" w:rsidRDefault="00D36049" w:rsidP="00D36049">
      <w:pPr>
        <w:spacing w:line="30" w:lineRule="atLeast"/>
        <w:rPr>
          <w:rFonts w:cstheme="minorHAnsi"/>
          <w:b/>
          <w:sz w:val="24"/>
          <w:szCs w:val="24"/>
          <w:u w:val="single"/>
        </w:rPr>
      </w:pPr>
    </w:p>
    <w:p w14:paraId="3FFD8375" w14:textId="7BA8FD50" w:rsidR="00D36049" w:rsidRDefault="00D36049" w:rsidP="00D36049">
      <w:pPr>
        <w:spacing w:line="30" w:lineRule="atLeast"/>
        <w:rPr>
          <w:rFonts w:cstheme="minorHAnsi"/>
          <w:b/>
          <w:sz w:val="24"/>
          <w:szCs w:val="24"/>
          <w:u w:val="single"/>
        </w:rPr>
      </w:pPr>
    </w:p>
    <w:p w14:paraId="1D0ACFCA" w14:textId="42D2373F" w:rsidR="00D36049" w:rsidRDefault="00D36049" w:rsidP="00D36049">
      <w:pPr>
        <w:spacing w:line="30" w:lineRule="atLeast"/>
        <w:rPr>
          <w:rFonts w:cstheme="minorHAnsi"/>
          <w:b/>
          <w:sz w:val="24"/>
          <w:szCs w:val="24"/>
          <w:u w:val="single"/>
        </w:rPr>
      </w:pPr>
    </w:p>
    <w:p w14:paraId="159E54F0" w14:textId="762D47FC" w:rsidR="00D36049" w:rsidRDefault="00D36049" w:rsidP="00D36049">
      <w:pPr>
        <w:spacing w:line="30" w:lineRule="atLeast"/>
        <w:rPr>
          <w:rFonts w:cstheme="minorHAnsi"/>
          <w:b/>
          <w:sz w:val="24"/>
          <w:szCs w:val="24"/>
          <w:u w:val="single"/>
        </w:rPr>
      </w:pPr>
    </w:p>
    <w:p w14:paraId="422F95B8" w14:textId="368F8165" w:rsidR="00D36049" w:rsidRDefault="00D36049" w:rsidP="00D36049">
      <w:pPr>
        <w:spacing w:line="30" w:lineRule="atLeast"/>
        <w:rPr>
          <w:rFonts w:cstheme="minorHAnsi"/>
          <w:b/>
          <w:sz w:val="24"/>
          <w:szCs w:val="24"/>
          <w:u w:val="single"/>
        </w:rPr>
      </w:pPr>
    </w:p>
    <w:p w14:paraId="3A63D975" w14:textId="239A2836" w:rsidR="00D36049" w:rsidRDefault="00D36049" w:rsidP="00D36049">
      <w:pPr>
        <w:spacing w:line="30" w:lineRule="atLeast"/>
        <w:rPr>
          <w:rFonts w:cstheme="minorHAnsi"/>
          <w:b/>
          <w:sz w:val="24"/>
          <w:szCs w:val="24"/>
          <w:u w:val="single"/>
        </w:rPr>
      </w:pPr>
    </w:p>
    <w:p w14:paraId="6C0556C3" w14:textId="23DE6B0E" w:rsidR="00D36049" w:rsidRDefault="00D36049" w:rsidP="00D36049">
      <w:pPr>
        <w:spacing w:line="30" w:lineRule="atLeast"/>
        <w:rPr>
          <w:rFonts w:cstheme="minorHAnsi"/>
          <w:b/>
          <w:sz w:val="24"/>
          <w:szCs w:val="24"/>
          <w:u w:val="single"/>
        </w:rPr>
      </w:pPr>
    </w:p>
    <w:p w14:paraId="26BDC770" w14:textId="5998D4E0" w:rsidR="00D36049" w:rsidRDefault="00D36049" w:rsidP="00D36049">
      <w:pPr>
        <w:spacing w:line="30" w:lineRule="atLeast"/>
        <w:rPr>
          <w:rFonts w:cstheme="minorHAnsi"/>
          <w:b/>
          <w:sz w:val="24"/>
          <w:szCs w:val="24"/>
          <w:u w:val="single"/>
        </w:rPr>
      </w:pPr>
    </w:p>
    <w:p w14:paraId="572B7043" w14:textId="387EA0D8" w:rsidR="00D36049" w:rsidRDefault="00D36049" w:rsidP="00D36049">
      <w:pPr>
        <w:spacing w:line="30" w:lineRule="atLeast"/>
        <w:rPr>
          <w:rFonts w:cstheme="minorHAnsi"/>
          <w:b/>
          <w:sz w:val="24"/>
          <w:szCs w:val="24"/>
          <w:u w:val="single"/>
        </w:rPr>
      </w:pPr>
    </w:p>
    <w:p w14:paraId="6CED4486" w14:textId="656AC283" w:rsidR="00D36049" w:rsidRDefault="00D36049" w:rsidP="00D36049">
      <w:pPr>
        <w:spacing w:line="30" w:lineRule="atLeast"/>
        <w:rPr>
          <w:rFonts w:cstheme="minorHAnsi"/>
          <w:b/>
          <w:sz w:val="24"/>
          <w:szCs w:val="24"/>
          <w:u w:val="single"/>
        </w:rPr>
      </w:pPr>
    </w:p>
    <w:p w14:paraId="4BB502EA" w14:textId="77777777" w:rsidR="00D36049" w:rsidRPr="00D36049" w:rsidRDefault="00D36049" w:rsidP="00D36049">
      <w:pPr>
        <w:spacing w:line="30" w:lineRule="atLeast"/>
        <w:rPr>
          <w:rFonts w:cstheme="minorHAnsi"/>
          <w:b/>
          <w:sz w:val="24"/>
          <w:szCs w:val="24"/>
          <w:u w:val="single"/>
        </w:rPr>
      </w:pPr>
    </w:p>
    <w:p w14:paraId="487EF3FE" w14:textId="188380CF" w:rsidR="002F03AB" w:rsidRPr="00D36049" w:rsidRDefault="002F03AB" w:rsidP="00D36049">
      <w:pPr>
        <w:spacing w:line="30" w:lineRule="atLeast"/>
        <w:rPr>
          <w:rFonts w:cstheme="minorHAnsi"/>
          <w:b/>
          <w:sz w:val="28"/>
          <w:szCs w:val="24"/>
          <w:u w:val="single"/>
        </w:rPr>
      </w:pPr>
      <w:r w:rsidRPr="00D36049">
        <w:rPr>
          <w:rFonts w:cstheme="minorHAnsi"/>
          <w:b/>
          <w:sz w:val="28"/>
          <w:szCs w:val="24"/>
          <w:u w:val="single"/>
        </w:rPr>
        <w:lastRenderedPageBreak/>
        <w:t>Bibliography</w:t>
      </w:r>
    </w:p>
    <w:p w14:paraId="49633CCD" w14:textId="77777777" w:rsidR="002F03AB" w:rsidRPr="00D36049" w:rsidRDefault="002F03AB" w:rsidP="00D36049">
      <w:pPr>
        <w:spacing w:line="30" w:lineRule="atLeast"/>
        <w:rPr>
          <w:rFonts w:cstheme="minorHAnsi"/>
          <w:b/>
          <w:sz w:val="24"/>
          <w:szCs w:val="24"/>
          <w:u w:val="single"/>
        </w:rPr>
      </w:pPr>
      <w:r w:rsidRPr="00D36049">
        <w:rPr>
          <w:rFonts w:cstheme="minorHAnsi"/>
          <w:b/>
          <w:sz w:val="24"/>
          <w:szCs w:val="24"/>
          <w:u w:val="single"/>
        </w:rPr>
        <w:t>Ancient Sources:</w:t>
      </w:r>
    </w:p>
    <w:p w14:paraId="5B8FA48C" w14:textId="30A877D6" w:rsidR="00D36049" w:rsidRPr="00D36049" w:rsidRDefault="00D36049" w:rsidP="00D36049">
      <w:pPr>
        <w:spacing w:line="30" w:lineRule="atLeast"/>
        <w:rPr>
          <w:rFonts w:cstheme="minorHAnsi"/>
          <w:sz w:val="24"/>
          <w:szCs w:val="24"/>
        </w:rPr>
      </w:pPr>
      <w:r w:rsidRPr="00D36049">
        <w:rPr>
          <w:rFonts w:cstheme="minorHAnsi"/>
          <w:sz w:val="24"/>
          <w:szCs w:val="24"/>
        </w:rPr>
        <w:t xml:space="preserve">Aeschylus, </w:t>
      </w:r>
      <w:r w:rsidRPr="00D36049">
        <w:rPr>
          <w:rFonts w:cstheme="minorHAnsi"/>
          <w:i/>
          <w:sz w:val="24"/>
          <w:szCs w:val="24"/>
        </w:rPr>
        <w:t>Eumenides.</w:t>
      </w:r>
      <w:r w:rsidRPr="00D36049">
        <w:rPr>
          <w:rFonts w:cstheme="minorHAnsi"/>
          <w:sz w:val="24"/>
          <w:szCs w:val="24"/>
        </w:rPr>
        <w:t xml:space="preserve"> H.W. Smyth. (</w:t>
      </w:r>
      <w:proofErr w:type="gramStart"/>
      <w:r w:rsidRPr="00D36049">
        <w:rPr>
          <w:rFonts w:cstheme="minorHAnsi"/>
          <w:sz w:val="24"/>
          <w:szCs w:val="24"/>
        </w:rPr>
        <w:t>trans</w:t>
      </w:r>
      <w:proofErr w:type="gramEnd"/>
      <w:r w:rsidRPr="00D36049">
        <w:rPr>
          <w:rFonts w:cstheme="minorHAnsi"/>
          <w:sz w:val="24"/>
          <w:szCs w:val="24"/>
        </w:rPr>
        <w:t>.). 1926. Cambridge: Harvard University Press.</w:t>
      </w:r>
    </w:p>
    <w:p w14:paraId="7F206307" w14:textId="3632F28C" w:rsidR="002F03AB" w:rsidRPr="00D36049" w:rsidRDefault="002F03AB" w:rsidP="00D36049">
      <w:pPr>
        <w:spacing w:line="30" w:lineRule="atLeast"/>
        <w:rPr>
          <w:rFonts w:cstheme="minorHAnsi"/>
          <w:sz w:val="24"/>
          <w:szCs w:val="24"/>
        </w:rPr>
      </w:pPr>
      <w:r w:rsidRPr="00D36049">
        <w:rPr>
          <w:rFonts w:cstheme="minorHAnsi"/>
          <w:sz w:val="24"/>
          <w:szCs w:val="24"/>
        </w:rPr>
        <w:t xml:space="preserve">Herodotus, </w:t>
      </w:r>
      <w:proofErr w:type="gramStart"/>
      <w:r w:rsidRPr="00D36049">
        <w:rPr>
          <w:rFonts w:cstheme="minorHAnsi"/>
          <w:i/>
          <w:sz w:val="24"/>
          <w:szCs w:val="24"/>
        </w:rPr>
        <w:t>The</w:t>
      </w:r>
      <w:proofErr w:type="gramEnd"/>
      <w:r w:rsidRPr="00D36049">
        <w:rPr>
          <w:rFonts w:cstheme="minorHAnsi"/>
          <w:i/>
          <w:sz w:val="24"/>
          <w:szCs w:val="24"/>
        </w:rPr>
        <w:t xml:space="preserve"> Histories</w:t>
      </w:r>
      <w:r w:rsidRPr="00D36049">
        <w:rPr>
          <w:rFonts w:cstheme="minorHAnsi"/>
          <w:sz w:val="24"/>
          <w:szCs w:val="24"/>
        </w:rPr>
        <w:t>. A.D. Godley. (</w:t>
      </w:r>
      <w:proofErr w:type="gramStart"/>
      <w:r w:rsidRPr="00D36049">
        <w:rPr>
          <w:rFonts w:cstheme="minorHAnsi"/>
          <w:sz w:val="24"/>
          <w:szCs w:val="24"/>
        </w:rPr>
        <w:t>trans</w:t>
      </w:r>
      <w:proofErr w:type="gramEnd"/>
      <w:r w:rsidRPr="00D36049">
        <w:rPr>
          <w:rFonts w:cstheme="minorHAnsi"/>
          <w:sz w:val="24"/>
          <w:szCs w:val="24"/>
        </w:rPr>
        <w:t>.). 1920. Cambridge: Harvard University Press.</w:t>
      </w:r>
    </w:p>
    <w:p w14:paraId="18840C97" w14:textId="77777777" w:rsidR="00403090" w:rsidRPr="00D36049" w:rsidRDefault="00403090" w:rsidP="00D36049">
      <w:pPr>
        <w:spacing w:line="30" w:lineRule="atLeast"/>
        <w:rPr>
          <w:rFonts w:cstheme="minorHAnsi"/>
          <w:sz w:val="24"/>
          <w:szCs w:val="24"/>
        </w:rPr>
      </w:pPr>
      <w:r w:rsidRPr="00D36049">
        <w:rPr>
          <w:rFonts w:cstheme="minorHAnsi"/>
          <w:sz w:val="24"/>
          <w:szCs w:val="24"/>
        </w:rPr>
        <w:t>Thucydides, History of the Peloponnesian War. B. Jowett (</w:t>
      </w:r>
      <w:proofErr w:type="gramStart"/>
      <w:r w:rsidRPr="00D36049">
        <w:rPr>
          <w:rFonts w:cstheme="minorHAnsi"/>
          <w:sz w:val="24"/>
          <w:szCs w:val="24"/>
        </w:rPr>
        <w:t>trans</w:t>
      </w:r>
      <w:proofErr w:type="gramEnd"/>
      <w:r w:rsidRPr="00D36049">
        <w:rPr>
          <w:rFonts w:cstheme="minorHAnsi"/>
          <w:sz w:val="24"/>
          <w:szCs w:val="24"/>
        </w:rPr>
        <w:t>.). 1881. Oxford: Clarendon Press.</w:t>
      </w:r>
    </w:p>
    <w:p w14:paraId="1CE3B8E0" w14:textId="77777777" w:rsidR="002F03AB" w:rsidRPr="00D36049" w:rsidRDefault="002F03AB" w:rsidP="00D36049">
      <w:pPr>
        <w:spacing w:line="30" w:lineRule="atLeast"/>
        <w:rPr>
          <w:rFonts w:cstheme="minorHAnsi"/>
          <w:b/>
          <w:sz w:val="24"/>
          <w:szCs w:val="24"/>
          <w:u w:val="single"/>
        </w:rPr>
      </w:pPr>
    </w:p>
    <w:p w14:paraId="67382FCE" w14:textId="77777777" w:rsidR="002F03AB" w:rsidRPr="00D36049" w:rsidRDefault="002F03AB" w:rsidP="00D36049">
      <w:pPr>
        <w:spacing w:line="30" w:lineRule="atLeast"/>
        <w:rPr>
          <w:rFonts w:cstheme="minorHAnsi"/>
          <w:b/>
          <w:sz w:val="24"/>
          <w:szCs w:val="24"/>
          <w:u w:val="single"/>
        </w:rPr>
      </w:pPr>
      <w:r w:rsidRPr="00D36049">
        <w:rPr>
          <w:rFonts w:cstheme="minorHAnsi"/>
          <w:b/>
          <w:sz w:val="24"/>
          <w:szCs w:val="24"/>
          <w:u w:val="single"/>
        </w:rPr>
        <w:t>Modern Sources:</w:t>
      </w:r>
    </w:p>
    <w:p w14:paraId="718EE825" w14:textId="77777777" w:rsidR="002F03AB" w:rsidRPr="00D36049" w:rsidRDefault="002F03AB" w:rsidP="00D36049">
      <w:pPr>
        <w:spacing w:line="30" w:lineRule="atLeast"/>
        <w:rPr>
          <w:rFonts w:cstheme="minorHAnsi"/>
          <w:sz w:val="24"/>
          <w:szCs w:val="24"/>
        </w:rPr>
      </w:pPr>
      <w:r w:rsidRPr="00D36049">
        <w:rPr>
          <w:rFonts w:cstheme="minorHAnsi"/>
          <w:sz w:val="24"/>
          <w:szCs w:val="24"/>
        </w:rPr>
        <w:t xml:space="preserve">Harrison, T. 2000. </w:t>
      </w:r>
      <w:r w:rsidRPr="00D36049">
        <w:rPr>
          <w:rFonts w:cstheme="minorHAnsi"/>
          <w:i/>
          <w:sz w:val="24"/>
          <w:szCs w:val="24"/>
        </w:rPr>
        <w:t xml:space="preserve">Divinity and History; </w:t>
      </w:r>
      <w:proofErr w:type="gramStart"/>
      <w:r w:rsidRPr="00D36049">
        <w:rPr>
          <w:rFonts w:cstheme="minorHAnsi"/>
          <w:i/>
          <w:sz w:val="24"/>
          <w:szCs w:val="24"/>
        </w:rPr>
        <w:t>The</w:t>
      </w:r>
      <w:proofErr w:type="gramEnd"/>
      <w:r w:rsidRPr="00D36049">
        <w:rPr>
          <w:rFonts w:cstheme="minorHAnsi"/>
          <w:i/>
          <w:sz w:val="24"/>
          <w:szCs w:val="24"/>
        </w:rPr>
        <w:t xml:space="preserve"> religion of Herodotus.</w:t>
      </w:r>
      <w:r w:rsidRPr="00D36049">
        <w:rPr>
          <w:rFonts w:cstheme="minorHAnsi"/>
          <w:sz w:val="24"/>
          <w:szCs w:val="24"/>
        </w:rPr>
        <w:t xml:space="preserve"> Oxford: Clarendon Press. </w:t>
      </w:r>
    </w:p>
    <w:p w14:paraId="126CCC61" w14:textId="0B0103B8" w:rsidR="002F03AB" w:rsidRDefault="002F03AB" w:rsidP="00D36049">
      <w:pPr>
        <w:spacing w:line="30" w:lineRule="atLeast"/>
        <w:rPr>
          <w:rFonts w:cstheme="minorHAnsi"/>
          <w:sz w:val="24"/>
          <w:szCs w:val="24"/>
        </w:rPr>
      </w:pPr>
      <w:r w:rsidRPr="00D36049">
        <w:rPr>
          <w:rFonts w:cstheme="minorHAnsi"/>
          <w:sz w:val="24"/>
          <w:szCs w:val="24"/>
        </w:rPr>
        <w:t xml:space="preserve">Hart, J. 1982. </w:t>
      </w:r>
      <w:r w:rsidRPr="00D36049">
        <w:rPr>
          <w:rFonts w:cstheme="minorHAnsi"/>
          <w:i/>
          <w:sz w:val="24"/>
          <w:szCs w:val="24"/>
        </w:rPr>
        <w:t xml:space="preserve">Herodotus and Greek History. </w:t>
      </w:r>
      <w:r w:rsidRPr="00D36049">
        <w:rPr>
          <w:rFonts w:cstheme="minorHAnsi"/>
          <w:sz w:val="24"/>
          <w:szCs w:val="24"/>
        </w:rPr>
        <w:t xml:space="preserve">London: </w:t>
      </w:r>
      <w:proofErr w:type="spellStart"/>
      <w:r w:rsidRPr="00D36049">
        <w:rPr>
          <w:rFonts w:cstheme="minorHAnsi"/>
          <w:sz w:val="24"/>
          <w:szCs w:val="24"/>
        </w:rPr>
        <w:t>Croom</w:t>
      </w:r>
      <w:proofErr w:type="spellEnd"/>
      <w:r w:rsidRPr="00D36049">
        <w:rPr>
          <w:rFonts w:cstheme="minorHAnsi"/>
          <w:sz w:val="24"/>
          <w:szCs w:val="24"/>
        </w:rPr>
        <w:t xml:space="preserve"> Helm Ltd. </w:t>
      </w:r>
    </w:p>
    <w:p w14:paraId="40F86437" w14:textId="1108B019" w:rsidR="00D36049" w:rsidRPr="00625DC2" w:rsidRDefault="00D36049" w:rsidP="00D36049">
      <w:pPr>
        <w:spacing w:line="30" w:lineRule="atLeast"/>
        <w:rPr>
          <w:rFonts w:cstheme="minorHAnsi"/>
          <w:sz w:val="24"/>
          <w:szCs w:val="24"/>
        </w:rPr>
      </w:pPr>
      <w:r>
        <w:rPr>
          <w:rFonts w:cstheme="minorHAnsi"/>
          <w:sz w:val="24"/>
          <w:szCs w:val="24"/>
        </w:rPr>
        <w:t xml:space="preserve">Momigliano, A. </w:t>
      </w:r>
      <w:r w:rsidR="00625DC2">
        <w:rPr>
          <w:rFonts w:cstheme="minorHAnsi"/>
          <w:sz w:val="24"/>
          <w:szCs w:val="24"/>
        </w:rPr>
        <w:t xml:space="preserve">1966. </w:t>
      </w:r>
      <w:r w:rsidR="00625DC2">
        <w:rPr>
          <w:rFonts w:cstheme="minorHAnsi"/>
          <w:i/>
          <w:sz w:val="24"/>
          <w:szCs w:val="24"/>
        </w:rPr>
        <w:t xml:space="preserve">Studies in Historiography. </w:t>
      </w:r>
      <w:r w:rsidR="00625DC2" w:rsidRPr="00625DC2">
        <w:rPr>
          <w:rFonts w:cstheme="minorHAnsi"/>
          <w:sz w:val="24"/>
          <w:szCs w:val="24"/>
        </w:rPr>
        <w:t xml:space="preserve">London: </w:t>
      </w:r>
      <w:proofErr w:type="spellStart"/>
      <w:r w:rsidR="00625DC2" w:rsidRPr="00625DC2">
        <w:rPr>
          <w:rFonts w:cstheme="minorHAnsi"/>
          <w:color w:val="000000"/>
          <w:sz w:val="24"/>
          <w:szCs w:val="24"/>
        </w:rPr>
        <w:t>Weidenfeld</w:t>
      </w:r>
      <w:proofErr w:type="spellEnd"/>
      <w:r w:rsidR="00625DC2" w:rsidRPr="00625DC2">
        <w:rPr>
          <w:rFonts w:cstheme="minorHAnsi"/>
          <w:color w:val="000000"/>
          <w:sz w:val="24"/>
          <w:szCs w:val="24"/>
        </w:rPr>
        <w:t xml:space="preserve"> and Nicolson</w:t>
      </w:r>
      <w:r w:rsidR="00625DC2">
        <w:rPr>
          <w:rFonts w:cstheme="minorHAnsi"/>
          <w:color w:val="000000"/>
          <w:sz w:val="24"/>
          <w:szCs w:val="24"/>
        </w:rPr>
        <w:t>.</w:t>
      </w:r>
      <w:bookmarkStart w:id="0" w:name="_GoBack"/>
      <w:bookmarkEnd w:id="0"/>
    </w:p>
    <w:p w14:paraId="72E95F4E" w14:textId="2B218DFE" w:rsidR="002F03AB" w:rsidRPr="00D36049" w:rsidRDefault="002F03AB" w:rsidP="00D36049">
      <w:pPr>
        <w:spacing w:line="30" w:lineRule="atLeast"/>
        <w:rPr>
          <w:rFonts w:cstheme="minorHAnsi"/>
          <w:sz w:val="24"/>
          <w:szCs w:val="24"/>
        </w:rPr>
      </w:pPr>
      <w:r w:rsidRPr="00D36049">
        <w:rPr>
          <w:rFonts w:cstheme="minorHAnsi"/>
          <w:sz w:val="24"/>
          <w:szCs w:val="24"/>
        </w:rPr>
        <w:t xml:space="preserve">Powell, J.E. 1977. </w:t>
      </w:r>
      <w:r w:rsidRPr="00D36049">
        <w:rPr>
          <w:rFonts w:cstheme="minorHAnsi"/>
          <w:i/>
          <w:sz w:val="24"/>
          <w:szCs w:val="24"/>
        </w:rPr>
        <w:t>Lexicon to Herodotus.</w:t>
      </w:r>
      <w:r w:rsidRPr="00D36049">
        <w:rPr>
          <w:rFonts w:cstheme="minorHAnsi"/>
          <w:sz w:val="24"/>
          <w:szCs w:val="24"/>
        </w:rPr>
        <w:t xml:space="preserve"> </w:t>
      </w:r>
      <w:r w:rsidR="00403090" w:rsidRPr="00D36049">
        <w:rPr>
          <w:rFonts w:cstheme="minorHAnsi"/>
          <w:sz w:val="24"/>
          <w:szCs w:val="24"/>
        </w:rPr>
        <w:t>Germany: Georg Olms Publishers.</w:t>
      </w:r>
    </w:p>
    <w:p w14:paraId="415108AA" w14:textId="178019F2" w:rsidR="00D36049" w:rsidRPr="00D36049" w:rsidRDefault="00D36049" w:rsidP="00D36049">
      <w:pPr>
        <w:spacing w:line="30" w:lineRule="atLeast"/>
        <w:rPr>
          <w:rFonts w:cstheme="minorHAnsi"/>
          <w:i/>
          <w:sz w:val="24"/>
          <w:szCs w:val="24"/>
        </w:rPr>
      </w:pPr>
      <w:r w:rsidRPr="00D36049">
        <w:rPr>
          <w:rFonts w:cstheme="minorHAnsi"/>
          <w:sz w:val="24"/>
          <w:szCs w:val="24"/>
        </w:rPr>
        <w:t xml:space="preserve">Rudhardt, J. 1981. ‘Sur la </w:t>
      </w:r>
      <w:proofErr w:type="spellStart"/>
      <w:r w:rsidRPr="00D36049">
        <w:rPr>
          <w:rFonts w:cstheme="minorHAnsi"/>
          <w:sz w:val="24"/>
          <w:szCs w:val="24"/>
        </w:rPr>
        <w:t>possibilité</w:t>
      </w:r>
      <w:proofErr w:type="spellEnd"/>
      <w:r w:rsidRPr="00D36049">
        <w:rPr>
          <w:rFonts w:cstheme="minorHAnsi"/>
          <w:sz w:val="24"/>
          <w:szCs w:val="24"/>
        </w:rPr>
        <w:t xml:space="preserve"> de </w:t>
      </w:r>
      <w:proofErr w:type="spellStart"/>
      <w:r w:rsidRPr="00D36049">
        <w:rPr>
          <w:rFonts w:cstheme="minorHAnsi"/>
          <w:sz w:val="24"/>
          <w:szCs w:val="24"/>
        </w:rPr>
        <w:t>comprendre</w:t>
      </w:r>
      <w:proofErr w:type="spellEnd"/>
      <w:r w:rsidRPr="00D36049">
        <w:rPr>
          <w:rFonts w:cstheme="minorHAnsi"/>
          <w:sz w:val="24"/>
          <w:szCs w:val="24"/>
        </w:rPr>
        <w:t xml:space="preserve"> </w:t>
      </w:r>
      <w:proofErr w:type="spellStart"/>
      <w:r w:rsidRPr="00D36049">
        <w:rPr>
          <w:rFonts w:cstheme="minorHAnsi"/>
          <w:sz w:val="24"/>
          <w:szCs w:val="24"/>
        </w:rPr>
        <w:t>une</w:t>
      </w:r>
      <w:proofErr w:type="spellEnd"/>
      <w:r w:rsidRPr="00D36049">
        <w:rPr>
          <w:rFonts w:cstheme="minorHAnsi"/>
          <w:sz w:val="24"/>
          <w:szCs w:val="24"/>
        </w:rPr>
        <w:t xml:space="preserve"> religion antique’, </w:t>
      </w:r>
      <w:r w:rsidRPr="00D36049">
        <w:rPr>
          <w:rFonts w:cstheme="minorHAnsi"/>
          <w:i/>
          <w:sz w:val="24"/>
          <w:szCs w:val="24"/>
        </w:rPr>
        <w:t xml:space="preserve">Du </w:t>
      </w:r>
      <w:proofErr w:type="spellStart"/>
      <w:r w:rsidRPr="00D36049">
        <w:rPr>
          <w:rFonts w:cstheme="minorHAnsi"/>
          <w:i/>
          <w:sz w:val="24"/>
          <w:szCs w:val="24"/>
        </w:rPr>
        <w:t>mythe</w:t>
      </w:r>
      <w:proofErr w:type="spellEnd"/>
      <w:r w:rsidRPr="00D36049">
        <w:rPr>
          <w:rFonts w:cstheme="minorHAnsi"/>
          <w:i/>
          <w:sz w:val="24"/>
          <w:szCs w:val="24"/>
        </w:rPr>
        <w:t xml:space="preserve">, de la religion </w:t>
      </w:r>
      <w:proofErr w:type="spellStart"/>
      <w:r w:rsidRPr="00D36049">
        <w:rPr>
          <w:rFonts w:cstheme="minorHAnsi"/>
          <w:i/>
          <w:sz w:val="24"/>
          <w:szCs w:val="24"/>
        </w:rPr>
        <w:t>greque</w:t>
      </w:r>
      <w:proofErr w:type="spellEnd"/>
      <w:r w:rsidRPr="00D36049">
        <w:rPr>
          <w:rFonts w:cstheme="minorHAnsi"/>
          <w:i/>
          <w:sz w:val="24"/>
          <w:szCs w:val="24"/>
        </w:rPr>
        <w:t xml:space="preserve"> </w:t>
      </w:r>
      <w:proofErr w:type="gramStart"/>
      <w:r w:rsidRPr="00D36049">
        <w:rPr>
          <w:rFonts w:cstheme="minorHAnsi"/>
          <w:i/>
          <w:sz w:val="24"/>
          <w:szCs w:val="24"/>
        </w:rPr>
        <w:t>et</w:t>
      </w:r>
      <w:proofErr w:type="gramEnd"/>
      <w:r w:rsidRPr="00D36049">
        <w:rPr>
          <w:rFonts w:cstheme="minorHAnsi"/>
          <w:i/>
          <w:sz w:val="24"/>
          <w:szCs w:val="24"/>
        </w:rPr>
        <w:t xml:space="preserve"> de la comprehension</w:t>
      </w:r>
      <w:r w:rsidRPr="00D36049">
        <w:rPr>
          <w:rFonts w:cstheme="minorHAnsi"/>
          <w:sz w:val="24"/>
          <w:szCs w:val="24"/>
        </w:rPr>
        <w:t xml:space="preserve"> </w:t>
      </w:r>
      <w:proofErr w:type="spellStart"/>
      <w:r w:rsidRPr="00D36049">
        <w:rPr>
          <w:rFonts w:cstheme="minorHAnsi"/>
          <w:i/>
          <w:sz w:val="24"/>
          <w:szCs w:val="24"/>
        </w:rPr>
        <w:t>d’autrui</w:t>
      </w:r>
      <w:proofErr w:type="spellEnd"/>
      <w:r w:rsidRPr="00D36049">
        <w:rPr>
          <w:rFonts w:cstheme="minorHAnsi"/>
          <w:sz w:val="24"/>
          <w:szCs w:val="24"/>
        </w:rPr>
        <w:t>.</w:t>
      </w:r>
      <w:r w:rsidRPr="00D36049">
        <w:rPr>
          <w:rFonts w:cstheme="minorHAnsi"/>
          <w:i/>
          <w:sz w:val="24"/>
          <w:szCs w:val="24"/>
        </w:rPr>
        <w:t xml:space="preserve"> </w:t>
      </w:r>
      <w:r w:rsidRPr="00D36049">
        <w:rPr>
          <w:rFonts w:cstheme="minorHAnsi"/>
          <w:sz w:val="24"/>
          <w:szCs w:val="24"/>
        </w:rPr>
        <w:t xml:space="preserve">Genève: </w:t>
      </w:r>
      <w:proofErr w:type="spellStart"/>
      <w:r w:rsidRPr="00D36049">
        <w:rPr>
          <w:rFonts w:cstheme="minorHAnsi"/>
          <w:sz w:val="24"/>
          <w:szCs w:val="24"/>
          <w:lang w:val="en"/>
        </w:rPr>
        <w:t>Librairie</w:t>
      </w:r>
      <w:proofErr w:type="spellEnd"/>
      <w:r w:rsidRPr="00D36049">
        <w:rPr>
          <w:rFonts w:cstheme="minorHAnsi"/>
          <w:sz w:val="24"/>
          <w:szCs w:val="24"/>
          <w:lang w:val="en"/>
        </w:rPr>
        <w:t xml:space="preserve"> </w:t>
      </w:r>
      <w:proofErr w:type="spellStart"/>
      <w:r w:rsidRPr="00D36049">
        <w:rPr>
          <w:rFonts w:cstheme="minorHAnsi"/>
          <w:sz w:val="24"/>
          <w:szCs w:val="24"/>
          <w:lang w:val="en"/>
        </w:rPr>
        <w:t>Droz</w:t>
      </w:r>
      <w:proofErr w:type="spellEnd"/>
      <w:r w:rsidRPr="00D36049">
        <w:rPr>
          <w:rFonts w:cstheme="minorHAnsi"/>
          <w:sz w:val="24"/>
          <w:szCs w:val="24"/>
        </w:rPr>
        <w:t xml:space="preserve"> </w:t>
      </w:r>
      <w:r w:rsidRPr="00D36049">
        <w:rPr>
          <w:rFonts w:cstheme="minorHAnsi"/>
          <w:sz w:val="24"/>
          <w:szCs w:val="24"/>
        </w:rPr>
        <w:t xml:space="preserve">13-32. </w:t>
      </w:r>
    </w:p>
    <w:sectPr w:rsidR="00D36049" w:rsidRPr="00D360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19D1E7" w14:textId="77777777" w:rsidR="00CB0C80" w:rsidRDefault="00CB0C80" w:rsidP="008347BE">
      <w:pPr>
        <w:spacing w:after="0" w:line="240" w:lineRule="auto"/>
      </w:pPr>
      <w:r>
        <w:separator/>
      </w:r>
    </w:p>
  </w:endnote>
  <w:endnote w:type="continuationSeparator" w:id="0">
    <w:p w14:paraId="6B75353B" w14:textId="77777777" w:rsidR="00CB0C80" w:rsidRDefault="00CB0C80" w:rsidP="00834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511D46" w14:textId="77777777" w:rsidR="00CB0C80" w:rsidRDefault="00CB0C80" w:rsidP="008347BE">
      <w:pPr>
        <w:spacing w:after="0" w:line="240" w:lineRule="auto"/>
      </w:pPr>
      <w:r>
        <w:separator/>
      </w:r>
    </w:p>
  </w:footnote>
  <w:footnote w:type="continuationSeparator" w:id="0">
    <w:p w14:paraId="5B696AAD" w14:textId="77777777" w:rsidR="00CB0C80" w:rsidRDefault="00CB0C80" w:rsidP="008347BE">
      <w:pPr>
        <w:spacing w:after="0" w:line="240" w:lineRule="auto"/>
      </w:pPr>
      <w:r>
        <w:continuationSeparator/>
      </w:r>
    </w:p>
  </w:footnote>
  <w:footnote w:id="1">
    <w:p w14:paraId="441A9A49" w14:textId="77777777" w:rsidR="00122753" w:rsidRDefault="00122753">
      <w:pPr>
        <w:pStyle w:val="FootnoteText"/>
      </w:pPr>
      <w:r>
        <w:rPr>
          <w:rStyle w:val="FootnoteReference"/>
        </w:rPr>
        <w:footnoteRef/>
      </w:r>
      <w:r>
        <w:t xml:space="preserve"> </w:t>
      </w:r>
      <w:proofErr w:type="spellStart"/>
      <w:r>
        <w:t>Hdt</w:t>
      </w:r>
      <w:proofErr w:type="spellEnd"/>
      <w:r>
        <w:t>. 7.8</w:t>
      </w:r>
    </w:p>
  </w:footnote>
  <w:footnote w:id="2">
    <w:p w14:paraId="4B9DACFF" w14:textId="07C8C72D" w:rsidR="00122753" w:rsidRDefault="00122753">
      <w:pPr>
        <w:pStyle w:val="FootnoteText"/>
      </w:pPr>
      <w:r>
        <w:rPr>
          <w:rStyle w:val="FootnoteReference"/>
        </w:rPr>
        <w:footnoteRef/>
      </w:r>
      <w:r>
        <w:t xml:space="preserve"> </w:t>
      </w:r>
      <w:proofErr w:type="spellStart"/>
      <w:r>
        <w:t>Hdt</w:t>
      </w:r>
      <w:proofErr w:type="spellEnd"/>
      <w:r>
        <w:t>. 7.8A</w:t>
      </w:r>
      <w:r w:rsidR="00FF0814">
        <w:t xml:space="preserve">, </w:t>
      </w:r>
      <w:proofErr w:type="spellStart"/>
      <w:r w:rsidR="00FF0814" w:rsidRPr="00FF0814">
        <w:t>Hdt</w:t>
      </w:r>
      <w:proofErr w:type="spellEnd"/>
      <w:r w:rsidR="00FF0814" w:rsidRPr="00FF0814">
        <w:t>. 7.47</w:t>
      </w:r>
      <w:r w:rsidR="00FF0814">
        <w:t xml:space="preserve">, </w:t>
      </w:r>
      <w:proofErr w:type="spellStart"/>
      <w:r w:rsidR="00FF0814" w:rsidRPr="00FF0814">
        <w:t>Hdt</w:t>
      </w:r>
      <w:proofErr w:type="spellEnd"/>
      <w:r w:rsidR="00FF0814" w:rsidRPr="00FF0814">
        <w:t>. 7.130</w:t>
      </w:r>
    </w:p>
  </w:footnote>
  <w:footnote w:id="3">
    <w:p w14:paraId="7B02A19A" w14:textId="77777777" w:rsidR="00122753" w:rsidRDefault="00122753">
      <w:pPr>
        <w:pStyle w:val="FootnoteText"/>
      </w:pPr>
      <w:r>
        <w:rPr>
          <w:rStyle w:val="FootnoteReference"/>
        </w:rPr>
        <w:footnoteRef/>
      </w:r>
      <w:r>
        <w:t xml:space="preserve"> </w:t>
      </w:r>
      <w:proofErr w:type="spellStart"/>
      <w:r>
        <w:t>Hdt</w:t>
      </w:r>
      <w:proofErr w:type="spellEnd"/>
      <w:r>
        <w:t>. 7.109</w:t>
      </w:r>
    </w:p>
  </w:footnote>
  <w:footnote w:id="4">
    <w:p w14:paraId="2F50CFB1" w14:textId="65DBE526" w:rsidR="00A8058D" w:rsidRDefault="00A8058D">
      <w:pPr>
        <w:pStyle w:val="FootnoteText"/>
      </w:pPr>
      <w:r>
        <w:rPr>
          <w:rStyle w:val="FootnoteReference"/>
        </w:rPr>
        <w:footnoteRef/>
      </w:r>
      <w:r>
        <w:t xml:space="preserve"> Hart, 1982. 176.</w:t>
      </w:r>
    </w:p>
  </w:footnote>
  <w:footnote w:id="5">
    <w:p w14:paraId="57FD35C3" w14:textId="21B0CE71" w:rsidR="00A8058D" w:rsidRDefault="00A8058D">
      <w:pPr>
        <w:pStyle w:val="FootnoteText"/>
      </w:pPr>
      <w:r>
        <w:rPr>
          <w:rStyle w:val="FootnoteReference"/>
        </w:rPr>
        <w:footnoteRef/>
      </w:r>
      <w:r>
        <w:t xml:space="preserve"> Hart, 1982. 177.</w:t>
      </w:r>
    </w:p>
  </w:footnote>
  <w:footnote w:id="6">
    <w:p w14:paraId="77218FD4" w14:textId="77777777" w:rsidR="00122753" w:rsidRDefault="00122753">
      <w:pPr>
        <w:pStyle w:val="FootnoteText"/>
      </w:pPr>
      <w:r>
        <w:rPr>
          <w:rStyle w:val="FootnoteReference"/>
        </w:rPr>
        <w:footnoteRef/>
      </w:r>
      <w:r>
        <w:t xml:space="preserve"> </w:t>
      </w:r>
      <w:proofErr w:type="spellStart"/>
      <w:r w:rsidR="00403090" w:rsidRPr="00403090">
        <w:t>Thuc</w:t>
      </w:r>
      <w:proofErr w:type="spellEnd"/>
      <w:r w:rsidR="00403090" w:rsidRPr="00403090">
        <w:t>. 3.91.1</w:t>
      </w:r>
      <w:r w:rsidR="00403090">
        <w:t>. Example of numerical data in Thucydides’ work.</w:t>
      </w:r>
    </w:p>
  </w:footnote>
  <w:footnote w:id="7">
    <w:p w14:paraId="37712894" w14:textId="5A0985BB" w:rsidR="00FF0814" w:rsidRDefault="00FF0814">
      <w:pPr>
        <w:pStyle w:val="FootnoteText"/>
      </w:pPr>
      <w:r>
        <w:rPr>
          <w:rStyle w:val="FootnoteReference"/>
        </w:rPr>
        <w:footnoteRef/>
      </w:r>
      <w:r>
        <w:t xml:space="preserve"> </w:t>
      </w:r>
      <w:proofErr w:type="spellStart"/>
      <w:r w:rsidR="00F66425" w:rsidRPr="00F66425">
        <w:t>Aesch</w:t>
      </w:r>
      <w:proofErr w:type="spellEnd"/>
      <w:r w:rsidR="00F66425" w:rsidRPr="00F66425">
        <w:t xml:space="preserve">. </w:t>
      </w:r>
      <w:proofErr w:type="spellStart"/>
      <w:r w:rsidR="00F66425" w:rsidRPr="00F66425">
        <w:t>Eum</w:t>
      </w:r>
      <w:proofErr w:type="spellEnd"/>
      <w:r w:rsidR="00F66425" w:rsidRPr="00F66425">
        <w:t>. 213</w:t>
      </w:r>
      <w:r w:rsidR="00F66425">
        <w:t xml:space="preserve">. Example in plays of the classical fear of divine retribution. </w:t>
      </w:r>
    </w:p>
  </w:footnote>
  <w:footnote w:id="8">
    <w:p w14:paraId="5D97A329" w14:textId="2285ED23" w:rsidR="00122753" w:rsidRDefault="00122753">
      <w:pPr>
        <w:pStyle w:val="FootnoteText"/>
      </w:pPr>
      <w:r>
        <w:rPr>
          <w:rStyle w:val="FootnoteReference"/>
        </w:rPr>
        <w:footnoteRef/>
      </w:r>
      <w:r>
        <w:t xml:space="preserve"> </w:t>
      </w:r>
      <w:proofErr w:type="spellStart"/>
      <w:r w:rsidR="00973F39" w:rsidRPr="00973F39">
        <w:t>Hdt</w:t>
      </w:r>
      <w:proofErr w:type="spellEnd"/>
      <w:r w:rsidR="00973F39" w:rsidRPr="00973F39">
        <w:t>. 7.18</w:t>
      </w:r>
    </w:p>
  </w:footnote>
  <w:footnote w:id="9">
    <w:p w14:paraId="1D5B5282" w14:textId="76A09F02" w:rsidR="00122753" w:rsidRDefault="00122753">
      <w:pPr>
        <w:pStyle w:val="FootnoteText"/>
      </w:pPr>
      <w:r>
        <w:rPr>
          <w:rStyle w:val="FootnoteReference"/>
        </w:rPr>
        <w:footnoteRef/>
      </w:r>
      <w:r>
        <w:t xml:space="preserve"> </w:t>
      </w:r>
      <w:proofErr w:type="spellStart"/>
      <w:r w:rsidR="00D36049">
        <w:t>Moligliano</w:t>
      </w:r>
      <w:proofErr w:type="spellEnd"/>
      <w:r w:rsidR="00D36049">
        <w:t>, 1978. 17/1, 1-8.</w:t>
      </w:r>
    </w:p>
  </w:footnote>
  <w:footnote w:id="10">
    <w:p w14:paraId="53790D4F" w14:textId="0505E5EB" w:rsidR="008347BE" w:rsidRPr="008347BE" w:rsidRDefault="008347BE">
      <w:pPr>
        <w:pStyle w:val="FootnoteText"/>
        <w:rPr>
          <w:i/>
        </w:rPr>
      </w:pPr>
      <w:r>
        <w:rPr>
          <w:rStyle w:val="FootnoteReference"/>
        </w:rPr>
        <w:footnoteRef/>
      </w:r>
      <w:r>
        <w:t xml:space="preserve"> </w:t>
      </w:r>
      <w:r w:rsidR="00F66425">
        <w:t>Powell, J. 1977.</w:t>
      </w:r>
    </w:p>
  </w:footnote>
  <w:footnote w:id="11">
    <w:p w14:paraId="66005F7F" w14:textId="77777777" w:rsidR="00122753" w:rsidRDefault="00122753">
      <w:pPr>
        <w:pStyle w:val="FootnoteText"/>
      </w:pPr>
      <w:r>
        <w:rPr>
          <w:rStyle w:val="FootnoteReference"/>
        </w:rPr>
        <w:footnoteRef/>
      </w:r>
      <w:r>
        <w:t xml:space="preserve"> Hdt.4.145.3</w:t>
      </w:r>
    </w:p>
  </w:footnote>
  <w:footnote w:id="12">
    <w:p w14:paraId="375C7623" w14:textId="77777777" w:rsidR="00122753" w:rsidRDefault="00122753">
      <w:pPr>
        <w:pStyle w:val="FootnoteText"/>
      </w:pPr>
      <w:r>
        <w:rPr>
          <w:rStyle w:val="FootnoteReference"/>
        </w:rPr>
        <w:footnoteRef/>
      </w:r>
      <w:r>
        <w:t xml:space="preserve"> Hdt.2.44.5</w:t>
      </w:r>
    </w:p>
  </w:footnote>
  <w:footnote w:id="13">
    <w:p w14:paraId="712CDEE0" w14:textId="3AA3708C" w:rsidR="008347BE" w:rsidRDefault="008347BE">
      <w:pPr>
        <w:pStyle w:val="FootnoteText"/>
      </w:pPr>
      <w:r>
        <w:rPr>
          <w:rStyle w:val="FootnoteReference"/>
        </w:rPr>
        <w:footnoteRef/>
      </w:r>
      <w:r w:rsidR="00F66425">
        <w:t xml:space="preserve"> Rudhardt, 1992.</w:t>
      </w:r>
      <w:r w:rsidR="00D36049">
        <w:t>129-130.</w:t>
      </w:r>
    </w:p>
  </w:footnote>
  <w:footnote w:id="14">
    <w:p w14:paraId="616F2020" w14:textId="77777777" w:rsidR="00122753" w:rsidRDefault="00122753">
      <w:pPr>
        <w:pStyle w:val="FootnoteText"/>
      </w:pPr>
      <w:r>
        <w:rPr>
          <w:rStyle w:val="FootnoteReference"/>
        </w:rPr>
        <w:footnoteRef/>
      </w:r>
      <w:r>
        <w:t xml:space="preserve"> Harrison, 2000. 159.</w:t>
      </w:r>
    </w:p>
  </w:footnote>
  <w:footnote w:id="15">
    <w:p w14:paraId="7F304310" w14:textId="77777777" w:rsidR="00122753" w:rsidRDefault="00122753">
      <w:pPr>
        <w:pStyle w:val="FootnoteText"/>
      </w:pPr>
      <w:r>
        <w:rPr>
          <w:rStyle w:val="FootnoteReference"/>
        </w:rPr>
        <w:footnoteRef/>
      </w:r>
      <w:r>
        <w:t xml:space="preserve"> Hdt.2.50.3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A8E284BE"/>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1DFC"/>
    <w:rsid w:val="00063CBC"/>
    <w:rsid w:val="00122753"/>
    <w:rsid w:val="002A1DFC"/>
    <w:rsid w:val="002F03AB"/>
    <w:rsid w:val="00403090"/>
    <w:rsid w:val="0043781C"/>
    <w:rsid w:val="0047635C"/>
    <w:rsid w:val="00625DC2"/>
    <w:rsid w:val="0063193B"/>
    <w:rsid w:val="008347BE"/>
    <w:rsid w:val="00973F39"/>
    <w:rsid w:val="00A8058D"/>
    <w:rsid w:val="00C80ADC"/>
    <w:rsid w:val="00CB0C80"/>
    <w:rsid w:val="00D36049"/>
    <w:rsid w:val="00DA6770"/>
    <w:rsid w:val="00E559FF"/>
    <w:rsid w:val="00F66425"/>
    <w:rsid w:val="00FF0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44840"/>
  <w15:chartTrackingRefBased/>
  <w15:docId w15:val="{DE23A4C1-A5A3-49AA-9247-AF4498C2B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A1DF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2A1DFC"/>
    <w:rPr>
      <w:i/>
      <w:iCs/>
      <w:color w:val="5B9BD5" w:themeColor="accent1"/>
    </w:rPr>
  </w:style>
  <w:style w:type="paragraph" w:styleId="NormalWeb">
    <w:name w:val="Normal (Web)"/>
    <w:basedOn w:val="Normal"/>
    <w:uiPriority w:val="99"/>
    <w:semiHidden/>
    <w:unhideWhenUsed/>
    <w:rsid w:val="002A1D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8347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47BE"/>
    <w:rPr>
      <w:sz w:val="20"/>
      <w:szCs w:val="20"/>
    </w:rPr>
  </w:style>
  <w:style w:type="character" w:styleId="FootnoteReference">
    <w:name w:val="footnote reference"/>
    <w:basedOn w:val="DefaultParagraphFont"/>
    <w:uiPriority w:val="99"/>
    <w:semiHidden/>
    <w:unhideWhenUsed/>
    <w:rsid w:val="008347BE"/>
    <w:rPr>
      <w:vertAlign w:val="superscript"/>
    </w:rPr>
  </w:style>
  <w:style w:type="character" w:styleId="Hyperlink">
    <w:name w:val="Hyperlink"/>
    <w:basedOn w:val="DefaultParagraphFont"/>
    <w:uiPriority w:val="99"/>
    <w:semiHidden/>
    <w:unhideWhenUsed/>
    <w:rsid w:val="00D36049"/>
    <w:rPr>
      <w:strike w:val="0"/>
      <w:dstrike w:val="0"/>
      <w:color w:val="006179"/>
      <w:u w:val="single"/>
      <w:effect w:val="none"/>
      <w:shd w:val="clear" w:color="auto" w:fill="auto"/>
    </w:rPr>
  </w:style>
  <w:style w:type="paragraph" w:styleId="ListBullet">
    <w:name w:val="List Bullet"/>
    <w:basedOn w:val="Normal"/>
    <w:uiPriority w:val="99"/>
    <w:unhideWhenUsed/>
    <w:rsid w:val="00625DC2"/>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5350074">
      <w:bodyDiv w:val="1"/>
      <w:marLeft w:val="0"/>
      <w:marRight w:val="0"/>
      <w:marTop w:val="0"/>
      <w:marBottom w:val="0"/>
      <w:divBdr>
        <w:top w:val="none" w:sz="0" w:space="0" w:color="auto"/>
        <w:left w:val="none" w:sz="0" w:space="0" w:color="auto"/>
        <w:bottom w:val="none" w:sz="0" w:space="0" w:color="auto"/>
        <w:right w:val="none" w:sz="0" w:space="0" w:color="auto"/>
      </w:divBdr>
    </w:div>
    <w:div w:id="1183671220">
      <w:bodyDiv w:val="1"/>
      <w:marLeft w:val="0"/>
      <w:marRight w:val="0"/>
      <w:marTop w:val="0"/>
      <w:marBottom w:val="0"/>
      <w:divBdr>
        <w:top w:val="none" w:sz="0" w:space="0" w:color="auto"/>
        <w:left w:val="none" w:sz="0" w:space="0" w:color="auto"/>
        <w:bottom w:val="none" w:sz="0" w:space="0" w:color="auto"/>
        <w:right w:val="none" w:sz="0" w:space="0" w:color="auto"/>
      </w:divBdr>
    </w:div>
    <w:div w:id="152347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A7999-7889-4814-8734-B435E0CA0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839</Words>
  <Characters>4785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 (1601293)</dc:creator>
  <cp:keywords/>
  <dc:description/>
  <cp:lastModifiedBy>Tamara Bowie (1601293)</cp:lastModifiedBy>
  <cp:revision>2</cp:revision>
  <dcterms:created xsi:type="dcterms:W3CDTF">2019-02-15T17:29:00Z</dcterms:created>
  <dcterms:modified xsi:type="dcterms:W3CDTF">2019-02-15T17:29:00Z</dcterms:modified>
</cp:coreProperties>
</file>