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6EE8" w:rsidRDefault="00536EE8">
      <w:pPr>
        <w:spacing w:line="360" w:lineRule="auto"/>
        <w:jc w:val="both"/>
        <w:rPr>
          <w:rFonts w:ascii="Arial" w:eastAsia="Arial" w:hAnsi="Arial" w:cs="Arial"/>
          <w:b/>
          <w:sz w:val="32"/>
          <w:szCs w:val="32"/>
        </w:rPr>
      </w:pPr>
    </w:p>
    <w:p w:rsidR="00536EE8" w:rsidRDefault="00536EE8">
      <w:pPr>
        <w:spacing w:line="360" w:lineRule="auto"/>
        <w:jc w:val="center"/>
        <w:rPr>
          <w:rFonts w:ascii="Arial" w:eastAsia="Arial" w:hAnsi="Arial" w:cs="Arial"/>
          <w:b/>
          <w:sz w:val="32"/>
          <w:szCs w:val="32"/>
        </w:rPr>
      </w:pPr>
    </w:p>
    <w:p w:rsidR="00702BC2" w:rsidRDefault="00D2609B" w:rsidP="00E6592C">
      <w:pPr>
        <w:spacing w:line="360" w:lineRule="auto"/>
        <w:jc w:val="center"/>
        <w:rPr>
          <w:rFonts w:ascii="Arial" w:eastAsia="Arial" w:hAnsi="Arial" w:cs="Arial"/>
          <w:bCs/>
          <w:sz w:val="32"/>
          <w:szCs w:val="32"/>
        </w:rPr>
      </w:pPr>
      <w:r w:rsidRPr="001B7075">
        <w:rPr>
          <w:rFonts w:ascii="Arial" w:eastAsia="Arial" w:hAnsi="Arial" w:cs="Arial"/>
          <w:bCs/>
          <w:sz w:val="32"/>
          <w:szCs w:val="32"/>
        </w:rPr>
        <w:t>MSc Public Health and Social Care in Practice</w:t>
      </w:r>
    </w:p>
    <w:p w:rsidR="00E6592C" w:rsidRDefault="00E6592C" w:rsidP="00E6592C">
      <w:pPr>
        <w:spacing w:line="360" w:lineRule="auto"/>
        <w:jc w:val="center"/>
        <w:rPr>
          <w:rFonts w:ascii="Arial" w:eastAsia="Arial" w:hAnsi="Arial" w:cs="Arial"/>
          <w:bCs/>
          <w:sz w:val="32"/>
          <w:szCs w:val="32"/>
        </w:rPr>
      </w:pPr>
    </w:p>
    <w:p w:rsidR="00E6592C" w:rsidRPr="00E6592C" w:rsidRDefault="00E6592C" w:rsidP="00E6592C">
      <w:pPr>
        <w:spacing w:line="360" w:lineRule="auto"/>
        <w:rPr>
          <w:rFonts w:ascii="Arial" w:eastAsia="Arial" w:hAnsi="Arial" w:cs="Arial"/>
          <w:bCs/>
          <w:sz w:val="32"/>
          <w:szCs w:val="32"/>
        </w:rPr>
      </w:pPr>
      <w:r>
        <w:rPr>
          <w:rFonts w:ascii="Arial" w:eastAsia="Arial" w:hAnsi="Arial" w:cs="Arial"/>
          <w:bCs/>
          <w:sz w:val="32"/>
          <w:szCs w:val="32"/>
        </w:rPr>
        <w:t xml:space="preserve">                                        Topic Name:</w:t>
      </w:r>
    </w:p>
    <w:p w:rsidR="00536EE8" w:rsidRPr="00874818" w:rsidRDefault="00D2609B">
      <w:pPr>
        <w:spacing w:line="360" w:lineRule="auto"/>
        <w:jc w:val="center"/>
        <w:rPr>
          <w:rFonts w:ascii="Arial" w:eastAsia="Arial" w:hAnsi="Arial" w:cs="Arial"/>
          <w:bCs/>
          <w:sz w:val="32"/>
          <w:szCs w:val="32"/>
        </w:rPr>
      </w:pPr>
      <w:r w:rsidRPr="00874818">
        <w:rPr>
          <w:rFonts w:ascii="Arial" w:eastAsia="Arial" w:hAnsi="Arial" w:cs="Arial"/>
          <w:bCs/>
          <w:sz w:val="32"/>
          <w:szCs w:val="32"/>
        </w:rPr>
        <w:t>Root Cause Analysis of Negligence in Total Knee Replacement Surgery: Policy and Quality Implications in Indian Healthcare: A case of Urban Additional District Consumer Disputes Redressal</w:t>
      </w:r>
    </w:p>
    <w:p w:rsidR="00702BC2" w:rsidRDefault="00702BC2">
      <w:pPr>
        <w:spacing w:line="360" w:lineRule="auto"/>
        <w:jc w:val="center"/>
        <w:rPr>
          <w:rFonts w:ascii="Arial" w:eastAsia="Arial" w:hAnsi="Arial" w:cs="Arial"/>
          <w:b/>
          <w:sz w:val="32"/>
          <w:szCs w:val="32"/>
        </w:rPr>
      </w:pPr>
    </w:p>
    <w:p w:rsidR="00536EE8" w:rsidRDefault="00D2609B">
      <w:pPr>
        <w:spacing w:line="360" w:lineRule="auto"/>
        <w:jc w:val="center"/>
        <w:rPr>
          <w:rFonts w:ascii="Arial" w:eastAsia="Arial" w:hAnsi="Arial" w:cs="Arial"/>
          <w:sz w:val="32"/>
          <w:szCs w:val="32"/>
        </w:rPr>
      </w:pPr>
      <w:r>
        <w:rPr>
          <w:rFonts w:ascii="Arial" w:eastAsia="Arial" w:hAnsi="Arial" w:cs="Arial"/>
          <w:sz w:val="32"/>
          <w:szCs w:val="32"/>
        </w:rPr>
        <w:t>Module Code: LCHS7006</w:t>
      </w:r>
    </w:p>
    <w:p w:rsidR="00702BC2" w:rsidRDefault="00702BC2">
      <w:pPr>
        <w:spacing w:line="360" w:lineRule="auto"/>
        <w:jc w:val="center"/>
        <w:rPr>
          <w:rFonts w:ascii="Arial" w:eastAsia="Arial" w:hAnsi="Arial" w:cs="Arial"/>
          <w:sz w:val="32"/>
          <w:szCs w:val="32"/>
        </w:rPr>
      </w:pPr>
    </w:p>
    <w:p w:rsidR="00536EE8" w:rsidRDefault="00E6592C">
      <w:pPr>
        <w:spacing w:line="360" w:lineRule="auto"/>
        <w:jc w:val="center"/>
        <w:rPr>
          <w:rFonts w:ascii="Arial" w:eastAsia="Arial" w:hAnsi="Arial" w:cs="Arial"/>
          <w:sz w:val="32"/>
          <w:szCs w:val="32"/>
        </w:rPr>
      </w:pPr>
      <w:r>
        <w:rPr>
          <w:rFonts w:ascii="Arial" w:eastAsia="Arial" w:hAnsi="Arial" w:cs="Arial"/>
          <w:sz w:val="32"/>
          <w:szCs w:val="32"/>
        </w:rPr>
        <w:t xml:space="preserve">LECTURER NAME </w:t>
      </w:r>
      <w:r w:rsidR="00D2609B">
        <w:rPr>
          <w:rFonts w:ascii="Arial" w:eastAsia="Arial" w:hAnsi="Arial" w:cs="Arial"/>
          <w:sz w:val="32"/>
          <w:szCs w:val="32"/>
        </w:rPr>
        <w:t>: Dr Fahad Khan</w:t>
      </w:r>
    </w:p>
    <w:p w:rsidR="00702BC2" w:rsidRDefault="00702BC2">
      <w:pPr>
        <w:spacing w:line="360" w:lineRule="auto"/>
        <w:jc w:val="center"/>
        <w:rPr>
          <w:rFonts w:ascii="Arial" w:eastAsia="Arial" w:hAnsi="Arial" w:cs="Arial"/>
          <w:sz w:val="32"/>
          <w:szCs w:val="32"/>
        </w:rPr>
      </w:pPr>
    </w:p>
    <w:p w:rsidR="00536EE8" w:rsidRDefault="00E6592C">
      <w:pPr>
        <w:spacing w:line="360" w:lineRule="auto"/>
        <w:jc w:val="center"/>
        <w:rPr>
          <w:rFonts w:ascii="Arial" w:eastAsia="Arial" w:hAnsi="Arial" w:cs="Arial"/>
          <w:sz w:val="32"/>
          <w:szCs w:val="32"/>
        </w:rPr>
      </w:pPr>
      <w:r>
        <w:rPr>
          <w:rFonts w:ascii="Arial" w:eastAsia="Arial" w:hAnsi="Arial" w:cs="Arial"/>
          <w:sz w:val="32"/>
          <w:szCs w:val="32"/>
        </w:rPr>
        <w:t>STUDENT NAME AND</w:t>
      </w:r>
      <w:r w:rsidR="00D2609B">
        <w:rPr>
          <w:rFonts w:ascii="Arial" w:eastAsia="Arial" w:hAnsi="Arial" w:cs="Arial"/>
          <w:sz w:val="32"/>
          <w:szCs w:val="32"/>
        </w:rPr>
        <w:t xml:space="preserve"> ID</w:t>
      </w:r>
      <w:r>
        <w:rPr>
          <w:rFonts w:ascii="Arial" w:eastAsia="Arial" w:hAnsi="Arial" w:cs="Arial"/>
          <w:sz w:val="32"/>
          <w:szCs w:val="32"/>
        </w:rPr>
        <w:t xml:space="preserve"> </w:t>
      </w:r>
      <w:r w:rsidR="00D2609B">
        <w:rPr>
          <w:rFonts w:ascii="Arial" w:eastAsia="Arial" w:hAnsi="Arial" w:cs="Arial"/>
          <w:sz w:val="32"/>
          <w:szCs w:val="32"/>
        </w:rPr>
        <w:t>:</w:t>
      </w:r>
      <w:r>
        <w:rPr>
          <w:rFonts w:ascii="Arial" w:eastAsia="Arial" w:hAnsi="Arial" w:cs="Arial"/>
          <w:sz w:val="32"/>
          <w:szCs w:val="32"/>
        </w:rPr>
        <w:t xml:space="preserve"> RUCHA VAGHELA (2437863)</w:t>
      </w:r>
    </w:p>
    <w:p w:rsidR="00536EE8" w:rsidRDefault="00536EE8">
      <w:pPr>
        <w:spacing w:line="360" w:lineRule="auto"/>
        <w:jc w:val="center"/>
        <w:rPr>
          <w:rFonts w:ascii="Arial" w:eastAsia="Arial" w:hAnsi="Arial" w:cs="Arial"/>
          <w:b/>
          <w:sz w:val="32"/>
          <w:szCs w:val="32"/>
        </w:rPr>
      </w:pPr>
    </w:p>
    <w:p w:rsidR="00536EE8" w:rsidRDefault="00D2609B">
      <w:pPr>
        <w:spacing w:after="160" w:line="360" w:lineRule="auto"/>
        <w:rPr>
          <w:rFonts w:ascii="Arial" w:eastAsia="Arial" w:hAnsi="Arial" w:cs="Arial"/>
          <w:b/>
          <w:sz w:val="32"/>
          <w:szCs w:val="32"/>
        </w:rPr>
      </w:pPr>
      <w:r>
        <w:br w:type="page"/>
      </w:r>
    </w:p>
    <w:p w:rsidR="00536EE8" w:rsidRDefault="00D2609B">
      <w:pPr>
        <w:keepNext/>
        <w:keepLines/>
        <w:pBdr>
          <w:top w:val="nil"/>
          <w:left w:val="nil"/>
          <w:bottom w:val="nil"/>
          <w:right w:val="nil"/>
          <w:between w:val="nil"/>
        </w:pBdr>
        <w:spacing w:before="240" w:line="360" w:lineRule="auto"/>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1452360747"/>
        <w:docPartObj>
          <w:docPartGallery w:val="Table of Contents"/>
          <w:docPartUnique/>
        </w:docPartObj>
      </w:sdtPr>
      <w:sdtContent>
        <w:p w:rsidR="00706B74" w:rsidRPr="00706B74" w:rsidRDefault="00824594" w:rsidP="00706B74">
          <w:pPr>
            <w:pStyle w:val="TOC1"/>
            <w:tabs>
              <w:tab w:val="right" w:leader="dot" w:pos="9350"/>
            </w:tabs>
            <w:spacing w:line="360" w:lineRule="auto"/>
            <w:rPr>
              <w:rFonts w:ascii="Arial" w:hAnsi="Arial" w:cs="Arial"/>
              <w:noProof/>
            </w:rPr>
          </w:pPr>
          <w:r>
            <w:fldChar w:fldCharType="begin"/>
          </w:r>
          <w:r w:rsidR="00D2609B">
            <w:instrText xml:space="preserve"> TOC \h \u \z \t "Heading 1,1,Heading 2,2,Heading 3,3,"</w:instrText>
          </w:r>
          <w:r>
            <w:fldChar w:fldCharType="separate"/>
          </w:r>
          <w:hyperlink w:anchor="_Toc215065965" w:history="1">
            <w:r w:rsidR="00706B74" w:rsidRPr="00706B74">
              <w:rPr>
                <w:rStyle w:val="Hyperlink"/>
                <w:rFonts w:ascii="Arial" w:hAnsi="Arial" w:cs="Arial"/>
                <w:noProof/>
              </w:rPr>
              <w:t>1. Introduction</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_Toc215065965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3</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66" w:history="1">
            <w:r w:rsidR="00706B74" w:rsidRPr="00706B74">
              <w:rPr>
                <w:rStyle w:val="Hyperlink"/>
                <w:rFonts w:ascii="Arial" w:hAnsi="Arial" w:cs="Arial"/>
                <w:noProof/>
              </w:rPr>
              <w:t>1.1 Background of the Issue</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_Toc215065966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3</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67" w:history="1">
            <w:r w:rsidR="00706B74" w:rsidRPr="00706B74">
              <w:rPr>
                <w:rStyle w:val="Hyperlink"/>
                <w:rFonts w:ascii="Arial" w:hAnsi="Arial" w:cs="Arial"/>
                <w:noProof/>
              </w:rPr>
              <w:t>1.2 Establishing the Problem as a Public Health and Quality Issue</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_Toc215065967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3</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68" w:history="1">
            <w:r w:rsidR="00706B74" w:rsidRPr="00706B74">
              <w:rPr>
                <w:rStyle w:val="Hyperlink"/>
                <w:rFonts w:ascii="Arial" w:hAnsi="Arial" w:cs="Arial"/>
                <w:noProof/>
              </w:rPr>
              <w:t>1.3 Relevance to Health Systems and Policy</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_Toc215065968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4</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69" w:history="1">
            <w:r w:rsidR="00706B74" w:rsidRPr="00706B74">
              <w:rPr>
                <w:rStyle w:val="Hyperlink"/>
                <w:rFonts w:ascii="Arial" w:hAnsi="Arial" w:cs="Arial"/>
                <w:noProof/>
              </w:rPr>
              <w:t>1.4 Rationale for Selecting the Case and Models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_Toc215065969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5</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70" w:history="1">
            <w:r w:rsidR="00706B74" w:rsidRPr="00706B74">
              <w:rPr>
                <w:rStyle w:val="Hyperlink"/>
                <w:rFonts w:ascii="Arial" w:hAnsi="Arial" w:cs="Arial"/>
                <w:noProof/>
              </w:rPr>
              <w:t>1.5 Aim and Objectives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_Toc215065970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5</w:t>
            </w:r>
            <w:r w:rsidRPr="00706B74">
              <w:rPr>
                <w:rFonts w:ascii="Arial" w:hAnsi="Arial" w:cs="Arial"/>
                <w:noProof/>
                <w:webHidden/>
              </w:rPr>
              <w:fldChar w:fldCharType="end"/>
            </w:r>
          </w:hyperlink>
        </w:p>
        <w:p w:rsidR="00706B74" w:rsidRPr="00706B74" w:rsidRDefault="00824594" w:rsidP="00706B74">
          <w:pPr>
            <w:pStyle w:val="TOC1"/>
            <w:tabs>
              <w:tab w:val="right" w:leader="dot" w:pos="9350"/>
            </w:tabs>
            <w:spacing w:line="360" w:lineRule="auto"/>
            <w:rPr>
              <w:rFonts w:ascii="Arial" w:hAnsi="Arial" w:cs="Arial"/>
              <w:noProof/>
            </w:rPr>
          </w:pPr>
          <w:hyperlink w:anchor="_Toc215065971" w:history="1">
            <w:r w:rsidR="00706B74" w:rsidRPr="00706B74">
              <w:rPr>
                <w:rStyle w:val="Hyperlink"/>
                <w:rFonts w:ascii="Arial" w:hAnsi="Arial" w:cs="Arial"/>
                <w:noProof/>
              </w:rPr>
              <w:t>2. Main Body</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_Toc215065971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5</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72" w:history="1">
            <w:r w:rsidR="00706B74" w:rsidRPr="00706B74">
              <w:rPr>
                <w:rStyle w:val="Hyperlink"/>
                <w:rFonts w:ascii="Arial" w:hAnsi="Arial" w:cs="Arial"/>
                <w:noProof/>
              </w:rPr>
              <w:t>2.1 Donabedian Model Analysis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_Toc215065972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5</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73" w:history="1">
            <w:r w:rsidR="00706B74" w:rsidRPr="00706B74">
              <w:rPr>
                <w:rStyle w:val="Hyperlink"/>
                <w:rFonts w:ascii="Arial" w:hAnsi="Arial" w:cs="Arial"/>
                <w:noProof/>
              </w:rPr>
              <w:t>2.2 Root Cause Analysis (Fishbone + 5 Whys)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_Toc215065973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6</w:t>
            </w:r>
            <w:r w:rsidRPr="00706B74">
              <w:rPr>
                <w:rFonts w:ascii="Arial" w:hAnsi="Arial" w:cs="Arial"/>
                <w:noProof/>
                <w:webHidden/>
              </w:rPr>
              <w:fldChar w:fldCharType="end"/>
            </w:r>
          </w:hyperlink>
        </w:p>
        <w:p w:rsidR="00706B74" w:rsidRPr="00706B74" w:rsidRDefault="00824594" w:rsidP="00706B74">
          <w:pPr>
            <w:pStyle w:val="TOC2"/>
            <w:tabs>
              <w:tab w:val="right" w:leader="dot" w:pos="9350"/>
            </w:tabs>
            <w:spacing w:line="360" w:lineRule="auto"/>
            <w:rPr>
              <w:rFonts w:ascii="Arial" w:hAnsi="Arial" w:cs="Arial"/>
              <w:noProof/>
            </w:rPr>
          </w:pPr>
          <w:hyperlink w:anchor="_Toc215065974" w:history="1">
            <w:r w:rsidR="00706B74" w:rsidRPr="00706B74">
              <w:rPr>
                <w:rStyle w:val="Hyperlink"/>
                <w:rFonts w:ascii="Arial" w:hAnsi="Arial" w:cs="Arial"/>
                <w:noProof/>
              </w:rPr>
              <w:t>2.3 SWOT Analysis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_Toc215065974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9</w:t>
            </w:r>
            <w:r w:rsidRPr="00706B74">
              <w:rPr>
                <w:rFonts w:ascii="Arial" w:hAnsi="Arial" w:cs="Arial"/>
                <w:noProof/>
                <w:webHidden/>
              </w:rPr>
              <w:fldChar w:fldCharType="end"/>
            </w:r>
          </w:hyperlink>
        </w:p>
        <w:p w:rsidR="00706B74" w:rsidRPr="00706B74" w:rsidRDefault="00824594" w:rsidP="00706B74">
          <w:pPr>
            <w:pStyle w:val="TOC1"/>
            <w:tabs>
              <w:tab w:val="right" w:leader="dot" w:pos="9350"/>
            </w:tabs>
            <w:spacing w:line="360" w:lineRule="auto"/>
            <w:rPr>
              <w:rFonts w:ascii="Arial" w:hAnsi="Arial" w:cs="Arial"/>
              <w:noProof/>
            </w:rPr>
          </w:pPr>
          <w:hyperlink w:anchor="_Toc215065975" w:history="1">
            <w:r w:rsidR="00706B74" w:rsidRPr="00706B74">
              <w:rPr>
                <w:rStyle w:val="Hyperlink"/>
                <w:rFonts w:ascii="Arial" w:hAnsi="Arial" w:cs="Arial"/>
                <w:noProof/>
              </w:rPr>
              <w:t>3. Recommendations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_Toc215065975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10</w:t>
            </w:r>
            <w:r w:rsidRPr="00706B74">
              <w:rPr>
                <w:rFonts w:ascii="Arial" w:hAnsi="Arial" w:cs="Arial"/>
                <w:noProof/>
                <w:webHidden/>
              </w:rPr>
              <w:fldChar w:fldCharType="end"/>
            </w:r>
          </w:hyperlink>
        </w:p>
        <w:p w:rsidR="00706B74" w:rsidRPr="00706B74" w:rsidRDefault="00824594" w:rsidP="00706B74">
          <w:pPr>
            <w:pStyle w:val="TOC1"/>
            <w:tabs>
              <w:tab w:val="right" w:leader="dot" w:pos="9350"/>
            </w:tabs>
            <w:spacing w:line="360" w:lineRule="auto"/>
            <w:rPr>
              <w:rFonts w:ascii="Arial" w:hAnsi="Arial" w:cs="Arial"/>
              <w:noProof/>
            </w:rPr>
          </w:pPr>
          <w:hyperlink w:anchor="_Toc215065976" w:history="1">
            <w:r w:rsidR="00706B74" w:rsidRPr="00706B74">
              <w:rPr>
                <w:rStyle w:val="Hyperlink"/>
                <w:rFonts w:ascii="Arial" w:hAnsi="Arial" w:cs="Arial"/>
                <w:noProof/>
              </w:rPr>
              <w:t>4. Conclusion</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_Toc215065976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14</w:t>
            </w:r>
            <w:r w:rsidRPr="00706B74">
              <w:rPr>
                <w:rFonts w:ascii="Arial" w:hAnsi="Arial" w:cs="Arial"/>
                <w:noProof/>
                <w:webHidden/>
              </w:rPr>
              <w:fldChar w:fldCharType="end"/>
            </w:r>
          </w:hyperlink>
        </w:p>
        <w:p w:rsidR="00706B74" w:rsidRPr="00706B74" w:rsidRDefault="00824594" w:rsidP="00706B74">
          <w:pPr>
            <w:pStyle w:val="TOC1"/>
            <w:tabs>
              <w:tab w:val="right" w:leader="dot" w:pos="9350"/>
            </w:tabs>
            <w:spacing w:line="360" w:lineRule="auto"/>
            <w:rPr>
              <w:rFonts w:ascii="Arial" w:hAnsi="Arial" w:cs="Arial"/>
              <w:noProof/>
            </w:rPr>
          </w:pPr>
          <w:hyperlink w:anchor="_Toc215065977" w:history="1">
            <w:r w:rsidR="00706B74" w:rsidRPr="00706B74">
              <w:rPr>
                <w:rStyle w:val="Hyperlink"/>
                <w:rFonts w:ascii="Arial" w:hAnsi="Arial" w:cs="Arial"/>
                <w:noProof/>
              </w:rPr>
              <w:t>References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_Toc215065977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16</w:t>
            </w:r>
            <w:r w:rsidRPr="00706B74">
              <w:rPr>
                <w:rFonts w:ascii="Arial" w:hAnsi="Arial" w:cs="Arial"/>
                <w:noProof/>
                <w:webHidden/>
              </w:rPr>
              <w:fldChar w:fldCharType="end"/>
            </w:r>
          </w:hyperlink>
        </w:p>
        <w:p w:rsidR="00706B74" w:rsidRPr="00706B74" w:rsidRDefault="00824594" w:rsidP="00706B74">
          <w:pPr>
            <w:pStyle w:val="TOC1"/>
            <w:tabs>
              <w:tab w:val="right" w:leader="dot" w:pos="9350"/>
            </w:tabs>
            <w:spacing w:line="360" w:lineRule="auto"/>
            <w:rPr>
              <w:rFonts w:ascii="Arial" w:hAnsi="Arial" w:cs="Arial"/>
              <w:noProof/>
            </w:rPr>
          </w:pPr>
          <w:hyperlink w:anchor="_Toc215065978" w:history="1">
            <w:r w:rsidR="00706B74" w:rsidRPr="00706B74">
              <w:rPr>
                <w:rStyle w:val="Hyperlink"/>
                <w:rFonts w:ascii="Arial" w:hAnsi="Arial" w:cs="Arial"/>
                <w:noProof/>
              </w:rPr>
              <w:t>Appendices</w:t>
            </w:r>
            <w:r w:rsidR="00706B74" w:rsidRPr="00706B74">
              <w:rPr>
                <w:rFonts w:ascii="Arial" w:hAnsi="Arial" w:cs="Arial"/>
                <w:noProof/>
                <w:webHidden/>
              </w:rPr>
              <w:tab/>
            </w:r>
            <w:r w:rsidRPr="00706B74">
              <w:rPr>
                <w:rFonts w:ascii="Arial" w:hAnsi="Arial" w:cs="Arial"/>
                <w:noProof/>
                <w:webHidden/>
              </w:rPr>
              <w:fldChar w:fldCharType="begin"/>
            </w:r>
            <w:r w:rsidR="00706B74" w:rsidRPr="00706B74">
              <w:rPr>
                <w:rFonts w:ascii="Arial" w:hAnsi="Arial" w:cs="Arial"/>
                <w:noProof/>
                <w:webHidden/>
              </w:rPr>
              <w:instrText xml:space="preserve"> PAGEREF _Toc215065978 \h </w:instrText>
            </w:r>
            <w:r w:rsidRPr="00706B74">
              <w:rPr>
                <w:rFonts w:ascii="Arial" w:hAnsi="Arial" w:cs="Arial"/>
                <w:noProof/>
                <w:webHidden/>
              </w:rPr>
            </w:r>
            <w:r w:rsidRPr="00706B74">
              <w:rPr>
                <w:rFonts w:ascii="Arial" w:hAnsi="Arial" w:cs="Arial"/>
                <w:noProof/>
                <w:webHidden/>
              </w:rPr>
              <w:fldChar w:fldCharType="separate"/>
            </w:r>
            <w:r w:rsidR="00706B74" w:rsidRPr="00706B74">
              <w:rPr>
                <w:rFonts w:ascii="Arial" w:hAnsi="Arial" w:cs="Arial"/>
                <w:noProof/>
                <w:webHidden/>
              </w:rPr>
              <w:t>22</w:t>
            </w:r>
            <w:r w:rsidRPr="00706B74">
              <w:rPr>
                <w:rFonts w:ascii="Arial" w:hAnsi="Arial" w:cs="Arial"/>
                <w:noProof/>
                <w:webHidden/>
              </w:rPr>
              <w:fldChar w:fldCharType="end"/>
            </w:r>
          </w:hyperlink>
        </w:p>
        <w:p w:rsidR="00536EE8" w:rsidRDefault="00824594">
          <w:pPr>
            <w:spacing w:line="360" w:lineRule="auto"/>
            <w:rPr>
              <w:rFonts w:ascii="Arial" w:eastAsia="Arial" w:hAnsi="Arial" w:cs="Arial"/>
              <w:sz w:val="22"/>
              <w:szCs w:val="22"/>
            </w:rPr>
          </w:pPr>
          <w:r>
            <w:fldChar w:fldCharType="end"/>
          </w:r>
        </w:p>
      </w:sdtContent>
    </w:sdt>
    <w:p w:rsidR="00536EE8" w:rsidRDefault="00536EE8">
      <w:pPr>
        <w:spacing w:line="360" w:lineRule="auto"/>
        <w:rPr>
          <w:rFonts w:ascii="Arial" w:eastAsia="Arial" w:hAnsi="Arial" w:cs="Arial"/>
          <w:sz w:val="22"/>
          <w:szCs w:val="22"/>
        </w:rPr>
      </w:pPr>
    </w:p>
    <w:p w:rsidR="00536EE8" w:rsidRDefault="00D2609B">
      <w:pPr>
        <w:spacing w:line="360" w:lineRule="auto"/>
        <w:jc w:val="both"/>
        <w:rPr>
          <w:rFonts w:ascii="Arial" w:eastAsia="Arial" w:hAnsi="Arial" w:cs="Arial"/>
          <w:b/>
          <w:sz w:val="32"/>
          <w:szCs w:val="32"/>
        </w:rPr>
      </w:pPr>
      <w:r>
        <w:br w:type="page"/>
      </w:r>
    </w:p>
    <w:p w:rsidR="00536EE8" w:rsidRDefault="00D2609B">
      <w:pPr>
        <w:pStyle w:val="Heading1"/>
        <w:spacing w:line="360" w:lineRule="auto"/>
      </w:pPr>
      <w:bookmarkStart w:id="0" w:name="_Toc215065965"/>
      <w:r>
        <w:lastRenderedPageBreak/>
        <w:t>1. Introduction</w:t>
      </w:r>
      <w:bookmarkEnd w:id="0"/>
    </w:p>
    <w:p w:rsidR="00536EE8" w:rsidRDefault="00D2609B" w:rsidP="000B1C19">
      <w:pPr>
        <w:pStyle w:val="Heading2"/>
      </w:pPr>
      <w:bookmarkStart w:id="1" w:name="_Toc215065966"/>
      <w:r>
        <w:t>1.1 Background of the Issue</w:t>
      </w:r>
      <w:bookmarkEnd w:id="1"/>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One of the most common orthopaedic surgeries that are conducted to restore mobility and relieve chronic joint pains is the total knee replacement surgery (TKR). Nevertheless, there has been an indication of increased medico-legal claims in India, which are connected to orthopaedic negligence and reveal system flaws in surgical care and regulation (Pai, 2021).It is projected that the Global Knee Replacement Market size will reach USD 16.6 Billion by 2032 with USD 10.8 Billion in 2023, with a CAGR of 5% in the forecast period between 2023 and 2032 as shown in </w:t>
      </w:r>
      <w:r>
        <w:rPr>
          <w:rFonts w:ascii="Arial" w:eastAsia="Arial" w:hAnsi="Arial" w:cs="Arial"/>
          <w:b/>
          <w:i/>
          <w:sz w:val="22"/>
          <w:szCs w:val="22"/>
        </w:rPr>
        <w:t xml:space="preserve">figure 1 </w:t>
      </w:r>
      <w:r>
        <w:rPr>
          <w:rFonts w:ascii="Arial" w:eastAsia="Arial" w:hAnsi="Arial" w:cs="Arial"/>
          <w:sz w:val="22"/>
          <w:szCs w:val="22"/>
        </w:rPr>
        <w:t xml:space="preserve">(Market.us, 2024). An outstanding instance is that of the Urban II Additional District Consumer Disputes Redressal Commission case in Bengaluru (2024), an orthopaedic surgeon was fined and sentenced because he was operating with an inferior implant. </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drawing>
          <wp:inline distT="0" distB="0" distL="0" distR="0">
            <wp:extent cx="5484456" cy="2663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484456" cy="2663125"/>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1:Knee Replacement Market</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(Source:Market.us, 2024)</w:t>
      </w:r>
    </w:p>
    <w:p w:rsidR="00536EE8" w:rsidRPr="000B1C19" w:rsidRDefault="00D2609B" w:rsidP="000B1C19">
      <w:pPr>
        <w:pStyle w:val="Heading2"/>
      </w:pPr>
      <w:bookmarkStart w:id="2" w:name="_Toc215065967"/>
      <w:r w:rsidRPr="000B1C19">
        <w:t>1.2 Establishing the Problem as a Public Health and Quality Issue</w:t>
      </w:r>
      <w:bookmarkEnd w:id="2"/>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Patient Harm and Growing Public Health Burden:</w:t>
      </w:r>
      <w:r>
        <w:rPr>
          <w:rFonts w:ascii="Arial" w:eastAsia="Arial" w:hAnsi="Arial" w:cs="Arial"/>
          <w:sz w:val="22"/>
          <w:szCs w:val="22"/>
        </w:rPr>
        <w:t xml:space="preserve">Conscious negligence during surgical operations is one of the key public health issues because it can lead to unnecessary damage to patients, long-term disability, and poor quality of life (Ghofrani et al. 2024). An error in total knee replacement may result in complications in the long run necessitating surgery revision generating both body and psychological pain.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lastRenderedPageBreak/>
        <w:t>Increasing National Evidence of Surgical Quality Failures:</w:t>
      </w:r>
      <w:r>
        <w:rPr>
          <w:rFonts w:ascii="Arial" w:eastAsia="Arial" w:hAnsi="Arial" w:cs="Arial"/>
          <w:sz w:val="22"/>
          <w:szCs w:val="22"/>
        </w:rPr>
        <w:t>Nationwide reports in recent years note that there has been an increase in the number of implant failures, poor informed consent procedures, and avoidable surgical mistakes (wrong-site surgery, etc.) (Medical Dialogues, 2024). These incidents would indicate the lack of clinical vigilance and highlight many disparities in the quality and safety of orthopaedic care in India.</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Systemic and Governance-Related Deficiencies:</w:t>
      </w:r>
      <w:r>
        <w:rPr>
          <w:rFonts w:ascii="Arial" w:eastAsia="Arial" w:hAnsi="Arial" w:cs="Arial"/>
          <w:sz w:val="22"/>
          <w:szCs w:val="22"/>
        </w:rPr>
        <w:t xml:space="preserve">The orchestrating factors behind these incidences are the ineffective regulatory measures over the surgical implants, irregularity in following clinical procedures, insufficiency of staff, inefficient documentation, and ineffective governance structures (Jerome et al., 2023). All these together result in repeated quality breakdowns in surgical care.Infection accounts for 30%, loosening 20%, wear 18%, stiffness 8%, periprosthetic fracture 2%, malalignment 6%, osteolysis 4%, patella revision 12%, and other causes complete the remaining proportion refer in </w:t>
      </w:r>
      <w:r>
        <w:rPr>
          <w:rFonts w:ascii="Arial" w:eastAsia="Arial" w:hAnsi="Arial" w:cs="Arial"/>
          <w:b/>
          <w:i/>
          <w:sz w:val="22"/>
          <w:szCs w:val="22"/>
        </w:rPr>
        <w:t>figure 2</w:t>
      </w:r>
      <w:r>
        <w:rPr>
          <w:rFonts w:ascii="Arial" w:eastAsia="Arial" w:hAnsi="Arial" w:cs="Arial"/>
          <w:sz w:val="22"/>
          <w:szCs w:val="22"/>
        </w:rPr>
        <w:t>.</w:t>
      </w:r>
    </w:p>
    <w:p w:rsidR="00536EE8" w:rsidRDefault="00D2609B">
      <w:pPr>
        <w:spacing w:line="360" w:lineRule="auto"/>
        <w:jc w:val="center"/>
        <w:rPr>
          <w:rFonts w:ascii="Arial" w:eastAsia="Arial" w:hAnsi="Arial" w:cs="Arial"/>
          <w:sz w:val="22"/>
          <w:szCs w:val="22"/>
        </w:rPr>
      </w:pPr>
      <w:r>
        <w:rPr>
          <w:rFonts w:ascii="Arial" w:eastAsia="Arial" w:hAnsi="Arial" w:cs="Arial"/>
          <w:noProof/>
          <w:sz w:val="22"/>
          <w:szCs w:val="22"/>
          <w:lang w:eastAsia="en-US"/>
        </w:rPr>
        <w:drawing>
          <wp:inline distT="0" distB="0" distL="0" distR="0">
            <wp:extent cx="4029229" cy="233989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029229" cy="2339898"/>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2:Failure Mechanisms and Influencing</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(Source:Jeyalakshmi and Ramkumar, 2025)</w:t>
      </w:r>
    </w:p>
    <w:p w:rsidR="00536EE8" w:rsidRDefault="00D2609B" w:rsidP="000B1C19">
      <w:pPr>
        <w:pStyle w:val="Heading2"/>
      </w:pPr>
      <w:bookmarkStart w:id="3" w:name="_Toc215065968"/>
      <w:r>
        <w:t>1.3 Relevance to Health Systems and Policy</w:t>
      </w:r>
      <w:bookmarkEnd w:id="3"/>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Lapses in total knee replacement surgeries are usually due to the absence of standardisation in a number of vital aspects of clinical practice. The differences in acquisition of surgical implants particularly where the regulatory control is lax provide opportunities of using low-quality or un-verified devices (Omaghomi</w:t>
      </w:r>
      <w:r>
        <w:rPr>
          <w:rFonts w:ascii="Arial" w:eastAsia="Arial" w:hAnsi="Arial" w:cs="Arial"/>
          <w:i/>
          <w:sz w:val="22"/>
          <w:szCs w:val="22"/>
        </w:rPr>
        <w:t>et al.,</w:t>
      </w:r>
      <w:r>
        <w:rPr>
          <w:rFonts w:ascii="Arial" w:eastAsia="Arial" w:hAnsi="Arial" w:cs="Arial"/>
          <w:sz w:val="22"/>
          <w:szCs w:val="22"/>
        </w:rPr>
        <w:t xml:space="preserve"> 2024). Likewise, ineffective documentation and incomplete communication between multidisciplinary teams disrupt the continuity of care and predispose avoidable errors. Patients are exposed to further compromised patient outcomes due to poor monitoring and follow-up that occurs after operation. </w:t>
      </w:r>
    </w:p>
    <w:p w:rsidR="00536EE8" w:rsidRDefault="00D2609B" w:rsidP="000B1C19">
      <w:pPr>
        <w:pStyle w:val="Heading2"/>
      </w:pPr>
      <w:bookmarkStart w:id="4" w:name="_Toc215065969"/>
      <w:r>
        <w:lastRenderedPageBreak/>
        <w:t>1.4 Rationale for Selecting the Case and Models</w:t>
      </w:r>
      <w:bookmarkEnd w:id="4"/>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The chosen case in the Urban II Additional District Consumer Disputes Redressal Commission is especially suitable to be discussed due to the fact that it reveals systemic structural and process-related issues that directly led to the harm of patients and represents a larger trend in the Indian orthopaedic care (Pai, 2021). To analyse these failures in a rigorous manner, the report uses Donabedian Model, Fishbone Diagram, 5 Whys, and SWOT analysis which are the highly recognised models of quality improvement across the world.</w:t>
      </w:r>
    </w:p>
    <w:p w:rsidR="00536EE8" w:rsidRDefault="00D2609B" w:rsidP="000B1C19">
      <w:pPr>
        <w:pStyle w:val="Heading2"/>
      </w:pPr>
      <w:bookmarkStart w:id="5" w:name="_Toc215065970"/>
      <w:r>
        <w:t>1.5 Aim and Objectives</w:t>
      </w:r>
      <w:bookmarkEnd w:id="5"/>
    </w:p>
    <w:p w:rsidR="00536EE8" w:rsidRDefault="00D2609B">
      <w:pPr>
        <w:spacing w:after="160" w:line="360" w:lineRule="auto"/>
        <w:jc w:val="both"/>
        <w:rPr>
          <w:rFonts w:ascii="Arial" w:eastAsia="Arial" w:hAnsi="Arial" w:cs="Arial"/>
          <w:sz w:val="22"/>
          <w:szCs w:val="22"/>
        </w:rPr>
      </w:pPr>
      <w:r>
        <w:rPr>
          <w:rFonts w:ascii="Arial" w:eastAsia="Arial" w:hAnsi="Arial" w:cs="Arial"/>
          <w:b/>
          <w:sz w:val="22"/>
          <w:szCs w:val="22"/>
        </w:rPr>
        <w:t>Aim:</w:t>
      </w:r>
      <w:r>
        <w:rPr>
          <w:rFonts w:ascii="Arial" w:eastAsia="Arial" w:hAnsi="Arial" w:cs="Arial"/>
          <w:sz w:val="22"/>
          <w:szCs w:val="22"/>
        </w:rPr>
        <w:t xml:space="preserve"> To analyse the root causes of negligence in TKR surgery and propose evidence-based service improvement strategies.</w:t>
      </w:r>
    </w:p>
    <w:p w:rsidR="00536EE8" w:rsidRDefault="00D2609B">
      <w:pPr>
        <w:spacing w:after="160" w:line="360" w:lineRule="auto"/>
        <w:jc w:val="both"/>
        <w:rPr>
          <w:rFonts w:ascii="Arial" w:eastAsia="Arial" w:hAnsi="Arial" w:cs="Arial"/>
          <w:sz w:val="22"/>
          <w:szCs w:val="22"/>
        </w:rPr>
      </w:pPr>
      <w:r>
        <w:rPr>
          <w:rFonts w:ascii="Arial" w:eastAsia="Arial" w:hAnsi="Arial" w:cs="Arial"/>
          <w:b/>
          <w:sz w:val="22"/>
          <w:szCs w:val="22"/>
        </w:rPr>
        <w:t>Objectives:</w:t>
      </w:r>
    </w:p>
    <w:p w:rsidR="00536EE8" w:rsidRDefault="00D2609B">
      <w:pPr>
        <w:numPr>
          <w:ilvl w:val="0"/>
          <w:numId w:val="1"/>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Apply Donabedian Model to examine structural, process, and outcome deficits.</w:t>
      </w:r>
    </w:p>
    <w:p w:rsidR="00536EE8" w:rsidRDefault="00D2609B">
      <w:pPr>
        <w:numPr>
          <w:ilvl w:val="0"/>
          <w:numId w:val="1"/>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Conduct RCA using Fishbone Diagram and 5 Whys.</w:t>
      </w:r>
    </w:p>
    <w:p w:rsidR="00536EE8" w:rsidRDefault="00D2609B">
      <w:pPr>
        <w:numPr>
          <w:ilvl w:val="0"/>
          <w:numId w:val="1"/>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Use SWOT analysis for strategic planning.</w:t>
      </w:r>
    </w:p>
    <w:p w:rsidR="00536EE8" w:rsidRDefault="00D2609B">
      <w:pPr>
        <w:numPr>
          <w:ilvl w:val="0"/>
          <w:numId w:val="1"/>
        </w:numPr>
        <w:pBdr>
          <w:top w:val="nil"/>
          <w:left w:val="nil"/>
          <w:bottom w:val="nil"/>
          <w:right w:val="nil"/>
          <w:between w:val="nil"/>
        </w:pBdr>
        <w:spacing w:after="160" w:line="360" w:lineRule="auto"/>
        <w:jc w:val="both"/>
        <w:rPr>
          <w:rFonts w:ascii="Arial" w:eastAsia="Arial" w:hAnsi="Arial" w:cs="Arial"/>
          <w:color w:val="000000"/>
          <w:sz w:val="22"/>
          <w:szCs w:val="22"/>
        </w:rPr>
      </w:pPr>
      <w:r>
        <w:rPr>
          <w:rFonts w:ascii="Arial" w:eastAsia="Arial" w:hAnsi="Arial" w:cs="Arial"/>
          <w:color w:val="000000"/>
          <w:sz w:val="22"/>
          <w:szCs w:val="22"/>
        </w:rPr>
        <w:t>Provide actionable recommendations using PDSA/Lean/Six Sigma</w:t>
      </w:r>
    </w:p>
    <w:p w:rsidR="00536EE8" w:rsidRDefault="00D2609B">
      <w:pPr>
        <w:pStyle w:val="Heading1"/>
        <w:spacing w:line="360" w:lineRule="auto"/>
      </w:pPr>
      <w:bookmarkStart w:id="6" w:name="_Toc215065971"/>
      <w:r>
        <w:t>2. Main Body</w:t>
      </w:r>
      <w:bookmarkEnd w:id="6"/>
    </w:p>
    <w:p w:rsidR="00536EE8" w:rsidRDefault="00D2609B" w:rsidP="000B1C19">
      <w:pPr>
        <w:pStyle w:val="Heading2"/>
      </w:pPr>
      <w:bookmarkStart w:id="7" w:name="_Toc215065972"/>
      <w:r>
        <w:t>2.1 Donabedian Model Analysis</w:t>
      </w:r>
      <w:bookmarkEnd w:id="7"/>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In general, the Donabedian analysis demonstrates that the patient harm in the case was not the result of the isolated clinical mistakes but the misplaced systemic flaws in structure, process, and outcomes.</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Structure Issues:</w:t>
      </w:r>
      <w:r>
        <w:rPr>
          <w:rFonts w:ascii="Arial" w:eastAsia="Arial" w:hAnsi="Arial" w:cs="Arial"/>
          <w:sz w:val="22"/>
          <w:szCs w:val="22"/>
        </w:rPr>
        <w:t xml:space="preserve">Organisational structures, which are significant to the quality of care in total knee replacement (TKR) surgery, were lacking in the analysed case. The lack of proper governance in the area of implant acquisition allowed the use of low-quality equipment as a symptom of the overall failures of the nation in the regulation of orthopaedic implants (Jerome </w:t>
      </w:r>
      <w:r>
        <w:rPr>
          <w:rFonts w:ascii="Arial" w:eastAsia="Arial" w:hAnsi="Arial" w:cs="Arial"/>
          <w:i/>
          <w:sz w:val="22"/>
          <w:szCs w:val="22"/>
        </w:rPr>
        <w:t>et al.,</w:t>
      </w:r>
      <w:r>
        <w:rPr>
          <w:rFonts w:ascii="Arial" w:eastAsia="Arial" w:hAnsi="Arial" w:cs="Arial"/>
          <w:sz w:val="22"/>
          <w:szCs w:val="22"/>
        </w:rPr>
        <w:t xml:space="preserve"> 2023). Other structural constraints are lack of adequately trained personnel and inconsistent training quality, which diminishes the efficiency of surgical work and weakens the best practice. Moreover, it is built on a weak foundation because there are no strong policies that regulate the informed consent, clinical documentation, and intraoperative safety checks.</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lastRenderedPageBreak/>
        <w:t>Process Issues:</w:t>
      </w:r>
      <w:r>
        <w:rPr>
          <w:rFonts w:ascii="Arial" w:eastAsia="Arial" w:hAnsi="Arial" w:cs="Arial"/>
          <w:sz w:val="22"/>
          <w:szCs w:val="22"/>
        </w:rPr>
        <w:t xml:space="preserve">In this case, there were direct effects on patient outcomes associated with process-related failures. Such mistakes in the planning of the surgery and choice of the implant denote the absence of appropriate decision-making and the lack of compliance with the guidelines (Pai </w:t>
      </w:r>
      <w:r>
        <w:rPr>
          <w:rFonts w:ascii="Arial" w:eastAsia="Arial" w:hAnsi="Arial" w:cs="Arial"/>
          <w:i/>
          <w:sz w:val="22"/>
          <w:szCs w:val="22"/>
        </w:rPr>
        <w:t>et al.,</w:t>
      </w:r>
      <w:r>
        <w:rPr>
          <w:rFonts w:ascii="Arial" w:eastAsia="Arial" w:hAnsi="Arial" w:cs="Arial"/>
          <w:sz w:val="22"/>
          <w:szCs w:val="22"/>
        </w:rPr>
        <w:t xml:space="preserve"> 2023). Lack of effective communication between support staff, nurses and surgeons heightens chances of essential omissions in the pre-operative and intraoperative phases. The pre-operative tests were poor, as they could not identify any complications and alleviate them. Also, other processes like infection control, safety checks of theatre and documentation were not consistently implemented.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Outcome Issues:</w:t>
      </w:r>
      <w:r>
        <w:rPr>
          <w:rFonts w:ascii="Arial" w:eastAsia="Arial" w:hAnsi="Arial" w:cs="Arial"/>
          <w:sz w:val="22"/>
          <w:szCs w:val="22"/>
        </w:rPr>
        <w:t xml:space="preserve">The outcome of these structural and process failures is poor clinical outcomes such as chronic pain, disability, and revision surgery. The side effects may also include psychological distress, loss of mobility and permanent reliance on medical care by the patients (Pai </w:t>
      </w:r>
      <w:r>
        <w:rPr>
          <w:rFonts w:ascii="Arial" w:eastAsia="Arial" w:hAnsi="Arial" w:cs="Arial"/>
          <w:i/>
          <w:sz w:val="22"/>
          <w:szCs w:val="22"/>
        </w:rPr>
        <w:t>et al.,</w:t>
      </w:r>
      <w:r>
        <w:rPr>
          <w:rFonts w:ascii="Arial" w:eastAsia="Arial" w:hAnsi="Arial" w:cs="Arial"/>
          <w:sz w:val="22"/>
          <w:szCs w:val="22"/>
        </w:rPr>
        <w:t xml:space="preserve"> 2023). Unfavorable consequences negate patient satisfaction and undermine confidence in the healthcare system, which in most cases results in litigation, financial burnt and reputational damage of providers.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Interaction of the Three Domains:</w:t>
      </w:r>
      <w:r>
        <w:rPr>
          <w:rFonts w:ascii="Arial" w:eastAsia="Arial" w:hAnsi="Arial" w:cs="Arial"/>
          <w:sz w:val="22"/>
          <w:szCs w:val="22"/>
        </w:rPr>
        <w:t xml:space="preserve">The Donabedian model shows the interrelationship between these three areas. The poor clinical processes that result in bad outcomes are as a result of weak organisational structures (Rodríguez-Álvarez </w:t>
      </w:r>
      <w:r>
        <w:rPr>
          <w:rFonts w:ascii="Arial" w:eastAsia="Arial" w:hAnsi="Arial" w:cs="Arial"/>
          <w:i/>
          <w:sz w:val="22"/>
          <w:szCs w:val="22"/>
        </w:rPr>
        <w:t>et al.,</w:t>
      </w:r>
      <w:r>
        <w:rPr>
          <w:rFonts w:ascii="Arial" w:eastAsia="Arial" w:hAnsi="Arial" w:cs="Arial"/>
          <w:sz w:val="22"/>
          <w:szCs w:val="22"/>
        </w:rPr>
        <w:t xml:space="preserve"> 2024). Weak procurement management, workforce pressure and inconsistency diminish the efficiency of clinical processes, promoting the risk of complications and dissatisfaction.</w:t>
      </w:r>
    </w:p>
    <w:p w:rsidR="00536EE8" w:rsidRDefault="00D2609B" w:rsidP="000B1C19">
      <w:pPr>
        <w:pStyle w:val="Heading2"/>
      </w:pPr>
      <w:bookmarkStart w:id="8" w:name="_Toc215065973"/>
      <w:r>
        <w:t>2.2 Root Cause Analysis (Fishbone + 5 Whys)</w:t>
      </w:r>
      <w:bookmarkEnd w:id="8"/>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Root Cause Analysis</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A combination of these factors is indicative of well interconnected, systemic deficiencies which led to the negligence incident directly.</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lastRenderedPageBreak/>
        <w:drawing>
          <wp:inline distT="0" distB="0" distL="0" distR="0">
            <wp:extent cx="5530191" cy="301856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530191" cy="3018562"/>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3:Root Cause Analysis</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 Self-made)</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People:</w:t>
      </w:r>
      <w:r>
        <w:rPr>
          <w:rFonts w:ascii="Arial" w:eastAsia="Arial" w:hAnsi="Arial" w:cs="Arial"/>
          <w:sz w:val="22"/>
          <w:szCs w:val="22"/>
        </w:rPr>
        <w:t xml:space="preserve"> Human factors also played a major role in the failure especially lack of proper training and communication among the surgical members </w:t>
      </w:r>
      <w:r>
        <w:rPr>
          <w:rFonts w:ascii="Arial" w:eastAsia="Arial" w:hAnsi="Arial" w:cs="Arial"/>
          <w:b/>
          <w:i/>
          <w:sz w:val="22"/>
          <w:szCs w:val="22"/>
        </w:rPr>
        <w:t xml:space="preserve">refer in figure 3. </w:t>
      </w:r>
      <w:r>
        <w:rPr>
          <w:rFonts w:ascii="Arial" w:eastAsia="Arial" w:hAnsi="Arial" w:cs="Arial"/>
          <w:sz w:val="22"/>
          <w:szCs w:val="22"/>
        </w:rPr>
        <w:t xml:space="preserve">The orthopaedic staff of most Indian hospitals is only trained regularly (60-70 percent) according to the protocols, which leads to the discrepancy in the use of safety standards. Ineffective communication in the operating room leads to a higher chance of inaccuracies and research has shown that communication breakdowns are responsible in 43 percent of the preventable surgical events.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Process:</w:t>
      </w:r>
      <w:r>
        <w:rPr>
          <w:rFonts w:ascii="Arial" w:eastAsia="Arial" w:hAnsi="Arial" w:cs="Arial"/>
          <w:sz w:val="22"/>
          <w:szCs w:val="22"/>
        </w:rPr>
        <w:t xml:space="preserve"> The incident was based on process failures. There was no standard operating procedure (SOP) to verify the implants, and, as a result, unverified ones could still be utilized (Sakdiyah</w:t>
      </w:r>
      <w:r>
        <w:rPr>
          <w:rFonts w:ascii="Arial" w:eastAsia="Arial" w:hAnsi="Arial" w:cs="Arial"/>
          <w:i/>
          <w:sz w:val="22"/>
          <w:szCs w:val="22"/>
        </w:rPr>
        <w:t>et al.,</w:t>
      </w:r>
      <w:r>
        <w:rPr>
          <w:rFonts w:ascii="Arial" w:eastAsia="Arial" w:hAnsi="Arial" w:cs="Arial"/>
          <w:sz w:val="22"/>
          <w:szCs w:val="22"/>
        </w:rPr>
        <w:t xml:space="preserve"> 2022). Poor follow-up practices also contribute to further damage as up to 28% of TKR patients in the country have reported poor follow-up review within the recommended times.</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Policy:</w:t>
      </w:r>
      <w:r>
        <w:rPr>
          <w:rFonts w:ascii="Arial" w:eastAsia="Arial" w:hAnsi="Arial" w:cs="Arial"/>
          <w:sz w:val="22"/>
          <w:szCs w:val="22"/>
        </w:rPr>
        <w:t xml:space="preserve"> Policy-level loopholes are an indicator of the lack of enforcement of the medical device policies and the weak regulation in the privated hospitals.</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Equipment:</w:t>
      </w:r>
      <w:r>
        <w:rPr>
          <w:rFonts w:ascii="Arial" w:eastAsia="Arial" w:hAnsi="Arial" w:cs="Arial"/>
          <w:sz w:val="22"/>
          <w:szCs w:val="22"/>
        </w:rPr>
        <w:t xml:space="preserve"> The problems related to equipment are such as the use of poor quality or untested implants, which occurred in the case. According to national estimates, ten to fifteen percent of orthopaedic implants in the market might not comply with the necessary certification standards (Shabani </w:t>
      </w:r>
      <w:r>
        <w:rPr>
          <w:rFonts w:ascii="Arial" w:eastAsia="Arial" w:hAnsi="Arial" w:cs="Arial"/>
          <w:i/>
          <w:sz w:val="22"/>
          <w:szCs w:val="22"/>
        </w:rPr>
        <w:t>et al.,</w:t>
      </w:r>
      <w:r>
        <w:rPr>
          <w:rFonts w:ascii="Arial" w:eastAsia="Arial" w:hAnsi="Arial" w:cs="Arial"/>
          <w:sz w:val="22"/>
          <w:szCs w:val="22"/>
        </w:rPr>
        <w:t xml:space="preserve"> 2024). Moreover, low budget hospitals are usually unable to get quality resources on a regular basis.</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lastRenderedPageBreak/>
        <w:t>Environment:</w:t>
      </w:r>
      <w:r>
        <w:rPr>
          <w:rFonts w:ascii="Arial" w:eastAsia="Arial" w:hAnsi="Arial" w:cs="Arial"/>
          <w:sz w:val="22"/>
          <w:szCs w:val="22"/>
        </w:rPr>
        <w:t xml:space="preserve"> The surgical decisions are largely influenced by environmental pressures, which consist of high patient loads, resource constraints, and commercial pressures. In certain city private hospitals, the number of outpatient load is more than 200 patients in a day, which makes the consultation period shorter and more dangerous. </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5 Whys Analysis</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1. Why Did the Patient Experience Harm After the TKR Surgery?</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The patient suffered injuries since a defective or unexamined implant was employed in the total knee replacement surgery (Vaidya </w:t>
      </w:r>
      <w:r>
        <w:rPr>
          <w:rFonts w:ascii="Arial" w:eastAsia="Arial" w:hAnsi="Arial" w:cs="Arial"/>
          <w:i/>
          <w:sz w:val="22"/>
          <w:szCs w:val="22"/>
        </w:rPr>
        <w:t>et al.,</w:t>
      </w:r>
      <w:r>
        <w:rPr>
          <w:rFonts w:ascii="Arial" w:eastAsia="Arial" w:hAnsi="Arial" w:cs="Arial"/>
          <w:sz w:val="22"/>
          <w:szCs w:val="22"/>
        </w:rPr>
        <w:t xml:space="preserve"> 2021). It caused such complications as pain, decreased mobility and additional medical care.</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2. Why Was a Substandard Implant Used?</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The poor quality of the implant was due to the fact that the healthcare facility did not have a dependable and standardised procurement process (Macwan </w:t>
      </w:r>
      <w:r>
        <w:rPr>
          <w:rFonts w:ascii="Arial" w:eastAsia="Arial" w:hAnsi="Arial" w:cs="Arial"/>
          <w:i/>
          <w:sz w:val="22"/>
          <w:szCs w:val="22"/>
        </w:rPr>
        <w:t>et al.,</w:t>
      </w:r>
      <w:r>
        <w:rPr>
          <w:rFonts w:ascii="Arial" w:eastAsia="Arial" w:hAnsi="Arial" w:cs="Arial"/>
          <w:sz w:val="22"/>
          <w:szCs w:val="22"/>
        </w:rPr>
        <w:t xml:space="preserve"> 2024). No strong mechanism was there to ensure the authenticity of implants, certification or adherence to the Medical device rules.</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3. Why Was There No Standardised Procurement and Verification Process?</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The organisation had ineffective clinical governance systems resulting in lack of a standardised process of implant verification. Surgical safety policies, documentation and equipment checks were not present or haphazardly applied.The </w:t>
      </w:r>
      <w:r>
        <w:rPr>
          <w:rFonts w:ascii="Arial" w:eastAsia="Arial" w:hAnsi="Arial" w:cs="Arial"/>
          <w:b/>
          <w:i/>
          <w:sz w:val="22"/>
          <w:szCs w:val="22"/>
        </w:rPr>
        <w:t>figure 4</w:t>
      </w:r>
      <w:r>
        <w:rPr>
          <w:rFonts w:ascii="Arial" w:eastAsia="Arial" w:hAnsi="Arial" w:cs="Arial"/>
          <w:sz w:val="22"/>
          <w:szCs w:val="22"/>
        </w:rPr>
        <w:t xml:space="preserve"> of the patients underwent Total Knee Replacement Surgery in the past 5 years in India has steadily increased, starting with the approximately 45,000 in 2015, going to approximately 85,000 in 2017, 95,000 in 2018 and then 105,000 in 2019 (Taanam et al., 2024).</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lastRenderedPageBreak/>
        <w:drawing>
          <wp:inline distT="0" distB="0" distL="0" distR="0">
            <wp:extent cx="5004558" cy="333156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004558" cy="3331560"/>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4:Surgery in the last 5 years in India</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(Source:Jointreplacementsurgeryhospitalindia, 2025)</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4. Why Were Governance Systems Weak or Inconsistently Applied?</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The organization of governance was weak as it had poor surveillance, inadequate regulatory adherence, and lack of emphasis on patient safety by leadership (Patil et al., 2025). Training, auditing or quality observation were not the priority of the leadership teams, which led to the culture in which shortcuts and unofficial practices were accepted as a normal.</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5. Why Did Leadership Not Prioritise Strong Governance and Patient Safety?</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The leadership did not give importance to governance due to the systemic problems in the Indian healthcare situation, as there are high patient numbers, resource availability, commercial pressures, and unreliable regulation enforcement (Macwan </w:t>
      </w:r>
      <w:r>
        <w:rPr>
          <w:rFonts w:ascii="Arial" w:eastAsia="Arial" w:hAnsi="Arial" w:cs="Arial"/>
          <w:i/>
          <w:sz w:val="22"/>
          <w:szCs w:val="22"/>
        </w:rPr>
        <w:t>et al.,</w:t>
      </w:r>
      <w:r>
        <w:rPr>
          <w:rFonts w:ascii="Arial" w:eastAsia="Arial" w:hAnsi="Arial" w:cs="Arial"/>
          <w:sz w:val="22"/>
          <w:szCs w:val="22"/>
        </w:rPr>
        <w:t xml:space="preserve"> 2024).</w:t>
      </w:r>
    </w:p>
    <w:p w:rsidR="00536EE8" w:rsidRDefault="00D2609B" w:rsidP="000B1C19">
      <w:pPr>
        <w:pStyle w:val="Heading2"/>
      </w:pPr>
      <w:bookmarkStart w:id="9" w:name="_Toc215065974"/>
      <w:r>
        <w:t>2.3 SWOT Analysis</w:t>
      </w:r>
      <w:bookmarkEnd w:id="9"/>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In general, the SWOT analysis shows that the system has solid clinical roots and exposures to weak governance and regulations that need immediate reinforcement to avoid surgical negligence.</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Strengths:</w:t>
      </w:r>
      <w:r>
        <w:rPr>
          <w:rFonts w:ascii="Arial" w:eastAsia="Arial" w:hAnsi="Arial" w:cs="Arial"/>
          <w:sz w:val="22"/>
          <w:szCs w:val="22"/>
        </w:rPr>
        <w:t xml:space="preserve"> The presence of a high number of experienced surgeons is an advantage to the Indian orthopaedic services with the national data indicating that almost 80 percent of practisingorthopaedic consultants have over ten years of clinical practice (Taanam, 2025). Such expertise base is powerful in decision-making on complicated procedures like total knee </w:t>
      </w:r>
      <w:r>
        <w:rPr>
          <w:rFonts w:ascii="Arial" w:eastAsia="Arial" w:hAnsi="Arial" w:cs="Arial"/>
          <w:sz w:val="22"/>
          <w:szCs w:val="22"/>
        </w:rPr>
        <w:lastRenderedPageBreak/>
        <w:t xml:space="preserve">replacement (TKR). Also, the level of patient rights awareness has become much higher over the last ten years, and the number of patient complaints filing is also up 25, which proves that people are more involved with the safety of healthcare (Martin </w:t>
      </w:r>
      <w:r>
        <w:rPr>
          <w:rFonts w:ascii="Arial" w:eastAsia="Arial" w:hAnsi="Arial" w:cs="Arial"/>
          <w:i/>
          <w:sz w:val="22"/>
          <w:szCs w:val="22"/>
        </w:rPr>
        <w:t>et al.,</w:t>
      </w:r>
      <w:r>
        <w:rPr>
          <w:rFonts w:ascii="Arial" w:eastAsia="Arial" w:hAnsi="Arial" w:cs="Arial"/>
          <w:sz w:val="22"/>
          <w:szCs w:val="22"/>
        </w:rPr>
        <w:t xml:space="preserve"> 2023).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Weaknesses:</w:t>
      </w:r>
      <w:r>
        <w:rPr>
          <w:rFonts w:ascii="Arial" w:eastAsia="Arial" w:hAnsi="Arial" w:cs="Arial"/>
          <w:sz w:val="22"/>
          <w:szCs w:val="22"/>
        </w:rPr>
        <w:t xml:space="preserve"> The high level of clinical knowhow is faced by a disjointed control of medical equipment, and the adherence rate to the Medical Device Rules (2017) is estimated at 50-60 percent of private hospitals. Documentation practices are also inconsistent and audit shows that even up to 40 percent of the surgical records do not have all the intraoperative details (Patil </w:t>
      </w:r>
      <w:r>
        <w:rPr>
          <w:rFonts w:ascii="Arial" w:eastAsia="Arial" w:hAnsi="Arial" w:cs="Arial"/>
          <w:i/>
          <w:sz w:val="22"/>
          <w:szCs w:val="22"/>
        </w:rPr>
        <w:t>et al.,</w:t>
      </w:r>
      <w:r>
        <w:rPr>
          <w:rFonts w:ascii="Arial" w:eastAsia="Arial" w:hAnsi="Arial" w:cs="Arial"/>
          <w:sz w:val="22"/>
          <w:szCs w:val="22"/>
        </w:rPr>
        <w:t xml:space="preserve"> 2025). There are also limited governance systems as less than 30 percent of facilities are doing regular clinical audits. The presence of overworked staff, especially in high-volume private hospitals where the number of outpatients can reach 150-200 per day, exposes the staff to the risk of error.</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Opportunities:</w:t>
      </w:r>
      <w:r w:rsidR="00075994" w:rsidRPr="00075994">
        <w:rPr>
          <w:rFonts w:ascii="Arial" w:eastAsia="Arial" w:hAnsi="Arial" w:cs="Arial"/>
          <w:sz w:val="22"/>
          <w:szCs w:val="22"/>
        </w:rPr>
        <w:t>It can be significantly improved with</w:t>
      </w:r>
      <w:r>
        <w:rPr>
          <w:rFonts w:ascii="Arial" w:eastAsia="Arial" w:hAnsi="Arial" w:cs="Arial"/>
          <w:sz w:val="22"/>
          <w:szCs w:val="22"/>
        </w:rPr>
        <w:t xml:space="preserve">the help of digital solutions, including those of implant tracking that are already successfully utilized in the UK and have the potential to decrease the number of implant-related errors by 70% should the digital solution be effectively implemented. Government initiatives that support patient safety such as national frameworks generate impetus towards system change (Inui </w:t>
      </w:r>
      <w:r>
        <w:rPr>
          <w:rFonts w:ascii="Arial" w:eastAsia="Arial" w:hAnsi="Arial" w:cs="Arial"/>
          <w:i/>
          <w:sz w:val="22"/>
          <w:szCs w:val="22"/>
        </w:rPr>
        <w:t>et al.,</w:t>
      </w:r>
      <w:r>
        <w:rPr>
          <w:rFonts w:ascii="Arial" w:eastAsia="Arial" w:hAnsi="Arial" w:cs="Arial"/>
          <w:sz w:val="22"/>
          <w:szCs w:val="22"/>
        </w:rPr>
        <w:t xml:space="preserve"> 2023). In addition, increased medico-legal awareness will push hospitals to raise its standards so as to reduce the risk of litigation. </w:t>
      </w:r>
    </w:p>
    <w:p w:rsidR="00536EE8" w:rsidRDefault="00D2609B">
      <w:pPr>
        <w:spacing w:line="360" w:lineRule="auto"/>
        <w:jc w:val="both"/>
        <w:rPr>
          <w:rFonts w:ascii="Arial" w:eastAsia="Arial" w:hAnsi="Arial" w:cs="Arial"/>
          <w:sz w:val="22"/>
          <w:szCs w:val="22"/>
        </w:rPr>
      </w:pPr>
      <w:r>
        <w:rPr>
          <w:rFonts w:ascii="Arial" w:eastAsia="Arial" w:hAnsi="Arial" w:cs="Arial"/>
          <w:b/>
          <w:sz w:val="22"/>
          <w:szCs w:val="22"/>
        </w:rPr>
        <w:t>Threats:</w:t>
      </w:r>
      <w:r>
        <w:rPr>
          <w:rFonts w:ascii="Arial" w:eastAsia="Arial" w:hAnsi="Arial" w:cs="Arial"/>
          <w:sz w:val="22"/>
          <w:szCs w:val="22"/>
        </w:rPr>
        <w:t xml:space="preserve"> The presence of substandard implants in the market as a result of continued usage is an external threat as this may form 10-15 percent of products in the market. The number of litigation against surgical negligence is growing by 810% annually and posing reputational and financial risks to the hospitals. Financial constraints inhibit the quality systems investment, and the national workforce shortages, projected to be 20 percent in orthopaedics, further strain the already overworked staff.</w:t>
      </w:r>
    </w:p>
    <w:p w:rsidR="00536EE8" w:rsidRDefault="00D2609B">
      <w:pPr>
        <w:pStyle w:val="Heading1"/>
        <w:spacing w:line="360" w:lineRule="auto"/>
      </w:pPr>
      <w:bookmarkStart w:id="10" w:name="_Toc215065975"/>
      <w:r>
        <w:t>3. Recommendations</w:t>
      </w:r>
      <w:bookmarkEnd w:id="10"/>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1. Strengthening Implant Procurement and Verification Using the PDSA Model</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Adhering to the central position of the failures associated with the use of implants revealed with the help of RCA, a well-organized PDSA process is needed to enhance the process of procurement and verification </w:t>
      </w:r>
      <w:r>
        <w:rPr>
          <w:rFonts w:ascii="Arial" w:eastAsia="Arial" w:hAnsi="Arial" w:cs="Arial"/>
          <w:b/>
          <w:i/>
          <w:sz w:val="22"/>
          <w:szCs w:val="22"/>
        </w:rPr>
        <w:t>refer in figure 5</w:t>
      </w:r>
      <w:r>
        <w:rPr>
          <w:rFonts w:ascii="Arial" w:eastAsia="Arial" w:hAnsi="Arial" w:cs="Arial"/>
          <w:sz w:val="22"/>
          <w:szCs w:val="22"/>
        </w:rPr>
        <w:t xml:space="preserve">. During the Plan phase, the hospital must implement a requirement to check the implant protocol will presuppose certification checks, barcode scanning, supplier assessment, and pre-use documentation (Shannon </w:t>
      </w:r>
      <w:r>
        <w:rPr>
          <w:rFonts w:ascii="Arial" w:eastAsia="Arial" w:hAnsi="Arial" w:cs="Arial"/>
          <w:i/>
          <w:sz w:val="22"/>
          <w:szCs w:val="22"/>
        </w:rPr>
        <w:t>et al.,</w:t>
      </w:r>
      <w:r>
        <w:rPr>
          <w:rFonts w:ascii="Arial" w:eastAsia="Arial" w:hAnsi="Arial" w:cs="Arial"/>
          <w:sz w:val="22"/>
          <w:szCs w:val="22"/>
        </w:rPr>
        <w:t xml:space="preserve"> 2025). This protocol should be piloted by the Do stage in one orthopaedic unit within six weeks and the staffs will be trained on this protocol and the procurement officers will be guided on the revised protocol (Weis et al., 2024). The Analysis stage should include compliance rates, authenticity of </w:t>
      </w:r>
      <w:r>
        <w:rPr>
          <w:rFonts w:ascii="Arial" w:eastAsia="Arial" w:hAnsi="Arial" w:cs="Arial"/>
          <w:sz w:val="22"/>
          <w:szCs w:val="22"/>
        </w:rPr>
        <w:lastRenderedPageBreak/>
        <w:t xml:space="preserve">implants, and employees feedback regarding the protocol analysis to determine its efficiency. The Act phase must provide some improvements on the protocol depending on the challenges that are detected during the process like delays in the workflow or lack of competence among staff members and then implement it on a wide-scale basis in the hospital (Perdisa et al., 2023). </w:t>
      </w:r>
    </w:p>
    <w:p w:rsidR="00536EE8" w:rsidRDefault="00D2609B">
      <w:pPr>
        <w:spacing w:line="360" w:lineRule="auto"/>
        <w:jc w:val="center"/>
        <w:rPr>
          <w:rFonts w:ascii="Arial" w:eastAsia="Arial" w:hAnsi="Arial" w:cs="Arial"/>
          <w:sz w:val="22"/>
          <w:szCs w:val="22"/>
        </w:rPr>
      </w:pPr>
      <w:r>
        <w:rPr>
          <w:rFonts w:ascii="Arial" w:eastAsia="Arial" w:hAnsi="Arial" w:cs="Arial"/>
          <w:noProof/>
          <w:sz w:val="22"/>
          <w:szCs w:val="22"/>
          <w:lang w:eastAsia="en-US"/>
        </w:rPr>
        <w:drawing>
          <wp:inline distT="0" distB="0" distL="0" distR="0">
            <wp:extent cx="3835400" cy="38354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835400" cy="3835400"/>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5:PDSA process</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(Source:Deming.org, 2024)</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2. Enhancing Surgical Processes and Documentation Through the PDCA Cycle</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To overcome the problem of process level failures like uncompromising documentation, poor consent practice and insufficient pre-operative assessment the PDCA model provides a well-organized approach to continuous improvement </w:t>
      </w:r>
      <w:r>
        <w:rPr>
          <w:rFonts w:ascii="Arial" w:eastAsia="Arial" w:hAnsi="Arial" w:cs="Arial"/>
          <w:b/>
          <w:i/>
          <w:sz w:val="22"/>
          <w:szCs w:val="22"/>
        </w:rPr>
        <w:t>refer in figure 6</w:t>
      </w:r>
      <w:r>
        <w:rPr>
          <w:rFonts w:ascii="Arial" w:eastAsia="Arial" w:hAnsi="Arial" w:cs="Arial"/>
          <w:sz w:val="22"/>
          <w:szCs w:val="22"/>
        </w:rPr>
        <w:t xml:space="preserve">. During the Plan stage, the hospital is to create standard documentation templates, such as an evidence-based informed consent form, institutionalised surgical notes, and pre-operative assessment checklists based on the orthopaedic national guidelines (Valič et al., 2024). The Do stage entails educating all the members of the multidisciplinary teams and implementing the templates into practice. A random sample of 20-30 surgical cases ought to be audited by the Check stage every month and completeness, accuracy, and compliance should be evaluated (Kobayashi and Yukizawa, 2023). During the Act stage, documentation processes are to be optimized based on the audit </w:t>
      </w:r>
      <w:r>
        <w:rPr>
          <w:rFonts w:ascii="Arial" w:eastAsia="Arial" w:hAnsi="Arial" w:cs="Arial"/>
          <w:sz w:val="22"/>
          <w:szCs w:val="22"/>
        </w:rPr>
        <w:lastRenderedPageBreak/>
        <w:t xml:space="preserve">results, including the ideas of the staff members and addressing the obstacles, like insufficient time or absence of digital tools. </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drawing>
          <wp:inline distT="0" distB="0" distL="0" distR="0">
            <wp:extent cx="4032981" cy="248786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4032981" cy="2487867"/>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6:PDCA Cycle</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(Source:Anon, 2023)</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3. Reducing Waste and Variation in Surgical Workflows Using Lean Methodology</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Lean methodology is oriented on the absence of inefficiency and simplification of processes, so it is applicable to address the gaps in the workflow noted in the TKR negligence case </w:t>
      </w:r>
      <w:r>
        <w:rPr>
          <w:rFonts w:ascii="Arial" w:eastAsia="Arial" w:hAnsi="Arial" w:cs="Arial"/>
          <w:b/>
          <w:i/>
          <w:sz w:val="22"/>
          <w:szCs w:val="22"/>
        </w:rPr>
        <w:t>refer in figure 7</w:t>
      </w:r>
      <w:r>
        <w:rPr>
          <w:rFonts w:ascii="Arial" w:eastAsia="Arial" w:hAnsi="Arial" w:cs="Arial"/>
          <w:sz w:val="22"/>
          <w:szCs w:val="22"/>
        </w:rPr>
        <w:t xml:space="preserve">. The Lean exercise should include a value stream mapping, use which seeks to determine wastes in the surgical pathway such as delays in selecting implants, unnecessary documentation, unnecessary staff and equipment movements, and long waiting of the patients (Lee </w:t>
      </w:r>
      <w:r>
        <w:rPr>
          <w:rFonts w:ascii="Arial" w:eastAsia="Arial" w:hAnsi="Arial" w:cs="Arial"/>
          <w:i/>
          <w:sz w:val="22"/>
          <w:szCs w:val="22"/>
        </w:rPr>
        <w:t>et al.,</w:t>
      </w:r>
      <w:r>
        <w:rPr>
          <w:rFonts w:ascii="Arial" w:eastAsia="Arial" w:hAnsi="Arial" w:cs="Arial"/>
          <w:sz w:val="22"/>
          <w:szCs w:val="22"/>
        </w:rPr>
        <w:t xml:space="preserve"> 2024). Results are frequently used to demonstrate that up to 30-40 percent of workflow activities lack clinical value. Some of the Lean strategies that should be applied in the hospital include the use of 5S (Sort, Set in Order, Shine, Standardise, Sustain) in the operating theatres to enhance organisation, lessen instrument errors, and the preparation process (Lee </w:t>
      </w:r>
      <w:r>
        <w:rPr>
          <w:rFonts w:ascii="Arial" w:eastAsia="Arial" w:hAnsi="Arial" w:cs="Arial"/>
          <w:i/>
          <w:sz w:val="22"/>
          <w:szCs w:val="22"/>
        </w:rPr>
        <w:t>et al.,</w:t>
      </w:r>
      <w:r>
        <w:rPr>
          <w:rFonts w:ascii="Arial" w:eastAsia="Arial" w:hAnsi="Arial" w:cs="Arial"/>
          <w:sz w:val="22"/>
          <w:szCs w:val="22"/>
        </w:rPr>
        <w:t xml:space="preserve"> 2023). Efficiency will also be improved by means of standardisation of surgical checklists, adoption of a single channel of communication in case of handovers and reduction of interruptions during surgery (Dragosloveanu</w:t>
      </w:r>
      <w:r>
        <w:rPr>
          <w:rFonts w:ascii="Arial" w:eastAsia="Arial" w:hAnsi="Arial" w:cs="Arial"/>
          <w:i/>
          <w:sz w:val="22"/>
          <w:szCs w:val="22"/>
        </w:rPr>
        <w:t>et al.,</w:t>
      </w:r>
      <w:r>
        <w:rPr>
          <w:rFonts w:ascii="Arial" w:eastAsia="Arial" w:hAnsi="Arial" w:cs="Arial"/>
          <w:sz w:val="22"/>
          <w:szCs w:val="22"/>
        </w:rPr>
        <w:t xml:space="preserve"> 2024). Lean programs enhance cooperation and establish a less unpredictable work process, minimizing risks associated with human error and communication breakdowns. </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lastRenderedPageBreak/>
        <w:drawing>
          <wp:inline distT="0" distB="0" distL="0" distR="0">
            <wp:extent cx="3768154" cy="247627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768154" cy="2476274"/>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7:Lean Methodology</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(Source:Theleanway.net, 2023)</w:t>
      </w:r>
    </w:p>
    <w:p w:rsidR="00536EE8" w:rsidRDefault="00D2609B">
      <w:pPr>
        <w:spacing w:line="360" w:lineRule="auto"/>
        <w:jc w:val="both"/>
        <w:rPr>
          <w:rFonts w:ascii="Arial" w:eastAsia="Arial" w:hAnsi="Arial" w:cs="Arial"/>
          <w:b/>
          <w:sz w:val="22"/>
          <w:szCs w:val="22"/>
        </w:rPr>
      </w:pPr>
      <w:r>
        <w:rPr>
          <w:rFonts w:ascii="Arial" w:eastAsia="Arial" w:hAnsi="Arial" w:cs="Arial"/>
          <w:b/>
          <w:sz w:val="22"/>
          <w:szCs w:val="22"/>
        </w:rPr>
        <w:t>4. Improving Surgical Safety and Error Reduction Using Six Sigma (DMAIC)</w:t>
      </w:r>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The Six Sigma DMAIC framework is viable in minimizing variation and enhancing surgical safety since the incident can be prevented </w:t>
      </w:r>
      <w:r>
        <w:rPr>
          <w:rFonts w:ascii="Arial" w:eastAsia="Arial" w:hAnsi="Arial" w:cs="Arial"/>
          <w:b/>
          <w:i/>
          <w:sz w:val="22"/>
          <w:szCs w:val="22"/>
        </w:rPr>
        <w:t>refer in figure 8.</w:t>
      </w:r>
      <w:r>
        <w:rPr>
          <w:rFonts w:ascii="Arial" w:eastAsia="Arial" w:hAnsi="Arial" w:cs="Arial"/>
          <w:sz w:val="22"/>
          <w:szCs w:val="22"/>
        </w:rPr>
        <w:t xml:space="preserve"> The problem is defined in the Define stage where the problem must be defined as follows: high risk of implant related and process related errors in TKR surgeries (Elcock </w:t>
      </w:r>
      <w:r>
        <w:rPr>
          <w:rFonts w:ascii="Arial" w:eastAsia="Arial" w:hAnsi="Arial" w:cs="Arial"/>
          <w:i/>
          <w:sz w:val="22"/>
          <w:szCs w:val="22"/>
        </w:rPr>
        <w:t>et al.,</w:t>
      </w:r>
      <w:r>
        <w:rPr>
          <w:rFonts w:ascii="Arial" w:eastAsia="Arial" w:hAnsi="Arial" w:cs="Arial"/>
          <w:sz w:val="22"/>
          <w:szCs w:val="22"/>
        </w:rPr>
        <w:t xml:space="preserve"> 2023). Measure stage entails the gathering of baseline data which includes implant verification rates, consent rates, delays at the surgery and postoperative rates of complication (Quinlan </w:t>
      </w:r>
      <w:r>
        <w:rPr>
          <w:rFonts w:ascii="Arial" w:eastAsia="Arial" w:hAnsi="Arial" w:cs="Arial"/>
          <w:i/>
          <w:sz w:val="22"/>
          <w:szCs w:val="22"/>
        </w:rPr>
        <w:t>et al.,</w:t>
      </w:r>
      <w:r>
        <w:rPr>
          <w:rFonts w:ascii="Arial" w:eastAsia="Arial" w:hAnsi="Arial" w:cs="Arial"/>
          <w:sz w:val="22"/>
          <w:szCs w:val="22"/>
        </w:rPr>
        <w:t xml:space="preserve"> 2024). The Analyse phase determines the trends and correlations between defects and outcomes of the process, with the aid of such tools as fishbone diagrams and Pareto charts. Improve stage presents specific interventions that include the usage of the double-verification system, the usage of digital checklists, and improved monitoring technologies. </w:t>
      </w:r>
    </w:p>
    <w:p w:rsidR="00536EE8" w:rsidRDefault="00D2609B">
      <w:pPr>
        <w:spacing w:line="360" w:lineRule="auto"/>
        <w:jc w:val="center"/>
        <w:rPr>
          <w:rFonts w:ascii="Arial" w:eastAsia="Arial" w:hAnsi="Arial" w:cs="Arial"/>
          <w:sz w:val="22"/>
          <w:szCs w:val="22"/>
        </w:rPr>
      </w:pPr>
      <w:r>
        <w:rPr>
          <w:rFonts w:ascii="Arial" w:eastAsia="Arial" w:hAnsi="Arial" w:cs="Arial"/>
          <w:noProof/>
          <w:lang w:eastAsia="en-US"/>
        </w:rPr>
        <w:lastRenderedPageBreak/>
        <w:drawing>
          <wp:inline distT="0" distB="0" distL="0" distR="0">
            <wp:extent cx="5943600" cy="308546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085465"/>
                    </a:xfrm>
                    <a:prstGeom prst="rect">
                      <a:avLst/>
                    </a:prstGeom>
                    <a:ln/>
                  </pic:spPr>
                </pic:pic>
              </a:graphicData>
            </a:graphic>
          </wp:inline>
        </w:drawing>
      </w:r>
    </w:p>
    <w:p w:rsidR="00536EE8" w:rsidRDefault="00D2609B">
      <w:pPr>
        <w:spacing w:line="360" w:lineRule="auto"/>
        <w:jc w:val="center"/>
        <w:rPr>
          <w:rFonts w:ascii="Arial" w:eastAsia="Arial" w:hAnsi="Arial" w:cs="Arial"/>
          <w:b/>
          <w:sz w:val="22"/>
          <w:szCs w:val="22"/>
        </w:rPr>
      </w:pPr>
      <w:r>
        <w:rPr>
          <w:rFonts w:ascii="Arial" w:eastAsia="Arial" w:hAnsi="Arial" w:cs="Arial"/>
          <w:b/>
          <w:sz w:val="22"/>
          <w:szCs w:val="22"/>
        </w:rPr>
        <w:t>Figure 8: Six Sigma (DMAIC)</w:t>
      </w:r>
    </w:p>
    <w:p w:rsidR="00536EE8" w:rsidRDefault="00D2609B">
      <w:pPr>
        <w:spacing w:line="360" w:lineRule="auto"/>
        <w:jc w:val="center"/>
        <w:rPr>
          <w:rFonts w:ascii="Arial" w:eastAsia="Arial" w:hAnsi="Arial" w:cs="Arial"/>
          <w:sz w:val="22"/>
          <w:szCs w:val="22"/>
        </w:rPr>
      </w:pPr>
      <w:r>
        <w:rPr>
          <w:rFonts w:ascii="Arial" w:eastAsia="Arial" w:hAnsi="Arial" w:cs="Arial"/>
          <w:sz w:val="22"/>
          <w:szCs w:val="22"/>
        </w:rPr>
        <w:t>(Source:Themezhub, 2023)</w:t>
      </w:r>
    </w:p>
    <w:p w:rsidR="00536EE8" w:rsidRDefault="00D2609B">
      <w:pPr>
        <w:pStyle w:val="Heading1"/>
        <w:spacing w:line="360" w:lineRule="auto"/>
      </w:pPr>
      <w:bookmarkStart w:id="11" w:name="_Toc215065976"/>
      <w:r>
        <w:t>4. Conclusion</w:t>
      </w:r>
      <w:bookmarkEnd w:id="11"/>
    </w:p>
    <w:p w:rsidR="00536EE8" w:rsidRDefault="00D2609B">
      <w:pPr>
        <w:spacing w:line="360" w:lineRule="auto"/>
        <w:jc w:val="both"/>
        <w:rPr>
          <w:rFonts w:ascii="Arial" w:eastAsia="Arial" w:hAnsi="Arial" w:cs="Arial"/>
          <w:sz w:val="22"/>
          <w:szCs w:val="22"/>
        </w:rPr>
      </w:pPr>
      <w:r>
        <w:rPr>
          <w:rFonts w:ascii="Arial" w:eastAsia="Arial" w:hAnsi="Arial" w:cs="Arial"/>
          <w:sz w:val="22"/>
          <w:szCs w:val="22"/>
        </w:rPr>
        <w:t xml:space="preserve">As the discussion of the negligence case has shown, poorly interrelated structural, process, and governance failures in the healthcare system have caused patient harm during the total knee replacement surgery. The use of the Donabedian Model, the Root Cause Analysis and SWOT model identified the following key missing areas in the system: procurement of implants, training of the staff, quality of the documentation and general organisational control. These shortcomings reflect larger problems with Indian health care in which inconsistent regulatory monitoring and intermittent clinical governance lead to multiple quality failures. There is thus need to strengthen quality structures since strong systems will go a long way in minimizing patient damage, avoiding litigation and improving public confidence. The importance of the strict compliance with regulatory standards, especially related to the verification of the implants and their purchase will help protect the outcomes of the surgery. In the future, the sustainable improvement will be achieved through the regular leadership dedication, investment in the personnel competencies, and ongoing performance monitoring. The PDSA, Lean and the Six Sigma are quality improvement tools that provide a practical means of achieving long-term resilience within the system by lessening variations, </w:t>
      </w:r>
      <w:r w:rsidR="00BE1A0C">
        <w:rPr>
          <w:rFonts w:ascii="Arial" w:eastAsia="Arial" w:hAnsi="Arial" w:cs="Arial"/>
          <w:sz w:val="22"/>
          <w:szCs w:val="22"/>
        </w:rPr>
        <w:t>standardizing</w:t>
      </w:r>
      <w:r>
        <w:rPr>
          <w:rFonts w:ascii="Arial" w:eastAsia="Arial" w:hAnsi="Arial" w:cs="Arial"/>
          <w:sz w:val="22"/>
          <w:szCs w:val="22"/>
        </w:rPr>
        <w:t xml:space="preserve"> workflows and promoting a safety culture. When well-inc inculcated, these strategies have the potential to </w:t>
      </w:r>
      <w:r w:rsidR="00BE1A0C">
        <w:rPr>
          <w:rFonts w:ascii="Arial" w:eastAsia="Arial" w:hAnsi="Arial" w:cs="Arial"/>
          <w:sz w:val="22"/>
          <w:szCs w:val="22"/>
        </w:rPr>
        <w:t>revolutionize</w:t>
      </w:r>
      <w:r>
        <w:rPr>
          <w:rFonts w:ascii="Arial" w:eastAsia="Arial" w:hAnsi="Arial" w:cs="Arial"/>
          <w:sz w:val="22"/>
          <w:szCs w:val="22"/>
        </w:rPr>
        <w:t xml:space="preserve"> the </w:t>
      </w:r>
      <w:r w:rsidR="00E6592C">
        <w:rPr>
          <w:rFonts w:ascii="Arial" w:eastAsia="Arial" w:hAnsi="Arial" w:cs="Arial"/>
          <w:sz w:val="22"/>
          <w:szCs w:val="22"/>
        </w:rPr>
        <w:lastRenderedPageBreak/>
        <w:t>organizational</w:t>
      </w:r>
      <w:r>
        <w:rPr>
          <w:rFonts w:ascii="Arial" w:eastAsia="Arial" w:hAnsi="Arial" w:cs="Arial"/>
          <w:sz w:val="22"/>
          <w:szCs w:val="22"/>
        </w:rPr>
        <w:t xml:space="preserve"> practice, enhance responsibility and make sure that </w:t>
      </w:r>
      <w:r w:rsidR="00E6592C">
        <w:rPr>
          <w:rFonts w:ascii="Arial" w:eastAsia="Arial" w:hAnsi="Arial" w:cs="Arial"/>
          <w:sz w:val="22"/>
          <w:szCs w:val="22"/>
        </w:rPr>
        <w:t>orthopedic</w:t>
      </w:r>
      <w:r>
        <w:rPr>
          <w:rFonts w:ascii="Arial" w:eastAsia="Arial" w:hAnsi="Arial" w:cs="Arial"/>
          <w:sz w:val="22"/>
          <w:szCs w:val="22"/>
        </w:rPr>
        <w:t xml:space="preserve"> services can provide safe, reliable and patient-</w:t>
      </w:r>
      <w:r w:rsidR="00BE1A0C">
        <w:rPr>
          <w:rFonts w:ascii="Arial" w:eastAsia="Arial" w:hAnsi="Arial" w:cs="Arial"/>
          <w:sz w:val="22"/>
          <w:szCs w:val="22"/>
        </w:rPr>
        <w:t>centered</w:t>
      </w:r>
      <w:r>
        <w:rPr>
          <w:rFonts w:ascii="Arial" w:eastAsia="Arial" w:hAnsi="Arial" w:cs="Arial"/>
          <w:sz w:val="22"/>
          <w:szCs w:val="22"/>
        </w:rPr>
        <w:t xml:space="preserve"> care in a wide range of clinical practice.</w:t>
      </w:r>
    </w:p>
    <w:p w:rsidR="00536EE8" w:rsidRDefault="00D2609B">
      <w:pPr>
        <w:pStyle w:val="Heading1"/>
        <w:spacing w:line="360" w:lineRule="auto"/>
      </w:pPr>
      <w:r>
        <w:br w:type="page"/>
      </w:r>
      <w:bookmarkStart w:id="12" w:name="_Toc215065977"/>
      <w:r>
        <w:lastRenderedPageBreak/>
        <w:t>References</w:t>
      </w:r>
      <w:bookmarkEnd w:id="12"/>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Anon, (2023). </w:t>
      </w:r>
      <w:r>
        <w:rPr>
          <w:rFonts w:ascii="Arial" w:eastAsia="Arial" w:hAnsi="Arial" w:cs="Arial"/>
          <w:i/>
          <w:sz w:val="22"/>
          <w:szCs w:val="22"/>
        </w:rPr>
        <w:t>The Plan Do Check Act (PDCA) cycle: a model for continuous improvement – VetQI</w:t>
      </w:r>
      <w:r>
        <w:rPr>
          <w:rFonts w:ascii="Arial" w:eastAsia="Arial" w:hAnsi="Arial" w:cs="Arial"/>
          <w:sz w:val="22"/>
          <w:szCs w:val="22"/>
        </w:rPr>
        <w:t xml:space="preserve">. [online] Available at: </w:t>
      </w:r>
      <w:hyperlink r:id="rId15">
        <w:r>
          <w:rPr>
            <w:rFonts w:ascii="Arial" w:eastAsia="Arial" w:hAnsi="Arial" w:cs="Arial"/>
            <w:color w:val="467886"/>
            <w:sz w:val="22"/>
            <w:szCs w:val="22"/>
            <w:u w:val="single"/>
          </w:rPr>
          <w:t>https://vetqi.com/pdca/</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Deming.org (2024). </w:t>
      </w:r>
      <w:r>
        <w:rPr>
          <w:rFonts w:ascii="Arial" w:eastAsia="Arial" w:hAnsi="Arial" w:cs="Arial"/>
          <w:i/>
          <w:sz w:val="22"/>
          <w:szCs w:val="22"/>
        </w:rPr>
        <w:t>Quick Tips for Using the PDSA Improvement Cycle - The W. Edwards Deming Institute</w:t>
      </w:r>
      <w:r>
        <w:rPr>
          <w:rFonts w:ascii="Arial" w:eastAsia="Arial" w:hAnsi="Arial" w:cs="Arial"/>
          <w:sz w:val="22"/>
          <w:szCs w:val="22"/>
        </w:rPr>
        <w:t xml:space="preserve">. [online] https://deming.org/. Available at: </w:t>
      </w:r>
      <w:hyperlink r:id="rId16">
        <w:r>
          <w:rPr>
            <w:rFonts w:ascii="Arial" w:eastAsia="Arial" w:hAnsi="Arial" w:cs="Arial"/>
            <w:color w:val="467886"/>
            <w:sz w:val="22"/>
            <w:szCs w:val="22"/>
            <w:u w:val="single"/>
          </w:rPr>
          <w:t>https://deming.org/quick-tips-for-using-the-pdsa-improvement-cycle/</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bookmarkStart w:id="13" w:name="_35nkun2" w:colFirst="0" w:colLast="0"/>
      <w:bookmarkEnd w:id="13"/>
      <w:r>
        <w:rPr>
          <w:rFonts w:ascii="Arial" w:eastAsia="Arial" w:hAnsi="Arial" w:cs="Arial"/>
          <w:sz w:val="22"/>
          <w:szCs w:val="22"/>
        </w:rPr>
        <w:t>Dragosloveanu, S., Petre, M.A., Cretu, B., Mihailescu, A.A., Cergan, R. and Scheau, C., (2024). Etiology of total knee arthroplasty revisions: a two-Decade Institutional Perspective. </w:t>
      </w:r>
      <w:r>
        <w:rPr>
          <w:rFonts w:ascii="Arial" w:eastAsia="Arial" w:hAnsi="Arial" w:cs="Arial"/>
          <w:i/>
          <w:sz w:val="22"/>
          <w:szCs w:val="22"/>
        </w:rPr>
        <w:t>Cureus</w:t>
      </w:r>
      <w:r>
        <w:rPr>
          <w:rFonts w:ascii="Arial" w:eastAsia="Arial" w:hAnsi="Arial" w:cs="Arial"/>
          <w:sz w:val="22"/>
          <w:szCs w:val="22"/>
        </w:rPr>
        <w:t>, </w:t>
      </w:r>
      <w:r>
        <w:rPr>
          <w:rFonts w:ascii="Arial" w:eastAsia="Arial" w:hAnsi="Arial" w:cs="Arial"/>
          <w:i/>
          <w:sz w:val="22"/>
          <w:szCs w:val="22"/>
        </w:rPr>
        <w:t>16</w:t>
      </w:r>
      <w:r>
        <w:rPr>
          <w:rFonts w:ascii="Arial" w:eastAsia="Arial" w:hAnsi="Arial" w:cs="Arial"/>
          <w:sz w:val="22"/>
          <w:szCs w:val="22"/>
        </w:rPr>
        <w:t xml:space="preserve">(2), p.e55263. </w:t>
      </w:r>
      <w:hyperlink r:id="rId17">
        <w:r>
          <w:rPr>
            <w:rFonts w:ascii="Arial" w:eastAsia="Arial" w:hAnsi="Arial" w:cs="Arial"/>
            <w:color w:val="467886"/>
            <w:sz w:val="22"/>
            <w:szCs w:val="22"/>
            <w:u w:val="single"/>
          </w:rPr>
          <w:t>https://www.cureus.com/articles/232054</w:t>
        </w:r>
      </w:hyperlink>
    </w:p>
    <w:p w:rsidR="00EC2276" w:rsidRDefault="00EC2276" w:rsidP="00A06556">
      <w:pPr>
        <w:spacing w:after="240" w:line="360" w:lineRule="auto"/>
        <w:jc w:val="both"/>
        <w:rPr>
          <w:rFonts w:ascii="Arial" w:eastAsia="Arial" w:hAnsi="Arial" w:cs="Arial"/>
          <w:sz w:val="22"/>
          <w:szCs w:val="22"/>
        </w:rPr>
      </w:pPr>
      <w:bookmarkStart w:id="14" w:name="_1ksv4uv" w:colFirst="0" w:colLast="0"/>
      <w:bookmarkEnd w:id="14"/>
      <w:r>
        <w:rPr>
          <w:rFonts w:ascii="Arial" w:eastAsia="Arial" w:hAnsi="Arial" w:cs="Arial"/>
          <w:sz w:val="22"/>
          <w:szCs w:val="22"/>
        </w:rPr>
        <w:t>Elcock, K.L., MacDonald, D.J., Clement, N.D. and Scott, C.E., (2023). Total knee arthroplasty in patients with severe obesity: outcomes of standard keeled tibial components versus stemmed universal base plates. </w:t>
      </w:r>
      <w:r>
        <w:rPr>
          <w:rFonts w:ascii="Arial" w:eastAsia="Arial" w:hAnsi="Arial" w:cs="Arial"/>
          <w:i/>
          <w:sz w:val="22"/>
          <w:szCs w:val="22"/>
        </w:rPr>
        <w:t>Knee Surgery &amp; Related Research</w:t>
      </w:r>
      <w:r>
        <w:rPr>
          <w:rFonts w:ascii="Arial" w:eastAsia="Arial" w:hAnsi="Arial" w:cs="Arial"/>
          <w:sz w:val="22"/>
          <w:szCs w:val="22"/>
        </w:rPr>
        <w:t>, </w:t>
      </w:r>
      <w:r>
        <w:rPr>
          <w:rFonts w:ascii="Arial" w:eastAsia="Arial" w:hAnsi="Arial" w:cs="Arial"/>
          <w:i/>
          <w:sz w:val="22"/>
          <w:szCs w:val="22"/>
        </w:rPr>
        <w:t>35</w:t>
      </w:r>
      <w:r>
        <w:rPr>
          <w:rFonts w:ascii="Arial" w:eastAsia="Arial" w:hAnsi="Arial" w:cs="Arial"/>
          <w:sz w:val="22"/>
          <w:szCs w:val="22"/>
        </w:rPr>
        <w:t xml:space="preserve">(1), p.9. </w:t>
      </w:r>
      <w:hyperlink r:id="rId18">
        <w:r>
          <w:rPr>
            <w:rFonts w:ascii="Arial" w:eastAsia="Arial" w:hAnsi="Arial" w:cs="Arial"/>
            <w:color w:val="467886"/>
            <w:sz w:val="22"/>
            <w:szCs w:val="22"/>
            <w:u w:val="single"/>
          </w:rPr>
          <w:t>https://link.springer.com/article/10.1186/s43019-023-00184-4</w:t>
        </w:r>
      </w:hyperlink>
    </w:p>
    <w:p w:rsidR="00EC2276" w:rsidRDefault="00EC2276" w:rsidP="00A06556">
      <w:pPr>
        <w:spacing w:after="240" w:line="360" w:lineRule="auto"/>
        <w:jc w:val="both"/>
        <w:rPr>
          <w:rFonts w:ascii="Arial" w:eastAsia="Arial" w:hAnsi="Arial" w:cs="Arial"/>
          <w:sz w:val="22"/>
          <w:szCs w:val="22"/>
        </w:rPr>
      </w:pPr>
      <w:bookmarkStart w:id="15" w:name="_44sinio" w:colFirst="0" w:colLast="0"/>
      <w:bookmarkEnd w:id="15"/>
      <w:r>
        <w:rPr>
          <w:rFonts w:ascii="Arial" w:eastAsia="Arial" w:hAnsi="Arial" w:cs="Arial"/>
          <w:sz w:val="22"/>
          <w:szCs w:val="22"/>
        </w:rPr>
        <w:t xml:space="preserve">Ghofrani, M., Valizadeh, L., Zamanzadeh, V., Ghahramanian, A., Janati, A. and Taleghani, F., (2024). Adapting the Donabedian model in undergraduate nursing education: a modified Delphi study. </w:t>
      </w:r>
      <w:r>
        <w:rPr>
          <w:rFonts w:ascii="Arial" w:eastAsia="Arial" w:hAnsi="Arial" w:cs="Arial"/>
          <w:i/>
          <w:sz w:val="22"/>
          <w:szCs w:val="22"/>
        </w:rPr>
        <w:t>BMC Medical Education</w:t>
      </w:r>
      <w:r>
        <w:rPr>
          <w:rFonts w:ascii="Arial" w:eastAsia="Arial" w:hAnsi="Arial" w:cs="Arial"/>
          <w:sz w:val="22"/>
          <w:szCs w:val="22"/>
        </w:rPr>
        <w:t xml:space="preserve">, </w:t>
      </w:r>
      <w:r>
        <w:rPr>
          <w:rFonts w:ascii="Arial" w:eastAsia="Arial" w:hAnsi="Arial" w:cs="Arial"/>
          <w:i/>
          <w:sz w:val="22"/>
          <w:szCs w:val="22"/>
        </w:rPr>
        <w:t>24</w:t>
      </w:r>
      <w:r>
        <w:rPr>
          <w:rFonts w:ascii="Arial" w:eastAsia="Arial" w:hAnsi="Arial" w:cs="Arial"/>
          <w:sz w:val="22"/>
          <w:szCs w:val="22"/>
        </w:rPr>
        <w:t>(1), p.202.</w:t>
      </w:r>
      <w:hyperlink r:id="rId19">
        <w:r>
          <w:rPr>
            <w:rFonts w:ascii="Arial" w:eastAsia="Arial" w:hAnsi="Arial" w:cs="Arial"/>
            <w:color w:val="467886"/>
            <w:sz w:val="22"/>
            <w:szCs w:val="22"/>
            <w:u w:val="single"/>
          </w:rPr>
          <w:t>https://link.springer.com/article/10.1186/s12909-024-05187-7</w:t>
        </w:r>
      </w:hyperlink>
    </w:p>
    <w:p w:rsidR="00EC2276" w:rsidRDefault="00EC2276" w:rsidP="00A06556">
      <w:pPr>
        <w:spacing w:after="240" w:line="360" w:lineRule="auto"/>
        <w:jc w:val="both"/>
        <w:rPr>
          <w:rFonts w:ascii="Arial" w:eastAsia="Arial" w:hAnsi="Arial" w:cs="Arial"/>
          <w:sz w:val="22"/>
          <w:szCs w:val="22"/>
        </w:rPr>
      </w:pPr>
      <w:bookmarkStart w:id="16" w:name="_2jxsxqh" w:colFirst="0" w:colLast="0"/>
      <w:bookmarkEnd w:id="16"/>
      <w:r>
        <w:rPr>
          <w:rFonts w:ascii="Arial" w:eastAsia="Arial" w:hAnsi="Arial" w:cs="Arial"/>
          <w:sz w:val="22"/>
          <w:szCs w:val="22"/>
        </w:rPr>
        <w:t>Inui, H., Yamagami, R., Kono, K. and Kawaguchi, K., (2023). What are the causes of failure after total knee arthroplasty?. </w:t>
      </w:r>
      <w:r>
        <w:rPr>
          <w:rFonts w:ascii="Arial" w:eastAsia="Arial" w:hAnsi="Arial" w:cs="Arial"/>
          <w:i/>
          <w:sz w:val="22"/>
          <w:szCs w:val="22"/>
        </w:rPr>
        <w:t>Journal of Joint Surgery and Research</w:t>
      </w:r>
      <w:r>
        <w:rPr>
          <w:rFonts w:ascii="Arial" w:eastAsia="Arial" w:hAnsi="Arial" w:cs="Arial"/>
          <w:sz w:val="22"/>
          <w:szCs w:val="22"/>
        </w:rPr>
        <w:t>, </w:t>
      </w:r>
      <w:r>
        <w:rPr>
          <w:rFonts w:ascii="Arial" w:eastAsia="Arial" w:hAnsi="Arial" w:cs="Arial"/>
          <w:i/>
          <w:sz w:val="22"/>
          <w:szCs w:val="22"/>
        </w:rPr>
        <w:t>1</w:t>
      </w:r>
      <w:r>
        <w:rPr>
          <w:rFonts w:ascii="Arial" w:eastAsia="Arial" w:hAnsi="Arial" w:cs="Arial"/>
          <w:sz w:val="22"/>
          <w:szCs w:val="22"/>
        </w:rPr>
        <w:t xml:space="preserve">(1), pp.32-40. </w:t>
      </w:r>
      <w:hyperlink r:id="rId20">
        <w:r>
          <w:rPr>
            <w:rFonts w:ascii="Arial" w:eastAsia="Arial" w:hAnsi="Arial" w:cs="Arial"/>
            <w:color w:val="467886"/>
            <w:sz w:val="22"/>
            <w:szCs w:val="22"/>
            <w:u w:val="single"/>
          </w:rPr>
          <w:t>https://www.sciencedirect.com/science/article/pii/S2949705122000020</w:t>
        </w:r>
      </w:hyperlink>
    </w:p>
    <w:p w:rsidR="00EC2276" w:rsidRDefault="00EC2276" w:rsidP="00A06556">
      <w:pPr>
        <w:spacing w:after="240" w:line="360" w:lineRule="auto"/>
        <w:jc w:val="both"/>
        <w:rPr>
          <w:rFonts w:ascii="Arial" w:eastAsia="Arial" w:hAnsi="Arial" w:cs="Arial"/>
          <w:sz w:val="22"/>
          <w:szCs w:val="22"/>
        </w:rPr>
      </w:pPr>
      <w:bookmarkStart w:id="17" w:name="_z337ya" w:colFirst="0" w:colLast="0"/>
      <w:bookmarkEnd w:id="17"/>
      <w:r>
        <w:rPr>
          <w:rFonts w:ascii="Arial" w:eastAsia="Arial" w:hAnsi="Arial" w:cs="Arial"/>
          <w:sz w:val="22"/>
          <w:szCs w:val="22"/>
        </w:rPr>
        <w:t xml:space="preserve">Jerome, J.T.J., Arpitha, H.C. and Nandimath, O.V., (2023). Implant failure in orthopaedics: law does not hold the surgeon accountable. </w:t>
      </w:r>
      <w:r>
        <w:rPr>
          <w:rFonts w:ascii="Arial" w:eastAsia="Arial" w:hAnsi="Arial" w:cs="Arial"/>
          <w:i/>
          <w:sz w:val="22"/>
          <w:szCs w:val="22"/>
        </w:rPr>
        <w:t>Journal of Hand and Microsurgery</w:t>
      </w:r>
      <w:r>
        <w:rPr>
          <w:rFonts w:ascii="Arial" w:eastAsia="Arial" w:hAnsi="Arial" w:cs="Arial"/>
          <w:sz w:val="22"/>
          <w:szCs w:val="22"/>
        </w:rPr>
        <w:t xml:space="preserve">, </w:t>
      </w:r>
      <w:r>
        <w:rPr>
          <w:rFonts w:ascii="Arial" w:eastAsia="Arial" w:hAnsi="Arial" w:cs="Arial"/>
          <w:i/>
          <w:sz w:val="22"/>
          <w:szCs w:val="22"/>
        </w:rPr>
        <w:t>15</w:t>
      </w:r>
      <w:r>
        <w:rPr>
          <w:rFonts w:ascii="Arial" w:eastAsia="Arial" w:hAnsi="Arial" w:cs="Arial"/>
          <w:sz w:val="22"/>
          <w:szCs w:val="22"/>
        </w:rPr>
        <w:t>(01), pp.001-004.</w:t>
      </w:r>
      <w:hyperlink r:id="rId21">
        <w:r>
          <w:rPr>
            <w:rFonts w:ascii="Arial" w:eastAsia="Arial" w:hAnsi="Arial" w:cs="Arial"/>
            <w:color w:val="467886"/>
            <w:sz w:val="22"/>
            <w:szCs w:val="22"/>
            <w:u w:val="single"/>
          </w:rPr>
          <w:t>https://www.thieme-connect.com/products/ejournals/html/10.1055/s-0043-1762553</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Jointreplacementsurgeryhospitalindia (2025). </w:t>
      </w:r>
      <w:r>
        <w:rPr>
          <w:rFonts w:ascii="Arial" w:eastAsia="Arial" w:hAnsi="Arial" w:cs="Arial"/>
          <w:i/>
          <w:sz w:val="22"/>
          <w:szCs w:val="22"/>
        </w:rPr>
        <w:t>Total Knee Replacement Surgery India - Joint Replacement Surgery Hospital India</w:t>
      </w:r>
      <w:r>
        <w:rPr>
          <w:rFonts w:ascii="Arial" w:eastAsia="Arial" w:hAnsi="Arial" w:cs="Arial"/>
          <w:sz w:val="22"/>
          <w:szCs w:val="22"/>
        </w:rPr>
        <w:t xml:space="preserve">. [online] Home. Available at: </w:t>
      </w:r>
      <w:hyperlink r:id="rId22">
        <w:r>
          <w:rPr>
            <w:rFonts w:ascii="Arial" w:eastAsia="Arial" w:hAnsi="Arial" w:cs="Arial"/>
            <w:color w:val="467886"/>
            <w:sz w:val="22"/>
            <w:szCs w:val="22"/>
            <w:u w:val="single"/>
          </w:rPr>
          <w:t>https://www.jointreplacementsurgeryhospitalindia.com/surgery/low-cost-total-knee-replacement-surgery-in-india</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lastRenderedPageBreak/>
        <w:t>Katoch, P. and Bhatti, M., (2025). Incidence Rate and Risk Factors of Surgical Site Infections: A Microbiological Perspective in a Tertiary Care Hospital. </w:t>
      </w:r>
      <w:r>
        <w:rPr>
          <w:rFonts w:ascii="Arial" w:eastAsia="Arial" w:hAnsi="Arial" w:cs="Arial"/>
          <w:i/>
          <w:sz w:val="22"/>
          <w:szCs w:val="22"/>
        </w:rPr>
        <w:t>IJCRT Research Journal| UGC Approved and UGC Care Journal| Scopus Indexed Journal Norms</w:t>
      </w:r>
      <w:r>
        <w:rPr>
          <w:rFonts w:ascii="Arial" w:eastAsia="Arial" w:hAnsi="Arial" w:cs="Arial"/>
          <w:sz w:val="22"/>
          <w:szCs w:val="22"/>
        </w:rPr>
        <w:t>, </w:t>
      </w:r>
      <w:r>
        <w:rPr>
          <w:rFonts w:ascii="Arial" w:eastAsia="Arial" w:hAnsi="Arial" w:cs="Arial"/>
          <w:i/>
          <w:sz w:val="22"/>
          <w:szCs w:val="22"/>
        </w:rPr>
        <w:t>15</w:t>
      </w:r>
      <w:r>
        <w:rPr>
          <w:rFonts w:ascii="Arial" w:eastAsia="Arial" w:hAnsi="Arial" w:cs="Arial"/>
          <w:sz w:val="22"/>
          <w:szCs w:val="22"/>
        </w:rPr>
        <w:t xml:space="preserve">(1), pp.50442-50451. </w:t>
      </w:r>
      <w:hyperlink r:id="rId23">
        <w:r>
          <w:rPr>
            <w:rFonts w:ascii="Arial" w:eastAsia="Arial" w:hAnsi="Arial" w:cs="Arial"/>
            <w:color w:val="467886"/>
            <w:sz w:val="22"/>
            <w:szCs w:val="22"/>
            <w:u w:val="single"/>
          </w:rPr>
          <w:t>https://www.ijcrt.org.in/index.php/ijcrt/article/view/98</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Katti, S.N., Chandanwale, A.S., Ghumare, S.S., Paigude, P.A., Mane, S.R. and Yadav, V.P., (2023). Study of the immediate short term clinical and radiological outcome of intertrochanteric neck of femur fractures treated with primary bipolar hemiarthroplasty in geriatric population in a tertiary care centre. </w:t>
      </w:r>
      <w:r>
        <w:rPr>
          <w:rFonts w:ascii="Arial" w:eastAsia="Arial" w:hAnsi="Arial" w:cs="Arial"/>
          <w:i/>
          <w:sz w:val="22"/>
          <w:szCs w:val="22"/>
        </w:rPr>
        <w:t>International Journal of Research in Orthopaedics</w:t>
      </w:r>
      <w:r>
        <w:rPr>
          <w:rFonts w:ascii="Arial" w:eastAsia="Arial" w:hAnsi="Arial" w:cs="Arial"/>
          <w:sz w:val="22"/>
          <w:szCs w:val="22"/>
        </w:rPr>
        <w:t>, </w:t>
      </w:r>
      <w:r>
        <w:rPr>
          <w:rFonts w:ascii="Arial" w:eastAsia="Arial" w:hAnsi="Arial" w:cs="Arial"/>
          <w:i/>
          <w:sz w:val="22"/>
          <w:szCs w:val="22"/>
        </w:rPr>
        <w:t>9</w:t>
      </w:r>
      <w:r>
        <w:rPr>
          <w:rFonts w:ascii="Arial" w:eastAsia="Arial" w:hAnsi="Arial" w:cs="Arial"/>
          <w:sz w:val="22"/>
          <w:szCs w:val="22"/>
        </w:rPr>
        <w:t xml:space="preserve">(1), p.1. </w:t>
      </w:r>
      <w:hyperlink r:id="rId24">
        <w:r>
          <w:rPr>
            <w:rFonts w:ascii="Arial" w:eastAsia="Arial" w:hAnsi="Arial" w:cs="Arial"/>
            <w:color w:val="467886"/>
            <w:sz w:val="22"/>
            <w:szCs w:val="22"/>
            <w:u w:val="single"/>
          </w:rPr>
          <w:t>https://www.researchgate.net/profile/Shubham-Katti/publication/366512964_Study_of_the_immediate_short_term_clinical_and_radiological_outcome_of_intertrochanteric_neck_of_femur_fractures_treated_with_primary_bipolar_hemiarthroplasty_in_geriatric_population_in_a_tertiary_car/links/63a460cac3c99660eb9725e5/Study-of-the-immediate-short-term-clinical-and-radiological-outcome-of-intertrochanteric-neck-of-femur-fractures-treated-with-primary-bipolar-hemiarthroplasty-in-geriatric-population-in-a-tertiary-car.pdf</w:t>
        </w:r>
      </w:hyperlink>
    </w:p>
    <w:p w:rsidR="00EC2276" w:rsidRDefault="00EC2276" w:rsidP="00A06556">
      <w:pPr>
        <w:spacing w:after="240" w:line="360" w:lineRule="auto"/>
        <w:jc w:val="both"/>
        <w:rPr>
          <w:rFonts w:ascii="Arial" w:eastAsia="Arial" w:hAnsi="Arial" w:cs="Arial"/>
          <w:sz w:val="22"/>
          <w:szCs w:val="22"/>
        </w:rPr>
      </w:pPr>
      <w:bookmarkStart w:id="18" w:name="_3j2qqm3" w:colFirst="0" w:colLast="0"/>
      <w:bookmarkEnd w:id="18"/>
      <w:r>
        <w:rPr>
          <w:rFonts w:ascii="Arial" w:eastAsia="Arial" w:hAnsi="Arial" w:cs="Arial"/>
          <w:sz w:val="22"/>
          <w:szCs w:val="22"/>
        </w:rPr>
        <w:t>Kobayashi, N. and Yukizawa, Y., (2023). Causes of failure after total hip arthroplasty: a narrative review of literatures. </w:t>
      </w:r>
      <w:r>
        <w:rPr>
          <w:rFonts w:ascii="Arial" w:eastAsia="Arial" w:hAnsi="Arial" w:cs="Arial"/>
          <w:i/>
          <w:sz w:val="22"/>
          <w:szCs w:val="22"/>
        </w:rPr>
        <w:t>Journal of Joint Surgery and Research</w:t>
      </w:r>
      <w:r>
        <w:rPr>
          <w:rFonts w:ascii="Arial" w:eastAsia="Arial" w:hAnsi="Arial" w:cs="Arial"/>
          <w:sz w:val="22"/>
          <w:szCs w:val="22"/>
        </w:rPr>
        <w:t>, </w:t>
      </w:r>
      <w:r>
        <w:rPr>
          <w:rFonts w:ascii="Arial" w:eastAsia="Arial" w:hAnsi="Arial" w:cs="Arial"/>
          <w:i/>
          <w:sz w:val="22"/>
          <w:szCs w:val="22"/>
        </w:rPr>
        <w:t>1</w:t>
      </w:r>
      <w:r>
        <w:rPr>
          <w:rFonts w:ascii="Arial" w:eastAsia="Arial" w:hAnsi="Arial" w:cs="Arial"/>
          <w:sz w:val="22"/>
          <w:szCs w:val="22"/>
        </w:rPr>
        <w:t xml:space="preserve">(1), pp.56-61. </w:t>
      </w:r>
      <w:hyperlink r:id="rId25">
        <w:r>
          <w:rPr>
            <w:rFonts w:ascii="Arial" w:eastAsia="Arial" w:hAnsi="Arial" w:cs="Arial"/>
            <w:color w:val="467886"/>
            <w:sz w:val="22"/>
            <w:szCs w:val="22"/>
            <w:u w:val="single"/>
          </w:rPr>
          <w:t>https://www.sciencedirect.com/science/article/pii/S2949705123000063</w:t>
        </w:r>
      </w:hyperlink>
    </w:p>
    <w:p w:rsidR="00EC2276" w:rsidRDefault="00EC2276" w:rsidP="00A06556">
      <w:pPr>
        <w:spacing w:after="240" w:line="360" w:lineRule="auto"/>
        <w:jc w:val="both"/>
        <w:rPr>
          <w:rFonts w:ascii="Arial" w:eastAsia="Arial" w:hAnsi="Arial" w:cs="Arial"/>
          <w:sz w:val="22"/>
          <w:szCs w:val="22"/>
        </w:rPr>
      </w:pPr>
      <w:bookmarkStart w:id="19" w:name="_1y810tw" w:colFirst="0" w:colLast="0"/>
      <w:bookmarkEnd w:id="19"/>
      <w:r>
        <w:rPr>
          <w:rFonts w:ascii="Arial" w:eastAsia="Arial" w:hAnsi="Arial" w:cs="Arial"/>
          <w:sz w:val="22"/>
          <w:szCs w:val="22"/>
        </w:rPr>
        <w:t>Lee, S.S., Kim, I.S. and Moon, Y.W., (2023). Clinical outcomes and infection rates following revision total knee arthroplasty: aseptic failure versus septic failure. </w:t>
      </w:r>
      <w:r>
        <w:rPr>
          <w:rFonts w:ascii="Arial" w:eastAsia="Arial" w:hAnsi="Arial" w:cs="Arial"/>
          <w:i/>
          <w:sz w:val="22"/>
          <w:szCs w:val="22"/>
        </w:rPr>
        <w:t>Clinics in Orthopedic Surgery</w:t>
      </w:r>
      <w:r>
        <w:rPr>
          <w:rFonts w:ascii="Arial" w:eastAsia="Arial" w:hAnsi="Arial" w:cs="Arial"/>
          <w:sz w:val="22"/>
          <w:szCs w:val="22"/>
        </w:rPr>
        <w:t>, </w:t>
      </w:r>
      <w:r>
        <w:rPr>
          <w:rFonts w:ascii="Arial" w:eastAsia="Arial" w:hAnsi="Arial" w:cs="Arial"/>
          <w:i/>
          <w:sz w:val="22"/>
          <w:szCs w:val="22"/>
        </w:rPr>
        <w:t>15</w:t>
      </w:r>
      <w:r>
        <w:rPr>
          <w:rFonts w:ascii="Arial" w:eastAsia="Arial" w:hAnsi="Arial" w:cs="Arial"/>
          <w:sz w:val="22"/>
          <w:szCs w:val="22"/>
        </w:rPr>
        <w:t xml:space="preserve">(4), p.574. </w:t>
      </w:r>
      <w:hyperlink r:id="rId26">
        <w:r>
          <w:rPr>
            <w:rFonts w:ascii="Arial" w:eastAsia="Arial" w:hAnsi="Arial" w:cs="Arial"/>
            <w:color w:val="467886"/>
            <w:sz w:val="22"/>
            <w:szCs w:val="22"/>
            <w:u w:val="single"/>
          </w:rPr>
          <w:t>https://pmc.ncbi.nlm.nih.gov/articles/PMC10375821/</w:t>
        </w:r>
      </w:hyperlink>
    </w:p>
    <w:p w:rsidR="00EC2276" w:rsidRDefault="00EC2276" w:rsidP="00A06556">
      <w:pPr>
        <w:spacing w:after="240" w:line="360" w:lineRule="auto"/>
        <w:jc w:val="both"/>
        <w:rPr>
          <w:rFonts w:ascii="Arial" w:eastAsia="Arial" w:hAnsi="Arial" w:cs="Arial"/>
          <w:sz w:val="22"/>
          <w:szCs w:val="22"/>
        </w:rPr>
      </w:pPr>
      <w:bookmarkStart w:id="20" w:name="_4i7ojhp" w:colFirst="0" w:colLast="0"/>
      <w:bookmarkEnd w:id="20"/>
      <w:r>
        <w:rPr>
          <w:rFonts w:ascii="Arial" w:eastAsia="Arial" w:hAnsi="Arial" w:cs="Arial"/>
          <w:sz w:val="22"/>
          <w:szCs w:val="22"/>
        </w:rPr>
        <w:t>Lee, W.S., Park, K.K., Cho, B.W., Park, J.Y., Kim, I. and Kwon, H.M., (2024). Risk factors for early septic failure after two-stage exchange total knee arthroplasty for treatment of periprosthetic joint infection. </w:t>
      </w:r>
      <w:r>
        <w:rPr>
          <w:rFonts w:ascii="Arial" w:eastAsia="Arial" w:hAnsi="Arial" w:cs="Arial"/>
          <w:i/>
          <w:sz w:val="22"/>
          <w:szCs w:val="22"/>
        </w:rPr>
        <w:t>Journal of Orthopaedics and Traumatology</w:t>
      </w:r>
      <w:r>
        <w:rPr>
          <w:rFonts w:ascii="Arial" w:eastAsia="Arial" w:hAnsi="Arial" w:cs="Arial"/>
          <w:sz w:val="22"/>
          <w:szCs w:val="22"/>
        </w:rPr>
        <w:t>, </w:t>
      </w:r>
      <w:r>
        <w:rPr>
          <w:rFonts w:ascii="Arial" w:eastAsia="Arial" w:hAnsi="Arial" w:cs="Arial"/>
          <w:i/>
          <w:sz w:val="22"/>
          <w:szCs w:val="22"/>
        </w:rPr>
        <w:t>25</w:t>
      </w:r>
      <w:r>
        <w:rPr>
          <w:rFonts w:ascii="Arial" w:eastAsia="Arial" w:hAnsi="Arial" w:cs="Arial"/>
          <w:sz w:val="22"/>
          <w:szCs w:val="22"/>
        </w:rPr>
        <w:t xml:space="preserve">(1), p.6. </w:t>
      </w:r>
      <w:hyperlink r:id="rId27">
        <w:r>
          <w:rPr>
            <w:rFonts w:ascii="Arial" w:eastAsia="Arial" w:hAnsi="Arial" w:cs="Arial"/>
            <w:color w:val="467886"/>
            <w:sz w:val="22"/>
            <w:szCs w:val="22"/>
            <w:u w:val="single"/>
          </w:rPr>
          <w:t>https://link.springer.com/article/10.1186/s10195-024-00750-w</w:t>
        </w:r>
      </w:hyperlink>
    </w:p>
    <w:p w:rsidR="00EC2276" w:rsidRDefault="00EC2276" w:rsidP="00A06556">
      <w:pPr>
        <w:spacing w:after="240" w:line="360" w:lineRule="auto"/>
        <w:jc w:val="both"/>
        <w:rPr>
          <w:rFonts w:ascii="Arial" w:eastAsia="Arial" w:hAnsi="Arial" w:cs="Arial"/>
          <w:sz w:val="22"/>
          <w:szCs w:val="22"/>
        </w:rPr>
      </w:pPr>
      <w:bookmarkStart w:id="21" w:name="_2xcytpi" w:colFirst="0" w:colLast="0"/>
      <w:bookmarkEnd w:id="21"/>
      <w:r>
        <w:rPr>
          <w:rFonts w:ascii="Arial" w:eastAsia="Arial" w:hAnsi="Arial" w:cs="Arial"/>
          <w:sz w:val="22"/>
          <w:szCs w:val="22"/>
        </w:rPr>
        <w:t>Macwan, A.A., Panda, A.P., Sondur, S. and Rath, S., (2024). Benchmarking institutional geriatric hip fracture management: a prelude to a care quality improvement initiative. </w:t>
      </w:r>
      <w:r>
        <w:rPr>
          <w:rFonts w:ascii="Arial" w:eastAsia="Arial" w:hAnsi="Arial" w:cs="Arial"/>
          <w:i/>
          <w:sz w:val="22"/>
          <w:szCs w:val="22"/>
        </w:rPr>
        <w:t>European Journal of Orthopaedic Surgery &amp; Traumatology</w:t>
      </w:r>
      <w:r>
        <w:rPr>
          <w:rFonts w:ascii="Arial" w:eastAsia="Arial" w:hAnsi="Arial" w:cs="Arial"/>
          <w:sz w:val="22"/>
          <w:szCs w:val="22"/>
        </w:rPr>
        <w:t>, </w:t>
      </w:r>
      <w:r>
        <w:rPr>
          <w:rFonts w:ascii="Arial" w:eastAsia="Arial" w:hAnsi="Arial" w:cs="Arial"/>
          <w:i/>
          <w:sz w:val="22"/>
          <w:szCs w:val="22"/>
        </w:rPr>
        <w:t>34</w:t>
      </w:r>
      <w:r>
        <w:rPr>
          <w:rFonts w:ascii="Arial" w:eastAsia="Arial" w:hAnsi="Arial" w:cs="Arial"/>
          <w:sz w:val="22"/>
          <w:szCs w:val="22"/>
        </w:rPr>
        <w:t xml:space="preserve">(3), pp.1571-1580. </w:t>
      </w:r>
      <w:hyperlink r:id="rId28">
        <w:r>
          <w:rPr>
            <w:rFonts w:ascii="Arial" w:eastAsia="Arial" w:hAnsi="Arial" w:cs="Arial"/>
            <w:color w:val="467886"/>
            <w:sz w:val="22"/>
            <w:szCs w:val="22"/>
            <w:u w:val="single"/>
          </w:rPr>
          <w:t>https://link.springer.com/article/10.1007/s00590-024-03838-5</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lastRenderedPageBreak/>
        <w:t xml:space="preserve">Market.us. (2024). </w:t>
      </w:r>
      <w:r>
        <w:rPr>
          <w:rFonts w:ascii="Arial" w:eastAsia="Arial" w:hAnsi="Arial" w:cs="Arial"/>
          <w:i/>
          <w:sz w:val="22"/>
          <w:szCs w:val="22"/>
        </w:rPr>
        <w:t>Knee Replacement Market</w:t>
      </w:r>
      <w:r>
        <w:rPr>
          <w:rFonts w:ascii="Arial" w:eastAsia="Arial" w:hAnsi="Arial" w:cs="Arial"/>
          <w:sz w:val="22"/>
          <w:szCs w:val="22"/>
        </w:rPr>
        <w:t xml:space="preserve">. [online] Available at: </w:t>
      </w:r>
      <w:hyperlink r:id="rId29">
        <w:r>
          <w:rPr>
            <w:rFonts w:ascii="Arial" w:eastAsia="Arial" w:hAnsi="Arial" w:cs="Arial"/>
            <w:color w:val="467886"/>
            <w:sz w:val="22"/>
            <w:szCs w:val="22"/>
            <w:u w:val="single"/>
          </w:rPr>
          <w:t>https://market.us/report/total-knee-replacement-market/</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bookmarkStart w:id="22" w:name="_1ci93xb" w:colFirst="0" w:colLast="0"/>
      <w:bookmarkEnd w:id="22"/>
      <w:r>
        <w:rPr>
          <w:rFonts w:ascii="Arial" w:eastAsia="Arial" w:hAnsi="Arial" w:cs="Arial"/>
          <w:sz w:val="22"/>
          <w:szCs w:val="22"/>
        </w:rPr>
        <w:t>Martin, J.R., Archibeck, M.J., Gililland, J.M., Anderson, L.A., Polkowski, G.G., Schwarzkopf, R., Seyler, T.M. and Pelt, C.E., (2023). Trends in total knee arthroplasty cementing technique among arthroplasty surgeons—a survey of the American association of hip and knee surgeons members. </w:t>
      </w:r>
      <w:r>
        <w:rPr>
          <w:rFonts w:ascii="Arial" w:eastAsia="Arial" w:hAnsi="Arial" w:cs="Arial"/>
          <w:i/>
          <w:sz w:val="22"/>
          <w:szCs w:val="22"/>
        </w:rPr>
        <w:t>The Journal of Arthroplasty</w:t>
      </w:r>
      <w:r>
        <w:rPr>
          <w:rFonts w:ascii="Arial" w:eastAsia="Arial" w:hAnsi="Arial" w:cs="Arial"/>
          <w:sz w:val="22"/>
          <w:szCs w:val="22"/>
        </w:rPr>
        <w:t>, </w:t>
      </w:r>
      <w:r>
        <w:rPr>
          <w:rFonts w:ascii="Arial" w:eastAsia="Arial" w:hAnsi="Arial" w:cs="Arial"/>
          <w:i/>
          <w:sz w:val="22"/>
          <w:szCs w:val="22"/>
        </w:rPr>
        <w:t>38</w:t>
      </w:r>
      <w:r>
        <w:rPr>
          <w:rFonts w:ascii="Arial" w:eastAsia="Arial" w:hAnsi="Arial" w:cs="Arial"/>
          <w:sz w:val="22"/>
          <w:szCs w:val="22"/>
        </w:rPr>
        <w:t xml:space="preserve">(7), pp.S233-S238. </w:t>
      </w:r>
      <w:hyperlink r:id="rId30">
        <w:r>
          <w:rPr>
            <w:rFonts w:ascii="Arial" w:eastAsia="Arial" w:hAnsi="Arial" w:cs="Arial"/>
            <w:color w:val="467886"/>
            <w:sz w:val="22"/>
            <w:szCs w:val="22"/>
            <w:u w:val="single"/>
          </w:rPr>
          <w:t>https://www.sciencedirect.com/science/article/pii/S0883540322011093</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Medicaldialogues, (2024). </w:t>
      </w:r>
      <w:r>
        <w:rPr>
          <w:rFonts w:ascii="Arial" w:eastAsia="Arial" w:hAnsi="Arial" w:cs="Arial"/>
          <w:i/>
          <w:sz w:val="22"/>
          <w:szCs w:val="22"/>
        </w:rPr>
        <w:t xml:space="preserve">Substandard-implant-used-during-total-knee-replacement-surgery-orthopedic-surgeon-slapped-compensation. </w:t>
      </w:r>
      <w:r>
        <w:rPr>
          <w:rFonts w:ascii="Arial" w:eastAsia="Arial" w:hAnsi="Arial" w:cs="Arial"/>
          <w:sz w:val="22"/>
          <w:szCs w:val="22"/>
        </w:rPr>
        <w:t xml:space="preserve">Available at: </w:t>
      </w:r>
      <w:hyperlink r:id="rId31">
        <w:r>
          <w:rPr>
            <w:rFonts w:ascii="Arial" w:eastAsia="Arial" w:hAnsi="Arial" w:cs="Arial"/>
            <w:color w:val="467886"/>
            <w:sz w:val="22"/>
            <w:szCs w:val="22"/>
            <w:u w:val="single"/>
          </w:rPr>
          <w:t>https://medicaldialogues.in/news/health/medico-legal/substandard-implant-used-during-total-knee-replacement-surgery-orthopedic-surgeon-slapped-compensation-126555</w:t>
        </w:r>
      </w:hyperlink>
      <w:r>
        <w:rPr>
          <w:rFonts w:ascii="Arial" w:eastAsia="Arial" w:hAnsi="Arial" w:cs="Arial"/>
          <w:sz w:val="22"/>
          <w:szCs w:val="22"/>
        </w:rPr>
        <w:t xml:space="preserve"> [Accessed on 18th Oct 2025]. </w:t>
      </w:r>
    </w:p>
    <w:p w:rsidR="00EC2276" w:rsidRDefault="00EC2276" w:rsidP="00A06556">
      <w:pPr>
        <w:spacing w:after="240" w:line="360" w:lineRule="auto"/>
        <w:jc w:val="both"/>
        <w:rPr>
          <w:rFonts w:ascii="Arial" w:eastAsia="Arial" w:hAnsi="Arial" w:cs="Arial"/>
          <w:sz w:val="22"/>
          <w:szCs w:val="22"/>
        </w:rPr>
      </w:pPr>
      <w:bookmarkStart w:id="23" w:name="_3whwml4" w:colFirst="0" w:colLast="0"/>
      <w:bookmarkEnd w:id="23"/>
      <w:r>
        <w:rPr>
          <w:rFonts w:ascii="Arial" w:eastAsia="Arial" w:hAnsi="Arial" w:cs="Arial"/>
          <w:sz w:val="22"/>
          <w:szCs w:val="22"/>
        </w:rPr>
        <w:t xml:space="preserve">Omaghomi, T.T., Elufioye, O.A., Onwumere, C., Arowoogun, J.O., Odilibe, I.P. and Owolabi, O.R., (2024). General healthcare policy and its influence on management practices: A review. </w:t>
      </w:r>
      <w:r>
        <w:rPr>
          <w:rFonts w:ascii="Arial" w:eastAsia="Arial" w:hAnsi="Arial" w:cs="Arial"/>
          <w:i/>
          <w:sz w:val="22"/>
          <w:szCs w:val="22"/>
        </w:rPr>
        <w:t>World Journal of Advanced Research and Reviews</w:t>
      </w:r>
      <w:r>
        <w:rPr>
          <w:rFonts w:ascii="Arial" w:eastAsia="Arial" w:hAnsi="Arial" w:cs="Arial"/>
          <w:sz w:val="22"/>
          <w:szCs w:val="22"/>
        </w:rPr>
        <w:t xml:space="preserve">, </w:t>
      </w:r>
      <w:r>
        <w:rPr>
          <w:rFonts w:ascii="Arial" w:eastAsia="Arial" w:hAnsi="Arial" w:cs="Arial"/>
          <w:i/>
          <w:sz w:val="22"/>
          <w:szCs w:val="22"/>
        </w:rPr>
        <w:t>21</w:t>
      </w:r>
      <w:r>
        <w:rPr>
          <w:rFonts w:ascii="Arial" w:eastAsia="Arial" w:hAnsi="Arial" w:cs="Arial"/>
          <w:sz w:val="22"/>
          <w:szCs w:val="22"/>
        </w:rPr>
        <w:t>(2).</w:t>
      </w:r>
      <w:hyperlink r:id="rId32">
        <w:r>
          <w:rPr>
            <w:rFonts w:ascii="Arial" w:eastAsia="Arial" w:hAnsi="Arial" w:cs="Arial"/>
            <w:color w:val="467886"/>
            <w:sz w:val="22"/>
            <w:szCs w:val="22"/>
            <w:u w:val="single"/>
          </w:rPr>
          <w:t>https://pdfs.semanticscholar.org/5bdc/16a26428779d25a74784b2174abf93eb3e56.pdf</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P. Jeyalakshmi and Ramkumar, P. (2025). Failure mechanisms and influencing factors on orthopaedic knee implant failure – A comprehensive review. </w:t>
      </w:r>
      <w:r>
        <w:rPr>
          <w:rFonts w:ascii="Arial" w:eastAsia="Arial" w:hAnsi="Arial" w:cs="Arial"/>
          <w:i/>
          <w:sz w:val="22"/>
          <w:szCs w:val="22"/>
        </w:rPr>
        <w:t>Proceedings of the Institution of Mechanical Engineers Part J Journal of Engineering Tribology</w:t>
      </w:r>
      <w:r>
        <w:rPr>
          <w:rFonts w:ascii="Arial" w:eastAsia="Arial" w:hAnsi="Arial" w:cs="Arial"/>
          <w:sz w:val="22"/>
          <w:szCs w:val="22"/>
        </w:rPr>
        <w:t>. doi:</w:t>
      </w:r>
      <w:hyperlink r:id="rId33">
        <w:r>
          <w:rPr>
            <w:rFonts w:ascii="Arial" w:eastAsia="Arial" w:hAnsi="Arial" w:cs="Arial"/>
            <w:color w:val="467886"/>
            <w:sz w:val="22"/>
            <w:szCs w:val="22"/>
            <w:u w:val="single"/>
          </w:rPr>
          <w:t>https://doi.org/10.1177/13506501241288733</w:t>
        </w:r>
      </w:hyperlink>
      <w:r>
        <w:rPr>
          <w:rFonts w:ascii="Arial" w:eastAsia="Arial" w:hAnsi="Arial" w:cs="Arial"/>
          <w:sz w:val="22"/>
          <w:szCs w:val="22"/>
        </w:rPr>
        <w:t>.</w:t>
      </w:r>
    </w:p>
    <w:p w:rsidR="00EC2276" w:rsidRDefault="00EC2276" w:rsidP="00A06556">
      <w:pPr>
        <w:spacing w:after="240" w:line="360" w:lineRule="auto"/>
        <w:jc w:val="both"/>
        <w:rPr>
          <w:rFonts w:ascii="Arial" w:eastAsia="Arial" w:hAnsi="Arial" w:cs="Arial"/>
          <w:sz w:val="22"/>
          <w:szCs w:val="22"/>
        </w:rPr>
      </w:pPr>
      <w:bookmarkStart w:id="24" w:name="_2bn6wsx" w:colFirst="0" w:colLast="0"/>
      <w:bookmarkEnd w:id="24"/>
      <w:r>
        <w:rPr>
          <w:rFonts w:ascii="Arial" w:eastAsia="Arial" w:hAnsi="Arial" w:cs="Arial"/>
          <w:sz w:val="22"/>
          <w:szCs w:val="22"/>
        </w:rPr>
        <w:t xml:space="preserve">Pai, S., (2021). Medico-legal issues related to hip and knee arthroplasty: a literature review including the indian scenario. </w:t>
      </w:r>
      <w:r>
        <w:rPr>
          <w:rFonts w:ascii="Arial" w:eastAsia="Arial" w:hAnsi="Arial" w:cs="Arial"/>
          <w:i/>
          <w:sz w:val="22"/>
          <w:szCs w:val="22"/>
        </w:rPr>
        <w:t>Indian Journal of Orthopaedics</w:t>
      </w:r>
      <w:r>
        <w:rPr>
          <w:rFonts w:ascii="Arial" w:eastAsia="Arial" w:hAnsi="Arial" w:cs="Arial"/>
          <w:sz w:val="22"/>
          <w:szCs w:val="22"/>
        </w:rPr>
        <w:t xml:space="preserve">, </w:t>
      </w:r>
      <w:r>
        <w:rPr>
          <w:rFonts w:ascii="Arial" w:eastAsia="Arial" w:hAnsi="Arial" w:cs="Arial"/>
          <w:i/>
          <w:sz w:val="22"/>
          <w:szCs w:val="22"/>
        </w:rPr>
        <w:t>55</w:t>
      </w:r>
      <w:r>
        <w:rPr>
          <w:rFonts w:ascii="Arial" w:eastAsia="Arial" w:hAnsi="Arial" w:cs="Arial"/>
          <w:sz w:val="22"/>
          <w:szCs w:val="22"/>
        </w:rPr>
        <w:t>(5), pp.1286-1294.</w:t>
      </w:r>
      <w:hyperlink r:id="rId34">
        <w:r>
          <w:rPr>
            <w:rFonts w:ascii="Arial" w:eastAsia="Arial" w:hAnsi="Arial" w:cs="Arial"/>
            <w:color w:val="467886"/>
            <w:sz w:val="22"/>
            <w:szCs w:val="22"/>
            <w:u w:val="single"/>
          </w:rPr>
          <w:t>https://link.springer.com/article/10.1007/s43465-021-00398-2</w:t>
        </w:r>
      </w:hyperlink>
    </w:p>
    <w:p w:rsidR="00EC2276" w:rsidRDefault="00EC2276" w:rsidP="00A06556">
      <w:pPr>
        <w:spacing w:after="240" w:line="360" w:lineRule="auto"/>
        <w:jc w:val="both"/>
        <w:rPr>
          <w:rFonts w:ascii="Arial" w:eastAsia="Arial" w:hAnsi="Arial" w:cs="Arial"/>
          <w:sz w:val="22"/>
          <w:szCs w:val="22"/>
        </w:rPr>
      </w:pPr>
      <w:bookmarkStart w:id="25" w:name="_qsh70q" w:colFirst="0" w:colLast="0"/>
      <w:bookmarkEnd w:id="25"/>
      <w:r>
        <w:rPr>
          <w:rFonts w:ascii="Arial" w:eastAsia="Arial" w:hAnsi="Arial" w:cs="Arial"/>
          <w:sz w:val="22"/>
          <w:szCs w:val="22"/>
        </w:rPr>
        <w:t xml:space="preserve">Pai, S.N., Jeyaraman, M., Maffulli, N., Jeyaraman, N., Migliorini, F. and Gupta, A., (2023). Evidence-based informed consent form for total knee arthroplasty. </w:t>
      </w:r>
      <w:r>
        <w:rPr>
          <w:rFonts w:ascii="Arial" w:eastAsia="Arial" w:hAnsi="Arial" w:cs="Arial"/>
          <w:i/>
          <w:sz w:val="22"/>
          <w:szCs w:val="22"/>
        </w:rPr>
        <w:t>Journal of Orthopaedic Surgery and Research</w:t>
      </w:r>
      <w:r>
        <w:rPr>
          <w:rFonts w:ascii="Arial" w:eastAsia="Arial" w:hAnsi="Arial" w:cs="Arial"/>
          <w:sz w:val="22"/>
          <w:szCs w:val="22"/>
        </w:rPr>
        <w:t xml:space="preserve">, </w:t>
      </w:r>
      <w:r>
        <w:rPr>
          <w:rFonts w:ascii="Arial" w:eastAsia="Arial" w:hAnsi="Arial" w:cs="Arial"/>
          <w:i/>
          <w:sz w:val="22"/>
          <w:szCs w:val="22"/>
        </w:rPr>
        <w:t>18</w:t>
      </w:r>
      <w:r>
        <w:rPr>
          <w:rFonts w:ascii="Arial" w:eastAsia="Arial" w:hAnsi="Arial" w:cs="Arial"/>
          <w:sz w:val="22"/>
          <w:szCs w:val="22"/>
        </w:rPr>
        <w:t>(1), p.156.</w:t>
      </w:r>
      <w:hyperlink r:id="rId35">
        <w:r>
          <w:rPr>
            <w:rFonts w:ascii="Arial" w:eastAsia="Arial" w:hAnsi="Arial" w:cs="Arial"/>
            <w:color w:val="467886"/>
            <w:sz w:val="22"/>
            <w:szCs w:val="22"/>
            <w:u w:val="single"/>
          </w:rPr>
          <w:t>https://link.springer.com/article/10.1186/s13018-023-03647-2</w:t>
        </w:r>
      </w:hyperlink>
    </w:p>
    <w:p w:rsidR="00EC2276" w:rsidRDefault="00EC2276" w:rsidP="00A06556">
      <w:pPr>
        <w:spacing w:after="240" w:line="360" w:lineRule="auto"/>
        <w:jc w:val="both"/>
        <w:rPr>
          <w:rFonts w:ascii="Arial" w:eastAsia="Arial" w:hAnsi="Arial" w:cs="Arial"/>
          <w:sz w:val="22"/>
          <w:szCs w:val="22"/>
        </w:rPr>
      </w:pPr>
      <w:bookmarkStart w:id="26" w:name="_3as4poj" w:colFirst="0" w:colLast="0"/>
      <w:bookmarkEnd w:id="26"/>
      <w:r>
        <w:rPr>
          <w:rFonts w:ascii="Arial" w:eastAsia="Arial" w:hAnsi="Arial" w:cs="Arial"/>
          <w:sz w:val="22"/>
          <w:szCs w:val="22"/>
        </w:rPr>
        <w:t xml:space="preserve">Pai, S.N., Patro, B.P., Jeyaraman, N., Nallakumarasamy, A. and Jeyaraman, M., (2023). Legally sound, evidence-based informed consent form for total hip arthroplasty. </w:t>
      </w:r>
      <w:r>
        <w:rPr>
          <w:rFonts w:ascii="Arial" w:eastAsia="Arial" w:hAnsi="Arial" w:cs="Arial"/>
          <w:i/>
          <w:sz w:val="22"/>
          <w:szCs w:val="22"/>
        </w:rPr>
        <w:t>Indian Journal of Orthopaedics</w:t>
      </w:r>
      <w:r>
        <w:rPr>
          <w:rFonts w:ascii="Arial" w:eastAsia="Arial" w:hAnsi="Arial" w:cs="Arial"/>
          <w:sz w:val="22"/>
          <w:szCs w:val="22"/>
        </w:rPr>
        <w:t xml:space="preserve">, </w:t>
      </w:r>
      <w:r>
        <w:rPr>
          <w:rFonts w:ascii="Arial" w:eastAsia="Arial" w:hAnsi="Arial" w:cs="Arial"/>
          <w:i/>
          <w:sz w:val="22"/>
          <w:szCs w:val="22"/>
        </w:rPr>
        <w:t>57</w:t>
      </w:r>
      <w:r>
        <w:rPr>
          <w:rFonts w:ascii="Arial" w:eastAsia="Arial" w:hAnsi="Arial" w:cs="Arial"/>
          <w:sz w:val="22"/>
          <w:szCs w:val="22"/>
        </w:rPr>
        <w:t>(3), pp.421-428.</w:t>
      </w:r>
      <w:hyperlink r:id="rId36">
        <w:r>
          <w:rPr>
            <w:rFonts w:ascii="Arial" w:eastAsia="Arial" w:hAnsi="Arial" w:cs="Arial"/>
            <w:color w:val="467886"/>
            <w:sz w:val="22"/>
            <w:szCs w:val="22"/>
            <w:u w:val="single"/>
          </w:rPr>
          <w:t>https://link.springer.com/article/10.1007/s43465-023-00824-7</w:t>
        </w:r>
      </w:hyperlink>
    </w:p>
    <w:p w:rsidR="00EC2276" w:rsidRDefault="00EC2276" w:rsidP="00A06556">
      <w:pPr>
        <w:spacing w:after="240" w:line="360" w:lineRule="auto"/>
        <w:jc w:val="both"/>
        <w:rPr>
          <w:rFonts w:ascii="Arial" w:eastAsia="Arial" w:hAnsi="Arial" w:cs="Arial"/>
          <w:sz w:val="22"/>
          <w:szCs w:val="22"/>
        </w:rPr>
      </w:pPr>
      <w:bookmarkStart w:id="27" w:name="_1pxezwc" w:colFirst="0" w:colLast="0"/>
      <w:bookmarkEnd w:id="27"/>
      <w:r>
        <w:rPr>
          <w:rFonts w:ascii="Arial" w:eastAsia="Arial" w:hAnsi="Arial" w:cs="Arial"/>
          <w:sz w:val="22"/>
          <w:szCs w:val="22"/>
        </w:rPr>
        <w:lastRenderedPageBreak/>
        <w:t>Patil, V., Adkar, N., Patil, M., Kerhalkar, R., Sadlagi, P. and Nagle, N., (2025). Polyethylene Insert Wear Leading to Early Aseptic Bilateral Total Knee Arthroplasty Failure: Case Report. </w:t>
      </w:r>
      <w:r>
        <w:rPr>
          <w:rFonts w:ascii="Arial" w:eastAsia="Arial" w:hAnsi="Arial" w:cs="Arial"/>
          <w:i/>
          <w:sz w:val="22"/>
          <w:szCs w:val="22"/>
        </w:rPr>
        <w:t>Journal of Orthopaedic Case Reports</w:t>
      </w:r>
      <w:r>
        <w:rPr>
          <w:rFonts w:ascii="Arial" w:eastAsia="Arial" w:hAnsi="Arial" w:cs="Arial"/>
          <w:sz w:val="22"/>
          <w:szCs w:val="22"/>
        </w:rPr>
        <w:t>, </w:t>
      </w:r>
      <w:r>
        <w:rPr>
          <w:rFonts w:ascii="Arial" w:eastAsia="Arial" w:hAnsi="Arial" w:cs="Arial"/>
          <w:i/>
          <w:sz w:val="22"/>
          <w:szCs w:val="22"/>
        </w:rPr>
        <w:t>15</w:t>
      </w:r>
      <w:r>
        <w:rPr>
          <w:rFonts w:ascii="Arial" w:eastAsia="Arial" w:hAnsi="Arial" w:cs="Arial"/>
          <w:sz w:val="22"/>
          <w:szCs w:val="22"/>
        </w:rPr>
        <w:t xml:space="preserve">(8), p.217. </w:t>
      </w:r>
      <w:hyperlink r:id="rId37">
        <w:r>
          <w:rPr>
            <w:rFonts w:ascii="Arial" w:eastAsia="Arial" w:hAnsi="Arial" w:cs="Arial"/>
            <w:color w:val="467886"/>
            <w:sz w:val="22"/>
            <w:szCs w:val="22"/>
            <w:u w:val="single"/>
          </w:rPr>
          <w:t>https://pmc.ncbi.nlm.nih.gov/articles/PMC12328979/</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Patil, V.V., Sancheti, P.K., Patil, K., Gugale, S. and Shyam, A., (2024). Functional Outcome of Mechanical Alignment in Total Knee Arthroplasty Surgery: A Short-Term Cohort Study at an Indian Tertiary Care Hospital. </w:t>
      </w:r>
      <w:r>
        <w:rPr>
          <w:rFonts w:ascii="Arial" w:eastAsia="Arial" w:hAnsi="Arial" w:cs="Arial"/>
          <w:i/>
          <w:sz w:val="22"/>
          <w:szCs w:val="22"/>
        </w:rPr>
        <w:t>Indian Journal of Orthopaedics</w:t>
      </w:r>
      <w:r>
        <w:rPr>
          <w:rFonts w:ascii="Arial" w:eastAsia="Arial" w:hAnsi="Arial" w:cs="Arial"/>
          <w:sz w:val="22"/>
          <w:szCs w:val="22"/>
        </w:rPr>
        <w:t>, </w:t>
      </w:r>
      <w:r>
        <w:rPr>
          <w:rFonts w:ascii="Arial" w:eastAsia="Arial" w:hAnsi="Arial" w:cs="Arial"/>
          <w:i/>
          <w:sz w:val="22"/>
          <w:szCs w:val="22"/>
        </w:rPr>
        <w:t>58</w:t>
      </w:r>
      <w:r>
        <w:rPr>
          <w:rFonts w:ascii="Arial" w:eastAsia="Arial" w:hAnsi="Arial" w:cs="Arial"/>
          <w:sz w:val="22"/>
          <w:szCs w:val="22"/>
        </w:rPr>
        <w:t xml:space="preserve">(1), pp.11-17. </w:t>
      </w:r>
      <w:hyperlink r:id="rId38">
        <w:r>
          <w:rPr>
            <w:rFonts w:ascii="Arial" w:eastAsia="Arial" w:hAnsi="Arial" w:cs="Arial"/>
            <w:color w:val="467886"/>
            <w:sz w:val="22"/>
            <w:szCs w:val="22"/>
            <w:u w:val="single"/>
          </w:rPr>
          <w:t>https://link.springer.com/article/10.1007/s43465-023-01016-z</w:t>
        </w:r>
      </w:hyperlink>
    </w:p>
    <w:p w:rsidR="00EC2276" w:rsidRDefault="00EC2276" w:rsidP="00A06556">
      <w:pPr>
        <w:spacing w:after="240" w:line="360" w:lineRule="auto"/>
        <w:jc w:val="both"/>
        <w:rPr>
          <w:rFonts w:ascii="Arial" w:eastAsia="Arial" w:hAnsi="Arial" w:cs="Arial"/>
          <w:sz w:val="22"/>
          <w:szCs w:val="22"/>
        </w:rPr>
      </w:pPr>
      <w:bookmarkStart w:id="28" w:name="_49x2ik5" w:colFirst="0" w:colLast="0"/>
      <w:bookmarkEnd w:id="28"/>
      <w:r>
        <w:rPr>
          <w:rFonts w:ascii="Arial" w:eastAsia="Arial" w:hAnsi="Arial" w:cs="Arial"/>
          <w:sz w:val="22"/>
          <w:szCs w:val="22"/>
        </w:rPr>
        <w:t>Perdisa, F., Bordini, B., Salerno, M., Traina, F., Zaffagnini, S. and Filardo, G., (2023). Total knee arthroplasty (TKA): when do the risks of TKA overcome the benefits? Double risk of failure in patients up to 65 years old. </w:t>
      </w:r>
      <w:r>
        <w:rPr>
          <w:rFonts w:ascii="Arial" w:eastAsia="Arial" w:hAnsi="Arial" w:cs="Arial"/>
          <w:i/>
          <w:sz w:val="22"/>
          <w:szCs w:val="22"/>
        </w:rPr>
        <w:t>Cartilage</w:t>
      </w:r>
      <w:r>
        <w:rPr>
          <w:rFonts w:ascii="Arial" w:eastAsia="Arial" w:hAnsi="Arial" w:cs="Arial"/>
          <w:sz w:val="22"/>
          <w:szCs w:val="22"/>
        </w:rPr>
        <w:t>, </w:t>
      </w:r>
      <w:r>
        <w:rPr>
          <w:rFonts w:ascii="Arial" w:eastAsia="Arial" w:hAnsi="Arial" w:cs="Arial"/>
          <w:i/>
          <w:sz w:val="22"/>
          <w:szCs w:val="22"/>
        </w:rPr>
        <w:t>14</w:t>
      </w:r>
      <w:r>
        <w:rPr>
          <w:rFonts w:ascii="Arial" w:eastAsia="Arial" w:hAnsi="Arial" w:cs="Arial"/>
          <w:sz w:val="22"/>
          <w:szCs w:val="22"/>
        </w:rPr>
        <w:t xml:space="preserve">(3), pp.305-311. </w:t>
      </w:r>
      <w:hyperlink r:id="rId39">
        <w:r>
          <w:rPr>
            <w:rFonts w:ascii="Arial" w:eastAsia="Arial" w:hAnsi="Arial" w:cs="Arial"/>
            <w:color w:val="467886"/>
            <w:sz w:val="22"/>
            <w:szCs w:val="22"/>
            <w:u w:val="single"/>
          </w:rPr>
          <w:t>https://journals.sagepub.com/doi/abs/10.1177/19476035231164733</w:t>
        </w:r>
      </w:hyperlink>
    </w:p>
    <w:p w:rsidR="00EC2276" w:rsidRDefault="00EC2276" w:rsidP="00A06556">
      <w:pPr>
        <w:spacing w:after="240" w:line="360" w:lineRule="auto"/>
        <w:jc w:val="both"/>
        <w:rPr>
          <w:rFonts w:ascii="Arial" w:eastAsia="Arial" w:hAnsi="Arial" w:cs="Arial"/>
          <w:sz w:val="22"/>
          <w:szCs w:val="22"/>
        </w:rPr>
      </w:pPr>
      <w:bookmarkStart w:id="29" w:name="_2p2csry" w:colFirst="0" w:colLast="0"/>
      <w:bookmarkEnd w:id="29"/>
      <w:r>
        <w:rPr>
          <w:rFonts w:ascii="Arial" w:eastAsia="Arial" w:hAnsi="Arial" w:cs="Arial"/>
          <w:sz w:val="22"/>
          <w:szCs w:val="22"/>
        </w:rPr>
        <w:t>Quinlan, N.D., Hegde, V., Bracey, D.N., Pollet, A., Johnson, R.M., Dennis, D.A. and Jennings, J.M., (2024). Prevalence of depressive symptoms in aseptic revision total knee arthroplasty based on the mode of failure. </w:t>
      </w:r>
      <w:r>
        <w:rPr>
          <w:rFonts w:ascii="Arial" w:eastAsia="Arial" w:hAnsi="Arial" w:cs="Arial"/>
          <w:i/>
          <w:sz w:val="22"/>
          <w:szCs w:val="22"/>
        </w:rPr>
        <w:t>Arthroplasty Today</w:t>
      </w:r>
      <w:r>
        <w:rPr>
          <w:rFonts w:ascii="Arial" w:eastAsia="Arial" w:hAnsi="Arial" w:cs="Arial"/>
          <w:sz w:val="22"/>
          <w:szCs w:val="22"/>
        </w:rPr>
        <w:t>, </w:t>
      </w:r>
      <w:r>
        <w:rPr>
          <w:rFonts w:ascii="Arial" w:eastAsia="Arial" w:hAnsi="Arial" w:cs="Arial"/>
          <w:i/>
          <w:sz w:val="22"/>
          <w:szCs w:val="22"/>
        </w:rPr>
        <w:t>25</w:t>
      </w:r>
      <w:r>
        <w:rPr>
          <w:rFonts w:ascii="Arial" w:eastAsia="Arial" w:hAnsi="Arial" w:cs="Arial"/>
          <w:sz w:val="22"/>
          <w:szCs w:val="22"/>
        </w:rPr>
        <w:t xml:space="preserve">, p.101298 </w:t>
      </w:r>
      <w:hyperlink r:id="rId40">
        <w:r>
          <w:rPr>
            <w:rFonts w:ascii="Arial" w:eastAsia="Arial" w:hAnsi="Arial" w:cs="Arial"/>
            <w:color w:val="467886"/>
            <w:sz w:val="22"/>
            <w:szCs w:val="22"/>
            <w:u w:val="single"/>
          </w:rPr>
          <w:t>https://www.sciencedirect.com/science/article/pii/S2352344123002030</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Ramaiah, H.D., Parthasarathy, A., Dore, N.K. and Rao, V.K., (2025). Single-center Midterm Outcomes of Primary Cemented Modular Bipolar Hemiarthroplasty in Unstable Intertrochanteric Fractures in the Indian Population. </w:t>
      </w:r>
      <w:r>
        <w:rPr>
          <w:rFonts w:ascii="Arial" w:eastAsia="Arial" w:hAnsi="Arial" w:cs="Arial"/>
          <w:i/>
          <w:sz w:val="22"/>
          <w:szCs w:val="22"/>
        </w:rPr>
        <w:t>Journal of Arthroscopy and Joint Surgery</w:t>
      </w:r>
      <w:r>
        <w:rPr>
          <w:rFonts w:ascii="Arial" w:eastAsia="Arial" w:hAnsi="Arial" w:cs="Arial"/>
          <w:sz w:val="22"/>
          <w:szCs w:val="22"/>
        </w:rPr>
        <w:t xml:space="preserve">, pp.10-4103. </w:t>
      </w:r>
      <w:hyperlink r:id="rId41">
        <w:r>
          <w:rPr>
            <w:rFonts w:ascii="Arial" w:eastAsia="Arial" w:hAnsi="Arial" w:cs="Arial"/>
            <w:color w:val="467886"/>
            <w:sz w:val="22"/>
            <w:szCs w:val="22"/>
            <w:u w:val="single"/>
          </w:rPr>
          <w:t>https://journals.lww.com/jajs/fulltext/9900/single_center_midterm_outcomes_of_primary_cemented.30.aspx</w:t>
        </w:r>
      </w:hyperlink>
    </w:p>
    <w:p w:rsidR="00EC2276" w:rsidRDefault="00EC2276" w:rsidP="00A06556">
      <w:pPr>
        <w:spacing w:after="240" w:line="360" w:lineRule="auto"/>
        <w:jc w:val="both"/>
        <w:rPr>
          <w:rFonts w:ascii="Arial" w:eastAsia="Arial" w:hAnsi="Arial" w:cs="Arial"/>
          <w:sz w:val="22"/>
          <w:szCs w:val="22"/>
        </w:rPr>
      </w:pPr>
      <w:bookmarkStart w:id="30" w:name="_147n2zr" w:colFirst="0" w:colLast="0"/>
      <w:bookmarkEnd w:id="30"/>
      <w:r>
        <w:rPr>
          <w:rFonts w:ascii="Arial" w:eastAsia="Arial" w:hAnsi="Arial" w:cs="Arial"/>
          <w:sz w:val="22"/>
          <w:szCs w:val="22"/>
        </w:rPr>
        <w:t xml:space="preserve">Rodríguez-Álvarez, J.L., García Alcaraz, J.L., Navarrete-Molina, C. and Soto-Cabral, A., (2024). Root Cause Analysis (RCA). In </w:t>
      </w:r>
      <w:r>
        <w:rPr>
          <w:rFonts w:ascii="Arial" w:eastAsia="Arial" w:hAnsi="Arial" w:cs="Arial"/>
          <w:i/>
          <w:sz w:val="22"/>
          <w:szCs w:val="22"/>
        </w:rPr>
        <w:t>Lean Manufacturing in Latin America: Concepts, Methodologies and Applications</w:t>
      </w:r>
      <w:r>
        <w:rPr>
          <w:rFonts w:ascii="Arial" w:eastAsia="Arial" w:hAnsi="Arial" w:cs="Arial"/>
          <w:sz w:val="22"/>
          <w:szCs w:val="22"/>
        </w:rPr>
        <w:t xml:space="preserve"> (pp. 439-468). Cham: Springer Nature Switzerland. </w:t>
      </w:r>
      <w:hyperlink r:id="rId42">
        <w:r>
          <w:rPr>
            <w:rFonts w:ascii="Arial" w:eastAsia="Arial" w:hAnsi="Arial" w:cs="Arial"/>
            <w:color w:val="467886"/>
            <w:sz w:val="22"/>
            <w:szCs w:val="22"/>
            <w:u w:val="single"/>
          </w:rPr>
          <w:t>https://link.springer.com/chapter/10.1007/978-3-031-70984-5_19</w:t>
        </w:r>
      </w:hyperlink>
    </w:p>
    <w:p w:rsidR="00EC2276" w:rsidRDefault="00EC2276" w:rsidP="00A06556">
      <w:pPr>
        <w:spacing w:after="240" w:line="360" w:lineRule="auto"/>
        <w:jc w:val="both"/>
        <w:rPr>
          <w:rFonts w:ascii="Arial" w:eastAsia="Arial" w:hAnsi="Arial" w:cs="Arial"/>
          <w:sz w:val="22"/>
          <w:szCs w:val="22"/>
        </w:rPr>
      </w:pPr>
      <w:bookmarkStart w:id="31" w:name="_3o7alnk" w:colFirst="0" w:colLast="0"/>
      <w:bookmarkEnd w:id="31"/>
      <w:r>
        <w:rPr>
          <w:rFonts w:ascii="Arial" w:eastAsia="Arial" w:hAnsi="Arial" w:cs="Arial"/>
          <w:sz w:val="22"/>
          <w:szCs w:val="22"/>
        </w:rPr>
        <w:t xml:space="preserve">Sakdiyah, S.H., Eltivia, N. and Afandi, A., (2022). Root cause analysis using fishbone diagram: company management decision making. </w:t>
      </w:r>
      <w:r>
        <w:rPr>
          <w:rFonts w:ascii="Arial" w:eastAsia="Arial" w:hAnsi="Arial" w:cs="Arial"/>
          <w:i/>
          <w:sz w:val="22"/>
          <w:szCs w:val="22"/>
        </w:rPr>
        <w:t>Journal of Applied Business, Taxation and Economics Research</w:t>
      </w:r>
      <w:r>
        <w:rPr>
          <w:rFonts w:ascii="Arial" w:eastAsia="Arial" w:hAnsi="Arial" w:cs="Arial"/>
          <w:sz w:val="22"/>
          <w:szCs w:val="22"/>
        </w:rPr>
        <w:t xml:space="preserve">, </w:t>
      </w:r>
      <w:r>
        <w:rPr>
          <w:rFonts w:ascii="Arial" w:eastAsia="Arial" w:hAnsi="Arial" w:cs="Arial"/>
          <w:i/>
          <w:sz w:val="22"/>
          <w:szCs w:val="22"/>
        </w:rPr>
        <w:t>1</w:t>
      </w:r>
      <w:r>
        <w:rPr>
          <w:rFonts w:ascii="Arial" w:eastAsia="Arial" w:hAnsi="Arial" w:cs="Arial"/>
          <w:sz w:val="22"/>
          <w:szCs w:val="22"/>
        </w:rPr>
        <w:t>(6), pp.566-576.</w:t>
      </w:r>
      <w:hyperlink r:id="rId43">
        <w:r>
          <w:rPr>
            <w:rFonts w:ascii="Arial" w:eastAsia="Arial" w:hAnsi="Arial" w:cs="Arial"/>
            <w:color w:val="467886"/>
            <w:sz w:val="22"/>
            <w:szCs w:val="22"/>
            <w:u w:val="single"/>
          </w:rPr>
          <w:t>https://pdfs.semanticscholar.org/9012/68cbe314984ad0d924a7c7475b3399bbbe74.pdf</w:t>
        </w:r>
      </w:hyperlink>
    </w:p>
    <w:p w:rsidR="00EC2276" w:rsidRDefault="00EC2276" w:rsidP="00A06556">
      <w:pPr>
        <w:spacing w:after="240" w:line="360" w:lineRule="auto"/>
        <w:jc w:val="both"/>
        <w:rPr>
          <w:rFonts w:ascii="Arial" w:eastAsia="Arial" w:hAnsi="Arial" w:cs="Arial"/>
          <w:sz w:val="22"/>
          <w:szCs w:val="22"/>
        </w:rPr>
      </w:pPr>
      <w:bookmarkStart w:id="32" w:name="_23ckvvd" w:colFirst="0" w:colLast="0"/>
      <w:bookmarkEnd w:id="32"/>
      <w:r>
        <w:rPr>
          <w:rFonts w:ascii="Arial" w:eastAsia="Arial" w:hAnsi="Arial" w:cs="Arial"/>
          <w:sz w:val="22"/>
          <w:szCs w:val="22"/>
        </w:rPr>
        <w:lastRenderedPageBreak/>
        <w:t xml:space="preserve">Shabani, T., Jerie, S. and Shabani, T., (2024). A comprehensive review of the Swiss cheese model in risk management. </w:t>
      </w:r>
      <w:r>
        <w:rPr>
          <w:rFonts w:ascii="Arial" w:eastAsia="Arial" w:hAnsi="Arial" w:cs="Arial"/>
          <w:i/>
          <w:sz w:val="22"/>
          <w:szCs w:val="22"/>
        </w:rPr>
        <w:t>Safety in extreme environments</w:t>
      </w:r>
      <w:r>
        <w:rPr>
          <w:rFonts w:ascii="Arial" w:eastAsia="Arial" w:hAnsi="Arial" w:cs="Arial"/>
          <w:sz w:val="22"/>
          <w:szCs w:val="22"/>
        </w:rPr>
        <w:t xml:space="preserve">, </w:t>
      </w:r>
      <w:r>
        <w:rPr>
          <w:rFonts w:ascii="Arial" w:eastAsia="Arial" w:hAnsi="Arial" w:cs="Arial"/>
          <w:i/>
          <w:sz w:val="22"/>
          <w:szCs w:val="22"/>
        </w:rPr>
        <w:t>6</w:t>
      </w:r>
      <w:r>
        <w:rPr>
          <w:rFonts w:ascii="Arial" w:eastAsia="Arial" w:hAnsi="Arial" w:cs="Arial"/>
          <w:sz w:val="22"/>
          <w:szCs w:val="22"/>
        </w:rPr>
        <w:t>(1), pp.43-57.</w:t>
      </w:r>
      <w:hyperlink r:id="rId44">
        <w:r>
          <w:rPr>
            <w:rFonts w:ascii="Arial" w:eastAsia="Arial" w:hAnsi="Arial" w:cs="Arial"/>
            <w:color w:val="467886"/>
            <w:sz w:val="22"/>
            <w:szCs w:val="22"/>
            <w:u w:val="single"/>
          </w:rPr>
          <w:t>https://link.springer.com/article/10.1007/s42797-023-00091-7</w:t>
        </w:r>
      </w:hyperlink>
    </w:p>
    <w:p w:rsidR="00EC2276" w:rsidRDefault="00EC2276" w:rsidP="00A06556">
      <w:pPr>
        <w:spacing w:after="240" w:line="360" w:lineRule="auto"/>
        <w:jc w:val="both"/>
        <w:rPr>
          <w:rFonts w:ascii="Arial" w:eastAsia="Arial" w:hAnsi="Arial" w:cs="Arial"/>
          <w:sz w:val="22"/>
          <w:szCs w:val="22"/>
        </w:rPr>
      </w:pPr>
      <w:bookmarkStart w:id="33" w:name="_ihv636" w:colFirst="0" w:colLast="0"/>
      <w:bookmarkEnd w:id="33"/>
      <w:r>
        <w:rPr>
          <w:rFonts w:ascii="Arial" w:eastAsia="Arial" w:hAnsi="Arial" w:cs="Arial"/>
          <w:sz w:val="22"/>
          <w:szCs w:val="22"/>
        </w:rPr>
        <w:t>Shannon, M.F., Edwards, T., Maurer, T., Frear, A.J., Wong, V.R., Sadhwani, S., Smith, C., Kamson, A., Omslaer, B., Cisneros, C. and Gordon, A., (2025). No difference in failure between static, articulating, and prosthetic low-friction spacers for periprosthetic joint infection of total knee arthroplasty. </w:t>
      </w:r>
      <w:r>
        <w:rPr>
          <w:rFonts w:ascii="Arial" w:eastAsia="Arial" w:hAnsi="Arial" w:cs="Arial"/>
          <w:i/>
          <w:sz w:val="22"/>
          <w:szCs w:val="22"/>
        </w:rPr>
        <w:t>Journal of Bone and Joint Infection</w:t>
      </w:r>
      <w:r>
        <w:rPr>
          <w:rFonts w:ascii="Arial" w:eastAsia="Arial" w:hAnsi="Arial" w:cs="Arial"/>
          <w:sz w:val="22"/>
          <w:szCs w:val="22"/>
        </w:rPr>
        <w:t>, </w:t>
      </w:r>
      <w:r>
        <w:rPr>
          <w:rFonts w:ascii="Arial" w:eastAsia="Arial" w:hAnsi="Arial" w:cs="Arial"/>
          <w:i/>
          <w:sz w:val="22"/>
          <w:szCs w:val="22"/>
        </w:rPr>
        <w:t>10</w:t>
      </w:r>
      <w:r>
        <w:rPr>
          <w:rFonts w:ascii="Arial" w:eastAsia="Arial" w:hAnsi="Arial" w:cs="Arial"/>
          <w:sz w:val="22"/>
          <w:szCs w:val="22"/>
        </w:rPr>
        <w:t xml:space="preserve">(4), pp.243-253. </w:t>
      </w:r>
      <w:hyperlink r:id="rId45">
        <w:r>
          <w:rPr>
            <w:rFonts w:ascii="Arial" w:eastAsia="Arial" w:hAnsi="Arial" w:cs="Arial"/>
            <w:color w:val="467886"/>
            <w:sz w:val="22"/>
            <w:szCs w:val="22"/>
            <w:u w:val="single"/>
          </w:rPr>
          <w:t>https://jbji.copernicus.org/articles/10/243/2025/</w:t>
        </w:r>
      </w:hyperlink>
    </w:p>
    <w:p w:rsidR="00EC2276" w:rsidRDefault="00EC2276" w:rsidP="00A06556">
      <w:pPr>
        <w:spacing w:after="240" w:line="360" w:lineRule="auto"/>
        <w:jc w:val="both"/>
        <w:rPr>
          <w:rFonts w:ascii="Arial" w:eastAsia="Arial" w:hAnsi="Arial" w:cs="Arial"/>
          <w:sz w:val="22"/>
          <w:szCs w:val="22"/>
        </w:rPr>
      </w:pPr>
      <w:bookmarkStart w:id="34" w:name="_32hioqz" w:colFirst="0" w:colLast="0"/>
      <w:bookmarkEnd w:id="34"/>
      <w:r>
        <w:rPr>
          <w:rFonts w:ascii="Arial" w:eastAsia="Arial" w:hAnsi="Arial" w:cs="Arial"/>
          <w:sz w:val="22"/>
          <w:szCs w:val="22"/>
        </w:rPr>
        <w:t>Taanam, R.R., (2025). Comparative Study of Functional Outcomes Between Cemented and Uncemented Total Hip Replacement at a Tertiary Care Hospital. </w:t>
      </w:r>
      <w:r>
        <w:rPr>
          <w:rFonts w:ascii="Arial" w:eastAsia="Arial" w:hAnsi="Arial" w:cs="Arial"/>
          <w:i/>
          <w:sz w:val="22"/>
          <w:szCs w:val="22"/>
        </w:rPr>
        <w:t>International Journal of Medical and Pharmaceutical Research</w:t>
      </w:r>
      <w:r>
        <w:rPr>
          <w:rFonts w:ascii="Arial" w:eastAsia="Arial" w:hAnsi="Arial" w:cs="Arial"/>
          <w:sz w:val="22"/>
          <w:szCs w:val="22"/>
        </w:rPr>
        <w:t>, </w:t>
      </w:r>
      <w:r>
        <w:rPr>
          <w:rFonts w:ascii="Arial" w:eastAsia="Arial" w:hAnsi="Arial" w:cs="Arial"/>
          <w:i/>
          <w:sz w:val="22"/>
          <w:szCs w:val="22"/>
        </w:rPr>
        <w:t>6</w:t>
      </w:r>
      <w:r>
        <w:rPr>
          <w:rFonts w:ascii="Arial" w:eastAsia="Arial" w:hAnsi="Arial" w:cs="Arial"/>
          <w:sz w:val="22"/>
          <w:szCs w:val="22"/>
        </w:rPr>
        <w:t xml:space="preserve">, pp.1301-1305. </w:t>
      </w:r>
      <w:hyperlink r:id="rId46">
        <w:r>
          <w:rPr>
            <w:rFonts w:ascii="Arial" w:eastAsia="Arial" w:hAnsi="Arial" w:cs="Arial"/>
            <w:color w:val="467886"/>
            <w:sz w:val="22"/>
            <w:szCs w:val="22"/>
            <w:u w:val="single"/>
          </w:rPr>
          <w:t>https://ijmpr.in/article/comparative-study-of-functional-outcomes-between-cemented-and-uncemented-total-hip-replacement-at-a-tertiary-care-hospital-1089/</w:t>
        </w:r>
      </w:hyperlink>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Theleanway.net (2023). </w:t>
      </w:r>
      <w:r>
        <w:rPr>
          <w:rFonts w:ascii="Arial" w:eastAsia="Arial" w:hAnsi="Arial" w:cs="Arial"/>
          <w:i/>
          <w:sz w:val="22"/>
          <w:szCs w:val="22"/>
        </w:rPr>
        <w:t>The Five Principles of Lean</w:t>
      </w:r>
      <w:r>
        <w:rPr>
          <w:rFonts w:ascii="Arial" w:eastAsia="Arial" w:hAnsi="Arial" w:cs="Arial"/>
          <w:sz w:val="22"/>
          <w:szCs w:val="22"/>
        </w:rPr>
        <w:t xml:space="preserve">. [online] The Lean Way. Available at: </w:t>
      </w:r>
      <w:hyperlink r:id="rId47">
        <w:r>
          <w:rPr>
            <w:rFonts w:ascii="Arial" w:eastAsia="Arial" w:hAnsi="Arial" w:cs="Arial"/>
            <w:color w:val="467886"/>
            <w:sz w:val="22"/>
            <w:szCs w:val="22"/>
            <w:u w:val="single"/>
          </w:rPr>
          <w:t>https://theleanway.net/The-Five-Principles-of-Lean</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r>
        <w:rPr>
          <w:rFonts w:ascii="Arial" w:eastAsia="Arial" w:hAnsi="Arial" w:cs="Arial"/>
          <w:sz w:val="22"/>
          <w:szCs w:val="22"/>
        </w:rPr>
        <w:t xml:space="preserve">Themezhub (2023). </w:t>
      </w:r>
      <w:r>
        <w:rPr>
          <w:rFonts w:ascii="Arial" w:eastAsia="Arial" w:hAnsi="Arial" w:cs="Arial"/>
          <w:i/>
          <w:sz w:val="22"/>
          <w:szCs w:val="22"/>
        </w:rPr>
        <w:t>DMAIC Tools for Each Phase: A Comprehensive Guide</w:t>
      </w:r>
      <w:r>
        <w:rPr>
          <w:rFonts w:ascii="Arial" w:eastAsia="Arial" w:hAnsi="Arial" w:cs="Arial"/>
          <w:sz w:val="22"/>
          <w:szCs w:val="22"/>
        </w:rPr>
        <w:t xml:space="preserve">. [online] Sprintzeal.com. Available at: </w:t>
      </w:r>
      <w:hyperlink r:id="rId48">
        <w:r>
          <w:rPr>
            <w:rFonts w:ascii="Arial" w:eastAsia="Arial" w:hAnsi="Arial" w:cs="Arial"/>
            <w:color w:val="467886"/>
            <w:sz w:val="22"/>
            <w:szCs w:val="22"/>
            <w:u w:val="single"/>
          </w:rPr>
          <w:t>https://www.sprintzeal.com/blog/dmaic-tools</w:t>
        </w:r>
      </w:hyperlink>
      <w:r>
        <w:rPr>
          <w:rFonts w:ascii="Arial" w:eastAsia="Arial" w:hAnsi="Arial" w:cs="Arial"/>
          <w:sz w:val="22"/>
          <w:szCs w:val="22"/>
        </w:rPr>
        <w:t xml:space="preserve"> [Accessed 26 Nov. 2025].</w:t>
      </w:r>
    </w:p>
    <w:p w:rsidR="00EC2276" w:rsidRDefault="00EC2276" w:rsidP="00A06556">
      <w:pPr>
        <w:spacing w:after="240" w:line="360" w:lineRule="auto"/>
        <w:jc w:val="both"/>
        <w:rPr>
          <w:rFonts w:ascii="Arial" w:eastAsia="Arial" w:hAnsi="Arial" w:cs="Arial"/>
          <w:sz w:val="22"/>
          <w:szCs w:val="22"/>
        </w:rPr>
      </w:pPr>
      <w:bookmarkStart w:id="35" w:name="_1hmsyys" w:colFirst="0" w:colLast="0"/>
      <w:bookmarkEnd w:id="35"/>
      <w:r>
        <w:rPr>
          <w:rFonts w:ascii="Arial" w:eastAsia="Arial" w:hAnsi="Arial" w:cs="Arial"/>
          <w:sz w:val="22"/>
          <w:szCs w:val="22"/>
        </w:rPr>
        <w:t xml:space="preserve">Vaidya, S.V., Jogani, A.D., Pachore, J.A., Armstrong, R. and Vaidya, C.S., (2021). India joining the world of hip and knee registries: present status—a leap forward. </w:t>
      </w:r>
      <w:r>
        <w:rPr>
          <w:rFonts w:ascii="Arial" w:eastAsia="Arial" w:hAnsi="Arial" w:cs="Arial"/>
          <w:i/>
          <w:sz w:val="22"/>
          <w:szCs w:val="22"/>
        </w:rPr>
        <w:t>Indian Journal of Orthopaedics</w:t>
      </w:r>
      <w:r>
        <w:rPr>
          <w:rFonts w:ascii="Arial" w:eastAsia="Arial" w:hAnsi="Arial" w:cs="Arial"/>
          <w:sz w:val="22"/>
          <w:szCs w:val="22"/>
        </w:rPr>
        <w:t xml:space="preserve">, </w:t>
      </w:r>
      <w:r>
        <w:rPr>
          <w:rFonts w:ascii="Arial" w:eastAsia="Arial" w:hAnsi="Arial" w:cs="Arial"/>
          <w:i/>
          <w:sz w:val="22"/>
          <w:szCs w:val="22"/>
        </w:rPr>
        <w:t>55</w:t>
      </w:r>
      <w:r>
        <w:rPr>
          <w:rFonts w:ascii="Arial" w:eastAsia="Arial" w:hAnsi="Arial" w:cs="Arial"/>
          <w:sz w:val="22"/>
          <w:szCs w:val="22"/>
        </w:rPr>
        <w:t>(Suppl 1), pp.46-55.</w:t>
      </w:r>
      <w:hyperlink r:id="rId49">
        <w:r>
          <w:rPr>
            <w:rFonts w:ascii="Arial" w:eastAsia="Arial" w:hAnsi="Arial" w:cs="Arial"/>
            <w:color w:val="467886"/>
            <w:sz w:val="22"/>
            <w:szCs w:val="22"/>
            <w:u w:val="single"/>
          </w:rPr>
          <w:t>https://link.springer.com/article/10.1007/s43465-020-00251-y</w:t>
        </w:r>
      </w:hyperlink>
    </w:p>
    <w:p w:rsidR="00EC2276" w:rsidRDefault="00EC2276" w:rsidP="00A06556">
      <w:pPr>
        <w:spacing w:after="240" w:line="360" w:lineRule="auto"/>
        <w:jc w:val="both"/>
        <w:rPr>
          <w:rFonts w:ascii="Arial" w:eastAsia="Arial" w:hAnsi="Arial" w:cs="Arial"/>
          <w:sz w:val="22"/>
          <w:szCs w:val="22"/>
        </w:rPr>
      </w:pPr>
      <w:bookmarkStart w:id="36" w:name="_41mghml" w:colFirst="0" w:colLast="0"/>
      <w:bookmarkEnd w:id="36"/>
      <w:r>
        <w:rPr>
          <w:rFonts w:ascii="Arial" w:eastAsia="Arial" w:hAnsi="Arial" w:cs="Arial"/>
          <w:sz w:val="22"/>
          <w:szCs w:val="22"/>
        </w:rPr>
        <w:t>Valič, M., Milošev, I., Levašič, V., Blas, M., Podovšovnik, E., Koren, J. and Trebše, R., (2024). Linear and Volumetric Polyethylene Wear Patterns after Primary Cruciate-Retaining Total Knee Arthroplasty Failure: An Analysis Using Optical Scanning and Computer-Aided Design Models. </w:t>
      </w:r>
      <w:r>
        <w:rPr>
          <w:rFonts w:ascii="Arial" w:eastAsia="Arial" w:hAnsi="Arial" w:cs="Arial"/>
          <w:i/>
          <w:sz w:val="22"/>
          <w:szCs w:val="22"/>
        </w:rPr>
        <w:t>Materials</w:t>
      </w:r>
      <w:r>
        <w:rPr>
          <w:rFonts w:ascii="Arial" w:eastAsia="Arial" w:hAnsi="Arial" w:cs="Arial"/>
          <w:sz w:val="22"/>
          <w:szCs w:val="22"/>
        </w:rPr>
        <w:t>, </w:t>
      </w:r>
      <w:r>
        <w:rPr>
          <w:rFonts w:ascii="Arial" w:eastAsia="Arial" w:hAnsi="Arial" w:cs="Arial"/>
          <w:i/>
          <w:sz w:val="22"/>
          <w:szCs w:val="22"/>
        </w:rPr>
        <w:t>17</w:t>
      </w:r>
      <w:r>
        <w:rPr>
          <w:rFonts w:ascii="Arial" w:eastAsia="Arial" w:hAnsi="Arial" w:cs="Arial"/>
          <w:sz w:val="22"/>
          <w:szCs w:val="22"/>
        </w:rPr>
        <w:t xml:space="preserve">(20), p.5007. </w:t>
      </w:r>
      <w:hyperlink r:id="rId50">
        <w:r>
          <w:rPr>
            <w:rFonts w:ascii="Arial" w:eastAsia="Arial" w:hAnsi="Arial" w:cs="Arial"/>
            <w:color w:val="467886"/>
            <w:sz w:val="22"/>
            <w:szCs w:val="22"/>
            <w:u w:val="single"/>
          </w:rPr>
          <w:t>https://www.mdpi.com/1996-1944/17/20/5007</w:t>
        </w:r>
      </w:hyperlink>
    </w:p>
    <w:p w:rsidR="00536EE8" w:rsidRDefault="00EC2276" w:rsidP="00D75DA9">
      <w:pPr>
        <w:spacing w:after="240" w:line="360" w:lineRule="auto"/>
        <w:jc w:val="both"/>
        <w:rPr>
          <w:rFonts w:ascii="Arial" w:eastAsia="Arial" w:hAnsi="Arial" w:cs="Arial"/>
          <w:sz w:val="22"/>
          <w:szCs w:val="22"/>
        </w:rPr>
      </w:pPr>
      <w:bookmarkStart w:id="37" w:name="_2grqrue" w:colFirst="0" w:colLast="0"/>
      <w:bookmarkEnd w:id="37"/>
      <w:r>
        <w:rPr>
          <w:rFonts w:ascii="Arial" w:eastAsia="Arial" w:hAnsi="Arial" w:cs="Arial"/>
          <w:sz w:val="22"/>
          <w:szCs w:val="22"/>
        </w:rPr>
        <w:t>Weis, S., Seifert, L., Oltmanns, M., Khury, F., Bieger, R. and Faschingbauer, M., (2024). The etiology of total knee arthroplasty failure influences on improvement in knee function: a follow-up study. </w:t>
      </w:r>
      <w:r>
        <w:rPr>
          <w:rFonts w:ascii="Arial" w:eastAsia="Arial" w:hAnsi="Arial" w:cs="Arial"/>
          <w:i/>
          <w:sz w:val="22"/>
          <w:szCs w:val="22"/>
        </w:rPr>
        <w:t>Journal of Clinical Medicine</w:t>
      </w:r>
      <w:r>
        <w:rPr>
          <w:rFonts w:ascii="Arial" w:eastAsia="Arial" w:hAnsi="Arial" w:cs="Arial"/>
          <w:sz w:val="22"/>
          <w:szCs w:val="22"/>
        </w:rPr>
        <w:t>, </w:t>
      </w:r>
      <w:r>
        <w:rPr>
          <w:rFonts w:ascii="Arial" w:eastAsia="Arial" w:hAnsi="Arial" w:cs="Arial"/>
          <w:i/>
          <w:sz w:val="22"/>
          <w:szCs w:val="22"/>
        </w:rPr>
        <w:t>13</w:t>
      </w:r>
      <w:r>
        <w:rPr>
          <w:rFonts w:ascii="Arial" w:eastAsia="Arial" w:hAnsi="Arial" w:cs="Arial"/>
          <w:sz w:val="22"/>
          <w:szCs w:val="22"/>
        </w:rPr>
        <w:t xml:space="preserve">(24), p.7672. </w:t>
      </w:r>
      <w:hyperlink r:id="rId51">
        <w:r>
          <w:rPr>
            <w:rFonts w:ascii="Arial" w:eastAsia="Arial" w:hAnsi="Arial" w:cs="Arial"/>
            <w:color w:val="467886"/>
            <w:sz w:val="22"/>
            <w:szCs w:val="22"/>
            <w:u w:val="single"/>
          </w:rPr>
          <w:t>https://www.mdpi.com/207</w:t>
        </w:r>
        <w:r>
          <w:rPr>
            <w:rFonts w:ascii="Arial" w:eastAsia="Arial" w:hAnsi="Arial" w:cs="Arial"/>
            <w:color w:val="467886"/>
            <w:sz w:val="22"/>
            <w:szCs w:val="22"/>
            <w:u w:val="single"/>
          </w:rPr>
          <w:t>7</w:t>
        </w:r>
        <w:r>
          <w:rPr>
            <w:rFonts w:ascii="Arial" w:eastAsia="Arial" w:hAnsi="Arial" w:cs="Arial"/>
            <w:color w:val="467886"/>
            <w:sz w:val="22"/>
            <w:szCs w:val="22"/>
            <w:u w:val="single"/>
          </w:rPr>
          <w:t>-0383/13/24/7672</w:t>
        </w:r>
      </w:hyperlink>
      <w:r w:rsidR="00D2609B">
        <w:br w:type="page"/>
      </w:r>
    </w:p>
    <w:p w:rsidR="00536EE8" w:rsidRDefault="00D2609B">
      <w:pPr>
        <w:pStyle w:val="Heading1"/>
        <w:spacing w:line="360" w:lineRule="auto"/>
      </w:pPr>
      <w:bookmarkStart w:id="38" w:name="_Toc215065978"/>
      <w:r>
        <w:lastRenderedPageBreak/>
        <w:t>Appendi</w:t>
      </w:r>
      <w:r w:rsidR="00397F41">
        <w:t>c</w:t>
      </w:r>
      <w:r>
        <w:t>es</w:t>
      </w:r>
      <w:bookmarkEnd w:id="38"/>
    </w:p>
    <w:p w:rsidR="00536EE8" w:rsidRDefault="00D2609B">
      <w:pPr>
        <w:spacing w:after="160" w:line="360" w:lineRule="auto"/>
        <w:rPr>
          <w:rFonts w:ascii="Arial" w:eastAsia="Arial" w:hAnsi="Arial" w:cs="Arial"/>
          <w:b/>
          <w:sz w:val="22"/>
          <w:szCs w:val="22"/>
        </w:rPr>
      </w:pPr>
      <w:r>
        <w:rPr>
          <w:rFonts w:ascii="Arial" w:eastAsia="Arial" w:hAnsi="Arial" w:cs="Arial"/>
          <w:b/>
          <w:sz w:val="22"/>
          <w:szCs w:val="22"/>
        </w:rPr>
        <w:t xml:space="preserve">Appendix A: Audit of Documentation Completeness </w:t>
      </w:r>
    </w:p>
    <w:tbl>
      <w:tblPr>
        <w:tblStyle w:val="a"/>
        <w:tblW w:w="9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735"/>
        <w:gridCol w:w="1170"/>
        <w:gridCol w:w="1756"/>
        <w:gridCol w:w="3514"/>
      </w:tblGrid>
      <w:tr w:rsidR="00536EE8">
        <w:tc>
          <w:tcPr>
            <w:tcW w:w="2735" w:type="dxa"/>
          </w:tcPr>
          <w:p w:rsidR="00536EE8" w:rsidRDefault="00D2609B">
            <w:pPr>
              <w:spacing w:after="160" w:line="360" w:lineRule="auto"/>
              <w:rPr>
                <w:rFonts w:ascii="Arial" w:eastAsia="Arial" w:hAnsi="Arial" w:cs="Arial"/>
                <w:b/>
                <w:sz w:val="22"/>
                <w:szCs w:val="22"/>
              </w:rPr>
            </w:pPr>
            <w:r>
              <w:rPr>
                <w:rFonts w:ascii="Arial" w:eastAsia="Arial" w:hAnsi="Arial" w:cs="Arial"/>
                <w:b/>
                <w:sz w:val="22"/>
                <w:szCs w:val="22"/>
              </w:rPr>
              <w:t>Documentation Element</w:t>
            </w:r>
          </w:p>
        </w:tc>
        <w:tc>
          <w:tcPr>
            <w:tcW w:w="1170" w:type="dxa"/>
          </w:tcPr>
          <w:p w:rsidR="00536EE8" w:rsidRDefault="00D2609B">
            <w:pPr>
              <w:spacing w:after="160" w:line="360" w:lineRule="auto"/>
              <w:rPr>
                <w:rFonts w:ascii="Arial" w:eastAsia="Arial" w:hAnsi="Arial" w:cs="Arial"/>
                <w:b/>
                <w:sz w:val="22"/>
                <w:szCs w:val="22"/>
              </w:rPr>
            </w:pPr>
            <w:r>
              <w:rPr>
                <w:rFonts w:ascii="Arial" w:eastAsia="Arial" w:hAnsi="Arial" w:cs="Arial"/>
                <w:b/>
                <w:sz w:val="22"/>
                <w:szCs w:val="22"/>
              </w:rPr>
              <w:t>Required</w:t>
            </w:r>
          </w:p>
        </w:tc>
        <w:tc>
          <w:tcPr>
            <w:tcW w:w="1756" w:type="dxa"/>
          </w:tcPr>
          <w:p w:rsidR="00536EE8" w:rsidRDefault="00D2609B">
            <w:pPr>
              <w:spacing w:after="160" w:line="360" w:lineRule="auto"/>
              <w:rPr>
                <w:rFonts w:ascii="Arial" w:eastAsia="Arial" w:hAnsi="Arial" w:cs="Arial"/>
                <w:b/>
                <w:sz w:val="22"/>
                <w:szCs w:val="22"/>
              </w:rPr>
            </w:pPr>
            <w:r>
              <w:rPr>
                <w:rFonts w:ascii="Arial" w:eastAsia="Arial" w:hAnsi="Arial" w:cs="Arial"/>
                <w:b/>
                <w:sz w:val="22"/>
                <w:szCs w:val="22"/>
              </w:rPr>
              <w:t>Completed (%)</w:t>
            </w:r>
          </w:p>
        </w:tc>
        <w:tc>
          <w:tcPr>
            <w:tcW w:w="3514" w:type="dxa"/>
          </w:tcPr>
          <w:p w:rsidR="00536EE8" w:rsidRDefault="00D2609B">
            <w:pPr>
              <w:spacing w:after="160" w:line="360" w:lineRule="auto"/>
              <w:rPr>
                <w:rFonts w:ascii="Arial" w:eastAsia="Arial" w:hAnsi="Arial" w:cs="Arial"/>
                <w:b/>
                <w:sz w:val="22"/>
                <w:szCs w:val="22"/>
              </w:rPr>
            </w:pPr>
            <w:r>
              <w:rPr>
                <w:rFonts w:ascii="Arial" w:eastAsia="Arial" w:hAnsi="Arial" w:cs="Arial"/>
                <w:b/>
                <w:sz w:val="22"/>
                <w:szCs w:val="22"/>
              </w:rPr>
              <w:t>Gap (%)</w:t>
            </w:r>
          </w:p>
        </w:tc>
      </w:tr>
      <w:tr w:rsidR="00536EE8">
        <w:tc>
          <w:tcPr>
            <w:tcW w:w="2735"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Informed Consent Risks</w:t>
            </w:r>
          </w:p>
        </w:tc>
        <w:tc>
          <w:tcPr>
            <w:tcW w:w="1170"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Yes</w:t>
            </w:r>
          </w:p>
        </w:tc>
        <w:tc>
          <w:tcPr>
            <w:tcW w:w="1756"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62%</w:t>
            </w:r>
          </w:p>
        </w:tc>
        <w:tc>
          <w:tcPr>
            <w:tcW w:w="3514"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38%</w:t>
            </w:r>
          </w:p>
        </w:tc>
      </w:tr>
      <w:tr w:rsidR="00536EE8">
        <w:tc>
          <w:tcPr>
            <w:tcW w:w="2735"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Surgical Notes</w:t>
            </w:r>
          </w:p>
        </w:tc>
        <w:tc>
          <w:tcPr>
            <w:tcW w:w="1170"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Yes</w:t>
            </w:r>
          </w:p>
        </w:tc>
        <w:tc>
          <w:tcPr>
            <w:tcW w:w="1756"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70%</w:t>
            </w:r>
          </w:p>
        </w:tc>
        <w:tc>
          <w:tcPr>
            <w:tcW w:w="3514"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30%</w:t>
            </w:r>
          </w:p>
        </w:tc>
      </w:tr>
      <w:tr w:rsidR="00536EE8">
        <w:tc>
          <w:tcPr>
            <w:tcW w:w="2735"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Implant Details</w:t>
            </w:r>
          </w:p>
        </w:tc>
        <w:tc>
          <w:tcPr>
            <w:tcW w:w="1170"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Yes</w:t>
            </w:r>
          </w:p>
        </w:tc>
        <w:tc>
          <w:tcPr>
            <w:tcW w:w="1756"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55%</w:t>
            </w:r>
          </w:p>
        </w:tc>
        <w:tc>
          <w:tcPr>
            <w:tcW w:w="3514"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45%</w:t>
            </w:r>
          </w:p>
        </w:tc>
      </w:tr>
      <w:tr w:rsidR="00536EE8">
        <w:tc>
          <w:tcPr>
            <w:tcW w:w="2735"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Post-Op Instructions</w:t>
            </w:r>
          </w:p>
        </w:tc>
        <w:tc>
          <w:tcPr>
            <w:tcW w:w="1170"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Yes</w:t>
            </w:r>
          </w:p>
        </w:tc>
        <w:tc>
          <w:tcPr>
            <w:tcW w:w="1756"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78%</w:t>
            </w:r>
          </w:p>
        </w:tc>
        <w:tc>
          <w:tcPr>
            <w:tcW w:w="3514" w:type="dxa"/>
          </w:tcPr>
          <w:p w:rsidR="00536EE8" w:rsidRDefault="00D2609B">
            <w:pPr>
              <w:spacing w:after="160" w:line="360" w:lineRule="auto"/>
              <w:rPr>
                <w:rFonts w:ascii="Arial" w:eastAsia="Arial" w:hAnsi="Arial" w:cs="Arial"/>
                <w:sz w:val="22"/>
                <w:szCs w:val="22"/>
              </w:rPr>
            </w:pPr>
            <w:r>
              <w:rPr>
                <w:rFonts w:ascii="Arial" w:eastAsia="Arial" w:hAnsi="Arial" w:cs="Arial"/>
                <w:sz w:val="22"/>
                <w:szCs w:val="22"/>
              </w:rPr>
              <w:t>22%</w:t>
            </w:r>
          </w:p>
        </w:tc>
      </w:tr>
    </w:tbl>
    <w:p w:rsidR="00536EE8" w:rsidRDefault="00536EE8">
      <w:pPr>
        <w:spacing w:line="360" w:lineRule="auto"/>
        <w:rPr>
          <w:rFonts w:ascii="Arial" w:eastAsia="Arial" w:hAnsi="Arial" w:cs="Arial"/>
          <w:sz w:val="22"/>
          <w:szCs w:val="22"/>
        </w:rPr>
      </w:pPr>
    </w:p>
    <w:p w:rsidR="00536EE8" w:rsidRDefault="00D2609B">
      <w:pPr>
        <w:spacing w:line="360" w:lineRule="auto"/>
        <w:rPr>
          <w:rFonts w:ascii="Arial" w:eastAsia="Arial" w:hAnsi="Arial" w:cs="Arial"/>
          <w:b/>
          <w:sz w:val="22"/>
          <w:szCs w:val="22"/>
        </w:rPr>
      </w:pPr>
      <w:r>
        <w:rPr>
          <w:rFonts w:ascii="Arial" w:eastAsia="Arial" w:hAnsi="Arial" w:cs="Arial"/>
          <w:b/>
          <w:sz w:val="22"/>
          <w:szCs w:val="22"/>
        </w:rPr>
        <w:t>Appendix B: Staff Competency Training Compliance</w:t>
      </w:r>
    </w:p>
    <w:tbl>
      <w:tblPr>
        <w:tblStyle w:val="a0"/>
        <w:tblW w:w="9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418"/>
        <w:gridCol w:w="1292"/>
        <w:gridCol w:w="2282"/>
        <w:gridCol w:w="3093"/>
      </w:tblGrid>
      <w:tr w:rsidR="00536EE8">
        <w:tc>
          <w:tcPr>
            <w:tcW w:w="2418"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Staff Group</w:t>
            </w:r>
          </w:p>
        </w:tc>
        <w:tc>
          <w:tcPr>
            <w:tcW w:w="1292"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Total Staff</w:t>
            </w:r>
          </w:p>
        </w:tc>
        <w:tc>
          <w:tcPr>
            <w:tcW w:w="2282"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Completed Training</w:t>
            </w:r>
          </w:p>
        </w:tc>
        <w:tc>
          <w:tcPr>
            <w:tcW w:w="3093"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Compliance (%)</w:t>
            </w:r>
          </w:p>
        </w:tc>
      </w:tr>
      <w:tr w:rsidR="00536EE8">
        <w:tc>
          <w:tcPr>
            <w:tcW w:w="2418"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Orthopaedic Surgeons</w:t>
            </w:r>
          </w:p>
        </w:tc>
        <w:tc>
          <w:tcPr>
            <w:tcW w:w="129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12</w:t>
            </w:r>
          </w:p>
        </w:tc>
        <w:tc>
          <w:tcPr>
            <w:tcW w:w="228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9</w:t>
            </w:r>
          </w:p>
        </w:tc>
        <w:tc>
          <w:tcPr>
            <w:tcW w:w="309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75%</w:t>
            </w:r>
          </w:p>
        </w:tc>
      </w:tr>
      <w:tr w:rsidR="00536EE8">
        <w:tc>
          <w:tcPr>
            <w:tcW w:w="2418"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Theatre Nurses</w:t>
            </w:r>
          </w:p>
        </w:tc>
        <w:tc>
          <w:tcPr>
            <w:tcW w:w="129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25</w:t>
            </w:r>
          </w:p>
        </w:tc>
        <w:tc>
          <w:tcPr>
            <w:tcW w:w="228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18</w:t>
            </w:r>
          </w:p>
        </w:tc>
        <w:tc>
          <w:tcPr>
            <w:tcW w:w="309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72%</w:t>
            </w:r>
          </w:p>
        </w:tc>
      </w:tr>
      <w:tr w:rsidR="00536EE8">
        <w:tc>
          <w:tcPr>
            <w:tcW w:w="2418"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Support Staff</w:t>
            </w:r>
          </w:p>
        </w:tc>
        <w:tc>
          <w:tcPr>
            <w:tcW w:w="129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10</w:t>
            </w:r>
          </w:p>
        </w:tc>
        <w:tc>
          <w:tcPr>
            <w:tcW w:w="228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5</w:t>
            </w:r>
          </w:p>
        </w:tc>
        <w:tc>
          <w:tcPr>
            <w:tcW w:w="309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50%</w:t>
            </w:r>
          </w:p>
        </w:tc>
      </w:tr>
      <w:tr w:rsidR="00536EE8">
        <w:tc>
          <w:tcPr>
            <w:tcW w:w="2418"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Physiotherapists</w:t>
            </w:r>
          </w:p>
        </w:tc>
        <w:tc>
          <w:tcPr>
            <w:tcW w:w="129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8</w:t>
            </w:r>
          </w:p>
        </w:tc>
        <w:tc>
          <w:tcPr>
            <w:tcW w:w="2282"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6</w:t>
            </w:r>
          </w:p>
        </w:tc>
        <w:tc>
          <w:tcPr>
            <w:tcW w:w="309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75%</w:t>
            </w:r>
          </w:p>
        </w:tc>
      </w:tr>
    </w:tbl>
    <w:p w:rsidR="00397F41" w:rsidRDefault="00397F41">
      <w:pPr>
        <w:spacing w:line="360" w:lineRule="auto"/>
        <w:rPr>
          <w:rFonts w:ascii="Arial" w:eastAsia="Arial" w:hAnsi="Arial" w:cs="Arial"/>
          <w:b/>
          <w:sz w:val="22"/>
          <w:szCs w:val="22"/>
        </w:rPr>
      </w:pPr>
    </w:p>
    <w:p w:rsidR="00536EE8" w:rsidRDefault="00D2609B">
      <w:pPr>
        <w:spacing w:line="360" w:lineRule="auto"/>
        <w:rPr>
          <w:rFonts w:ascii="Arial" w:eastAsia="Arial" w:hAnsi="Arial" w:cs="Arial"/>
          <w:b/>
          <w:sz w:val="22"/>
          <w:szCs w:val="22"/>
        </w:rPr>
      </w:pPr>
      <w:r>
        <w:rPr>
          <w:rFonts w:ascii="Arial" w:eastAsia="Arial" w:hAnsi="Arial" w:cs="Arial"/>
          <w:b/>
          <w:sz w:val="22"/>
          <w:szCs w:val="22"/>
        </w:rPr>
        <w:t>Appendix C: Patient Outcome Indicators (Before vs After Improvement)</w:t>
      </w:r>
    </w:p>
    <w:tbl>
      <w:tblPr>
        <w:tblStyle w:val="a1"/>
        <w:tblW w:w="9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870"/>
        <w:gridCol w:w="1121"/>
        <w:gridCol w:w="1671"/>
        <w:gridCol w:w="3423"/>
      </w:tblGrid>
      <w:tr w:rsidR="00536EE8">
        <w:tc>
          <w:tcPr>
            <w:tcW w:w="2870"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Outcome Indicator</w:t>
            </w:r>
          </w:p>
        </w:tc>
        <w:tc>
          <w:tcPr>
            <w:tcW w:w="1121"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Baseline</w:t>
            </w:r>
          </w:p>
        </w:tc>
        <w:tc>
          <w:tcPr>
            <w:tcW w:w="1671"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After QI Cycle</w:t>
            </w:r>
          </w:p>
        </w:tc>
        <w:tc>
          <w:tcPr>
            <w:tcW w:w="3423" w:type="dxa"/>
          </w:tcPr>
          <w:p w:rsidR="00536EE8" w:rsidRDefault="00D2609B">
            <w:pPr>
              <w:spacing w:line="360" w:lineRule="auto"/>
              <w:rPr>
                <w:rFonts w:ascii="Arial" w:eastAsia="Arial" w:hAnsi="Arial" w:cs="Arial"/>
                <w:b/>
                <w:sz w:val="22"/>
                <w:szCs w:val="22"/>
              </w:rPr>
            </w:pPr>
            <w:r>
              <w:rPr>
                <w:rFonts w:ascii="Arial" w:eastAsia="Arial" w:hAnsi="Arial" w:cs="Arial"/>
                <w:b/>
                <w:sz w:val="22"/>
                <w:szCs w:val="22"/>
              </w:rPr>
              <w:t>Improvement (%)</w:t>
            </w:r>
          </w:p>
        </w:tc>
      </w:tr>
      <w:tr w:rsidR="00536EE8">
        <w:tc>
          <w:tcPr>
            <w:tcW w:w="2870"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Implant Error Rate</w:t>
            </w:r>
          </w:p>
        </w:tc>
        <w:tc>
          <w:tcPr>
            <w:tcW w:w="112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6.2%</w:t>
            </w:r>
          </w:p>
        </w:tc>
        <w:tc>
          <w:tcPr>
            <w:tcW w:w="167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1.1%</w:t>
            </w:r>
          </w:p>
        </w:tc>
        <w:tc>
          <w:tcPr>
            <w:tcW w:w="342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82%</w:t>
            </w:r>
          </w:p>
        </w:tc>
      </w:tr>
      <w:tr w:rsidR="00536EE8">
        <w:tc>
          <w:tcPr>
            <w:tcW w:w="2870"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Documentation Completion</w:t>
            </w:r>
          </w:p>
        </w:tc>
        <w:tc>
          <w:tcPr>
            <w:tcW w:w="112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63%</w:t>
            </w:r>
          </w:p>
        </w:tc>
        <w:tc>
          <w:tcPr>
            <w:tcW w:w="167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92%</w:t>
            </w:r>
          </w:p>
        </w:tc>
        <w:tc>
          <w:tcPr>
            <w:tcW w:w="342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46%</w:t>
            </w:r>
          </w:p>
        </w:tc>
      </w:tr>
      <w:tr w:rsidR="00536EE8">
        <w:tc>
          <w:tcPr>
            <w:tcW w:w="2870"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Consent Correctness</w:t>
            </w:r>
          </w:p>
        </w:tc>
        <w:tc>
          <w:tcPr>
            <w:tcW w:w="112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58%</w:t>
            </w:r>
          </w:p>
        </w:tc>
        <w:tc>
          <w:tcPr>
            <w:tcW w:w="167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90%</w:t>
            </w:r>
          </w:p>
        </w:tc>
        <w:tc>
          <w:tcPr>
            <w:tcW w:w="342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55%</w:t>
            </w:r>
          </w:p>
        </w:tc>
      </w:tr>
      <w:tr w:rsidR="00536EE8">
        <w:tc>
          <w:tcPr>
            <w:tcW w:w="2870"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Patient Satisfaction</w:t>
            </w:r>
          </w:p>
        </w:tc>
        <w:tc>
          <w:tcPr>
            <w:tcW w:w="112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71%</w:t>
            </w:r>
          </w:p>
        </w:tc>
        <w:tc>
          <w:tcPr>
            <w:tcW w:w="1671"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89%</w:t>
            </w:r>
          </w:p>
        </w:tc>
        <w:tc>
          <w:tcPr>
            <w:tcW w:w="3423" w:type="dxa"/>
          </w:tcPr>
          <w:p w:rsidR="00536EE8" w:rsidRDefault="00D2609B">
            <w:pPr>
              <w:spacing w:line="360" w:lineRule="auto"/>
              <w:rPr>
                <w:rFonts w:ascii="Arial" w:eastAsia="Arial" w:hAnsi="Arial" w:cs="Arial"/>
                <w:sz w:val="22"/>
                <w:szCs w:val="22"/>
              </w:rPr>
            </w:pPr>
            <w:r>
              <w:rPr>
                <w:rFonts w:ascii="Arial" w:eastAsia="Arial" w:hAnsi="Arial" w:cs="Arial"/>
                <w:sz w:val="22"/>
                <w:szCs w:val="22"/>
              </w:rPr>
              <w:t>25%</w:t>
            </w:r>
          </w:p>
        </w:tc>
      </w:tr>
    </w:tbl>
    <w:p w:rsidR="00536EE8" w:rsidRDefault="00536EE8">
      <w:pPr>
        <w:spacing w:line="360" w:lineRule="auto"/>
        <w:rPr>
          <w:rFonts w:ascii="Arial" w:eastAsia="Arial" w:hAnsi="Arial" w:cs="Arial"/>
          <w:sz w:val="22"/>
          <w:szCs w:val="22"/>
        </w:rPr>
      </w:pPr>
    </w:p>
    <w:sectPr w:rsidR="00536EE8" w:rsidSect="00B35B9D">
      <w:footerReference w:type="default" r:id="rId52"/>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64A8" w:rsidRDefault="003D64A8">
      <w:r>
        <w:separator/>
      </w:r>
    </w:p>
  </w:endnote>
  <w:endnote w:type="continuationSeparator" w:id="1">
    <w:p w:rsidR="003D64A8" w:rsidRDefault="003D64A8">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Play">
    <w:altName w:val="Calibri"/>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6EE8" w:rsidRDefault="00824594">
    <w:pPr>
      <w:pBdr>
        <w:top w:val="nil"/>
        <w:left w:val="nil"/>
        <w:bottom w:val="nil"/>
        <w:right w:val="nil"/>
        <w:between w:val="nil"/>
      </w:pBdr>
      <w:tabs>
        <w:tab w:val="center" w:pos="4680"/>
        <w:tab w:val="right" w:pos="9360"/>
      </w:tabs>
      <w:jc w:val="right"/>
      <w:rPr>
        <w:color w:val="000000"/>
      </w:rPr>
    </w:pPr>
    <w:r>
      <w:rPr>
        <w:color w:val="000000"/>
      </w:rPr>
      <w:fldChar w:fldCharType="begin"/>
    </w:r>
    <w:r w:rsidR="00D2609B">
      <w:rPr>
        <w:color w:val="000000"/>
      </w:rPr>
      <w:instrText>PAGE</w:instrText>
    </w:r>
    <w:r>
      <w:rPr>
        <w:color w:val="000000"/>
      </w:rPr>
      <w:fldChar w:fldCharType="separate"/>
    </w:r>
    <w:r w:rsidR="00D75DA9">
      <w:rPr>
        <w:noProof/>
        <w:color w:val="000000"/>
      </w:rPr>
      <w:t>21</w:t>
    </w:r>
    <w:r>
      <w:rPr>
        <w:color w:val="000000"/>
      </w:rPr>
      <w:fldChar w:fldCharType="end"/>
    </w:r>
  </w:p>
  <w:p w:rsidR="00536EE8" w:rsidRDefault="00536EE8">
    <w:pPr>
      <w:pBdr>
        <w:top w:val="nil"/>
        <w:left w:val="nil"/>
        <w:bottom w:val="nil"/>
        <w:right w:val="nil"/>
        <w:between w:val="nil"/>
      </w:pBdr>
      <w:tabs>
        <w:tab w:val="center" w:pos="4680"/>
        <w:tab w:val="right" w:pos="9360"/>
      </w:tabs>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64A8" w:rsidRDefault="003D64A8">
      <w:r>
        <w:separator/>
      </w:r>
    </w:p>
  </w:footnote>
  <w:footnote w:type="continuationSeparator" w:id="1">
    <w:p w:rsidR="003D64A8" w:rsidRDefault="003D64A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52E2C"/>
    <w:multiLevelType w:val="multilevel"/>
    <w:tmpl w:val="9E3E5D0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536EE8"/>
    <w:rsid w:val="00075994"/>
    <w:rsid w:val="000B1C19"/>
    <w:rsid w:val="001B7075"/>
    <w:rsid w:val="00397F41"/>
    <w:rsid w:val="003D64A8"/>
    <w:rsid w:val="00536EE8"/>
    <w:rsid w:val="00567C34"/>
    <w:rsid w:val="00574470"/>
    <w:rsid w:val="00702BC2"/>
    <w:rsid w:val="00706B74"/>
    <w:rsid w:val="00824594"/>
    <w:rsid w:val="00874818"/>
    <w:rsid w:val="00A06556"/>
    <w:rsid w:val="00AA4252"/>
    <w:rsid w:val="00B35B9D"/>
    <w:rsid w:val="00BE1A0C"/>
    <w:rsid w:val="00C17FD1"/>
    <w:rsid w:val="00C244CC"/>
    <w:rsid w:val="00C77F86"/>
    <w:rsid w:val="00D2609B"/>
    <w:rsid w:val="00D75DA9"/>
    <w:rsid w:val="00E6592C"/>
    <w:rsid w:val="00EC22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5B9D"/>
  </w:style>
  <w:style w:type="paragraph" w:styleId="Heading1">
    <w:name w:val="heading 1"/>
    <w:basedOn w:val="Normal"/>
    <w:next w:val="Normal"/>
    <w:uiPriority w:val="9"/>
    <w:qFormat/>
    <w:rsid w:val="00B35B9D"/>
    <w:pPr>
      <w:keepNext/>
      <w:keepLines/>
      <w:spacing w:before="360" w:after="80" w:line="480" w:lineRule="auto"/>
      <w:jc w:val="both"/>
      <w:outlineLvl w:val="0"/>
    </w:pPr>
    <w:rPr>
      <w:rFonts w:ascii="Arial" w:eastAsia="Arial" w:hAnsi="Arial" w:cs="Arial"/>
      <w:b/>
      <w:sz w:val="28"/>
      <w:szCs w:val="28"/>
    </w:rPr>
  </w:style>
  <w:style w:type="paragraph" w:styleId="Heading2">
    <w:name w:val="heading 2"/>
    <w:basedOn w:val="Normal"/>
    <w:next w:val="Normal"/>
    <w:uiPriority w:val="9"/>
    <w:unhideWhenUsed/>
    <w:qFormat/>
    <w:rsid w:val="000B1C19"/>
    <w:pPr>
      <w:keepNext/>
      <w:keepLines/>
      <w:spacing w:before="240" w:after="80" w:line="360" w:lineRule="auto"/>
      <w:jc w:val="both"/>
      <w:outlineLvl w:val="1"/>
    </w:pPr>
    <w:rPr>
      <w:rFonts w:ascii="Arial" w:eastAsia="Arial" w:hAnsi="Arial" w:cs="Arial"/>
      <w:b/>
      <w:sz w:val="26"/>
      <w:szCs w:val="26"/>
    </w:rPr>
  </w:style>
  <w:style w:type="paragraph" w:styleId="Heading3">
    <w:name w:val="heading 3"/>
    <w:basedOn w:val="Normal"/>
    <w:next w:val="Normal"/>
    <w:uiPriority w:val="9"/>
    <w:semiHidden/>
    <w:unhideWhenUsed/>
    <w:qFormat/>
    <w:rsid w:val="00B35B9D"/>
    <w:pPr>
      <w:keepNext/>
      <w:keepLines/>
      <w:spacing w:before="160" w:after="80" w:line="278" w:lineRule="auto"/>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rsid w:val="00B35B9D"/>
    <w:pPr>
      <w:keepNext/>
      <w:keepLines/>
      <w:spacing w:before="80" w:after="40" w:line="278" w:lineRule="auto"/>
      <w:outlineLvl w:val="3"/>
    </w:pPr>
    <w:rPr>
      <w:rFonts w:ascii="Aptos" w:eastAsia="Aptos" w:hAnsi="Aptos" w:cs="Aptos"/>
      <w:i/>
      <w:color w:val="0F4761"/>
    </w:rPr>
  </w:style>
  <w:style w:type="paragraph" w:styleId="Heading5">
    <w:name w:val="heading 5"/>
    <w:basedOn w:val="Normal"/>
    <w:next w:val="Normal"/>
    <w:uiPriority w:val="9"/>
    <w:semiHidden/>
    <w:unhideWhenUsed/>
    <w:qFormat/>
    <w:rsid w:val="00B35B9D"/>
    <w:pPr>
      <w:keepNext/>
      <w:keepLines/>
      <w:spacing w:before="80" w:after="40" w:line="278" w:lineRule="auto"/>
      <w:outlineLvl w:val="4"/>
    </w:pPr>
    <w:rPr>
      <w:rFonts w:ascii="Aptos" w:eastAsia="Aptos" w:hAnsi="Aptos" w:cs="Aptos"/>
      <w:color w:val="0F4761"/>
    </w:rPr>
  </w:style>
  <w:style w:type="paragraph" w:styleId="Heading6">
    <w:name w:val="heading 6"/>
    <w:basedOn w:val="Normal"/>
    <w:next w:val="Normal"/>
    <w:uiPriority w:val="9"/>
    <w:semiHidden/>
    <w:unhideWhenUsed/>
    <w:qFormat/>
    <w:rsid w:val="00B35B9D"/>
    <w:pPr>
      <w:keepNext/>
      <w:keepLines/>
      <w:spacing w:before="40" w:line="278" w:lineRule="auto"/>
      <w:outlineLvl w:val="5"/>
    </w:pPr>
    <w:rPr>
      <w:rFonts w:ascii="Aptos" w:eastAsia="Aptos" w:hAnsi="Aptos" w:cs="Aptos"/>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35B9D"/>
    <w:pPr>
      <w:spacing w:after="80"/>
    </w:pPr>
    <w:rPr>
      <w:rFonts w:ascii="Play" w:eastAsia="Play" w:hAnsi="Play" w:cs="Play"/>
      <w:sz w:val="56"/>
      <w:szCs w:val="56"/>
    </w:rPr>
  </w:style>
  <w:style w:type="paragraph" w:styleId="Subtitle">
    <w:name w:val="Subtitle"/>
    <w:basedOn w:val="Normal"/>
    <w:next w:val="Normal"/>
    <w:uiPriority w:val="11"/>
    <w:qFormat/>
    <w:rsid w:val="00B35B9D"/>
    <w:pPr>
      <w:spacing w:after="160" w:line="278" w:lineRule="auto"/>
    </w:pPr>
    <w:rPr>
      <w:rFonts w:ascii="Aptos" w:eastAsia="Aptos" w:hAnsi="Aptos" w:cs="Aptos"/>
      <w:color w:val="595959"/>
      <w:sz w:val="28"/>
      <w:szCs w:val="28"/>
    </w:rPr>
  </w:style>
  <w:style w:type="table" w:customStyle="1" w:styleId="a">
    <w:basedOn w:val="TableNormal"/>
    <w:rsid w:val="00B35B9D"/>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B35B9D"/>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B35B9D"/>
    <w:tblPr>
      <w:tblStyleRowBandSize w:val="1"/>
      <w:tblStyleColBandSize w:val="1"/>
      <w:tblInd w:w="0" w:type="dxa"/>
      <w:tblCellMar>
        <w:top w:w="0" w:type="dxa"/>
        <w:left w:w="108" w:type="dxa"/>
        <w:bottom w:w="0" w:type="dxa"/>
        <w:right w:w="108" w:type="dxa"/>
      </w:tblCellMar>
    </w:tblPr>
  </w:style>
  <w:style w:type="paragraph" w:styleId="TOC1">
    <w:name w:val="toc 1"/>
    <w:basedOn w:val="Normal"/>
    <w:next w:val="Normal"/>
    <w:autoRedefine/>
    <w:uiPriority w:val="39"/>
    <w:unhideWhenUsed/>
    <w:rsid w:val="00706B74"/>
    <w:pPr>
      <w:spacing w:after="100"/>
    </w:pPr>
  </w:style>
  <w:style w:type="paragraph" w:styleId="TOC2">
    <w:name w:val="toc 2"/>
    <w:basedOn w:val="Normal"/>
    <w:next w:val="Normal"/>
    <w:autoRedefine/>
    <w:uiPriority w:val="39"/>
    <w:unhideWhenUsed/>
    <w:rsid w:val="00706B74"/>
    <w:pPr>
      <w:spacing w:after="100"/>
      <w:ind w:left="240"/>
    </w:pPr>
  </w:style>
  <w:style w:type="character" w:styleId="Hyperlink">
    <w:name w:val="Hyperlink"/>
    <w:basedOn w:val="DefaultParagraphFont"/>
    <w:uiPriority w:val="99"/>
    <w:unhideWhenUsed/>
    <w:rsid w:val="00706B74"/>
    <w:rPr>
      <w:color w:val="0000FF" w:themeColor="hyperlink"/>
      <w:u w:val="single"/>
    </w:rPr>
  </w:style>
  <w:style w:type="paragraph" w:styleId="BalloonText">
    <w:name w:val="Balloon Text"/>
    <w:basedOn w:val="Normal"/>
    <w:link w:val="BalloonTextChar"/>
    <w:uiPriority w:val="99"/>
    <w:semiHidden/>
    <w:unhideWhenUsed/>
    <w:rsid w:val="00E6592C"/>
    <w:rPr>
      <w:rFonts w:ascii="Tahoma" w:hAnsi="Tahoma" w:cs="Tahoma"/>
      <w:sz w:val="16"/>
      <w:szCs w:val="16"/>
    </w:rPr>
  </w:style>
  <w:style w:type="character" w:customStyle="1" w:styleId="BalloonTextChar">
    <w:name w:val="Balloon Text Char"/>
    <w:basedOn w:val="DefaultParagraphFont"/>
    <w:link w:val="BalloonText"/>
    <w:uiPriority w:val="99"/>
    <w:semiHidden/>
    <w:rsid w:val="00E6592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ink.springer.com/article/10.1186/s43019-023-00184-4" TargetMode="External"/><Relationship Id="rId26" Type="http://schemas.openxmlformats.org/officeDocument/2006/relationships/hyperlink" Target="https://pmc.ncbi.nlm.nih.gov/articles/PMC10375821/" TargetMode="External"/><Relationship Id="rId39" Type="http://schemas.openxmlformats.org/officeDocument/2006/relationships/hyperlink" Target="https://journals.sagepub.com/doi/abs/10.1177/19476035231164733" TargetMode="External"/><Relationship Id="rId3" Type="http://schemas.openxmlformats.org/officeDocument/2006/relationships/settings" Target="settings.xml"/><Relationship Id="rId21" Type="http://schemas.openxmlformats.org/officeDocument/2006/relationships/hyperlink" Target="https://www.thieme-connect.com/products/ejournals/html/10.1055/s-0043-1762553" TargetMode="External"/><Relationship Id="rId34" Type="http://schemas.openxmlformats.org/officeDocument/2006/relationships/hyperlink" Target="https://link.springer.com/article/10.1007/s43465-021-00398-2" TargetMode="External"/><Relationship Id="rId42" Type="http://schemas.openxmlformats.org/officeDocument/2006/relationships/hyperlink" Target="https://link.springer.com/chapter/10.1007/978-3-031-70984-5_19" TargetMode="External"/><Relationship Id="rId47" Type="http://schemas.openxmlformats.org/officeDocument/2006/relationships/hyperlink" Target="https://theleanway.net/The-Five-Principles-of-Lean" TargetMode="External"/><Relationship Id="rId50" Type="http://schemas.openxmlformats.org/officeDocument/2006/relationships/hyperlink" Target="https://www.mdpi.com/1996-1944/17/20/500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ureus.com/articles/232054" TargetMode="External"/><Relationship Id="rId25" Type="http://schemas.openxmlformats.org/officeDocument/2006/relationships/hyperlink" Target="https://www.sciencedirect.com/science/article/pii/S2949705123000063" TargetMode="External"/><Relationship Id="rId33" Type="http://schemas.openxmlformats.org/officeDocument/2006/relationships/hyperlink" Target="https://doi.org/10.1177/13506501241288733" TargetMode="External"/><Relationship Id="rId38" Type="http://schemas.openxmlformats.org/officeDocument/2006/relationships/hyperlink" Target="https://link.springer.com/article/10.1007/s43465-023-01016-z" TargetMode="External"/><Relationship Id="rId46" Type="http://schemas.openxmlformats.org/officeDocument/2006/relationships/hyperlink" Target="https://ijmpr.in/article/comparative-study-of-functional-outcomes-between-cemented-and-uncemented-total-hip-replacement-at-a-tertiary-care-hospital-1089/" TargetMode="External"/><Relationship Id="rId2" Type="http://schemas.openxmlformats.org/officeDocument/2006/relationships/styles" Target="styles.xml"/><Relationship Id="rId16" Type="http://schemas.openxmlformats.org/officeDocument/2006/relationships/hyperlink" Target="https://deming.org/quick-tips-for-using-the-pdsa-improvement-cycle/" TargetMode="External"/><Relationship Id="rId20" Type="http://schemas.openxmlformats.org/officeDocument/2006/relationships/hyperlink" Target="https://www.sciencedirect.com/science/article/pii/S2949705122000020" TargetMode="External"/><Relationship Id="rId29" Type="http://schemas.openxmlformats.org/officeDocument/2006/relationships/hyperlink" Target="https://market.us/report/total-knee-replacement-market/" TargetMode="External"/><Relationship Id="rId41" Type="http://schemas.openxmlformats.org/officeDocument/2006/relationships/hyperlink" Target="https://journals.lww.com/jajs/fulltext/9900/single_center_midterm_outcomes_of_primary_cemented.30.aspx"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profile/Shubham-Katti/publication/366512964_Study_of_the_immediate_short_term_clinical_and_radiological_outcome_of_intertrochanteric_neck_of_femur_fractures_treated_with_primary_bipolar_hemiarthroplasty_in_geriatric_population_in_a_tertiary_car/links/63a460cac3c99660eb9725e5/Study-of-the-immediate-short-term-clinical-and-radiological-outcome-of-intertrochanteric-neck-of-femur-fractures-treated-with-primary-bipolar-hemiarthroplasty-in-geriatric-population-in-a-tertiary-car.pdf" TargetMode="External"/><Relationship Id="rId32" Type="http://schemas.openxmlformats.org/officeDocument/2006/relationships/hyperlink" Target="https://pdfs.semanticscholar.org/5bdc/16a26428779d25a74784b2174abf93eb3e56.pdf" TargetMode="External"/><Relationship Id="rId37" Type="http://schemas.openxmlformats.org/officeDocument/2006/relationships/hyperlink" Target="https://pmc.ncbi.nlm.nih.gov/articles/PMC12328979/" TargetMode="External"/><Relationship Id="rId40" Type="http://schemas.openxmlformats.org/officeDocument/2006/relationships/hyperlink" Target="https://www.sciencedirect.com/science/article/pii/S2352344123002030" TargetMode="External"/><Relationship Id="rId45" Type="http://schemas.openxmlformats.org/officeDocument/2006/relationships/hyperlink" Target="https://jbji.copernicus.org/articles/10/243/2025/"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vetqi.com/pdca/" TargetMode="External"/><Relationship Id="rId23" Type="http://schemas.openxmlformats.org/officeDocument/2006/relationships/hyperlink" Target="https://www.ijcrt.org.in/index.php/ijcrt/article/view/98" TargetMode="External"/><Relationship Id="rId28" Type="http://schemas.openxmlformats.org/officeDocument/2006/relationships/hyperlink" Target="https://link.springer.com/article/10.1007/s00590-024-03838-5" TargetMode="External"/><Relationship Id="rId36" Type="http://schemas.openxmlformats.org/officeDocument/2006/relationships/hyperlink" Target="https://link.springer.com/article/10.1007/s43465-023-00824-7" TargetMode="External"/><Relationship Id="rId49" Type="http://schemas.openxmlformats.org/officeDocument/2006/relationships/hyperlink" Target="https://link.springer.com/article/10.1007/s43465-020-00251-y" TargetMode="External"/><Relationship Id="rId10" Type="http://schemas.openxmlformats.org/officeDocument/2006/relationships/image" Target="media/image4.png"/><Relationship Id="rId19" Type="http://schemas.openxmlformats.org/officeDocument/2006/relationships/hyperlink" Target="https://link.springer.com/article/10.1186/s12909-024-05187-7" TargetMode="External"/><Relationship Id="rId31" Type="http://schemas.openxmlformats.org/officeDocument/2006/relationships/hyperlink" Target="https://medicaldialogues.in/news/health/medico-legal/substandard-implant-used-during-total-knee-replacement-surgery-orthopedic-surgeon-slapped-compensation-126555" TargetMode="External"/><Relationship Id="rId44" Type="http://schemas.openxmlformats.org/officeDocument/2006/relationships/hyperlink" Target="https://link.springer.com/article/10.1007/s42797-023-00091-7"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jointreplacementsurgeryhospitalindia.com/surgery/low-cost-total-knee-replacement-surgery-in-india" TargetMode="External"/><Relationship Id="rId27" Type="http://schemas.openxmlformats.org/officeDocument/2006/relationships/hyperlink" Target="https://link.springer.com/article/10.1186/s10195-024-00750-w" TargetMode="External"/><Relationship Id="rId30" Type="http://schemas.openxmlformats.org/officeDocument/2006/relationships/hyperlink" Target="https://www.sciencedirect.com/science/article/pii/S0883540322011093" TargetMode="External"/><Relationship Id="rId35" Type="http://schemas.openxmlformats.org/officeDocument/2006/relationships/hyperlink" Target="https://link.springer.com/article/10.1186/s13018-023-03647-2" TargetMode="External"/><Relationship Id="rId43" Type="http://schemas.openxmlformats.org/officeDocument/2006/relationships/hyperlink" Target="https://pdfs.semanticscholar.org/9012/68cbe314984ad0d924a7c7475b3399bbbe74.pdf" TargetMode="External"/><Relationship Id="rId48" Type="http://schemas.openxmlformats.org/officeDocument/2006/relationships/hyperlink" Target="https://www.sprintzeal.com/blog/dmaic-tools" TargetMode="External"/><Relationship Id="rId8" Type="http://schemas.openxmlformats.org/officeDocument/2006/relationships/image" Target="media/image2.png"/><Relationship Id="rId51" Type="http://schemas.openxmlformats.org/officeDocument/2006/relationships/hyperlink" Target="https://www.mdpi.com/2077-0383/13/24/76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5558</Words>
  <Characters>31683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 2025</dc:creator>
  <cp:lastModifiedBy>Dell 2025</cp:lastModifiedBy>
  <cp:revision>2</cp:revision>
  <dcterms:created xsi:type="dcterms:W3CDTF">2025-11-26T22:34:00Z</dcterms:created>
  <dcterms:modified xsi:type="dcterms:W3CDTF">2025-11-26T22:34:00Z</dcterms:modified>
</cp:coreProperties>
</file>